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BA5725" w:rsidRPr="008B2CC1" w14:paraId="5FF2CBAC" w14:textId="77777777" w:rsidTr="0060494B">
        <w:tc>
          <w:tcPr>
            <w:tcW w:w="4513" w:type="dxa"/>
            <w:tcBorders>
              <w:bottom w:val="single" w:sz="4" w:space="0" w:color="auto"/>
            </w:tcBorders>
            <w:tcMar>
              <w:bottom w:w="170" w:type="dxa"/>
            </w:tcMar>
          </w:tcPr>
          <w:p w14:paraId="193E3FB8" w14:textId="77777777" w:rsidR="00BA5725" w:rsidRPr="008B2CC1" w:rsidRDefault="00BA5725" w:rsidP="00986700">
            <w:bookmarkStart w:id="0" w:name="_Toc367350572"/>
            <w:bookmarkStart w:id="1" w:name="_Toc427154395"/>
          </w:p>
        </w:tc>
        <w:tc>
          <w:tcPr>
            <w:tcW w:w="4337" w:type="dxa"/>
            <w:tcBorders>
              <w:bottom w:val="single" w:sz="4" w:space="0" w:color="auto"/>
            </w:tcBorders>
            <w:tcMar>
              <w:left w:w="0" w:type="dxa"/>
              <w:right w:w="0" w:type="dxa"/>
            </w:tcMar>
          </w:tcPr>
          <w:p w14:paraId="041F3FA7" w14:textId="77777777" w:rsidR="00BA5725" w:rsidRPr="008B2CC1" w:rsidRDefault="00BA5725" w:rsidP="00986700">
            <w:r>
              <w:rPr>
                <w:noProof/>
                <w:lang w:val="en-US" w:eastAsia="en-US"/>
              </w:rPr>
              <w:drawing>
                <wp:inline distT="0" distB="0" distL="0" distR="0" wp14:anchorId="5488A3BF" wp14:editId="18FEB15A">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3DD999EC" w14:textId="77777777" w:rsidR="00BA5725" w:rsidRPr="008B2CC1" w:rsidRDefault="00BA5725" w:rsidP="00986700">
            <w:pPr>
              <w:jc w:val="right"/>
            </w:pPr>
            <w:r>
              <w:rPr>
                <w:b/>
                <w:sz w:val="40"/>
                <w:szCs w:val="40"/>
              </w:rPr>
              <w:t>F</w:t>
            </w:r>
          </w:p>
        </w:tc>
      </w:tr>
      <w:tr w:rsidR="00BA5725" w:rsidRPr="001832A6" w14:paraId="41DFBC9B" w14:textId="77777777" w:rsidTr="0060494B">
        <w:trPr>
          <w:trHeight w:hRule="exact" w:val="357"/>
        </w:trPr>
        <w:tc>
          <w:tcPr>
            <w:tcW w:w="9356" w:type="dxa"/>
            <w:gridSpan w:val="3"/>
            <w:tcBorders>
              <w:top w:val="single" w:sz="4" w:space="0" w:color="auto"/>
            </w:tcBorders>
            <w:tcMar>
              <w:top w:w="170" w:type="dxa"/>
              <w:left w:w="0" w:type="dxa"/>
              <w:right w:w="0" w:type="dxa"/>
            </w:tcMar>
            <w:vAlign w:val="bottom"/>
          </w:tcPr>
          <w:p w14:paraId="007C76A1" w14:textId="77777777" w:rsidR="00BA5725" w:rsidRPr="0090731E" w:rsidRDefault="00BA5725" w:rsidP="00986700">
            <w:pPr>
              <w:jc w:val="right"/>
              <w:rPr>
                <w:rFonts w:ascii="Arial Black" w:hAnsi="Arial Black"/>
                <w:caps/>
                <w:sz w:val="15"/>
              </w:rPr>
            </w:pPr>
            <w:r>
              <w:rPr>
                <w:rFonts w:ascii="Arial Black" w:hAnsi="Arial Black"/>
                <w:caps/>
                <w:sz w:val="15"/>
              </w:rPr>
              <w:t>WO/PBC/26/</w:t>
            </w:r>
            <w:bookmarkStart w:id="2" w:name="Code"/>
            <w:bookmarkEnd w:id="2"/>
            <w:r>
              <w:rPr>
                <w:rFonts w:ascii="Arial Black" w:hAnsi="Arial Black"/>
                <w:caps/>
                <w:sz w:val="15"/>
              </w:rPr>
              <w:t>3</w:t>
            </w:r>
          </w:p>
        </w:tc>
      </w:tr>
      <w:tr w:rsidR="00BA5725" w:rsidRPr="001832A6" w14:paraId="7A326ABE" w14:textId="77777777" w:rsidTr="0060494B">
        <w:trPr>
          <w:trHeight w:hRule="exact" w:val="170"/>
        </w:trPr>
        <w:tc>
          <w:tcPr>
            <w:tcW w:w="9356" w:type="dxa"/>
            <w:gridSpan w:val="3"/>
            <w:noWrap/>
            <w:tcMar>
              <w:left w:w="0" w:type="dxa"/>
              <w:right w:w="0" w:type="dxa"/>
            </w:tcMar>
            <w:vAlign w:val="bottom"/>
          </w:tcPr>
          <w:p w14:paraId="3F53500A" w14:textId="77777777" w:rsidR="00BA5725" w:rsidRPr="0090731E" w:rsidRDefault="00BA5725" w:rsidP="00986700">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w:t>
            </w:r>
            <w:r>
              <w:rPr>
                <w:rFonts w:ascii="Arial Black" w:hAnsi="Arial Black"/>
                <w:caps/>
                <w:sz w:val="15"/>
              </w:rPr>
              <w:t xml:space="preserve"> </w:t>
            </w:r>
            <w:bookmarkStart w:id="3" w:name="Original"/>
            <w:bookmarkEnd w:id="3"/>
            <w:r>
              <w:rPr>
                <w:rFonts w:ascii="Arial Black" w:hAnsi="Arial Black"/>
                <w:caps/>
                <w:sz w:val="15"/>
              </w:rPr>
              <w:t>anglais</w:t>
            </w:r>
            <w:r w:rsidRPr="0090731E">
              <w:rPr>
                <w:rFonts w:ascii="Arial Black" w:hAnsi="Arial Black"/>
                <w:caps/>
                <w:sz w:val="15"/>
              </w:rPr>
              <w:t xml:space="preserve"> </w:t>
            </w:r>
          </w:p>
        </w:tc>
      </w:tr>
      <w:tr w:rsidR="00BA5725" w:rsidRPr="001832A6" w14:paraId="603BBA18" w14:textId="77777777" w:rsidTr="0060494B">
        <w:trPr>
          <w:trHeight w:hRule="exact" w:val="198"/>
        </w:trPr>
        <w:tc>
          <w:tcPr>
            <w:tcW w:w="9356" w:type="dxa"/>
            <w:gridSpan w:val="3"/>
            <w:tcMar>
              <w:left w:w="0" w:type="dxa"/>
              <w:right w:w="0" w:type="dxa"/>
            </w:tcMar>
            <w:vAlign w:val="bottom"/>
          </w:tcPr>
          <w:p w14:paraId="7B35F66D" w14:textId="32746947" w:rsidR="00BA5725" w:rsidRPr="0090731E" w:rsidRDefault="00BA5725" w:rsidP="00073F3E">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w:t>
            </w:r>
            <w:r>
              <w:rPr>
                <w:rFonts w:ascii="Arial Black" w:hAnsi="Arial Black"/>
                <w:caps/>
                <w:sz w:val="15"/>
              </w:rPr>
              <w:t xml:space="preserve"> </w:t>
            </w:r>
            <w:bookmarkStart w:id="4" w:name="Date"/>
            <w:bookmarkEnd w:id="4"/>
            <w:r w:rsidR="00591A2F">
              <w:rPr>
                <w:rFonts w:ascii="Arial Black" w:hAnsi="Arial Black"/>
                <w:caps/>
                <w:sz w:val="15"/>
              </w:rPr>
              <w:t>22</w:t>
            </w:r>
            <w:r>
              <w:rPr>
                <w:rFonts w:ascii="Arial Black" w:hAnsi="Arial Black"/>
                <w:caps/>
                <w:sz w:val="15"/>
              </w:rPr>
              <w:t xml:space="preserve"> mai 2017</w:t>
            </w:r>
            <w:r w:rsidRPr="0090731E">
              <w:rPr>
                <w:rFonts w:ascii="Arial Black" w:hAnsi="Arial Black"/>
                <w:caps/>
                <w:sz w:val="15"/>
              </w:rPr>
              <w:t xml:space="preserve"> </w:t>
            </w:r>
          </w:p>
        </w:tc>
      </w:tr>
    </w:tbl>
    <w:p w14:paraId="6E5F065B" w14:textId="77777777" w:rsidR="00BA5725" w:rsidRPr="00BA5725" w:rsidRDefault="00BA5725" w:rsidP="00986700">
      <w:pPr>
        <w:rPr>
          <w:sz w:val="22"/>
        </w:rPr>
      </w:pPr>
    </w:p>
    <w:p w14:paraId="4E83B084" w14:textId="77777777" w:rsidR="00BA5725" w:rsidRPr="00BA5725" w:rsidRDefault="00BA5725" w:rsidP="00986700">
      <w:pPr>
        <w:rPr>
          <w:sz w:val="22"/>
        </w:rPr>
      </w:pPr>
    </w:p>
    <w:p w14:paraId="2D17A187" w14:textId="77777777" w:rsidR="00BA5725" w:rsidRPr="00BA5725" w:rsidRDefault="00BA5725" w:rsidP="00986700">
      <w:pPr>
        <w:rPr>
          <w:sz w:val="22"/>
        </w:rPr>
      </w:pPr>
    </w:p>
    <w:p w14:paraId="7E9C8F42" w14:textId="77777777" w:rsidR="00BA5725" w:rsidRPr="00BA5725" w:rsidRDefault="00BA5725" w:rsidP="00986700">
      <w:pPr>
        <w:rPr>
          <w:sz w:val="22"/>
        </w:rPr>
      </w:pPr>
    </w:p>
    <w:p w14:paraId="5730C14C" w14:textId="77777777" w:rsidR="00BA5725" w:rsidRPr="00BA5725" w:rsidRDefault="00BA5725" w:rsidP="00986700">
      <w:pPr>
        <w:rPr>
          <w:sz w:val="22"/>
        </w:rPr>
      </w:pPr>
    </w:p>
    <w:p w14:paraId="0474773A" w14:textId="77777777" w:rsidR="00BA5725" w:rsidRDefault="00BA5725" w:rsidP="00986700">
      <w:pPr>
        <w:rPr>
          <w:b/>
          <w:sz w:val="28"/>
          <w:szCs w:val="28"/>
        </w:rPr>
      </w:pPr>
      <w:r w:rsidRPr="000C68CB">
        <w:rPr>
          <w:b/>
          <w:sz w:val="28"/>
          <w:szCs w:val="28"/>
        </w:rPr>
        <w:t>Comité du programme et budget</w:t>
      </w:r>
    </w:p>
    <w:p w14:paraId="030E8DCB" w14:textId="77777777" w:rsidR="00BA5725" w:rsidRPr="00BA5725" w:rsidRDefault="00BA5725" w:rsidP="00986700">
      <w:pPr>
        <w:rPr>
          <w:sz w:val="22"/>
        </w:rPr>
      </w:pPr>
    </w:p>
    <w:p w14:paraId="60624E2E" w14:textId="77777777" w:rsidR="00BA5725" w:rsidRPr="00BA5725" w:rsidRDefault="00BA5725" w:rsidP="00986700">
      <w:pPr>
        <w:rPr>
          <w:sz w:val="22"/>
        </w:rPr>
      </w:pPr>
    </w:p>
    <w:p w14:paraId="365E25B6" w14:textId="66A66457" w:rsidR="00BA5725" w:rsidRDefault="00BA5725" w:rsidP="00986700">
      <w:pPr>
        <w:rPr>
          <w:b/>
          <w:sz w:val="24"/>
          <w:szCs w:val="24"/>
        </w:rPr>
      </w:pPr>
      <w:r w:rsidRPr="000C68CB">
        <w:rPr>
          <w:b/>
          <w:sz w:val="24"/>
          <w:szCs w:val="24"/>
        </w:rPr>
        <w:t>Vingt</w:t>
      </w:r>
      <w:r w:rsidR="00B441CA">
        <w:rPr>
          <w:b/>
          <w:sz w:val="24"/>
          <w:szCs w:val="24"/>
        </w:rPr>
        <w:noBreakHyphen/>
      </w:r>
      <w:r w:rsidRPr="000C68CB">
        <w:rPr>
          <w:b/>
          <w:sz w:val="24"/>
          <w:szCs w:val="24"/>
        </w:rPr>
        <w:t>sixième session</w:t>
      </w:r>
    </w:p>
    <w:p w14:paraId="54D99048" w14:textId="77777777" w:rsidR="00BA5725" w:rsidRDefault="00BA5725" w:rsidP="00986700">
      <w:pPr>
        <w:rPr>
          <w:b/>
          <w:sz w:val="24"/>
          <w:szCs w:val="24"/>
        </w:rPr>
      </w:pPr>
      <w:r w:rsidRPr="000C68CB">
        <w:rPr>
          <w:b/>
          <w:sz w:val="24"/>
          <w:szCs w:val="24"/>
        </w:rPr>
        <w:t>Genève, 10 – 14 juillet 2017</w:t>
      </w:r>
    </w:p>
    <w:p w14:paraId="3980F9D7" w14:textId="77777777" w:rsidR="00BA5725" w:rsidRPr="00BA5725" w:rsidRDefault="00BA5725" w:rsidP="00986700">
      <w:pPr>
        <w:rPr>
          <w:sz w:val="22"/>
        </w:rPr>
      </w:pPr>
    </w:p>
    <w:p w14:paraId="23FD8539" w14:textId="77777777" w:rsidR="00BA5725" w:rsidRPr="00BA5725" w:rsidRDefault="00BA5725" w:rsidP="00986700">
      <w:pPr>
        <w:rPr>
          <w:sz w:val="22"/>
        </w:rPr>
      </w:pPr>
    </w:p>
    <w:p w14:paraId="4FECA68F" w14:textId="77777777" w:rsidR="00BA5725" w:rsidRPr="00BA5725" w:rsidRDefault="00BA5725" w:rsidP="00986700">
      <w:pPr>
        <w:rPr>
          <w:sz w:val="22"/>
        </w:rPr>
      </w:pPr>
    </w:p>
    <w:p w14:paraId="44BEA765" w14:textId="5A6D4287" w:rsidR="00BA5725" w:rsidRDefault="00BA5725" w:rsidP="00986700">
      <w:pPr>
        <w:rPr>
          <w:caps/>
          <w:sz w:val="24"/>
        </w:rPr>
      </w:pPr>
      <w:bookmarkStart w:id="5" w:name="TitleOfDoc"/>
      <w:bookmarkEnd w:id="5"/>
      <w:r>
        <w:rPr>
          <w:caps/>
          <w:sz w:val="24"/>
        </w:rPr>
        <w:t>Projet de programme et budget proposé</w:t>
      </w:r>
      <w:r>
        <w:rPr>
          <w:caps/>
          <w:sz w:val="24"/>
        </w:rPr>
        <w:br/>
        <w:t>pour l’exercice biennal 2018</w:t>
      </w:r>
      <w:r w:rsidR="00B441CA">
        <w:rPr>
          <w:caps/>
          <w:sz w:val="24"/>
        </w:rPr>
        <w:noBreakHyphen/>
      </w:r>
      <w:r>
        <w:rPr>
          <w:caps/>
          <w:sz w:val="24"/>
        </w:rPr>
        <w:t>2019</w:t>
      </w:r>
    </w:p>
    <w:p w14:paraId="6128B9A9" w14:textId="77777777" w:rsidR="00BA5725" w:rsidRPr="00BA5725" w:rsidRDefault="00BA5725" w:rsidP="00986700">
      <w:pPr>
        <w:rPr>
          <w:sz w:val="22"/>
        </w:rPr>
      </w:pPr>
    </w:p>
    <w:p w14:paraId="72677EC7" w14:textId="77777777" w:rsidR="00BA5725" w:rsidRPr="00BA5725" w:rsidRDefault="00BA5725" w:rsidP="00986700">
      <w:pPr>
        <w:rPr>
          <w:i/>
          <w:sz w:val="22"/>
        </w:rPr>
      </w:pPr>
      <w:bookmarkStart w:id="6" w:name="Prepared"/>
      <w:bookmarkEnd w:id="6"/>
      <w:r w:rsidRPr="00BA5725">
        <w:rPr>
          <w:i/>
          <w:sz w:val="22"/>
        </w:rPr>
        <w:t>Document établi par le Secrétariat</w:t>
      </w:r>
    </w:p>
    <w:p w14:paraId="07779833" w14:textId="77777777" w:rsidR="00BA5725" w:rsidRPr="00BA5725" w:rsidRDefault="00BA5725" w:rsidP="00986700">
      <w:pPr>
        <w:rPr>
          <w:sz w:val="22"/>
        </w:rPr>
      </w:pPr>
    </w:p>
    <w:p w14:paraId="12169267" w14:textId="77777777" w:rsidR="00BA5725" w:rsidRPr="00BA5725" w:rsidRDefault="00BA5725" w:rsidP="00986700">
      <w:pPr>
        <w:rPr>
          <w:sz w:val="22"/>
        </w:rPr>
      </w:pPr>
    </w:p>
    <w:p w14:paraId="06FB43E7" w14:textId="77777777" w:rsidR="00BA5725" w:rsidRPr="00BA5725" w:rsidRDefault="00BA5725" w:rsidP="00986700">
      <w:pPr>
        <w:rPr>
          <w:sz w:val="22"/>
        </w:rPr>
      </w:pPr>
    </w:p>
    <w:p w14:paraId="70689728" w14:textId="77777777" w:rsidR="00BA5725" w:rsidRPr="00BA5725" w:rsidRDefault="00BA5725" w:rsidP="00986700">
      <w:pPr>
        <w:rPr>
          <w:sz w:val="22"/>
        </w:rPr>
      </w:pPr>
    </w:p>
    <w:p w14:paraId="777BDA1B" w14:textId="03154C8E" w:rsidR="00BA5725" w:rsidRPr="00BA5725" w:rsidRDefault="00BA5725" w:rsidP="00986700">
      <w:pPr>
        <w:rPr>
          <w:sz w:val="22"/>
        </w:rPr>
      </w:pPr>
      <w:r w:rsidRPr="00BA5725">
        <w:rPr>
          <w:sz w:val="22"/>
        </w:rPr>
        <w:t>1.</w:t>
      </w:r>
      <w:r w:rsidRPr="00BA5725">
        <w:rPr>
          <w:sz w:val="22"/>
        </w:rPr>
        <w:tab/>
        <w:t>Le projet de programme et budget proposé pour l’exercice biennal 2018</w:t>
      </w:r>
      <w:r w:rsidR="00B441CA">
        <w:rPr>
          <w:sz w:val="22"/>
        </w:rPr>
        <w:noBreakHyphen/>
      </w:r>
      <w:r w:rsidRPr="00BA5725">
        <w:rPr>
          <w:sz w:val="22"/>
        </w:rPr>
        <w:t>2019 ci</w:t>
      </w:r>
      <w:r w:rsidR="00B441CA">
        <w:rPr>
          <w:sz w:val="22"/>
        </w:rPr>
        <w:noBreakHyphen/>
      </w:r>
      <w:r w:rsidRPr="00BA5725">
        <w:rPr>
          <w:sz w:val="22"/>
        </w:rPr>
        <w:t>joint est soumis à la présente session du Comité du programme et budget (PBC) conformément à l’article 2.6 du Règlement financier pour “discussion, observations et recommandations, ainsi que pour d’éventuelles modifications” et conformément au mécanisme faisant davantage intervenir les États membres dans la préparation et le suivi du programme et budget de l’Organisation (voir les documents WO/PBC/</w:t>
      </w:r>
      <w:r w:rsidR="00927B86">
        <w:rPr>
          <w:sz w:val="22"/>
        </w:rPr>
        <w:t>13</w:t>
      </w:r>
      <w:r w:rsidRPr="00BA5725">
        <w:rPr>
          <w:sz w:val="22"/>
        </w:rPr>
        <w:t>/7 et A/46/12).</w:t>
      </w:r>
    </w:p>
    <w:p w14:paraId="4973AF16" w14:textId="77777777" w:rsidR="00BA5725" w:rsidRPr="00BA5725" w:rsidRDefault="00BA5725" w:rsidP="00986700">
      <w:pPr>
        <w:rPr>
          <w:sz w:val="22"/>
        </w:rPr>
      </w:pPr>
    </w:p>
    <w:p w14:paraId="656B3252" w14:textId="4D35B8FE" w:rsidR="00BA5725" w:rsidRPr="00BA5725" w:rsidRDefault="00BA5725" w:rsidP="00986700">
      <w:pPr>
        <w:rPr>
          <w:sz w:val="22"/>
        </w:rPr>
      </w:pPr>
      <w:r w:rsidRPr="00BA5725">
        <w:rPr>
          <w:sz w:val="22"/>
        </w:rPr>
        <w:t>2.</w:t>
      </w:r>
      <w:r w:rsidRPr="00BA5725">
        <w:rPr>
          <w:sz w:val="22"/>
        </w:rPr>
        <w:tab/>
        <w:t>Le présent projet a été établi compte dûment tenu des contributions, observations et informations reçues des États membres dans leurs réponses au Questionnaire sur le projet de programme et budget pour 2018</w:t>
      </w:r>
      <w:r w:rsidR="00B441CA">
        <w:rPr>
          <w:sz w:val="22"/>
        </w:rPr>
        <w:noBreakHyphen/>
      </w:r>
      <w:r w:rsidRPr="00BA5725">
        <w:rPr>
          <w:sz w:val="22"/>
        </w:rPr>
        <w:t>2019.</w:t>
      </w:r>
    </w:p>
    <w:p w14:paraId="7BB1E7FC" w14:textId="77777777" w:rsidR="00BA5725" w:rsidRPr="00BA5725" w:rsidRDefault="00BA5725" w:rsidP="00986700">
      <w:pPr>
        <w:rPr>
          <w:sz w:val="22"/>
        </w:rPr>
      </w:pPr>
    </w:p>
    <w:p w14:paraId="5C765F03" w14:textId="1EDDFB58" w:rsidR="00BA5725" w:rsidRPr="00BA5725" w:rsidRDefault="00BA5725" w:rsidP="00986700">
      <w:pPr>
        <w:rPr>
          <w:sz w:val="22"/>
        </w:rPr>
      </w:pPr>
      <w:r w:rsidRPr="00BA5725">
        <w:rPr>
          <w:sz w:val="22"/>
        </w:rPr>
        <w:t>3.</w:t>
      </w:r>
      <w:r w:rsidRPr="00BA5725">
        <w:rPr>
          <w:sz w:val="22"/>
        </w:rPr>
        <w:tab/>
        <w:t>Conformément au mécanisme susmentionné, à l’issue du présent examen, une session formelle du Comité du programme et budget se tiendra en septembre 2017 pour examen et recommandation à la cinquante</w:t>
      </w:r>
      <w:r w:rsidR="00B441CA">
        <w:rPr>
          <w:sz w:val="22"/>
        </w:rPr>
        <w:noBreakHyphen/>
      </w:r>
      <w:r w:rsidRPr="00BA5725">
        <w:rPr>
          <w:sz w:val="22"/>
        </w:rPr>
        <w:t xml:space="preserve">septième session des assemblées des États membres </w:t>
      </w:r>
      <w:r w:rsidRPr="00BA5725">
        <w:rPr>
          <w:sz w:val="22"/>
        </w:rPr>
        <w:br/>
        <w:t>(2 – 11 octobre 2017).</w:t>
      </w:r>
    </w:p>
    <w:p w14:paraId="4427CD28" w14:textId="77777777" w:rsidR="00BA5725" w:rsidRPr="00BA5725" w:rsidRDefault="00BA5725" w:rsidP="00986700"/>
    <w:p w14:paraId="45F653EB" w14:textId="77777777" w:rsidR="00BA5725" w:rsidRPr="00BA5725" w:rsidRDefault="00BA5725" w:rsidP="00986700"/>
    <w:p w14:paraId="20BFFE24" w14:textId="199467B9" w:rsidR="00BA5725" w:rsidRPr="00BA5725" w:rsidRDefault="00BA5725" w:rsidP="00986700"/>
    <w:p w14:paraId="15FE36CA" w14:textId="2F0FAE3E" w:rsidR="00BA5725" w:rsidRPr="00BA5725" w:rsidRDefault="00BA5725" w:rsidP="00986700">
      <w:pPr>
        <w:ind w:left="5533"/>
      </w:pPr>
      <w:r w:rsidRPr="00BA5725">
        <w:t>[Le projet de programme et budget proposé pour l’exercice biennal 2018</w:t>
      </w:r>
      <w:r w:rsidR="00B441CA">
        <w:noBreakHyphen/>
      </w:r>
      <w:r w:rsidRPr="00BA5725">
        <w:t>2019 suit]</w:t>
      </w:r>
    </w:p>
    <w:p w14:paraId="30CA69C3" w14:textId="1099E5BE" w:rsidR="007C798E" w:rsidRDefault="007C798E" w:rsidP="00986700">
      <w:pPr>
        <w:rPr>
          <w:rFonts w:eastAsia="SimSun" w:cs="Arial"/>
          <w:lang w:eastAsia="zh-CN"/>
        </w:rPr>
      </w:pPr>
      <w:r>
        <w:br w:type="page"/>
      </w:r>
    </w:p>
    <w:p w14:paraId="7B0F551B" w14:textId="77777777" w:rsidR="00BA5725" w:rsidRDefault="00BA5725" w:rsidP="00986700">
      <w:pPr>
        <w:pStyle w:val="Endofdocument-Annex"/>
        <w:rPr>
          <w:szCs w:val="22"/>
        </w:rPr>
      </w:pPr>
    </w:p>
    <w:p w14:paraId="4755CE85" w14:textId="77777777" w:rsidR="00BA5725" w:rsidRDefault="00BA5725" w:rsidP="00986700">
      <w:pPr>
        <w:pStyle w:val="Heading1"/>
        <w:rPr>
          <w:rFonts w:hint="eastAsia"/>
        </w:rPr>
        <w:sectPr w:rsidR="00BA5725" w:rsidSect="00920B3A">
          <w:headerReference w:type="first" r:id="rId10"/>
          <w:footerReference w:type="first" r:id="rId11"/>
          <w:pgSz w:w="11907" w:h="16839" w:code="9"/>
          <w:pgMar w:top="567" w:right="1134" w:bottom="1418" w:left="1418" w:header="510" w:footer="1021" w:gutter="0"/>
          <w:cols w:space="720"/>
          <w:docGrid w:linePitch="299"/>
        </w:sectPr>
      </w:pPr>
    </w:p>
    <w:p w14:paraId="07D0B0C7" w14:textId="77777777" w:rsidR="007C798E" w:rsidRPr="00FA370F" w:rsidRDefault="007C798E" w:rsidP="00986700">
      <w:pPr>
        <w:jc w:val="center"/>
        <w:rPr>
          <w:szCs w:val="24"/>
        </w:rPr>
      </w:pPr>
    </w:p>
    <w:p w14:paraId="6C1A7218" w14:textId="77777777" w:rsidR="007C798E" w:rsidRPr="00FA370F" w:rsidRDefault="007C798E" w:rsidP="00986700">
      <w:pPr>
        <w:jc w:val="center"/>
        <w:rPr>
          <w:szCs w:val="24"/>
        </w:rPr>
      </w:pPr>
    </w:p>
    <w:p w14:paraId="4D97FE93" w14:textId="77777777" w:rsidR="007C798E" w:rsidRPr="00FA370F" w:rsidRDefault="007C798E" w:rsidP="00986700">
      <w:pPr>
        <w:jc w:val="center"/>
        <w:rPr>
          <w:szCs w:val="24"/>
        </w:rPr>
      </w:pPr>
    </w:p>
    <w:p w14:paraId="5B0E30FB" w14:textId="77777777" w:rsidR="007C798E" w:rsidRPr="00FA370F" w:rsidRDefault="007C798E" w:rsidP="00986700">
      <w:pPr>
        <w:jc w:val="center"/>
        <w:rPr>
          <w:szCs w:val="24"/>
        </w:rPr>
      </w:pPr>
    </w:p>
    <w:p w14:paraId="4A79F662" w14:textId="77777777" w:rsidR="007C798E" w:rsidRPr="00FA370F" w:rsidRDefault="007C798E" w:rsidP="00986700">
      <w:pPr>
        <w:jc w:val="center"/>
        <w:rPr>
          <w:szCs w:val="24"/>
        </w:rPr>
      </w:pPr>
    </w:p>
    <w:p w14:paraId="43EDE857" w14:textId="77777777" w:rsidR="007C798E" w:rsidRPr="00FA370F" w:rsidRDefault="007C798E" w:rsidP="00986700">
      <w:pPr>
        <w:jc w:val="center"/>
        <w:rPr>
          <w:szCs w:val="24"/>
        </w:rPr>
      </w:pPr>
    </w:p>
    <w:p w14:paraId="18F72A2C" w14:textId="77777777" w:rsidR="007C798E" w:rsidRPr="00FA370F" w:rsidRDefault="007C798E" w:rsidP="00986700">
      <w:pPr>
        <w:jc w:val="center"/>
        <w:rPr>
          <w:szCs w:val="24"/>
        </w:rPr>
      </w:pPr>
    </w:p>
    <w:p w14:paraId="5D19A848" w14:textId="77777777" w:rsidR="007C798E" w:rsidRPr="00FA370F" w:rsidRDefault="007C798E" w:rsidP="00986700">
      <w:pPr>
        <w:jc w:val="center"/>
        <w:rPr>
          <w:szCs w:val="24"/>
        </w:rPr>
      </w:pPr>
    </w:p>
    <w:p w14:paraId="3C59CB3E" w14:textId="77777777" w:rsidR="007C798E" w:rsidRPr="00FA370F" w:rsidRDefault="007C798E" w:rsidP="00986700">
      <w:pPr>
        <w:jc w:val="center"/>
        <w:rPr>
          <w:szCs w:val="24"/>
        </w:rPr>
      </w:pPr>
    </w:p>
    <w:p w14:paraId="5BD6D161" w14:textId="77777777" w:rsidR="007C798E" w:rsidRPr="00FA370F" w:rsidRDefault="007C798E" w:rsidP="00986700">
      <w:pPr>
        <w:jc w:val="center"/>
        <w:rPr>
          <w:szCs w:val="24"/>
        </w:rPr>
      </w:pPr>
    </w:p>
    <w:p w14:paraId="5B2B577E" w14:textId="76012F77" w:rsidR="007C798E" w:rsidRPr="007C798E" w:rsidRDefault="007C798E" w:rsidP="00986700">
      <w:pPr>
        <w:jc w:val="center"/>
        <w:rPr>
          <w:b/>
          <w:caps/>
          <w:szCs w:val="24"/>
        </w:rPr>
      </w:pPr>
      <w:r w:rsidRPr="007C798E">
        <w:rPr>
          <w:b/>
          <w:caps/>
          <w:szCs w:val="24"/>
        </w:rPr>
        <w:t>Organisation Mondiale de la Propriété Intellectuelle</w:t>
      </w:r>
    </w:p>
    <w:p w14:paraId="28C87423" w14:textId="77777777" w:rsidR="007C798E" w:rsidRPr="00FA370F" w:rsidRDefault="007C798E" w:rsidP="00986700">
      <w:pPr>
        <w:jc w:val="center"/>
        <w:rPr>
          <w:szCs w:val="24"/>
        </w:rPr>
      </w:pPr>
    </w:p>
    <w:p w14:paraId="2D1C23C1" w14:textId="77777777" w:rsidR="007C798E" w:rsidRPr="00FA370F" w:rsidRDefault="007C798E" w:rsidP="00986700">
      <w:pPr>
        <w:jc w:val="center"/>
        <w:rPr>
          <w:szCs w:val="24"/>
        </w:rPr>
      </w:pPr>
    </w:p>
    <w:p w14:paraId="2B947011" w14:textId="77777777" w:rsidR="007C798E" w:rsidRPr="00FA370F" w:rsidRDefault="007C798E" w:rsidP="00986700">
      <w:pPr>
        <w:jc w:val="center"/>
        <w:rPr>
          <w:szCs w:val="24"/>
        </w:rPr>
      </w:pPr>
    </w:p>
    <w:p w14:paraId="789C048E" w14:textId="77777777" w:rsidR="007C798E" w:rsidRPr="00FA370F" w:rsidRDefault="007C798E" w:rsidP="00986700">
      <w:pPr>
        <w:jc w:val="center"/>
        <w:rPr>
          <w:szCs w:val="24"/>
        </w:rPr>
      </w:pPr>
    </w:p>
    <w:p w14:paraId="1467A743" w14:textId="7B27AA2C" w:rsidR="007C798E" w:rsidRPr="00FA370F" w:rsidRDefault="007C798E" w:rsidP="00986700">
      <w:pPr>
        <w:jc w:val="center"/>
        <w:rPr>
          <w:b/>
          <w:bCs/>
          <w:szCs w:val="24"/>
        </w:rPr>
      </w:pPr>
      <w:r w:rsidRPr="007C798E">
        <w:rPr>
          <w:b/>
          <w:bCs/>
          <w:szCs w:val="24"/>
        </w:rPr>
        <w:t>PROJET DE PROGRAMME ET BUDGET PROPOSÉ</w:t>
      </w:r>
      <w:r>
        <w:rPr>
          <w:b/>
          <w:bCs/>
          <w:szCs w:val="24"/>
        </w:rPr>
        <w:t xml:space="preserve"> </w:t>
      </w:r>
      <w:r w:rsidR="00DA1D56">
        <w:rPr>
          <w:b/>
          <w:bCs/>
          <w:szCs w:val="24"/>
        </w:rPr>
        <w:t>POUR L’EXERCICE BIENNAL 2018-</w:t>
      </w:r>
      <w:r w:rsidRPr="007C798E">
        <w:rPr>
          <w:b/>
          <w:bCs/>
          <w:szCs w:val="24"/>
        </w:rPr>
        <w:t>2019</w:t>
      </w:r>
    </w:p>
    <w:p w14:paraId="67886990" w14:textId="77777777" w:rsidR="007C798E" w:rsidRPr="00FA370F" w:rsidRDefault="007C798E" w:rsidP="00986700">
      <w:pPr>
        <w:jc w:val="center"/>
        <w:rPr>
          <w:b/>
          <w:bCs/>
          <w:szCs w:val="24"/>
        </w:rPr>
      </w:pPr>
    </w:p>
    <w:p w14:paraId="1E992381" w14:textId="77777777" w:rsidR="0060494B" w:rsidRDefault="0060494B" w:rsidP="00986700">
      <w:pPr>
        <w:rPr>
          <w:b/>
          <w:bCs/>
        </w:rPr>
      </w:pPr>
      <w:r>
        <w:rPr>
          <w:b/>
          <w:bCs/>
        </w:rPr>
        <w:br w:type="page"/>
      </w:r>
    </w:p>
    <w:p w14:paraId="7746AA4D" w14:textId="0C672276" w:rsidR="007C798E" w:rsidRPr="00FA370F" w:rsidRDefault="007C798E" w:rsidP="00986700">
      <w:pPr>
        <w:rPr>
          <w:b/>
          <w:bCs/>
        </w:rPr>
      </w:pPr>
    </w:p>
    <w:p w14:paraId="6AC34D1D" w14:textId="77777777" w:rsidR="0060494B" w:rsidRDefault="0060494B" w:rsidP="00986700">
      <w:pPr>
        <w:pStyle w:val="Heading1"/>
        <w:rPr>
          <w:rFonts w:hint="eastAsia"/>
        </w:rPr>
        <w:sectPr w:rsidR="0060494B" w:rsidSect="0060494B">
          <w:headerReference w:type="even" r:id="rId12"/>
          <w:headerReference w:type="default" r:id="rId13"/>
          <w:footerReference w:type="even" r:id="rId14"/>
          <w:footerReference w:type="default" r:id="rId15"/>
          <w:pgSz w:w="11907" w:h="16839" w:code="9"/>
          <w:pgMar w:top="567" w:right="1418" w:bottom="1418" w:left="1418" w:header="510" w:footer="1021" w:gutter="0"/>
          <w:pgNumType w:start="1"/>
          <w:cols w:space="720"/>
          <w:docGrid w:linePitch="299"/>
        </w:sectPr>
      </w:pPr>
    </w:p>
    <w:p w14:paraId="53C3C3FC" w14:textId="77777777" w:rsidR="0060494B" w:rsidRPr="0060494B" w:rsidRDefault="0060494B" w:rsidP="00986700">
      <w:pPr>
        <w:jc w:val="center"/>
        <w:rPr>
          <w:b/>
          <w:caps/>
          <w:sz w:val="22"/>
        </w:rPr>
      </w:pPr>
      <w:r w:rsidRPr="0060494B">
        <w:rPr>
          <w:b/>
          <w:caps/>
          <w:sz w:val="22"/>
        </w:rPr>
        <w:lastRenderedPageBreak/>
        <w:t>Table des matières</w:t>
      </w:r>
    </w:p>
    <w:p w14:paraId="4C1841DD" w14:textId="77777777" w:rsidR="0060494B" w:rsidRPr="0060494B" w:rsidRDefault="0060494B" w:rsidP="00986700">
      <w:pPr>
        <w:rPr>
          <w:sz w:val="22"/>
        </w:rPr>
      </w:pPr>
    </w:p>
    <w:p w14:paraId="7ED997F6" w14:textId="77777777" w:rsidR="00FC0DA7" w:rsidRDefault="00DF040C">
      <w:pPr>
        <w:pStyle w:val="TOC1"/>
        <w:rPr>
          <w:rFonts w:asciiTheme="minorHAnsi" w:hAnsiTheme="minorHAnsi"/>
          <w:b w:val="0"/>
          <w:caps w:val="0"/>
          <w:sz w:val="22"/>
          <w:lang w:eastAsia="fr-FR"/>
        </w:rPr>
      </w:pPr>
      <w:r>
        <w:rPr>
          <w:rFonts w:hint="eastAsia"/>
        </w:rPr>
        <w:fldChar w:fldCharType="begin"/>
      </w:r>
      <w:r>
        <w:rPr>
          <w:rFonts w:hint="eastAsia"/>
        </w:rPr>
        <w:instrText xml:space="preserve"> </w:instrText>
      </w:r>
      <w:r>
        <w:instrText>TOC \o "1-4" \u</w:instrText>
      </w:r>
      <w:r>
        <w:rPr>
          <w:rFonts w:hint="eastAsia"/>
        </w:rPr>
        <w:instrText xml:space="preserve"> </w:instrText>
      </w:r>
      <w:r>
        <w:rPr>
          <w:rFonts w:hint="eastAsia"/>
        </w:rPr>
        <w:fldChar w:fldCharType="separate"/>
      </w:r>
      <w:r w:rsidR="00FC0DA7">
        <w:t>Avant</w:t>
      </w:r>
      <w:r w:rsidR="00FC0DA7">
        <w:noBreakHyphen/>
        <w:t>propos du Directeur général</w:t>
      </w:r>
      <w:r w:rsidR="00FC0DA7">
        <w:tab/>
      </w:r>
      <w:r w:rsidR="00FC0DA7">
        <w:fldChar w:fldCharType="begin"/>
      </w:r>
      <w:r w:rsidR="00FC0DA7">
        <w:instrText xml:space="preserve"> PAGEREF _Toc482979468 \h </w:instrText>
      </w:r>
      <w:r w:rsidR="00FC0DA7">
        <w:fldChar w:fldCharType="separate"/>
      </w:r>
      <w:r w:rsidR="00AF4A8A">
        <w:rPr>
          <w:rFonts w:hint="eastAsia"/>
        </w:rPr>
        <w:t>5</w:t>
      </w:r>
      <w:r w:rsidR="00FC0DA7">
        <w:fldChar w:fldCharType="end"/>
      </w:r>
    </w:p>
    <w:p w14:paraId="7CA7A41C" w14:textId="77777777" w:rsidR="00FC0DA7" w:rsidRDefault="00FC0DA7">
      <w:pPr>
        <w:pStyle w:val="TOC1"/>
        <w:rPr>
          <w:rFonts w:asciiTheme="minorHAnsi" w:hAnsiTheme="minorHAnsi"/>
          <w:b w:val="0"/>
          <w:caps w:val="0"/>
          <w:sz w:val="22"/>
          <w:lang w:eastAsia="fr-FR"/>
        </w:rPr>
      </w:pPr>
      <w:r>
        <w:t>I.</w:t>
      </w:r>
      <w:r>
        <w:rPr>
          <w:rFonts w:asciiTheme="minorHAnsi" w:hAnsiTheme="minorHAnsi"/>
          <w:b w:val="0"/>
          <w:caps w:val="0"/>
          <w:sz w:val="22"/>
          <w:lang w:eastAsia="fr-FR"/>
        </w:rPr>
        <w:tab/>
      </w:r>
      <w:r>
        <w:t>Présentation générale de la situation financière et des résultats</w:t>
      </w:r>
      <w:r>
        <w:tab/>
      </w:r>
      <w:r>
        <w:fldChar w:fldCharType="begin"/>
      </w:r>
      <w:r>
        <w:instrText xml:space="preserve"> PAGEREF _Toc482979469 \h </w:instrText>
      </w:r>
      <w:r>
        <w:fldChar w:fldCharType="separate"/>
      </w:r>
      <w:r w:rsidR="00AF4A8A">
        <w:rPr>
          <w:rFonts w:hint="eastAsia"/>
        </w:rPr>
        <w:t>8</w:t>
      </w:r>
      <w:r>
        <w:fldChar w:fldCharType="end"/>
      </w:r>
    </w:p>
    <w:p w14:paraId="464FCE04" w14:textId="77777777" w:rsidR="00FC0DA7" w:rsidRDefault="00FC0DA7">
      <w:pPr>
        <w:pStyle w:val="TOC1"/>
        <w:rPr>
          <w:rFonts w:asciiTheme="minorHAnsi" w:hAnsiTheme="minorHAnsi"/>
          <w:b w:val="0"/>
          <w:caps w:val="0"/>
          <w:sz w:val="22"/>
          <w:lang w:eastAsia="fr-FR"/>
        </w:rPr>
      </w:pPr>
      <w:r>
        <w:t>II.</w:t>
      </w:r>
      <w:r>
        <w:rPr>
          <w:rFonts w:asciiTheme="minorHAnsi" w:hAnsiTheme="minorHAnsi"/>
          <w:b w:val="0"/>
          <w:caps w:val="0"/>
          <w:sz w:val="22"/>
          <w:lang w:eastAsia="fr-FR"/>
        </w:rPr>
        <w:tab/>
      </w:r>
      <w:r>
        <w:t>Exposé des programmes par objectif stratégique</w:t>
      </w:r>
      <w:r>
        <w:tab/>
      </w:r>
      <w:r>
        <w:fldChar w:fldCharType="begin"/>
      </w:r>
      <w:r>
        <w:instrText xml:space="preserve"> PAGEREF _Toc482979470 \h </w:instrText>
      </w:r>
      <w:r>
        <w:fldChar w:fldCharType="separate"/>
      </w:r>
      <w:r w:rsidR="00AF4A8A">
        <w:rPr>
          <w:rFonts w:hint="eastAsia"/>
        </w:rPr>
        <w:t>30</w:t>
      </w:r>
      <w:r>
        <w:fldChar w:fldCharType="end"/>
      </w:r>
    </w:p>
    <w:p w14:paraId="7E9F556D" w14:textId="77777777" w:rsidR="00FC0DA7" w:rsidRDefault="00FC0DA7">
      <w:pPr>
        <w:pStyle w:val="TOC4"/>
        <w:rPr>
          <w:rFonts w:asciiTheme="minorHAnsi" w:hAnsiTheme="minorHAnsi"/>
          <w:b w:val="0"/>
          <w:caps w:val="0"/>
          <w:sz w:val="22"/>
          <w:lang w:eastAsia="fr-FR"/>
        </w:rPr>
      </w:pPr>
      <w:r>
        <w:t>Objectif stratégique I</w:t>
      </w:r>
      <w:r>
        <w:rPr>
          <w:rFonts w:asciiTheme="minorHAnsi" w:hAnsiTheme="minorHAnsi"/>
          <w:b w:val="0"/>
          <w:caps w:val="0"/>
          <w:sz w:val="22"/>
          <w:lang w:eastAsia="fr-FR"/>
        </w:rPr>
        <w:tab/>
      </w:r>
      <w:r>
        <w:t>Évolution équilibrée du cadre normatif international de la propriété intellectuelle</w:t>
      </w:r>
      <w:r>
        <w:tab/>
      </w:r>
      <w:r>
        <w:fldChar w:fldCharType="begin"/>
      </w:r>
      <w:r>
        <w:instrText xml:space="preserve"> PAGEREF _Toc482979471 \h </w:instrText>
      </w:r>
      <w:r>
        <w:fldChar w:fldCharType="separate"/>
      </w:r>
      <w:r w:rsidR="00AF4A8A">
        <w:t>30</w:t>
      </w:r>
      <w:r>
        <w:fldChar w:fldCharType="end"/>
      </w:r>
    </w:p>
    <w:p w14:paraId="419D3EF8" w14:textId="77777777" w:rsidR="00FC0DA7" w:rsidRDefault="00FC0DA7">
      <w:pPr>
        <w:pStyle w:val="TOC2"/>
        <w:rPr>
          <w:rFonts w:asciiTheme="minorHAnsi" w:hAnsiTheme="minorHAnsi"/>
          <w:caps w:val="0"/>
          <w:sz w:val="22"/>
          <w:lang w:eastAsia="fr-FR"/>
        </w:rPr>
      </w:pPr>
      <w:r>
        <w:t>Programme 1</w:t>
      </w:r>
      <w:r>
        <w:rPr>
          <w:rFonts w:asciiTheme="minorHAnsi" w:hAnsiTheme="minorHAnsi"/>
          <w:caps w:val="0"/>
          <w:sz w:val="22"/>
          <w:lang w:eastAsia="fr-FR"/>
        </w:rPr>
        <w:tab/>
      </w:r>
      <w:r>
        <w:t>Droit des brevets</w:t>
      </w:r>
      <w:r>
        <w:tab/>
      </w:r>
      <w:r>
        <w:fldChar w:fldCharType="begin"/>
      </w:r>
      <w:r>
        <w:instrText xml:space="preserve"> PAGEREF _Toc482979472 \h </w:instrText>
      </w:r>
      <w:r>
        <w:fldChar w:fldCharType="separate"/>
      </w:r>
      <w:r w:rsidR="00AF4A8A">
        <w:t>32</w:t>
      </w:r>
      <w:r>
        <w:fldChar w:fldCharType="end"/>
      </w:r>
    </w:p>
    <w:p w14:paraId="48857A0C" w14:textId="77777777" w:rsidR="00FC0DA7" w:rsidRDefault="00FC0DA7">
      <w:pPr>
        <w:pStyle w:val="TOC2"/>
        <w:rPr>
          <w:rFonts w:asciiTheme="minorHAnsi" w:hAnsiTheme="minorHAnsi"/>
          <w:caps w:val="0"/>
          <w:sz w:val="22"/>
          <w:lang w:eastAsia="fr-FR"/>
        </w:rPr>
      </w:pPr>
      <w:r>
        <w:t>Programme 2</w:t>
      </w:r>
      <w:r>
        <w:rPr>
          <w:rFonts w:asciiTheme="minorHAnsi" w:hAnsiTheme="minorHAnsi"/>
          <w:caps w:val="0"/>
          <w:sz w:val="22"/>
          <w:lang w:eastAsia="fr-FR"/>
        </w:rPr>
        <w:tab/>
      </w:r>
      <w:r>
        <w:t>Marques, dessins et modèles industriels et indications géographiques</w:t>
      </w:r>
      <w:r>
        <w:tab/>
      </w:r>
      <w:r>
        <w:fldChar w:fldCharType="begin"/>
      </w:r>
      <w:r>
        <w:instrText xml:space="preserve"> PAGEREF _Toc482979473 \h </w:instrText>
      </w:r>
      <w:r>
        <w:fldChar w:fldCharType="separate"/>
      </w:r>
      <w:r w:rsidR="00AF4A8A">
        <w:t>36</w:t>
      </w:r>
      <w:r>
        <w:fldChar w:fldCharType="end"/>
      </w:r>
    </w:p>
    <w:p w14:paraId="43A802EA" w14:textId="77777777" w:rsidR="00FC0DA7" w:rsidRDefault="00FC0DA7">
      <w:pPr>
        <w:pStyle w:val="TOC2"/>
        <w:rPr>
          <w:rFonts w:asciiTheme="minorHAnsi" w:hAnsiTheme="minorHAnsi"/>
          <w:caps w:val="0"/>
          <w:sz w:val="22"/>
          <w:lang w:eastAsia="fr-FR"/>
        </w:rPr>
      </w:pPr>
      <w:r>
        <w:t>Programme 3</w:t>
      </w:r>
      <w:r>
        <w:rPr>
          <w:rFonts w:asciiTheme="minorHAnsi" w:hAnsiTheme="minorHAnsi"/>
          <w:caps w:val="0"/>
          <w:sz w:val="22"/>
          <w:lang w:eastAsia="fr-FR"/>
        </w:rPr>
        <w:tab/>
      </w:r>
      <w:r>
        <w:t>Droit d’auteur et droits connexes</w:t>
      </w:r>
      <w:r>
        <w:tab/>
      </w:r>
      <w:r>
        <w:fldChar w:fldCharType="begin"/>
      </w:r>
      <w:r>
        <w:instrText xml:space="preserve"> PAGEREF _Toc482979474 \h </w:instrText>
      </w:r>
      <w:r>
        <w:fldChar w:fldCharType="separate"/>
      </w:r>
      <w:r w:rsidR="00AF4A8A">
        <w:t>40</w:t>
      </w:r>
      <w:r>
        <w:fldChar w:fldCharType="end"/>
      </w:r>
    </w:p>
    <w:p w14:paraId="1F849BB5" w14:textId="77777777" w:rsidR="00FC0DA7" w:rsidRDefault="00FC0DA7">
      <w:pPr>
        <w:pStyle w:val="TOC2"/>
        <w:rPr>
          <w:rFonts w:asciiTheme="minorHAnsi" w:hAnsiTheme="minorHAnsi"/>
          <w:caps w:val="0"/>
          <w:sz w:val="22"/>
          <w:lang w:eastAsia="fr-FR"/>
        </w:rPr>
      </w:pPr>
      <w:r>
        <w:t>Programme 4</w:t>
      </w:r>
      <w:r>
        <w:rPr>
          <w:rFonts w:asciiTheme="minorHAnsi" w:hAnsiTheme="minorHAnsi"/>
          <w:caps w:val="0"/>
          <w:sz w:val="22"/>
          <w:lang w:eastAsia="fr-FR"/>
        </w:rPr>
        <w:tab/>
      </w:r>
      <w:r>
        <w:t>Savoirs traditionnels, expressions culturelles traditionnelles et ressources génétiques</w:t>
      </w:r>
      <w:r>
        <w:tab/>
      </w:r>
      <w:r>
        <w:fldChar w:fldCharType="begin"/>
      </w:r>
      <w:r>
        <w:instrText xml:space="preserve"> PAGEREF _Toc482979475 \h </w:instrText>
      </w:r>
      <w:r>
        <w:fldChar w:fldCharType="separate"/>
      </w:r>
      <w:r w:rsidR="00AF4A8A">
        <w:t>47</w:t>
      </w:r>
      <w:r>
        <w:fldChar w:fldCharType="end"/>
      </w:r>
    </w:p>
    <w:p w14:paraId="3D563A48" w14:textId="77777777" w:rsidR="00FC0DA7" w:rsidRDefault="00FC0DA7">
      <w:pPr>
        <w:pStyle w:val="TOC4"/>
        <w:rPr>
          <w:rFonts w:asciiTheme="minorHAnsi" w:hAnsiTheme="minorHAnsi"/>
          <w:b w:val="0"/>
          <w:caps w:val="0"/>
          <w:sz w:val="22"/>
          <w:lang w:eastAsia="fr-FR"/>
        </w:rPr>
      </w:pPr>
      <w:r>
        <w:t>Objectif stratégique II</w:t>
      </w:r>
      <w:r>
        <w:rPr>
          <w:rFonts w:asciiTheme="minorHAnsi" w:hAnsiTheme="minorHAnsi"/>
          <w:b w:val="0"/>
          <w:caps w:val="0"/>
          <w:sz w:val="22"/>
          <w:lang w:eastAsia="fr-FR"/>
        </w:rPr>
        <w:tab/>
      </w:r>
      <w:r>
        <w:t>Prestation de services mondiaux de propriété intellectuelle de premier ordre</w:t>
      </w:r>
      <w:r>
        <w:tab/>
      </w:r>
      <w:r>
        <w:fldChar w:fldCharType="begin"/>
      </w:r>
      <w:r>
        <w:instrText xml:space="preserve"> PAGEREF _Toc482979476 \h </w:instrText>
      </w:r>
      <w:r>
        <w:fldChar w:fldCharType="separate"/>
      </w:r>
      <w:r w:rsidR="00AF4A8A">
        <w:t>52</w:t>
      </w:r>
      <w:r>
        <w:fldChar w:fldCharType="end"/>
      </w:r>
    </w:p>
    <w:p w14:paraId="3006B998" w14:textId="77777777" w:rsidR="00FC0DA7" w:rsidRDefault="00FC0DA7">
      <w:pPr>
        <w:pStyle w:val="TOC2"/>
        <w:rPr>
          <w:rFonts w:asciiTheme="minorHAnsi" w:hAnsiTheme="minorHAnsi"/>
          <w:caps w:val="0"/>
          <w:sz w:val="22"/>
          <w:lang w:eastAsia="fr-FR"/>
        </w:rPr>
      </w:pPr>
      <w:r>
        <w:t>Programme 5</w:t>
      </w:r>
      <w:r>
        <w:rPr>
          <w:rFonts w:asciiTheme="minorHAnsi" w:hAnsiTheme="minorHAnsi"/>
          <w:caps w:val="0"/>
          <w:sz w:val="22"/>
          <w:lang w:eastAsia="fr-FR"/>
        </w:rPr>
        <w:tab/>
      </w:r>
      <w:r>
        <w:t>Système du PCT</w:t>
      </w:r>
      <w:r>
        <w:tab/>
      </w:r>
      <w:r>
        <w:fldChar w:fldCharType="begin"/>
      </w:r>
      <w:r>
        <w:instrText xml:space="preserve"> PAGEREF _Toc482979477 \h </w:instrText>
      </w:r>
      <w:r>
        <w:fldChar w:fldCharType="separate"/>
      </w:r>
      <w:r w:rsidR="00AF4A8A">
        <w:t>55</w:t>
      </w:r>
      <w:r>
        <w:fldChar w:fldCharType="end"/>
      </w:r>
    </w:p>
    <w:p w14:paraId="0D0AC31B" w14:textId="77777777" w:rsidR="00FC0DA7" w:rsidRDefault="00FC0DA7">
      <w:pPr>
        <w:pStyle w:val="TOC3"/>
        <w:tabs>
          <w:tab w:val="left" w:pos="3402"/>
        </w:tabs>
        <w:rPr>
          <w:rFonts w:asciiTheme="minorHAnsi" w:eastAsiaTheme="minorEastAsia" w:hAnsiTheme="minorHAnsi"/>
          <w:i w:val="0"/>
          <w:sz w:val="22"/>
          <w:lang w:eastAsia="fr-FR"/>
        </w:rPr>
      </w:pPr>
      <w:r>
        <w:t xml:space="preserve">Programme 5 Annexe : </w:t>
      </w:r>
      <w:r>
        <w:rPr>
          <w:rFonts w:asciiTheme="minorHAnsi" w:eastAsiaTheme="minorEastAsia" w:hAnsiTheme="minorHAnsi"/>
          <w:i w:val="0"/>
          <w:sz w:val="22"/>
          <w:lang w:eastAsia="fr-FR"/>
        </w:rPr>
        <w:tab/>
      </w:r>
      <w:r>
        <w:t>Indicateurs relatifs aux opérations du PCT</w:t>
      </w:r>
      <w:r>
        <w:tab/>
      </w:r>
      <w:r>
        <w:fldChar w:fldCharType="begin"/>
      </w:r>
      <w:r>
        <w:instrText xml:space="preserve"> PAGEREF _Toc482979478 \h </w:instrText>
      </w:r>
      <w:r>
        <w:fldChar w:fldCharType="separate"/>
      </w:r>
      <w:r w:rsidR="00AF4A8A">
        <w:t>59</w:t>
      </w:r>
      <w:r>
        <w:fldChar w:fldCharType="end"/>
      </w:r>
    </w:p>
    <w:p w14:paraId="70EB8FD6" w14:textId="77777777" w:rsidR="00FC0DA7" w:rsidRDefault="00FC0DA7">
      <w:pPr>
        <w:pStyle w:val="TOC2"/>
        <w:rPr>
          <w:rFonts w:asciiTheme="minorHAnsi" w:hAnsiTheme="minorHAnsi"/>
          <w:caps w:val="0"/>
          <w:sz w:val="22"/>
          <w:lang w:eastAsia="fr-FR"/>
        </w:rPr>
      </w:pPr>
      <w:r>
        <w:t>Programme 6</w:t>
      </w:r>
      <w:r>
        <w:rPr>
          <w:rFonts w:asciiTheme="minorHAnsi" w:hAnsiTheme="minorHAnsi"/>
          <w:caps w:val="0"/>
          <w:sz w:val="22"/>
          <w:lang w:eastAsia="fr-FR"/>
        </w:rPr>
        <w:tab/>
      </w:r>
      <w:r>
        <w:t>Système de Madrid</w:t>
      </w:r>
      <w:r>
        <w:tab/>
      </w:r>
      <w:r>
        <w:fldChar w:fldCharType="begin"/>
      </w:r>
      <w:r>
        <w:instrText xml:space="preserve"> PAGEREF _Toc482979479 \h </w:instrText>
      </w:r>
      <w:r>
        <w:fldChar w:fldCharType="separate"/>
      </w:r>
      <w:r w:rsidR="00AF4A8A">
        <w:t>72</w:t>
      </w:r>
      <w:r>
        <w:fldChar w:fldCharType="end"/>
      </w:r>
    </w:p>
    <w:p w14:paraId="17FA0B51" w14:textId="77777777" w:rsidR="00FC0DA7" w:rsidRDefault="00FC0DA7">
      <w:pPr>
        <w:pStyle w:val="TOC3"/>
        <w:tabs>
          <w:tab w:val="left" w:pos="3402"/>
        </w:tabs>
        <w:rPr>
          <w:rFonts w:asciiTheme="minorHAnsi" w:eastAsiaTheme="minorEastAsia" w:hAnsiTheme="minorHAnsi"/>
          <w:i w:val="0"/>
          <w:sz w:val="22"/>
          <w:lang w:eastAsia="fr-FR"/>
        </w:rPr>
      </w:pPr>
      <w:r>
        <w:t xml:space="preserve">Programme 6 Annexe : </w:t>
      </w:r>
      <w:r>
        <w:rPr>
          <w:rFonts w:asciiTheme="minorHAnsi" w:eastAsiaTheme="minorEastAsia" w:hAnsiTheme="minorHAnsi"/>
          <w:i w:val="0"/>
          <w:sz w:val="22"/>
          <w:lang w:eastAsia="fr-FR"/>
        </w:rPr>
        <w:tab/>
      </w:r>
      <w:r>
        <w:t>Indicateurs relatifs aux opérations du système de Madrid</w:t>
      </w:r>
      <w:r>
        <w:tab/>
      </w:r>
      <w:r>
        <w:fldChar w:fldCharType="begin"/>
      </w:r>
      <w:r>
        <w:instrText xml:space="preserve"> PAGEREF _Toc482979480 \h </w:instrText>
      </w:r>
      <w:r>
        <w:fldChar w:fldCharType="separate"/>
      </w:r>
      <w:r w:rsidR="00AF4A8A">
        <w:t>77</w:t>
      </w:r>
      <w:r>
        <w:fldChar w:fldCharType="end"/>
      </w:r>
    </w:p>
    <w:p w14:paraId="6E90DE97" w14:textId="77777777" w:rsidR="00FC0DA7" w:rsidRDefault="00FC0DA7">
      <w:pPr>
        <w:pStyle w:val="TOC2"/>
        <w:rPr>
          <w:rFonts w:asciiTheme="minorHAnsi" w:hAnsiTheme="minorHAnsi"/>
          <w:caps w:val="0"/>
          <w:sz w:val="22"/>
          <w:lang w:eastAsia="fr-FR"/>
        </w:rPr>
      </w:pPr>
      <w:r>
        <w:t>Programme 31</w:t>
      </w:r>
      <w:r>
        <w:rPr>
          <w:rFonts w:asciiTheme="minorHAnsi" w:hAnsiTheme="minorHAnsi"/>
          <w:caps w:val="0"/>
          <w:sz w:val="22"/>
          <w:lang w:eastAsia="fr-FR"/>
        </w:rPr>
        <w:tab/>
      </w:r>
      <w:r>
        <w:t>Système de La Haye</w:t>
      </w:r>
      <w:r>
        <w:tab/>
      </w:r>
      <w:r>
        <w:fldChar w:fldCharType="begin"/>
      </w:r>
      <w:r>
        <w:instrText xml:space="preserve"> PAGEREF _Toc482979481 \h </w:instrText>
      </w:r>
      <w:r>
        <w:fldChar w:fldCharType="separate"/>
      </w:r>
      <w:r w:rsidR="00AF4A8A">
        <w:t>94</w:t>
      </w:r>
      <w:r>
        <w:fldChar w:fldCharType="end"/>
      </w:r>
    </w:p>
    <w:p w14:paraId="46B84197" w14:textId="77777777" w:rsidR="00FC0DA7" w:rsidRDefault="00FC0DA7">
      <w:pPr>
        <w:pStyle w:val="TOC3"/>
        <w:tabs>
          <w:tab w:val="left" w:pos="3402"/>
        </w:tabs>
        <w:rPr>
          <w:rFonts w:asciiTheme="minorHAnsi" w:eastAsiaTheme="minorEastAsia" w:hAnsiTheme="minorHAnsi"/>
          <w:i w:val="0"/>
          <w:sz w:val="22"/>
          <w:lang w:eastAsia="fr-FR"/>
        </w:rPr>
      </w:pPr>
      <w:r>
        <w:t xml:space="preserve">Programme 31 Annexe : </w:t>
      </w:r>
      <w:r>
        <w:rPr>
          <w:rFonts w:asciiTheme="minorHAnsi" w:eastAsiaTheme="minorEastAsia" w:hAnsiTheme="minorHAnsi"/>
          <w:i w:val="0"/>
          <w:sz w:val="22"/>
          <w:lang w:eastAsia="fr-FR"/>
        </w:rPr>
        <w:tab/>
      </w:r>
      <w:r>
        <w:t>Indicateurs relatifs aux opérations du système de La Haye</w:t>
      </w:r>
      <w:r>
        <w:tab/>
      </w:r>
      <w:r>
        <w:fldChar w:fldCharType="begin"/>
      </w:r>
      <w:r>
        <w:instrText xml:space="preserve"> PAGEREF _Toc482979482 \h </w:instrText>
      </w:r>
      <w:r>
        <w:fldChar w:fldCharType="separate"/>
      </w:r>
      <w:r w:rsidR="00AF4A8A">
        <w:t>98</w:t>
      </w:r>
      <w:r>
        <w:fldChar w:fldCharType="end"/>
      </w:r>
    </w:p>
    <w:p w14:paraId="25B90590" w14:textId="77777777" w:rsidR="00FC0DA7" w:rsidRDefault="00FC0DA7">
      <w:pPr>
        <w:pStyle w:val="TOC2"/>
        <w:rPr>
          <w:rFonts w:asciiTheme="minorHAnsi" w:hAnsiTheme="minorHAnsi"/>
          <w:caps w:val="0"/>
          <w:sz w:val="22"/>
          <w:lang w:eastAsia="fr-FR"/>
        </w:rPr>
      </w:pPr>
      <w:r>
        <w:t>Programme 32</w:t>
      </w:r>
      <w:r>
        <w:rPr>
          <w:rFonts w:asciiTheme="minorHAnsi" w:hAnsiTheme="minorHAnsi"/>
          <w:caps w:val="0"/>
          <w:sz w:val="22"/>
          <w:lang w:eastAsia="fr-FR"/>
        </w:rPr>
        <w:tab/>
      </w:r>
      <w:r>
        <w:t>Système de Lisbonne</w:t>
      </w:r>
      <w:r>
        <w:tab/>
      </w:r>
      <w:r>
        <w:fldChar w:fldCharType="begin"/>
      </w:r>
      <w:r>
        <w:instrText xml:space="preserve"> PAGEREF _Toc482979483 \h </w:instrText>
      </w:r>
      <w:r>
        <w:fldChar w:fldCharType="separate"/>
      </w:r>
      <w:r w:rsidR="00AF4A8A">
        <w:t>107</w:t>
      </w:r>
      <w:r>
        <w:fldChar w:fldCharType="end"/>
      </w:r>
    </w:p>
    <w:p w14:paraId="461738A2" w14:textId="77777777" w:rsidR="00FC0DA7" w:rsidRDefault="00FC0DA7">
      <w:pPr>
        <w:pStyle w:val="TOC2"/>
        <w:rPr>
          <w:rFonts w:asciiTheme="minorHAnsi" w:hAnsiTheme="minorHAnsi"/>
          <w:caps w:val="0"/>
          <w:sz w:val="22"/>
          <w:lang w:eastAsia="fr-FR"/>
        </w:rPr>
      </w:pPr>
      <w:r w:rsidRPr="00883297">
        <w:rPr>
          <w:rFonts w:eastAsia="SimSun" w:cs="Arial"/>
          <w:iCs/>
          <w:lang w:val="fr-CH" w:eastAsia="en-US"/>
        </w:rPr>
        <w:t>Programme 7</w:t>
      </w:r>
      <w:r>
        <w:rPr>
          <w:rFonts w:asciiTheme="minorHAnsi" w:hAnsiTheme="minorHAnsi"/>
          <w:caps w:val="0"/>
          <w:sz w:val="22"/>
          <w:lang w:eastAsia="fr-FR"/>
        </w:rPr>
        <w:tab/>
      </w:r>
      <w:r w:rsidRPr="00883297">
        <w:rPr>
          <w:rFonts w:eastAsia="SimSun" w:cs="Arial"/>
          <w:iCs/>
          <w:lang w:val="fr-CH" w:eastAsia="en-US"/>
        </w:rPr>
        <w:t>Centre d’arbitrage et de médiation de l’OMPI</w:t>
      </w:r>
      <w:r>
        <w:tab/>
      </w:r>
      <w:r>
        <w:fldChar w:fldCharType="begin"/>
      </w:r>
      <w:r>
        <w:instrText xml:space="preserve"> PAGEREF _Toc482979484 \h </w:instrText>
      </w:r>
      <w:r>
        <w:fldChar w:fldCharType="separate"/>
      </w:r>
      <w:r w:rsidR="00AF4A8A">
        <w:t>110</w:t>
      </w:r>
      <w:r>
        <w:fldChar w:fldCharType="end"/>
      </w:r>
    </w:p>
    <w:p w14:paraId="03E47818" w14:textId="77777777" w:rsidR="00FC0DA7" w:rsidRDefault="00FC0DA7">
      <w:pPr>
        <w:pStyle w:val="TOC4"/>
        <w:rPr>
          <w:rFonts w:asciiTheme="minorHAnsi" w:hAnsiTheme="minorHAnsi"/>
          <w:b w:val="0"/>
          <w:caps w:val="0"/>
          <w:sz w:val="22"/>
          <w:lang w:eastAsia="fr-FR"/>
        </w:rPr>
      </w:pPr>
      <w:r>
        <w:t>Objectif stratégique III</w:t>
      </w:r>
      <w:r>
        <w:rPr>
          <w:rFonts w:asciiTheme="minorHAnsi" w:hAnsiTheme="minorHAnsi"/>
          <w:b w:val="0"/>
          <w:caps w:val="0"/>
          <w:sz w:val="22"/>
          <w:lang w:eastAsia="fr-FR"/>
        </w:rPr>
        <w:tab/>
      </w:r>
      <w:r>
        <w:t>Favoriser l’utilisation de la propriété intellectuelle au service du développement</w:t>
      </w:r>
      <w:r>
        <w:tab/>
      </w:r>
      <w:r>
        <w:fldChar w:fldCharType="begin"/>
      </w:r>
      <w:r>
        <w:instrText xml:space="preserve"> PAGEREF _Toc482979485 \h </w:instrText>
      </w:r>
      <w:r>
        <w:fldChar w:fldCharType="separate"/>
      </w:r>
      <w:r w:rsidR="00AF4A8A">
        <w:t>114</w:t>
      </w:r>
      <w:r>
        <w:fldChar w:fldCharType="end"/>
      </w:r>
    </w:p>
    <w:p w14:paraId="6EDFF101" w14:textId="77777777" w:rsidR="00FC0DA7" w:rsidRDefault="00FC0DA7">
      <w:pPr>
        <w:pStyle w:val="TOC2"/>
        <w:rPr>
          <w:rFonts w:asciiTheme="minorHAnsi" w:hAnsiTheme="minorHAnsi"/>
          <w:caps w:val="0"/>
          <w:sz w:val="22"/>
          <w:lang w:eastAsia="fr-FR"/>
        </w:rPr>
      </w:pPr>
      <w:r>
        <w:t>Programme 8</w:t>
      </w:r>
      <w:r>
        <w:rPr>
          <w:rFonts w:asciiTheme="minorHAnsi" w:hAnsiTheme="minorHAnsi"/>
          <w:caps w:val="0"/>
          <w:sz w:val="22"/>
          <w:lang w:eastAsia="fr-FR"/>
        </w:rPr>
        <w:tab/>
      </w:r>
      <w:r>
        <w:t>Coordination du Plan d’action pour le développement</w:t>
      </w:r>
      <w:r>
        <w:tab/>
      </w:r>
      <w:r>
        <w:fldChar w:fldCharType="begin"/>
      </w:r>
      <w:r>
        <w:instrText xml:space="preserve"> PAGEREF _Toc482979486 \h </w:instrText>
      </w:r>
      <w:r>
        <w:fldChar w:fldCharType="separate"/>
      </w:r>
      <w:r w:rsidR="00AF4A8A">
        <w:t>118</w:t>
      </w:r>
      <w:r>
        <w:fldChar w:fldCharType="end"/>
      </w:r>
    </w:p>
    <w:p w14:paraId="202DADB9" w14:textId="77777777" w:rsidR="00FC0DA7" w:rsidRDefault="00FC0DA7">
      <w:pPr>
        <w:pStyle w:val="TOC2"/>
        <w:rPr>
          <w:rFonts w:asciiTheme="minorHAnsi" w:hAnsiTheme="minorHAnsi"/>
          <w:caps w:val="0"/>
          <w:sz w:val="22"/>
          <w:lang w:eastAsia="fr-FR"/>
        </w:rPr>
      </w:pPr>
      <w:r>
        <w:t>Programme 9</w:t>
      </w:r>
      <w:r>
        <w:rPr>
          <w:rFonts w:asciiTheme="minorHAnsi" w:hAnsiTheme="minorHAnsi"/>
          <w:caps w:val="0"/>
          <w:sz w:val="22"/>
          <w:lang w:eastAsia="fr-FR"/>
        </w:rPr>
        <w:tab/>
      </w:r>
      <w:r>
        <w:t>Afrique, pays arabes, Asie et Pacifique, pays d’Amérique latine et des Caraïbes, pays les moins avancés</w:t>
      </w:r>
      <w:r>
        <w:tab/>
      </w:r>
      <w:r>
        <w:fldChar w:fldCharType="begin"/>
      </w:r>
      <w:r>
        <w:instrText xml:space="preserve"> PAGEREF _Toc482979487 \h </w:instrText>
      </w:r>
      <w:r>
        <w:fldChar w:fldCharType="separate"/>
      </w:r>
      <w:r w:rsidR="00AF4A8A">
        <w:t>121</w:t>
      </w:r>
      <w:r>
        <w:fldChar w:fldCharType="end"/>
      </w:r>
    </w:p>
    <w:p w14:paraId="136E5D83" w14:textId="77777777" w:rsidR="00FC0DA7" w:rsidRDefault="00FC0DA7">
      <w:pPr>
        <w:pStyle w:val="TOC2"/>
        <w:rPr>
          <w:rFonts w:asciiTheme="minorHAnsi" w:hAnsiTheme="minorHAnsi"/>
          <w:caps w:val="0"/>
          <w:sz w:val="22"/>
          <w:lang w:eastAsia="fr-FR"/>
        </w:rPr>
      </w:pPr>
      <w:r>
        <w:t>Programme 10</w:t>
      </w:r>
      <w:r>
        <w:rPr>
          <w:rFonts w:asciiTheme="minorHAnsi" w:hAnsiTheme="minorHAnsi"/>
          <w:caps w:val="0"/>
          <w:sz w:val="22"/>
          <w:lang w:eastAsia="fr-FR"/>
        </w:rPr>
        <w:tab/>
      </w:r>
      <w:r>
        <w:t>Pays en transition et pays développés</w:t>
      </w:r>
      <w:r>
        <w:tab/>
      </w:r>
      <w:r>
        <w:fldChar w:fldCharType="begin"/>
      </w:r>
      <w:r>
        <w:instrText xml:space="preserve"> PAGEREF _Toc482979488 \h </w:instrText>
      </w:r>
      <w:r>
        <w:fldChar w:fldCharType="separate"/>
      </w:r>
      <w:r w:rsidR="00AF4A8A">
        <w:t>130</w:t>
      </w:r>
      <w:r>
        <w:fldChar w:fldCharType="end"/>
      </w:r>
    </w:p>
    <w:p w14:paraId="0C063320" w14:textId="77777777" w:rsidR="00FC0DA7" w:rsidRDefault="00FC0DA7">
      <w:pPr>
        <w:pStyle w:val="TOC2"/>
        <w:rPr>
          <w:rFonts w:asciiTheme="minorHAnsi" w:hAnsiTheme="minorHAnsi"/>
          <w:caps w:val="0"/>
          <w:sz w:val="22"/>
          <w:lang w:eastAsia="fr-FR"/>
        </w:rPr>
      </w:pPr>
      <w:r>
        <w:t>Programme 11</w:t>
      </w:r>
      <w:r>
        <w:rPr>
          <w:rFonts w:cs="Arial"/>
          <w:szCs w:val="20"/>
          <w:rtl/>
        </w:rPr>
        <w:t>‏</w:t>
      </w:r>
      <w:r>
        <w:rPr>
          <w:rFonts w:asciiTheme="minorHAnsi" w:hAnsiTheme="minorHAnsi"/>
          <w:caps w:val="0"/>
          <w:sz w:val="22"/>
          <w:lang w:eastAsia="fr-FR"/>
        </w:rPr>
        <w:tab/>
      </w:r>
      <w:r>
        <w:t>Académie de l’OMPI</w:t>
      </w:r>
      <w:r>
        <w:tab/>
      </w:r>
      <w:r>
        <w:fldChar w:fldCharType="begin"/>
      </w:r>
      <w:r>
        <w:instrText xml:space="preserve"> PAGEREF _Toc482979489 \h </w:instrText>
      </w:r>
      <w:r>
        <w:fldChar w:fldCharType="separate"/>
      </w:r>
      <w:r w:rsidR="00AF4A8A">
        <w:t>136</w:t>
      </w:r>
      <w:r>
        <w:fldChar w:fldCharType="end"/>
      </w:r>
    </w:p>
    <w:p w14:paraId="64E3FF81" w14:textId="77777777" w:rsidR="00FC0DA7" w:rsidRDefault="00FC0DA7">
      <w:pPr>
        <w:pStyle w:val="TOC2"/>
        <w:rPr>
          <w:rFonts w:asciiTheme="minorHAnsi" w:hAnsiTheme="minorHAnsi"/>
          <w:caps w:val="0"/>
          <w:sz w:val="22"/>
          <w:lang w:eastAsia="fr-FR"/>
        </w:rPr>
      </w:pPr>
      <w:r>
        <w:t>Programme 30</w:t>
      </w:r>
      <w:r>
        <w:rPr>
          <w:rFonts w:asciiTheme="minorHAnsi" w:hAnsiTheme="minorHAnsi"/>
          <w:caps w:val="0"/>
          <w:sz w:val="22"/>
          <w:lang w:eastAsia="fr-FR"/>
        </w:rPr>
        <w:tab/>
      </w:r>
      <w:r>
        <w:t>Appui aux PME et à la création d’entreprises</w:t>
      </w:r>
      <w:r>
        <w:tab/>
      </w:r>
      <w:r>
        <w:fldChar w:fldCharType="begin"/>
      </w:r>
      <w:r>
        <w:instrText xml:space="preserve"> PAGEREF _Toc482979490 \h </w:instrText>
      </w:r>
      <w:r>
        <w:fldChar w:fldCharType="separate"/>
      </w:r>
      <w:r w:rsidR="00AF4A8A">
        <w:t>140</w:t>
      </w:r>
      <w:r>
        <w:fldChar w:fldCharType="end"/>
      </w:r>
    </w:p>
    <w:p w14:paraId="19CDF080" w14:textId="77777777" w:rsidR="00FC0DA7" w:rsidRDefault="00FC0DA7">
      <w:pPr>
        <w:pStyle w:val="TOC4"/>
        <w:rPr>
          <w:rFonts w:asciiTheme="minorHAnsi" w:hAnsiTheme="minorHAnsi"/>
          <w:b w:val="0"/>
          <w:caps w:val="0"/>
          <w:sz w:val="22"/>
          <w:lang w:eastAsia="fr-FR"/>
        </w:rPr>
      </w:pPr>
      <w:r>
        <w:t>Objectif stratégique IV</w:t>
      </w:r>
      <w:r>
        <w:rPr>
          <w:rFonts w:asciiTheme="minorHAnsi" w:hAnsiTheme="minorHAnsi"/>
          <w:b w:val="0"/>
          <w:caps w:val="0"/>
          <w:sz w:val="22"/>
          <w:lang w:eastAsia="fr-FR"/>
        </w:rPr>
        <w:tab/>
      </w:r>
      <w:r>
        <w:t>Coordination et développement de l’infrastructure mondiale en matière de propriété intellectuelle</w:t>
      </w:r>
      <w:r>
        <w:tab/>
      </w:r>
      <w:r>
        <w:fldChar w:fldCharType="begin"/>
      </w:r>
      <w:r>
        <w:instrText xml:space="preserve"> PAGEREF _Toc482979491 \h </w:instrText>
      </w:r>
      <w:r>
        <w:fldChar w:fldCharType="separate"/>
      </w:r>
      <w:r w:rsidR="00AF4A8A">
        <w:t>145</w:t>
      </w:r>
      <w:r>
        <w:fldChar w:fldCharType="end"/>
      </w:r>
    </w:p>
    <w:p w14:paraId="0C9022EA" w14:textId="77777777" w:rsidR="00FC0DA7" w:rsidRDefault="00FC0DA7">
      <w:pPr>
        <w:pStyle w:val="TOC2"/>
        <w:rPr>
          <w:rFonts w:asciiTheme="minorHAnsi" w:hAnsiTheme="minorHAnsi"/>
          <w:caps w:val="0"/>
          <w:sz w:val="22"/>
          <w:lang w:eastAsia="fr-FR"/>
        </w:rPr>
      </w:pPr>
      <w:r>
        <w:t>Programme 12</w:t>
      </w:r>
      <w:r>
        <w:rPr>
          <w:rFonts w:asciiTheme="minorHAnsi" w:hAnsiTheme="minorHAnsi"/>
          <w:caps w:val="0"/>
          <w:sz w:val="22"/>
          <w:lang w:eastAsia="fr-FR"/>
        </w:rPr>
        <w:tab/>
      </w:r>
      <w:r>
        <w:rPr>
          <w:rFonts w:cs="MS Mincho" w:hint="eastAsia"/>
          <w:szCs w:val="20"/>
          <w:cs/>
        </w:rPr>
        <w:t>‎</w:t>
      </w:r>
      <w:r>
        <w:t>Classifications internationales et normes</w:t>
      </w:r>
      <w:r>
        <w:tab/>
      </w:r>
      <w:r>
        <w:fldChar w:fldCharType="begin"/>
      </w:r>
      <w:r>
        <w:instrText xml:space="preserve"> PAGEREF _Toc482979492 \h </w:instrText>
      </w:r>
      <w:r>
        <w:fldChar w:fldCharType="separate"/>
      </w:r>
      <w:r w:rsidR="00AF4A8A">
        <w:t>147</w:t>
      </w:r>
      <w:r>
        <w:fldChar w:fldCharType="end"/>
      </w:r>
    </w:p>
    <w:p w14:paraId="10981845" w14:textId="77777777" w:rsidR="00FC0DA7" w:rsidRDefault="00FC0DA7">
      <w:pPr>
        <w:pStyle w:val="TOC2"/>
        <w:rPr>
          <w:rFonts w:asciiTheme="minorHAnsi" w:hAnsiTheme="minorHAnsi"/>
          <w:caps w:val="0"/>
          <w:sz w:val="22"/>
          <w:lang w:eastAsia="fr-FR"/>
        </w:rPr>
      </w:pPr>
      <w:r>
        <w:t>Programme 13</w:t>
      </w:r>
      <w:r>
        <w:rPr>
          <w:rFonts w:asciiTheme="minorHAnsi" w:hAnsiTheme="minorHAnsi"/>
          <w:caps w:val="0"/>
          <w:sz w:val="22"/>
          <w:lang w:eastAsia="fr-FR"/>
        </w:rPr>
        <w:tab/>
      </w:r>
      <w:r>
        <w:t>Service des bases de données mondiales</w:t>
      </w:r>
      <w:r>
        <w:tab/>
      </w:r>
      <w:r>
        <w:fldChar w:fldCharType="begin"/>
      </w:r>
      <w:r>
        <w:instrText xml:space="preserve"> PAGEREF _Toc482979493 \h </w:instrText>
      </w:r>
      <w:r>
        <w:fldChar w:fldCharType="separate"/>
      </w:r>
      <w:r w:rsidR="00AF4A8A">
        <w:t>151</w:t>
      </w:r>
      <w:r>
        <w:fldChar w:fldCharType="end"/>
      </w:r>
    </w:p>
    <w:p w14:paraId="35E7B774" w14:textId="77777777" w:rsidR="00FC0DA7" w:rsidRDefault="00FC0DA7">
      <w:pPr>
        <w:pStyle w:val="TOC2"/>
        <w:rPr>
          <w:rFonts w:asciiTheme="minorHAnsi" w:hAnsiTheme="minorHAnsi"/>
          <w:caps w:val="0"/>
          <w:sz w:val="22"/>
          <w:lang w:eastAsia="fr-FR"/>
        </w:rPr>
      </w:pPr>
      <w:r>
        <w:t>Programme 14</w:t>
      </w:r>
      <w:r>
        <w:rPr>
          <w:rFonts w:asciiTheme="minorHAnsi" w:hAnsiTheme="minorHAnsi"/>
          <w:caps w:val="0"/>
          <w:sz w:val="22"/>
          <w:lang w:eastAsia="fr-FR"/>
        </w:rPr>
        <w:tab/>
      </w:r>
      <w:r>
        <w:t>Services d’accès à l’information et aux savoirs</w:t>
      </w:r>
      <w:r>
        <w:tab/>
      </w:r>
      <w:r>
        <w:fldChar w:fldCharType="begin"/>
      </w:r>
      <w:r>
        <w:instrText xml:space="preserve"> PAGEREF _Toc482979494 \h </w:instrText>
      </w:r>
      <w:r>
        <w:fldChar w:fldCharType="separate"/>
      </w:r>
      <w:r w:rsidR="00AF4A8A">
        <w:t>155</w:t>
      </w:r>
      <w:r>
        <w:fldChar w:fldCharType="end"/>
      </w:r>
    </w:p>
    <w:p w14:paraId="1575B350" w14:textId="77777777" w:rsidR="00FC0DA7" w:rsidRDefault="00FC0DA7">
      <w:pPr>
        <w:pStyle w:val="TOC2"/>
        <w:rPr>
          <w:rFonts w:asciiTheme="minorHAnsi" w:hAnsiTheme="minorHAnsi"/>
          <w:caps w:val="0"/>
          <w:sz w:val="22"/>
          <w:lang w:eastAsia="fr-FR"/>
        </w:rPr>
      </w:pPr>
      <w:r>
        <w:t>Programme 15</w:t>
      </w:r>
      <w:r>
        <w:rPr>
          <w:rFonts w:asciiTheme="minorHAnsi" w:hAnsiTheme="minorHAnsi"/>
          <w:caps w:val="0"/>
          <w:sz w:val="22"/>
          <w:lang w:eastAsia="fr-FR"/>
        </w:rPr>
        <w:tab/>
      </w:r>
      <w:r>
        <w:t>Solutions opérationnelles pour les offices de propriété intellectuelle</w:t>
      </w:r>
      <w:r>
        <w:tab/>
      </w:r>
      <w:r>
        <w:fldChar w:fldCharType="begin"/>
      </w:r>
      <w:r>
        <w:instrText xml:space="preserve"> PAGEREF _Toc482979495 \h </w:instrText>
      </w:r>
      <w:r>
        <w:fldChar w:fldCharType="separate"/>
      </w:r>
      <w:r w:rsidR="00AF4A8A">
        <w:t>159</w:t>
      </w:r>
      <w:r>
        <w:fldChar w:fldCharType="end"/>
      </w:r>
    </w:p>
    <w:p w14:paraId="5F6CB331" w14:textId="77777777" w:rsidR="00FC0DA7" w:rsidRDefault="00FC0DA7">
      <w:pPr>
        <w:pStyle w:val="TOC4"/>
        <w:rPr>
          <w:rFonts w:asciiTheme="minorHAnsi" w:hAnsiTheme="minorHAnsi"/>
          <w:b w:val="0"/>
          <w:caps w:val="0"/>
          <w:sz w:val="22"/>
          <w:lang w:eastAsia="fr-FR"/>
        </w:rPr>
      </w:pPr>
      <w:r>
        <w:t>Objectif stratégique V</w:t>
      </w:r>
      <w:r>
        <w:rPr>
          <w:rFonts w:asciiTheme="minorHAnsi" w:hAnsiTheme="minorHAnsi"/>
          <w:b w:val="0"/>
          <w:caps w:val="0"/>
          <w:sz w:val="22"/>
          <w:lang w:eastAsia="fr-FR"/>
        </w:rPr>
        <w:tab/>
      </w:r>
      <w:r>
        <w:t>Source de références mondiale pour l’information et l’analyse en matière de propriété intellectuelle</w:t>
      </w:r>
      <w:r>
        <w:tab/>
      </w:r>
      <w:r>
        <w:fldChar w:fldCharType="begin"/>
      </w:r>
      <w:r>
        <w:instrText xml:space="preserve"> PAGEREF _Toc482979496 \h </w:instrText>
      </w:r>
      <w:r>
        <w:fldChar w:fldCharType="separate"/>
      </w:r>
      <w:r w:rsidR="00AF4A8A">
        <w:t>163</w:t>
      </w:r>
      <w:r>
        <w:fldChar w:fldCharType="end"/>
      </w:r>
    </w:p>
    <w:p w14:paraId="6823424E" w14:textId="77777777" w:rsidR="00FC0DA7" w:rsidRDefault="00FC0DA7">
      <w:pPr>
        <w:pStyle w:val="TOC2"/>
        <w:rPr>
          <w:rFonts w:asciiTheme="minorHAnsi" w:hAnsiTheme="minorHAnsi"/>
          <w:caps w:val="0"/>
          <w:sz w:val="22"/>
          <w:lang w:eastAsia="fr-FR"/>
        </w:rPr>
      </w:pPr>
      <w:r>
        <w:t>Programme 16</w:t>
      </w:r>
      <w:r>
        <w:rPr>
          <w:rFonts w:asciiTheme="minorHAnsi" w:hAnsiTheme="minorHAnsi"/>
          <w:caps w:val="0"/>
          <w:sz w:val="22"/>
          <w:lang w:eastAsia="fr-FR"/>
        </w:rPr>
        <w:tab/>
      </w:r>
      <w:r>
        <w:rPr>
          <w:rFonts w:cs="Arial"/>
          <w:szCs w:val="20"/>
          <w:cs/>
        </w:rPr>
        <w:t>‎</w:t>
      </w:r>
      <w:r>
        <w:rPr>
          <w:rtl/>
          <w:cs/>
        </w:rPr>
        <w:t>Économie et statistiques</w:t>
      </w:r>
      <w:r>
        <w:rPr>
          <w:rtl/>
          <w:cs/>
        </w:rPr>
        <w:tab/>
      </w:r>
      <w:r>
        <w:fldChar w:fldCharType="begin"/>
      </w:r>
      <w:r>
        <w:instrText xml:space="preserve"> PAGEREF _Toc482979497 \h </w:instrText>
      </w:r>
      <w:r>
        <w:fldChar w:fldCharType="separate"/>
      </w:r>
      <w:r w:rsidR="00AF4A8A">
        <w:t>164</w:t>
      </w:r>
      <w:r>
        <w:fldChar w:fldCharType="end"/>
      </w:r>
    </w:p>
    <w:p w14:paraId="2BB38C92" w14:textId="77777777" w:rsidR="00FC0DA7" w:rsidRDefault="00FC0DA7">
      <w:pPr>
        <w:pStyle w:val="TOC4"/>
        <w:rPr>
          <w:rFonts w:asciiTheme="minorHAnsi" w:hAnsiTheme="minorHAnsi"/>
          <w:b w:val="0"/>
          <w:caps w:val="0"/>
          <w:sz w:val="22"/>
          <w:lang w:eastAsia="fr-FR"/>
        </w:rPr>
      </w:pPr>
      <w:r>
        <w:t>Objectif stratégique VI</w:t>
      </w:r>
      <w:r>
        <w:rPr>
          <w:rFonts w:asciiTheme="minorHAnsi" w:hAnsiTheme="minorHAnsi"/>
          <w:b w:val="0"/>
          <w:caps w:val="0"/>
          <w:sz w:val="22"/>
          <w:lang w:eastAsia="fr-FR"/>
        </w:rPr>
        <w:tab/>
      </w:r>
      <w:r>
        <w:t>Coopération internationale pour le respect de la propriété intellectuelle</w:t>
      </w:r>
      <w:r>
        <w:tab/>
      </w:r>
      <w:r>
        <w:fldChar w:fldCharType="begin"/>
      </w:r>
      <w:r>
        <w:instrText xml:space="preserve"> PAGEREF _Toc482979498 \h </w:instrText>
      </w:r>
      <w:r>
        <w:fldChar w:fldCharType="separate"/>
      </w:r>
      <w:r w:rsidR="00AF4A8A">
        <w:t>168</w:t>
      </w:r>
      <w:r>
        <w:fldChar w:fldCharType="end"/>
      </w:r>
    </w:p>
    <w:p w14:paraId="2224758A" w14:textId="77777777" w:rsidR="00FC0DA7" w:rsidRDefault="00FC0DA7">
      <w:pPr>
        <w:pStyle w:val="TOC2"/>
        <w:rPr>
          <w:rFonts w:asciiTheme="minorHAnsi" w:hAnsiTheme="minorHAnsi"/>
          <w:caps w:val="0"/>
          <w:sz w:val="22"/>
          <w:lang w:eastAsia="fr-FR"/>
        </w:rPr>
      </w:pPr>
      <w:r>
        <w:lastRenderedPageBreak/>
        <w:t>Programme 17</w:t>
      </w:r>
      <w:r>
        <w:rPr>
          <w:rFonts w:asciiTheme="minorHAnsi" w:hAnsiTheme="minorHAnsi"/>
          <w:caps w:val="0"/>
          <w:sz w:val="22"/>
          <w:lang w:eastAsia="fr-FR"/>
        </w:rPr>
        <w:tab/>
      </w:r>
      <w:r>
        <w:t>Promouvoir le respect de la propriété intellectuelle</w:t>
      </w:r>
      <w:r>
        <w:tab/>
      </w:r>
      <w:r>
        <w:fldChar w:fldCharType="begin"/>
      </w:r>
      <w:r>
        <w:instrText xml:space="preserve"> PAGEREF _Toc482979499 \h </w:instrText>
      </w:r>
      <w:r>
        <w:fldChar w:fldCharType="separate"/>
      </w:r>
      <w:r w:rsidR="00AF4A8A">
        <w:t>169</w:t>
      </w:r>
      <w:r>
        <w:fldChar w:fldCharType="end"/>
      </w:r>
    </w:p>
    <w:p w14:paraId="6BBDE0F5" w14:textId="77777777" w:rsidR="00FC0DA7" w:rsidRDefault="00FC0DA7">
      <w:pPr>
        <w:pStyle w:val="TOC4"/>
        <w:rPr>
          <w:rFonts w:asciiTheme="minorHAnsi" w:hAnsiTheme="minorHAnsi"/>
          <w:b w:val="0"/>
          <w:caps w:val="0"/>
          <w:sz w:val="22"/>
          <w:lang w:eastAsia="fr-FR"/>
        </w:rPr>
      </w:pPr>
      <w:r>
        <w:t xml:space="preserve">Objectif stratégique VII </w:t>
      </w:r>
      <w:r>
        <w:rPr>
          <w:rFonts w:asciiTheme="minorHAnsi" w:hAnsiTheme="minorHAnsi"/>
          <w:b w:val="0"/>
          <w:caps w:val="0"/>
          <w:sz w:val="22"/>
          <w:lang w:eastAsia="fr-FR"/>
        </w:rPr>
        <w:tab/>
      </w:r>
      <w:r>
        <w:t>Propriété intellectuelle et enjeux mondiaux</w:t>
      </w:r>
      <w:r>
        <w:tab/>
      </w:r>
      <w:r>
        <w:fldChar w:fldCharType="begin"/>
      </w:r>
      <w:r>
        <w:instrText xml:space="preserve"> PAGEREF _Toc482979500 \h </w:instrText>
      </w:r>
      <w:r>
        <w:fldChar w:fldCharType="separate"/>
      </w:r>
      <w:r w:rsidR="00AF4A8A">
        <w:t>174</w:t>
      </w:r>
      <w:r>
        <w:fldChar w:fldCharType="end"/>
      </w:r>
    </w:p>
    <w:p w14:paraId="6E6C0F30" w14:textId="77777777" w:rsidR="00FC0DA7" w:rsidRDefault="00FC0DA7">
      <w:pPr>
        <w:pStyle w:val="TOC2"/>
        <w:rPr>
          <w:rFonts w:asciiTheme="minorHAnsi" w:hAnsiTheme="minorHAnsi"/>
          <w:caps w:val="0"/>
          <w:sz w:val="22"/>
          <w:lang w:eastAsia="fr-FR"/>
        </w:rPr>
      </w:pPr>
      <w:r>
        <w:t>Programme 18</w:t>
      </w:r>
      <w:r>
        <w:rPr>
          <w:rFonts w:asciiTheme="minorHAnsi" w:hAnsiTheme="minorHAnsi"/>
          <w:caps w:val="0"/>
          <w:sz w:val="22"/>
          <w:lang w:eastAsia="fr-FR"/>
        </w:rPr>
        <w:tab/>
      </w:r>
      <w:r>
        <w:t>Propriété intellectuelle et défis mondiaux</w:t>
      </w:r>
      <w:r>
        <w:tab/>
      </w:r>
      <w:r>
        <w:fldChar w:fldCharType="begin"/>
      </w:r>
      <w:r>
        <w:instrText xml:space="preserve"> PAGEREF _Toc482979501 \h </w:instrText>
      </w:r>
      <w:r>
        <w:fldChar w:fldCharType="separate"/>
      </w:r>
      <w:r w:rsidR="00AF4A8A">
        <w:t>175</w:t>
      </w:r>
      <w:r>
        <w:fldChar w:fldCharType="end"/>
      </w:r>
    </w:p>
    <w:p w14:paraId="428F8BC4" w14:textId="77777777" w:rsidR="00FC0DA7" w:rsidRDefault="00FC0DA7">
      <w:pPr>
        <w:pStyle w:val="TOC4"/>
        <w:rPr>
          <w:rFonts w:asciiTheme="minorHAnsi" w:hAnsiTheme="minorHAnsi"/>
          <w:b w:val="0"/>
          <w:caps w:val="0"/>
          <w:sz w:val="22"/>
          <w:lang w:eastAsia="fr-FR"/>
        </w:rPr>
      </w:pPr>
      <w:r>
        <w:t>Objectif stratégique VIII</w:t>
      </w:r>
      <w:r>
        <w:rPr>
          <w:rFonts w:asciiTheme="minorHAnsi" w:hAnsiTheme="minorHAnsi"/>
          <w:b w:val="0"/>
          <w:caps w:val="0"/>
          <w:sz w:val="22"/>
          <w:lang w:eastAsia="fr-FR"/>
        </w:rPr>
        <w:tab/>
      </w:r>
      <w:r>
        <w:t>Interface de communication dynamique entre l’OMPI, ses états membres et l’ensemble des parties prenantes</w:t>
      </w:r>
      <w:r>
        <w:tab/>
      </w:r>
      <w:r>
        <w:fldChar w:fldCharType="begin"/>
      </w:r>
      <w:r>
        <w:instrText xml:space="preserve"> PAGEREF _Toc482979502 \h </w:instrText>
      </w:r>
      <w:r>
        <w:fldChar w:fldCharType="separate"/>
      </w:r>
      <w:r w:rsidR="00AF4A8A">
        <w:t>180</w:t>
      </w:r>
      <w:r>
        <w:fldChar w:fldCharType="end"/>
      </w:r>
    </w:p>
    <w:p w14:paraId="17F1A444" w14:textId="77777777" w:rsidR="00FC0DA7" w:rsidRDefault="00FC0DA7">
      <w:pPr>
        <w:pStyle w:val="TOC2"/>
        <w:rPr>
          <w:rFonts w:asciiTheme="minorHAnsi" w:hAnsiTheme="minorHAnsi"/>
          <w:caps w:val="0"/>
          <w:sz w:val="22"/>
          <w:lang w:eastAsia="fr-FR"/>
        </w:rPr>
      </w:pPr>
      <w:r>
        <w:t>Programme 19</w:t>
      </w:r>
      <w:r>
        <w:rPr>
          <w:rFonts w:asciiTheme="minorHAnsi" w:hAnsiTheme="minorHAnsi"/>
          <w:caps w:val="0"/>
          <w:sz w:val="22"/>
          <w:lang w:eastAsia="fr-FR"/>
        </w:rPr>
        <w:tab/>
      </w:r>
      <w:r>
        <w:t>Communications</w:t>
      </w:r>
      <w:r>
        <w:tab/>
      </w:r>
      <w:r>
        <w:fldChar w:fldCharType="begin"/>
      </w:r>
      <w:r>
        <w:instrText xml:space="preserve"> PAGEREF _Toc482979503 \h </w:instrText>
      </w:r>
      <w:r>
        <w:fldChar w:fldCharType="separate"/>
      </w:r>
      <w:r w:rsidR="00AF4A8A">
        <w:t>182</w:t>
      </w:r>
      <w:r>
        <w:fldChar w:fldCharType="end"/>
      </w:r>
    </w:p>
    <w:p w14:paraId="2C3771D0" w14:textId="77777777" w:rsidR="00FC0DA7" w:rsidRDefault="00FC0DA7">
      <w:pPr>
        <w:pStyle w:val="TOC2"/>
        <w:rPr>
          <w:rFonts w:asciiTheme="minorHAnsi" w:hAnsiTheme="minorHAnsi"/>
          <w:caps w:val="0"/>
          <w:sz w:val="22"/>
          <w:lang w:eastAsia="fr-FR"/>
        </w:rPr>
      </w:pPr>
      <w:r>
        <w:t>Programme 20</w:t>
      </w:r>
      <w:r>
        <w:rPr>
          <w:rFonts w:asciiTheme="minorHAnsi" w:hAnsiTheme="minorHAnsi"/>
          <w:caps w:val="0"/>
          <w:sz w:val="22"/>
          <w:lang w:eastAsia="fr-FR"/>
        </w:rPr>
        <w:tab/>
      </w:r>
      <w:r>
        <w:t>Relations extérieures, partenariats et bureaux extérieurs</w:t>
      </w:r>
      <w:r>
        <w:tab/>
      </w:r>
      <w:r>
        <w:fldChar w:fldCharType="begin"/>
      </w:r>
      <w:r>
        <w:instrText xml:space="preserve"> PAGEREF _Toc482979504 \h </w:instrText>
      </w:r>
      <w:r>
        <w:fldChar w:fldCharType="separate"/>
      </w:r>
      <w:r w:rsidR="00AF4A8A">
        <w:t>186</w:t>
      </w:r>
      <w:r>
        <w:fldChar w:fldCharType="end"/>
      </w:r>
    </w:p>
    <w:p w14:paraId="6615F960" w14:textId="77777777" w:rsidR="00FC0DA7" w:rsidRDefault="00FC0DA7">
      <w:pPr>
        <w:pStyle w:val="TOC4"/>
        <w:rPr>
          <w:rFonts w:asciiTheme="minorHAnsi" w:hAnsiTheme="minorHAnsi"/>
          <w:b w:val="0"/>
          <w:caps w:val="0"/>
          <w:sz w:val="22"/>
          <w:lang w:eastAsia="fr-FR"/>
        </w:rPr>
      </w:pPr>
      <w:r>
        <w:t>Objectif stratégique IX</w:t>
      </w:r>
      <w:r>
        <w:rPr>
          <w:rFonts w:asciiTheme="minorHAnsi" w:hAnsiTheme="minorHAnsi"/>
          <w:b w:val="0"/>
          <w:caps w:val="0"/>
          <w:sz w:val="22"/>
          <w:lang w:eastAsia="fr-FR"/>
        </w:rPr>
        <w:tab/>
      </w:r>
      <w:r>
        <w:t>Structure d’appui administratif et financier efficace afin de permettre à l’OMPI d’exécuter ses programmes</w:t>
      </w:r>
      <w:r>
        <w:tab/>
      </w:r>
      <w:r>
        <w:fldChar w:fldCharType="begin"/>
      </w:r>
      <w:r>
        <w:instrText xml:space="preserve"> PAGEREF _Toc482979505 \h </w:instrText>
      </w:r>
      <w:r>
        <w:fldChar w:fldCharType="separate"/>
      </w:r>
      <w:r w:rsidR="00AF4A8A">
        <w:t>196</w:t>
      </w:r>
      <w:r>
        <w:fldChar w:fldCharType="end"/>
      </w:r>
    </w:p>
    <w:p w14:paraId="740CB648" w14:textId="77777777" w:rsidR="00FC0DA7" w:rsidRDefault="00FC0DA7">
      <w:pPr>
        <w:pStyle w:val="TOC2"/>
        <w:rPr>
          <w:rFonts w:asciiTheme="minorHAnsi" w:hAnsiTheme="minorHAnsi"/>
          <w:caps w:val="0"/>
          <w:sz w:val="22"/>
          <w:lang w:eastAsia="fr-FR"/>
        </w:rPr>
      </w:pPr>
      <w:r>
        <w:t>Programme 21</w:t>
      </w:r>
      <w:r>
        <w:rPr>
          <w:rFonts w:asciiTheme="minorHAnsi" w:hAnsiTheme="minorHAnsi"/>
          <w:caps w:val="0"/>
          <w:sz w:val="22"/>
          <w:lang w:eastAsia="fr-FR"/>
        </w:rPr>
        <w:tab/>
      </w:r>
      <w:r>
        <w:t>Direction générale</w:t>
      </w:r>
      <w:r>
        <w:tab/>
      </w:r>
      <w:r>
        <w:fldChar w:fldCharType="begin"/>
      </w:r>
      <w:r>
        <w:instrText xml:space="preserve"> PAGEREF _Toc482979506 \h </w:instrText>
      </w:r>
      <w:r>
        <w:fldChar w:fldCharType="separate"/>
      </w:r>
      <w:r w:rsidR="00AF4A8A">
        <w:t>199</w:t>
      </w:r>
      <w:r>
        <w:fldChar w:fldCharType="end"/>
      </w:r>
    </w:p>
    <w:p w14:paraId="26B9E344" w14:textId="77777777" w:rsidR="00FC0DA7" w:rsidRDefault="00FC0DA7">
      <w:pPr>
        <w:pStyle w:val="TOC2"/>
        <w:rPr>
          <w:rFonts w:asciiTheme="minorHAnsi" w:hAnsiTheme="minorHAnsi"/>
          <w:caps w:val="0"/>
          <w:sz w:val="22"/>
          <w:lang w:eastAsia="fr-FR"/>
        </w:rPr>
      </w:pPr>
      <w:r>
        <w:t>Programme 22</w:t>
      </w:r>
      <w:r>
        <w:rPr>
          <w:rFonts w:asciiTheme="minorHAnsi" w:hAnsiTheme="minorHAnsi"/>
          <w:caps w:val="0"/>
          <w:sz w:val="22"/>
          <w:lang w:eastAsia="fr-FR"/>
        </w:rPr>
        <w:tab/>
      </w:r>
      <w:r>
        <w:t>Gestion du programme et des ressources</w:t>
      </w:r>
      <w:r>
        <w:tab/>
      </w:r>
      <w:r>
        <w:fldChar w:fldCharType="begin"/>
      </w:r>
      <w:r>
        <w:instrText xml:space="preserve"> PAGEREF _Toc482979507 \h </w:instrText>
      </w:r>
      <w:r>
        <w:fldChar w:fldCharType="separate"/>
      </w:r>
      <w:r w:rsidR="00AF4A8A">
        <w:t>204</w:t>
      </w:r>
      <w:r>
        <w:fldChar w:fldCharType="end"/>
      </w:r>
    </w:p>
    <w:p w14:paraId="44506BF6" w14:textId="77777777" w:rsidR="00FC0DA7" w:rsidRDefault="00FC0DA7">
      <w:pPr>
        <w:pStyle w:val="TOC2"/>
        <w:rPr>
          <w:rFonts w:asciiTheme="minorHAnsi" w:hAnsiTheme="minorHAnsi"/>
          <w:caps w:val="0"/>
          <w:sz w:val="22"/>
          <w:lang w:eastAsia="fr-FR"/>
        </w:rPr>
      </w:pPr>
      <w:r>
        <w:t>Programme 23</w:t>
      </w:r>
      <w:r>
        <w:rPr>
          <w:rFonts w:asciiTheme="minorHAnsi" w:hAnsiTheme="minorHAnsi"/>
          <w:caps w:val="0"/>
          <w:sz w:val="22"/>
          <w:lang w:eastAsia="fr-FR"/>
        </w:rPr>
        <w:tab/>
      </w:r>
      <w:r>
        <w:t>Gestion et mise en valeur des ressources humaines</w:t>
      </w:r>
      <w:r>
        <w:tab/>
      </w:r>
      <w:r>
        <w:fldChar w:fldCharType="begin"/>
      </w:r>
      <w:r>
        <w:instrText xml:space="preserve"> PAGEREF _Toc482979508 \h </w:instrText>
      </w:r>
      <w:r>
        <w:fldChar w:fldCharType="separate"/>
      </w:r>
      <w:r w:rsidR="00AF4A8A">
        <w:t>208</w:t>
      </w:r>
      <w:r>
        <w:fldChar w:fldCharType="end"/>
      </w:r>
    </w:p>
    <w:p w14:paraId="5C4AA86A" w14:textId="77777777" w:rsidR="00FC0DA7" w:rsidRDefault="00FC0DA7">
      <w:pPr>
        <w:pStyle w:val="TOC2"/>
        <w:rPr>
          <w:rFonts w:asciiTheme="minorHAnsi" w:hAnsiTheme="minorHAnsi"/>
          <w:caps w:val="0"/>
          <w:sz w:val="22"/>
          <w:lang w:eastAsia="fr-FR"/>
        </w:rPr>
      </w:pPr>
      <w:r>
        <w:t>Programme 24</w:t>
      </w:r>
      <w:r>
        <w:rPr>
          <w:rFonts w:asciiTheme="minorHAnsi" w:hAnsiTheme="minorHAnsi"/>
          <w:caps w:val="0"/>
          <w:sz w:val="22"/>
          <w:lang w:eastAsia="fr-FR"/>
        </w:rPr>
        <w:tab/>
      </w:r>
      <w:r>
        <w:t>Services d’appui généraux</w:t>
      </w:r>
      <w:r>
        <w:tab/>
      </w:r>
      <w:r>
        <w:fldChar w:fldCharType="begin"/>
      </w:r>
      <w:r>
        <w:instrText xml:space="preserve"> PAGEREF _Toc482979509 \h </w:instrText>
      </w:r>
      <w:r>
        <w:fldChar w:fldCharType="separate"/>
      </w:r>
      <w:r w:rsidR="00AF4A8A">
        <w:t>212</w:t>
      </w:r>
      <w:r>
        <w:fldChar w:fldCharType="end"/>
      </w:r>
    </w:p>
    <w:p w14:paraId="372BC180" w14:textId="77777777" w:rsidR="00FC0DA7" w:rsidRDefault="00FC0DA7">
      <w:pPr>
        <w:pStyle w:val="TOC2"/>
        <w:rPr>
          <w:rFonts w:asciiTheme="minorHAnsi" w:hAnsiTheme="minorHAnsi"/>
          <w:caps w:val="0"/>
          <w:sz w:val="22"/>
          <w:lang w:eastAsia="fr-FR"/>
        </w:rPr>
      </w:pPr>
      <w:r>
        <w:t>Programme 25</w:t>
      </w:r>
      <w:r>
        <w:rPr>
          <w:rFonts w:cs="Arial"/>
          <w:szCs w:val="20"/>
          <w:cs/>
        </w:rPr>
        <w:t>‎</w:t>
      </w:r>
      <w:r>
        <w:rPr>
          <w:rFonts w:asciiTheme="minorHAnsi" w:hAnsiTheme="minorHAnsi"/>
          <w:caps w:val="0"/>
          <w:sz w:val="22"/>
          <w:lang w:eastAsia="fr-FR"/>
        </w:rPr>
        <w:tab/>
      </w:r>
      <w:r>
        <w:t>Technologies de l’information et de la communication</w:t>
      </w:r>
      <w:r>
        <w:tab/>
      </w:r>
      <w:r>
        <w:fldChar w:fldCharType="begin"/>
      </w:r>
      <w:r>
        <w:instrText xml:space="preserve"> PAGEREF _Toc482979510 \h </w:instrText>
      </w:r>
      <w:r>
        <w:fldChar w:fldCharType="separate"/>
      </w:r>
      <w:r w:rsidR="00AF4A8A">
        <w:t>216</w:t>
      </w:r>
      <w:r>
        <w:fldChar w:fldCharType="end"/>
      </w:r>
    </w:p>
    <w:p w14:paraId="24AB20EC" w14:textId="77777777" w:rsidR="00FC0DA7" w:rsidRDefault="00FC0DA7">
      <w:pPr>
        <w:pStyle w:val="TOC2"/>
        <w:rPr>
          <w:rFonts w:asciiTheme="minorHAnsi" w:hAnsiTheme="minorHAnsi"/>
          <w:caps w:val="0"/>
          <w:sz w:val="22"/>
          <w:lang w:eastAsia="fr-FR"/>
        </w:rPr>
      </w:pPr>
      <w:r>
        <w:t>Programme 26</w:t>
      </w:r>
      <w:r>
        <w:rPr>
          <w:rFonts w:asciiTheme="minorHAnsi" w:hAnsiTheme="minorHAnsi"/>
          <w:caps w:val="0"/>
          <w:sz w:val="22"/>
          <w:lang w:eastAsia="fr-FR"/>
        </w:rPr>
        <w:tab/>
      </w:r>
      <w:r>
        <w:t>Supervision interne</w:t>
      </w:r>
      <w:r>
        <w:tab/>
      </w:r>
      <w:r>
        <w:fldChar w:fldCharType="begin"/>
      </w:r>
      <w:r>
        <w:instrText xml:space="preserve"> PAGEREF _Toc482979511 \h </w:instrText>
      </w:r>
      <w:r>
        <w:fldChar w:fldCharType="separate"/>
      </w:r>
      <w:r w:rsidR="00AF4A8A">
        <w:t>220</w:t>
      </w:r>
      <w:r>
        <w:fldChar w:fldCharType="end"/>
      </w:r>
    </w:p>
    <w:p w14:paraId="541AB3E8" w14:textId="77777777" w:rsidR="00FC0DA7" w:rsidRDefault="00FC0DA7">
      <w:pPr>
        <w:pStyle w:val="TOC2"/>
        <w:rPr>
          <w:rFonts w:asciiTheme="minorHAnsi" w:hAnsiTheme="minorHAnsi"/>
          <w:caps w:val="0"/>
          <w:sz w:val="22"/>
          <w:lang w:eastAsia="fr-FR"/>
        </w:rPr>
      </w:pPr>
      <w:r>
        <w:t>Programme 27</w:t>
      </w:r>
      <w:r>
        <w:rPr>
          <w:rFonts w:asciiTheme="minorHAnsi" w:hAnsiTheme="minorHAnsi"/>
          <w:caps w:val="0"/>
          <w:sz w:val="22"/>
          <w:lang w:eastAsia="fr-FR"/>
        </w:rPr>
        <w:tab/>
      </w:r>
      <w:r>
        <w:t>Services de conférence et services linguistiques</w:t>
      </w:r>
      <w:r>
        <w:tab/>
      </w:r>
      <w:r>
        <w:fldChar w:fldCharType="begin"/>
      </w:r>
      <w:r>
        <w:instrText xml:space="preserve"> PAGEREF _Toc482979512 \h </w:instrText>
      </w:r>
      <w:r>
        <w:fldChar w:fldCharType="separate"/>
      </w:r>
      <w:r w:rsidR="00AF4A8A">
        <w:t>223</w:t>
      </w:r>
      <w:r>
        <w:fldChar w:fldCharType="end"/>
      </w:r>
    </w:p>
    <w:p w14:paraId="1F74B1A3" w14:textId="77777777" w:rsidR="00FC0DA7" w:rsidRDefault="00FC0DA7">
      <w:pPr>
        <w:pStyle w:val="TOC2"/>
        <w:rPr>
          <w:rFonts w:asciiTheme="minorHAnsi" w:hAnsiTheme="minorHAnsi"/>
          <w:caps w:val="0"/>
          <w:sz w:val="22"/>
          <w:lang w:eastAsia="fr-FR"/>
        </w:rPr>
      </w:pPr>
      <w:r>
        <w:t>Programme 28</w:t>
      </w:r>
      <w:r>
        <w:rPr>
          <w:rFonts w:asciiTheme="minorHAnsi" w:hAnsiTheme="minorHAnsi"/>
          <w:caps w:val="0"/>
          <w:sz w:val="22"/>
          <w:lang w:eastAsia="fr-FR"/>
        </w:rPr>
        <w:tab/>
      </w:r>
      <w:r>
        <w:t>Sécurité de l’information, des biens et des personnes</w:t>
      </w:r>
      <w:r>
        <w:tab/>
      </w:r>
      <w:r>
        <w:fldChar w:fldCharType="begin"/>
      </w:r>
      <w:r>
        <w:instrText xml:space="preserve"> PAGEREF _Toc482979513 \h </w:instrText>
      </w:r>
      <w:r>
        <w:fldChar w:fldCharType="separate"/>
      </w:r>
      <w:r w:rsidR="00AF4A8A">
        <w:t>226</w:t>
      </w:r>
      <w:r>
        <w:fldChar w:fldCharType="end"/>
      </w:r>
    </w:p>
    <w:p w14:paraId="5ACF7256" w14:textId="739C0F04" w:rsidR="00FC0DA7" w:rsidRDefault="00FC0DA7">
      <w:pPr>
        <w:pStyle w:val="TOC1"/>
        <w:rPr>
          <w:rFonts w:asciiTheme="minorHAnsi" w:hAnsiTheme="minorHAnsi"/>
          <w:b w:val="0"/>
          <w:caps w:val="0"/>
          <w:sz w:val="22"/>
          <w:lang w:eastAsia="fr-FR"/>
        </w:rPr>
      </w:pPr>
      <w:r>
        <w:t>III.</w:t>
      </w:r>
      <w:r>
        <w:rPr>
          <w:rFonts w:asciiTheme="minorHAnsi" w:hAnsiTheme="minorHAnsi"/>
          <w:b w:val="0"/>
          <w:caps w:val="0"/>
          <w:sz w:val="22"/>
          <w:lang w:eastAsia="fr-FR"/>
        </w:rPr>
        <w:tab/>
      </w:r>
      <w:r>
        <w:t>Annexes</w:t>
      </w:r>
      <w:r>
        <w:tab/>
      </w:r>
      <w:r>
        <w:tab/>
      </w:r>
      <w:r>
        <w:tab/>
      </w:r>
      <w:r>
        <w:fldChar w:fldCharType="begin"/>
      </w:r>
      <w:r>
        <w:instrText xml:space="preserve"> PAGEREF _Toc482979514 \h </w:instrText>
      </w:r>
      <w:r>
        <w:fldChar w:fldCharType="separate"/>
      </w:r>
      <w:r w:rsidR="00AF4A8A">
        <w:rPr>
          <w:rFonts w:hint="eastAsia"/>
        </w:rPr>
        <w:t>230</w:t>
      </w:r>
      <w:r>
        <w:fldChar w:fldCharType="end"/>
      </w:r>
    </w:p>
    <w:p w14:paraId="636228F4" w14:textId="77777777" w:rsidR="00FC0DA7" w:rsidRDefault="00FC0DA7">
      <w:pPr>
        <w:pStyle w:val="TOC2"/>
        <w:rPr>
          <w:rFonts w:asciiTheme="minorHAnsi" w:hAnsiTheme="minorHAnsi"/>
          <w:caps w:val="0"/>
          <w:sz w:val="22"/>
          <w:lang w:eastAsia="fr-FR"/>
        </w:rPr>
      </w:pPr>
      <w:r>
        <w:t>Annexe I</w:t>
      </w:r>
      <w:r>
        <w:rPr>
          <w:rFonts w:asciiTheme="minorHAnsi" w:hAnsiTheme="minorHAnsi"/>
          <w:caps w:val="0"/>
          <w:sz w:val="22"/>
          <w:lang w:eastAsia="fr-FR"/>
        </w:rPr>
        <w:tab/>
      </w:r>
      <w:r>
        <w:t>Budget 2016-2017 après virements par programme</w:t>
      </w:r>
      <w:r>
        <w:tab/>
      </w:r>
      <w:r>
        <w:fldChar w:fldCharType="begin"/>
      </w:r>
      <w:r>
        <w:instrText xml:space="preserve"> PAGEREF _Toc482979515 \h </w:instrText>
      </w:r>
      <w:r>
        <w:fldChar w:fldCharType="separate"/>
      </w:r>
      <w:r w:rsidR="00AF4A8A">
        <w:t>230</w:t>
      </w:r>
      <w:r>
        <w:fldChar w:fldCharType="end"/>
      </w:r>
    </w:p>
    <w:p w14:paraId="47C9FF11" w14:textId="77777777" w:rsidR="00FC0DA7" w:rsidRDefault="00FC0DA7">
      <w:pPr>
        <w:pStyle w:val="TOC2"/>
        <w:rPr>
          <w:rFonts w:asciiTheme="minorHAnsi" w:hAnsiTheme="minorHAnsi"/>
          <w:caps w:val="0"/>
          <w:sz w:val="22"/>
          <w:lang w:eastAsia="fr-FR"/>
        </w:rPr>
      </w:pPr>
      <w:r>
        <w:t>Annexe II</w:t>
      </w:r>
      <w:r>
        <w:rPr>
          <w:rFonts w:asciiTheme="minorHAnsi" w:hAnsiTheme="minorHAnsi"/>
          <w:caps w:val="0"/>
          <w:sz w:val="22"/>
          <w:lang w:eastAsia="fr-FR"/>
        </w:rPr>
        <w:tab/>
      </w:r>
      <w:r>
        <w:t>Ressources proposées pour 2018-2019 par programme</w:t>
      </w:r>
      <w:r>
        <w:tab/>
      </w:r>
      <w:r>
        <w:fldChar w:fldCharType="begin"/>
      </w:r>
      <w:r>
        <w:instrText xml:space="preserve"> PAGEREF _Toc482979516 \h </w:instrText>
      </w:r>
      <w:r>
        <w:fldChar w:fldCharType="separate"/>
      </w:r>
      <w:r w:rsidR="00AF4A8A">
        <w:t>231</w:t>
      </w:r>
      <w:r>
        <w:fldChar w:fldCharType="end"/>
      </w:r>
    </w:p>
    <w:p w14:paraId="2B4B14A1" w14:textId="77777777" w:rsidR="00FC0DA7" w:rsidRDefault="00FC0DA7">
      <w:pPr>
        <w:pStyle w:val="TOC2"/>
        <w:rPr>
          <w:rFonts w:asciiTheme="minorHAnsi" w:hAnsiTheme="minorHAnsi"/>
          <w:caps w:val="0"/>
          <w:sz w:val="22"/>
          <w:lang w:eastAsia="fr-FR"/>
        </w:rPr>
      </w:pPr>
      <w:r w:rsidRPr="00883297">
        <w:rPr>
          <w:rFonts w:asciiTheme="minorBidi" w:eastAsia="SimSun" w:hAnsiTheme="minorBidi" w:cs="Arial"/>
          <w:lang w:eastAsia="en-US"/>
        </w:rPr>
        <w:t>Annexe III</w:t>
      </w:r>
      <w:r>
        <w:rPr>
          <w:rFonts w:asciiTheme="minorHAnsi" w:hAnsiTheme="minorHAnsi"/>
          <w:caps w:val="0"/>
          <w:sz w:val="22"/>
          <w:lang w:eastAsia="fr-FR"/>
        </w:rPr>
        <w:tab/>
      </w:r>
      <w:r w:rsidRPr="00883297">
        <w:rPr>
          <w:rFonts w:asciiTheme="minorBidi" w:eastAsia="SimSun" w:hAnsiTheme="minorBidi" w:cs="Arial"/>
          <w:lang w:eastAsia="en-US"/>
        </w:rPr>
        <w:t>Répartition des recettes et des dépenses par union en 2018-2019</w:t>
      </w:r>
      <w:r>
        <w:tab/>
      </w:r>
      <w:r>
        <w:fldChar w:fldCharType="begin"/>
      </w:r>
      <w:r>
        <w:instrText xml:space="preserve"> PAGEREF _Toc482979517 \h </w:instrText>
      </w:r>
      <w:r>
        <w:fldChar w:fldCharType="separate"/>
      </w:r>
      <w:r w:rsidR="00AF4A8A">
        <w:t>233</w:t>
      </w:r>
      <w:r>
        <w:fldChar w:fldCharType="end"/>
      </w:r>
    </w:p>
    <w:p w14:paraId="7A633C14" w14:textId="77777777" w:rsidR="00FC0DA7" w:rsidRDefault="00FC0DA7">
      <w:pPr>
        <w:pStyle w:val="TOC2"/>
        <w:rPr>
          <w:rFonts w:asciiTheme="minorHAnsi" w:hAnsiTheme="minorHAnsi"/>
          <w:caps w:val="0"/>
          <w:sz w:val="22"/>
          <w:lang w:eastAsia="fr-FR"/>
        </w:rPr>
      </w:pPr>
      <w:r>
        <w:t>ANNEXE IV</w:t>
      </w:r>
      <w:r>
        <w:rPr>
          <w:rFonts w:asciiTheme="minorHAnsi" w:hAnsiTheme="minorHAnsi"/>
          <w:caps w:val="0"/>
          <w:sz w:val="22"/>
          <w:lang w:eastAsia="fr-FR"/>
        </w:rPr>
        <w:tab/>
      </w:r>
      <w:r>
        <w:t>ÉVOLUTION À MOYEN TERME DE LA DEMANDE DE SERVICES AU TITRE DES SYSTÈMES DU PCT, DE MADRID ET DE LA HAYE</w:t>
      </w:r>
      <w:r>
        <w:tab/>
      </w:r>
      <w:r>
        <w:fldChar w:fldCharType="begin"/>
      </w:r>
      <w:r>
        <w:instrText xml:space="preserve"> PAGEREF _Toc482979518 \h </w:instrText>
      </w:r>
      <w:r>
        <w:fldChar w:fldCharType="separate"/>
      </w:r>
      <w:r w:rsidR="00AF4A8A">
        <w:t>244</w:t>
      </w:r>
      <w:r>
        <w:fldChar w:fldCharType="end"/>
      </w:r>
    </w:p>
    <w:p w14:paraId="4C04B211" w14:textId="77777777" w:rsidR="00FC0DA7" w:rsidRDefault="00FC0DA7">
      <w:pPr>
        <w:pStyle w:val="TOC2"/>
        <w:rPr>
          <w:rFonts w:asciiTheme="minorHAnsi" w:hAnsiTheme="minorHAnsi"/>
          <w:caps w:val="0"/>
          <w:sz w:val="22"/>
          <w:lang w:eastAsia="fr-FR"/>
        </w:rPr>
      </w:pPr>
      <w:r>
        <w:t>Annexe V</w:t>
      </w:r>
      <w:r>
        <w:rPr>
          <w:rFonts w:asciiTheme="minorHAnsi" w:hAnsiTheme="minorHAnsi"/>
          <w:caps w:val="0"/>
          <w:sz w:val="22"/>
          <w:lang w:eastAsia="fr-FR"/>
        </w:rPr>
        <w:tab/>
      </w:r>
      <w:r>
        <w:t>Ressources au titre de fonds fiduciaires potentiellement disponibles aux fins d’activités de programme</w:t>
      </w:r>
      <w:r>
        <w:tab/>
      </w:r>
      <w:r>
        <w:fldChar w:fldCharType="begin"/>
      </w:r>
      <w:r>
        <w:instrText xml:space="preserve"> PAGEREF _Toc482979519 \h </w:instrText>
      </w:r>
      <w:r>
        <w:fldChar w:fldCharType="separate"/>
      </w:r>
      <w:r w:rsidR="00AF4A8A">
        <w:t>261</w:t>
      </w:r>
      <w:r>
        <w:fldChar w:fldCharType="end"/>
      </w:r>
    </w:p>
    <w:p w14:paraId="6B30181B" w14:textId="77777777" w:rsidR="00FC0DA7" w:rsidRDefault="00FC0DA7">
      <w:pPr>
        <w:pStyle w:val="TOC2"/>
        <w:rPr>
          <w:rFonts w:asciiTheme="minorHAnsi" w:hAnsiTheme="minorHAnsi"/>
          <w:caps w:val="0"/>
          <w:sz w:val="22"/>
          <w:lang w:eastAsia="fr-FR"/>
        </w:rPr>
      </w:pPr>
      <w:r>
        <w:rPr>
          <w:lang w:eastAsia="en-US"/>
        </w:rPr>
        <w:t>Annexe VI</w:t>
      </w:r>
      <w:r>
        <w:rPr>
          <w:rFonts w:asciiTheme="minorHAnsi" w:hAnsiTheme="minorHAnsi"/>
          <w:caps w:val="0"/>
          <w:sz w:val="22"/>
          <w:lang w:eastAsia="fr-FR"/>
        </w:rPr>
        <w:tab/>
      </w:r>
      <w:r>
        <w:rPr>
          <w:lang w:eastAsia="en-US"/>
        </w:rPr>
        <w:t>Incidences de l’adoption des normes IPSAS sur les pratiques budgétaires</w:t>
      </w:r>
      <w:r>
        <w:tab/>
      </w:r>
      <w:r>
        <w:fldChar w:fldCharType="begin"/>
      </w:r>
      <w:r>
        <w:instrText xml:space="preserve"> PAGEREF _Toc482979520 \h </w:instrText>
      </w:r>
      <w:r>
        <w:fldChar w:fldCharType="separate"/>
      </w:r>
      <w:r w:rsidR="00AF4A8A">
        <w:t>262</w:t>
      </w:r>
      <w:r>
        <w:fldChar w:fldCharType="end"/>
      </w:r>
    </w:p>
    <w:p w14:paraId="2F19AD29" w14:textId="77777777" w:rsidR="00FC0DA7" w:rsidRDefault="00FC0DA7">
      <w:pPr>
        <w:pStyle w:val="TOC2"/>
        <w:rPr>
          <w:rFonts w:asciiTheme="minorHAnsi" w:hAnsiTheme="minorHAnsi"/>
          <w:caps w:val="0"/>
          <w:sz w:val="22"/>
          <w:lang w:eastAsia="fr-FR"/>
        </w:rPr>
      </w:pPr>
      <w:r>
        <w:rPr>
          <w:lang w:eastAsia="en-US"/>
        </w:rPr>
        <w:t>Annexe VII</w:t>
      </w:r>
      <w:r>
        <w:rPr>
          <w:rFonts w:asciiTheme="minorHAnsi" w:hAnsiTheme="minorHAnsi"/>
          <w:caps w:val="0"/>
          <w:sz w:val="22"/>
          <w:lang w:eastAsia="fr-FR"/>
        </w:rPr>
        <w:tab/>
      </w:r>
      <w:r>
        <w:rPr>
          <w:lang w:eastAsia="en-US"/>
        </w:rPr>
        <w:t>Budget 2018-2019 par résultat escompté et par programme</w:t>
      </w:r>
      <w:r>
        <w:tab/>
      </w:r>
      <w:r>
        <w:fldChar w:fldCharType="begin"/>
      </w:r>
      <w:r>
        <w:instrText xml:space="preserve"> PAGEREF _Toc482979521 \h </w:instrText>
      </w:r>
      <w:r>
        <w:fldChar w:fldCharType="separate"/>
      </w:r>
      <w:r w:rsidR="00AF4A8A">
        <w:t>263</w:t>
      </w:r>
      <w:r>
        <w:fldChar w:fldCharType="end"/>
      </w:r>
    </w:p>
    <w:p w14:paraId="0714C036" w14:textId="77777777" w:rsidR="00FC0DA7" w:rsidRDefault="00FC0DA7">
      <w:pPr>
        <w:pStyle w:val="TOC2"/>
        <w:rPr>
          <w:rFonts w:asciiTheme="minorHAnsi" w:hAnsiTheme="minorHAnsi"/>
          <w:caps w:val="0"/>
          <w:sz w:val="22"/>
          <w:lang w:eastAsia="fr-FR"/>
        </w:rPr>
      </w:pPr>
      <w:r>
        <w:rPr>
          <w:lang w:eastAsia="en-US"/>
        </w:rPr>
        <w:t>Annexe VIII</w:t>
      </w:r>
      <w:r>
        <w:rPr>
          <w:rFonts w:asciiTheme="minorHAnsi" w:hAnsiTheme="minorHAnsi"/>
          <w:caps w:val="0"/>
          <w:sz w:val="22"/>
          <w:lang w:eastAsia="fr-FR"/>
        </w:rPr>
        <w:tab/>
      </w:r>
      <w:r>
        <w:rPr>
          <w:lang w:eastAsia="en-US"/>
        </w:rPr>
        <w:t>Budget 2018-2019 par résultat escompté</w:t>
      </w:r>
      <w:r>
        <w:tab/>
      </w:r>
      <w:r>
        <w:fldChar w:fldCharType="begin"/>
      </w:r>
      <w:r>
        <w:instrText xml:space="preserve"> PAGEREF _Toc482979522 \h </w:instrText>
      </w:r>
      <w:r>
        <w:fldChar w:fldCharType="separate"/>
      </w:r>
      <w:r w:rsidR="00AF4A8A">
        <w:t>265</w:t>
      </w:r>
      <w:r>
        <w:fldChar w:fldCharType="end"/>
      </w:r>
    </w:p>
    <w:p w14:paraId="421E8194" w14:textId="77777777" w:rsidR="00FC0DA7" w:rsidRDefault="00FC0DA7">
      <w:pPr>
        <w:pStyle w:val="TOC2"/>
        <w:rPr>
          <w:rFonts w:asciiTheme="minorHAnsi" w:hAnsiTheme="minorHAnsi"/>
          <w:caps w:val="0"/>
          <w:sz w:val="22"/>
          <w:lang w:eastAsia="fr-FR"/>
        </w:rPr>
      </w:pPr>
      <w:r>
        <w:rPr>
          <w:lang w:eastAsia="en-US"/>
        </w:rPr>
        <w:t>Annexe IX</w:t>
      </w:r>
      <w:r>
        <w:rPr>
          <w:rFonts w:asciiTheme="minorHAnsi" w:hAnsiTheme="minorHAnsi"/>
          <w:caps w:val="0"/>
          <w:sz w:val="22"/>
          <w:lang w:eastAsia="fr-FR"/>
        </w:rPr>
        <w:tab/>
      </w:r>
      <w:r>
        <w:rPr>
          <w:lang w:eastAsia="en-US"/>
        </w:rPr>
        <w:t>Contribution de l’OMPI aux objectifs de développement durable</w:t>
      </w:r>
      <w:r>
        <w:tab/>
      </w:r>
      <w:r>
        <w:fldChar w:fldCharType="begin"/>
      </w:r>
      <w:r>
        <w:instrText xml:space="preserve"> PAGEREF _Toc482979523 \h </w:instrText>
      </w:r>
      <w:r>
        <w:fldChar w:fldCharType="separate"/>
      </w:r>
      <w:r w:rsidR="00AF4A8A">
        <w:t>267</w:t>
      </w:r>
      <w:r>
        <w:fldChar w:fldCharType="end"/>
      </w:r>
    </w:p>
    <w:p w14:paraId="275DD9D1" w14:textId="77777777" w:rsidR="00FC0DA7" w:rsidRDefault="00FC0DA7">
      <w:pPr>
        <w:pStyle w:val="TOC2"/>
        <w:rPr>
          <w:rFonts w:asciiTheme="minorHAnsi" w:hAnsiTheme="minorHAnsi"/>
          <w:caps w:val="0"/>
          <w:sz w:val="22"/>
          <w:lang w:eastAsia="fr-FR"/>
        </w:rPr>
      </w:pPr>
      <w:r>
        <w:rPr>
          <w:lang w:eastAsia="en-US"/>
        </w:rPr>
        <w:t>Annexe X</w:t>
      </w:r>
      <w:r>
        <w:rPr>
          <w:rFonts w:asciiTheme="minorHAnsi" w:hAnsiTheme="minorHAnsi"/>
          <w:caps w:val="0"/>
          <w:sz w:val="22"/>
          <w:lang w:eastAsia="fr-FR"/>
        </w:rPr>
        <w:tab/>
      </w:r>
      <w:r>
        <w:rPr>
          <w:lang w:eastAsia="en-US"/>
        </w:rPr>
        <w:t>Organigramme de l’OMPI</w:t>
      </w:r>
      <w:r>
        <w:tab/>
      </w:r>
      <w:r>
        <w:fldChar w:fldCharType="begin"/>
      </w:r>
      <w:r>
        <w:instrText xml:space="preserve"> PAGEREF _Toc482979524 \h </w:instrText>
      </w:r>
      <w:r>
        <w:fldChar w:fldCharType="separate"/>
      </w:r>
      <w:r w:rsidR="00AF4A8A">
        <w:t>268</w:t>
      </w:r>
      <w:r>
        <w:fldChar w:fldCharType="end"/>
      </w:r>
    </w:p>
    <w:p w14:paraId="5679F29A" w14:textId="31283AD4" w:rsidR="00FC0DA7" w:rsidRDefault="00FC0DA7">
      <w:pPr>
        <w:pStyle w:val="TOC1"/>
        <w:rPr>
          <w:rFonts w:asciiTheme="minorHAnsi" w:hAnsiTheme="minorHAnsi"/>
          <w:b w:val="0"/>
          <w:caps w:val="0"/>
          <w:sz w:val="22"/>
          <w:lang w:eastAsia="fr-FR"/>
        </w:rPr>
      </w:pPr>
      <w:r>
        <w:t>IV.</w:t>
      </w:r>
      <w:r>
        <w:rPr>
          <w:rFonts w:asciiTheme="minorHAnsi" w:hAnsiTheme="minorHAnsi"/>
          <w:b w:val="0"/>
          <w:caps w:val="0"/>
          <w:sz w:val="22"/>
          <w:lang w:eastAsia="fr-FR"/>
        </w:rPr>
        <w:tab/>
      </w:r>
      <w:r>
        <w:t>Appendices</w:t>
      </w:r>
      <w:r>
        <w:tab/>
      </w:r>
      <w:r>
        <w:tab/>
      </w:r>
      <w:r>
        <w:fldChar w:fldCharType="begin"/>
      </w:r>
      <w:r>
        <w:instrText xml:space="preserve"> PAGEREF _Toc482979525 \h </w:instrText>
      </w:r>
      <w:r>
        <w:fldChar w:fldCharType="separate"/>
      </w:r>
      <w:r w:rsidR="00AF4A8A">
        <w:rPr>
          <w:rFonts w:hint="eastAsia"/>
        </w:rPr>
        <w:t>269</w:t>
      </w:r>
      <w:r>
        <w:fldChar w:fldCharType="end"/>
      </w:r>
    </w:p>
    <w:p w14:paraId="1F5CE952" w14:textId="77777777" w:rsidR="00FC0DA7" w:rsidRDefault="00FC0DA7">
      <w:pPr>
        <w:pStyle w:val="TOC2"/>
        <w:rPr>
          <w:rFonts w:asciiTheme="minorHAnsi" w:hAnsiTheme="minorHAnsi"/>
          <w:caps w:val="0"/>
          <w:sz w:val="22"/>
          <w:lang w:eastAsia="fr-FR"/>
        </w:rPr>
      </w:pPr>
      <w:r>
        <w:t xml:space="preserve">APPENDICE A </w:t>
      </w:r>
      <w:r>
        <w:rPr>
          <w:rFonts w:asciiTheme="minorHAnsi" w:hAnsiTheme="minorHAnsi"/>
          <w:caps w:val="0"/>
          <w:sz w:val="22"/>
          <w:lang w:eastAsia="fr-FR"/>
        </w:rPr>
        <w:tab/>
      </w:r>
      <w:r>
        <w:t>CONTRIBUTIONS DES ÉTATS MEMBRES</w:t>
      </w:r>
      <w:r>
        <w:tab/>
      </w:r>
      <w:r>
        <w:fldChar w:fldCharType="begin"/>
      </w:r>
      <w:r>
        <w:instrText xml:space="preserve"> PAGEREF _Toc482979526 \h </w:instrText>
      </w:r>
      <w:r>
        <w:fldChar w:fldCharType="separate"/>
      </w:r>
      <w:r w:rsidR="00AF4A8A">
        <w:t>269</w:t>
      </w:r>
      <w:r>
        <w:fldChar w:fldCharType="end"/>
      </w:r>
    </w:p>
    <w:p w14:paraId="4A6FAD6E" w14:textId="77777777" w:rsidR="00FC0DA7" w:rsidRDefault="00FC0DA7">
      <w:pPr>
        <w:pStyle w:val="TOC2"/>
        <w:rPr>
          <w:rFonts w:asciiTheme="minorHAnsi" w:hAnsiTheme="minorHAnsi"/>
          <w:caps w:val="0"/>
          <w:sz w:val="22"/>
          <w:lang w:eastAsia="fr-FR"/>
        </w:rPr>
      </w:pPr>
      <w:r>
        <w:t xml:space="preserve">APPENDICE B </w:t>
      </w:r>
      <w:r>
        <w:rPr>
          <w:rFonts w:asciiTheme="minorHAnsi" w:hAnsiTheme="minorHAnsi"/>
          <w:caps w:val="0"/>
          <w:sz w:val="22"/>
          <w:lang w:eastAsia="fr-FR"/>
        </w:rPr>
        <w:tab/>
      </w:r>
      <w:r>
        <w:t>DÉFINITION DES CATÉGORIES DE DÉPENSES</w:t>
      </w:r>
      <w:r>
        <w:tab/>
      </w:r>
      <w:r>
        <w:fldChar w:fldCharType="begin"/>
      </w:r>
      <w:r>
        <w:instrText xml:space="preserve"> PAGEREF _Toc482979527 \h </w:instrText>
      </w:r>
      <w:r>
        <w:fldChar w:fldCharType="separate"/>
      </w:r>
      <w:r w:rsidR="00AF4A8A">
        <w:t>273</w:t>
      </w:r>
      <w:r>
        <w:fldChar w:fldCharType="end"/>
      </w:r>
    </w:p>
    <w:p w14:paraId="395D291B" w14:textId="77777777" w:rsidR="00FC0DA7" w:rsidRDefault="00FC0DA7">
      <w:pPr>
        <w:pStyle w:val="TOC2"/>
        <w:rPr>
          <w:rFonts w:asciiTheme="minorHAnsi" w:hAnsiTheme="minorHAnsi"/>
          <w:caps w:val="0"/>
          <w:sz w:val="22"/>
          <w:lang w:eastAsia="fr-FR"/>
        </w:rPr>
      </w:pPr>
      <w:r>
        <w:t xml:space="preserve">APPENDICE C </w:t>
      </w:r>
      <w:r>
        <w:rPr>
          <w:rFonts w:asciiTheme="minorHAnsi" w:hAnsiTheme="minorHAnsi"/>
          <w:caps w:val="0"/>
          <w:sz w:val="22"/>
          <w:lang w:eastAsia="fr-FR"/>
        </w:rPr>
        <w:tab/>
      </w:r>
      <w:r>
        <w:t>CALCUL DES DÉPENSES DE PERSONNEL</w:t>
      </w:r>
      <w:r>
        <w:tab/>
      </w:r>
      <w:r>
        <w:fldChar w:fldCharType="begin"/>
      </w:r>
      <w:r>
        <w:instrText xml:space="preserve"> PAGEREF _Toc482979528 \h </w:instrText>
      </w:r>
      <w:r>
        <w:fldChar w:fldCharType="separate"/>
      </w:r>
      <w:r w:rsidR="00AF4A8A">
        <w:t>275</w:t>
      </w:r>
      <w:r>
        <w:fldChar w:fldCharType="end"/>
      </w:r>
    </w:p>
    <w:p w14:paraId="45FEC9F9" w14:textId="77777777" w:rsidR="00FC0DA7" w:rsidRDefault="00FC0DA7">
      <w:pPr>
        <w:pStyle w:val="TOC2"/>
        <w:rPr>
          <w:rFonts w:asciiTheme="minorHAnsi" w:hAnsiTheme="minorHAnsi"/>
          <w:caps w:val="0"/>
          <w:sz w:val="22"/>
          <w:lang w:eastAsia="fr-FR"/>
        </w:rPr>
      </w:pPr>
      <w:r>
        <w:t xml:space="preserve">Appendice D </w:t>
      </w:r>
      <w:r>
        <w:rPr>
          <w:rFonts w:asciiTheme="minorHAnsi" w:hAnsiTheme="minorHAnsi"/>
          <w:caps w:val="0"/>
          <w:sz w:val="22"/>
          <w:lang w:eastAsia="fr-FR"/>
        </w:rPr>
        <w:tab/>
      </w:r>
      <w:r>
        <w:t>Formules de flexibilité</w:t>
      </w:r>
      <w:r>
        <w:tab/>
      </w:r>
      <w:r>
        <w:fldChar w:fldCharType="begin"/>
      </w:r>
      <w:r>
        <w:instrText xml:space="preserve"> PAGEREF _Toc482979529 \h </w:instrText>
      </w:r>
      <w:r>
        <w:fldChar w:fldCharType="separate"/>
      </w:r>
      <w:r w:rsidR="00AF4A8A">
        <w:t>277</w:t>
      </w:r>
      <w:r>
        <w:fldChar w:fldCharType="end"/>
      </w:r>
    </w:p>
    <w:p w14:paraId="5A973524" w14:textId="77777777" w:rsidR="00FC0DA7" w:rsidRDefault="00FC0DA7">
      <w:pPr>
        <w:pStyle w:val="TOC2"/>
        <w:rPr>
          <w:rFonts w:asciiTheme="minorHAnsi" w:hAnsiTheme="minorHAnsi"/>
          <w:caps w:val="0"/>
          <w:sz w:val="22"/>
          <w:lang w:eastAsia="fr-FR"/>
        </w:rPr>
      </w:pPr>
      <w:r>
        <w:t xml:space="preserve">Appendice E </w:t>
      </w:r>
      <w:r>
        <w:rPr>
          <w:rFonts w:asciiTheme="minorHAnsi" w:hAnsiTheme="minorHAnsi"/>
          <w:caps w:val="0"/>
          <w:sz w:val="22"/>
          <w:lang w:eastAsia="fr-FR"/>
        </w:rPr>
        <w:tab/>
      </w:r>
      <w:r>
        <w:t>Sigles utilisés dans le prése</w:t>
      </w:r>
      <w:bookmarkStart w:id="7" w:name="_GoBack"/>
      <w:bookmarkEnd w:id="7"/>
      <w:r>
        <w:t>nt document</w:t>
      </w:r>
      <w:r>
        <w:tab/>
      </w:r>
      <w:r>
        <w:fldChar w:fldCharType="begin"/>
      </w:r>
      <w:r>
        <w:instrText xml:space="preserve"> PAGEREF _Toc482979530 \h </w:instrText>
      </w:r>
      <w:r>
        <w:fldChar w:fldCharType="separate"/>
      </w:r>
      <w:r w:rsidR="00AF4A8A">
        <w:t>278</w:t>
      </w:r>
      <w:r>
        <w:fldChar w:fldCharType="end"/>
      </w:r>
    </w:p>
    <w:p w14:paraId="793E139B" w14:textId="23B6ADC2" w:rsidR="0060494B" w:rsidRDefault="00DF040C" w:rsidP="00E61AC7">
      <w:pPr>
        <w:pStyle w:val="Heading1"/>
        <w:rPr>
          <w:rFonts w:hint="eastAsia"/>
        </w:rPr>
      </w:pPr>
      <w:r>
        <w:rPr>
          <w:rFonts w:hint="eastAsia"/>
          <w:noProof/>
        </w:rPr>
        <w:lastRenderedPageBreak/>
        <w:fldChar w:fldCharType="end"/>
      </w:r>
      <w:bookmarkStart w:id="8" w:name="_Toc482979468"/>
      <w:r w:rsidR="0060494B" w:rsidRPr="0060494B">
        <w:t>Avant</w:t>
      </w:r>
      <w:r w:rsidR="00B441CA">
        <w:noBreakHyphen/>
      </w:r>
      <w:r w:rsidR="0060494B" w:rsidRPr="0060494B">
        <w:t>propos du Directeur général</w:t>
      </w:r>
      <w:bookmarkEnd w:id="8"/>
    </w:p>
    <w:p w14:paraId="07EC0FE5" w14:textId="77777777" w:rsidR="0060494B" w:rsidRDefault="0060494B" w:rsidP="00986700"/>
    <w:p w14:paraId="58897270" w14:textId="77777777" w:rsidR="00EF0C08" w:rsidRDefault="00EF0C08" w:rsidP="00BB3BF5">
      <w:pPr>
        <w:jc w:val="both"/>
      </w:pPr>
      <w:r w:rsidRPr="00835A15">
        <w:t>Le programme et budget est un document fondateur pour l</w:t>
      </w:r>
      <w:r>
        <w:t>’</w:t>
      </w:r>
      <w:r w:rsidRPr="00835A15">
        <w:t>Organisation</w:t>
      </w:r>
      <w:r>
        <w:t xml:space="preserve">.  </w:t>
      </w:r>
      <w:r w:rsidRPr="00835A15">
        <w:t>Il définit les résultats que les Éta</w:t>
      </w:r>
      <w:r>
        <w:t>t</w:t>
      </w:r>
      <w:r w:rsidRPr="00835A15">
        <w:t xml:space="preserve">s membres souhaitent </w:t>
      </w:r>
      <w:r>
        <w:t>que</w:t>
      </w:r>
      <w:r w:rsidRPr="00835A15">
        <w:t xml:space="preserve"> l</w:t>
      </w:r>
      <w:r>
        <w:t>’</w:t>
      </w:r>
      <w:r w:rsidRPr="00835A15">
        <w:t>Organisation attei</w:t>
      </w:r>
      <w:r>
        <w:t>g</w:t>
      </w:r>
      <w:r w:rsidRPr="00835A15">
        <w:t xml:space="preserve">ne </w:t>
      </w:r>
      <w:r>
        <w:t>pendant l’exercice biennal à venir et autorise les programmes et les ressources nécessaires à la réalisation de ces résultats</w:t>
      </w:r>
      <w:r w:rsidRPr="00835A15">
        <w:t>.</w:t>
      </w:r>
    </w:p>
    <w:p w14:paraId="3E028F57" w14:textId="77777777" w:rsidR="00EF0C08" w:rsidRDefault="00EF0C08" w:rsidP="00BB3BF5">
      <w:pPr>
        <w:jc w:val="both"/>
      </w:pPr>
    </w:p>
    <w:p w14:paraId="2BF80509" w14:textId="77777777" w:rsidR="00EF0C08" w:rsidRDefault="00EF0C08" w:rsidP="00BB3BF5">
      <w:pPr>
        <w:jc w:val="both"/>
      </w:pPr>
      <w:r w:rsidRPr="00E7410F">
        <w:t>J</w:t>
      </w:r>
      <w:r>
        <w:t>’</w:t>
      </w:r>
      <w:r w:rsidRPr="00E7410F">
        <w:t>ai le plaisir de présenter ici</w:t>
      </w:r>
      <w:r w:rsidRPr="004C7A30">
        <w:rPr>
          <w:color w:val="000000"/>
        </w:rPr>
        <w:t xml:space="preserve"> les points </w:t>
      </w:r>
      <w:r w:rsidRPr="00E7410F">
        <w:t xml:space="preserve">saillants du projet de </w:t>
      </w:r>
      <w:r w:rsidRPr="004C7A30">
        <w:rPr>
          <w:color w:val="000000"/>
        </w:rPr>
        <w:t>p</w:t>
      </w:r>
      <w:r w:rsidRPr="00E7410F">
        <w:t xml:space="preserve">rogramme et </w:t>
      </w:r>
      <w:r w:rsidRPr="004C7A30">
        <w:rPr>
          <w:color w:val="000000"/>
        </w:rPr>
        <w:t>b</w:t>
      </w:r>
      <w:r w:rsidRPr="00E7410F">
        <w:t>udget pour l</w:t>
      </w:r>
      <w:r>
        <w:t>’</w:t>
      </w:r>
      <w:r w:rsidRPr="004C7A30">
        <w:rPr>
          <w:color w:val="000000"/>
        </w:rPr>
        <w:t>e</w:t>
      </w:r>
      <w:r w:rsidRPr="00E7410F">
        <w:t xml:space="preserve">xercice </w:t>
      </w:r>
      <w:r w:rsidRPr="004C7A30">
        <w:rPr>
          <w:color w:val="000000"/>
        </w:rPr>
        <w:t>b</w:t>
      </w:r>
      <w:r w:rsidRPr="00E7410F">
        <w:t>iennal</w:t>
      </w:r>
      <w:r>
        <w:rPr>
          <w:color w:val="000000"/>
        </w:rPr>
        <w:t> </w:t>
      </w:r>
      <w:r w:rsidRPr="00E7410F">
        <w:t>2018</w:t>
      </w:r>
      <w:r>
        <w:noBreakHyphen/>
      </w:r>
      <w:r w:rsidRPr="00E7410F">
        <w:t xml:space="preserve">2019 </w:t>
      </w:r>
      <w:r w:rsidRPr="004C7A30">
        <w:rPr>
          <w:color w:val="000000"/>
        </w:rPr>
        <w:t xml:space="preserve">soumis </w:t>
      </w:r>
      <w:r>
        <w:rPr>
          <w:color w:val="000000"/>
        </w:rPr>
        <w:t>à l’</w:t>
      </w:r>
      <w:r w:rsidRPr="00E7410F">
        <w:t xml:space="preserve">examen </w:t>
      </w:r>
      <w:r>
        <w:t>d</w:t>
      </w:r>
      <w:r w:rsidRPr="00E7410F">
        <w:t xml:space="preserve">es États </w:t>
      </w:r>
      <w:r>
        <w:t>membres dans le présent document</w:t>
      </w:r>
      <w:r w:rsidRPr="00E7410F">
        <w:t>.</w:t>
      </w:r>
    </w:p>
    <w:p w14:paraId="0341E1FD" w14:textId="77777777" w:rsidR="00EF0C08" w:rsidRDefault="00EF0C08" w:rsidP="00BB3BF5">
      <w:pPr>
        <w:jc w:val="both"/>
        <w:rPr>
          <w:i/>
          <w:iCs/>
        </w:rPr>
      </w:pPr>
    </w:p>
    <w:p w14:paraId="64E5F5A5" w14:textId="39D8D5ED" w:rsidR="00EF0C08" w:rsidRDefault="00EF0C08" w:rsidP="00BB3BF5">
      <w:pPr>
        <w:jc w:val="both"/>
        <w:rPr>
          <w:i/>
          <w:iCs/>
        </w:rPr>
      </w:pPr>
      <w:r w:rsidRPr="00E7410F">
        <w:rPr>
          <w:i/>
          <w:iCs/>
        </w:rPr>
        <w:t xml:space="preserve">Base financière et </w:t>
      </w:r>
      <w:r w:rsidR="00036559">
        <w:rPr>
          <w:i/>
          <w:iCs/>
          <w:color w:val="000000"/>
        </w:rPr>
        <w:t>gestion</w:t>
      </w:r>
    </w:p>
    <w:p w14:paraId="1187512C" w14:textId="77777777" w:rsidR="00EF0C08" w:rsidRDefault="00EF0C08" w:rsidP="00BB3BF5">
      <w:pPr>
        <w:jc w:val="both"/>
      </w:pPr>
    </w:p>
    <w:p w14:paraId="650DB0CD" w14:textId="77777777" w:rsidR="00EF0C08" w:rsidRDefault="00EF0C08" w:rsidP="00BB3BF5">
      <w:pPr>
        <w:jc w:val="both"/>
      </w:pPr>
      <w:r w:rsidRPr="00E7410F">
        <w:t>L</w:t>
      </w:r>
      <w:r>
        <w:t>’</w:t>
      </w:r>
      <w:r w:rsidRPr="00E7410F">
        <w:t>Organisation a la chance de jouir d</w:t>
      </w:r>
      <w:r>
        <w:t>’</w:t>
      </w:r>
      <w:r w:rsidRPr="00E7410F">
        <w:t xml:space="preserve">une situation financière saine, </w:t>
      </w:r>
      <w:r w:rsidRPr="004C7A30">
        <w:rPr>
          <w:color w:val="000000"/>
        </w:rPr>
        <w:t xml:space="preserve">grâce notamment aux </w:t>
      </w:r>
      <w:r w:rsidRPr="00E7410F">
        <w:t>services qu</w:t>
      </w:r>
      <w:r>
        <w:t>’</w:t>
      </w:r>
      <w:r w:rsidRPr="00E7410F">
        <w:t xml:space="preserve">elle fournit dans le cadre de ses </w:t>
      </w:r>
      <w:r w:rsidRPr="004C7A30">
        <w:rPr>
          <w:color w:val="000000"/>
        </w:rPr>
        <w:t>s</w:t>
      </w:r>
      <w:r w:rsidRPr="00E7410F">
        <w:t xml:space="preserve">ystèmes </w:t>
      </w:r>
      <w:r w:rsidRPr="004C7A30">
        <w:rPr>
          <w:color w:val="000000"/>
        </w:rPr>
        <w:t>m</w:t>
      </w:r>
      <w:r w:rsidRPr="00E7410F">
        <w:t xml:space="preserve">ondiaux de </w:t>
      </w:r>
      <w:r w:rsidRPr="004C7A30">
        <w:rPr>
          <w:color w:val="000000"/>
        </w:rPr>
        <w:t>p</w:t>
      </w:r>
      <w:r w:rsidRPr="00E7410F">
        <w:t xml:space="preserve">ropriété </w:t>
      </w:r>
      <w:r w:rsidRPr="004C7A30">
        <w:rPr>
          <w:color w:val="000000"/>
        </w:rPr>
        <w:t>i</w:t>
      </w:r>
      <w:r w:rsidRPr="00E7410F">
        <w:t xml:space="preserve">ntellectuelle, principalement le </w:t>
      </w:r>
      <w:r w:rsidRPr="004C7A30">
        <w:rPr>
          <w:color w:val="000000"/>
        </w:rPr>
        <w:t xml:space="preserve">système du </w:t>
      </w:r>
      <w:r w:rsidRPr="00E7410F">
        <w:t xml:space="preserve">Traité de </w:t>
      </w:r>
      <w:r w:rsidRPr="004C7A30">
        <w:rPr>
          <w:color w:val="000000"/>
        </w:rPr>
        <w:t>c</w:t>
      </w:r>
      <w:r w:rsidRPr="00E7410F">
        <w:t xml:space="preserve">oopération en </w:t>
      </w:r>
      <w:r w:rsidRPr="004C7A30">
        <w:rPr>
          <w:color w:val="000000"/>
        </w:rPr>
        <w:t>m</w:t>
      </w:r>
      <w:r w:rsidRPr="00E7410F">
        <w:t xml:space="preserve">atière de </w:t>
      </w:r>
      <w:r w:rsidRPr="004C7A30">
        <w:rPr>
          <w:color w:val="000000"/>
        </w:rPr>
        <w:t>b</w:t>
      </w:r>
      <w:r w:rsidRPr="00E7410F">
        <w:t xml:space="preserve">revets (PCT), le </w:t>
      </w:r>
      <w:r w:rsidRPr="004C7A30">
        <w:rPr>
          <w:color w:val="000000"/>
        </w:rPr>
        <w:t>s</w:t>
      </w:r>
      <w:r w:rsidRPr="00E7410F">
        <w:t xml:space="preserve">ystème de Madrid </w:t>
      </w:r>
      <w:r w:rsidRPr="004C7A30">
        <w:rPr>
          <w:color w:val="000000"/>
        </w:rPr>
        <w:t xml:space="preserve">concernant </w:t>
      </w:r>
      <w:r w:rsidRPr="00E7410F">
        <w:t xml:space="preserve">les marques et le </w:t>
      </w:r>
      <w:r w:rsidRPr="004C7A30">
        <w:rPr>
          <w:color w:val="000000"/>
        </w:rPr>
        <w:t>s</w:t>
      </w:r>
      <w:r w:rsidRPr="00E7410F">
        <w:t xml:space="preserve">ystème de </w:t>
      </w:r>
      <w:r>
        <w:rPr>
          <w:color w:val="000000"/>
        </w:rPr>
        <w:t>La Haye</w:t>
      </w:r>
      <w:r w:rsidRPr="00E7410F">
        <w:t xml:space="preserve"> </w:t>
      </w:r>
      <w:r w:rsidRPr="004C7A30">
        <w:rPr>
          <w:color w:val="000000"/>
        </w:rPr>
        <w:t xml:space="preserve">concernant </w:t>
      </w:r>
      <w:r w:rsidRPr="00E7410F">
        <w:t>les dessins et modèles</w:t>
      </w:r>
      <w:r>
        <w:t xml:space="preserve">.  </w:t>
      </w:r>
      <w:r w:rsidRPr="004C7A30">
        <w:rPr>
          <w:color w:val="000000"/>
        </w:rPr>
        <w:t>Ce</w:t>
      </w:r>
      <w:r w:rsidRPr="00E7410F">
        <w:t xml:space="preserve">s dernières années, ces systèmes ont </w:t>
      </w:r>
      <w:r w:rsidRPr="004C7A30">
        <w:rPr>
          <w:color w:val="000000"/>
        </w:rPr>
        <w:t xml:space="preserve">enregistré des </w:t>
      </w:r>
      <w:r w:rsidRPr="00E7410F">
        <w:t xml:space="preserve">niveaux de croissance qui dépassent </w:t>
      </w:r>
      <w:r w:rsidRPr="004C7A30">
        <w:rPr>
          <w:color w:val="000000"/>
        </w:rPr>
        <w:t xml:space="preserve">largement ceux </w:t>
      </w:r>
      <w:r w:rsidRPr="00E7410F">
        <w:t>de l</w:t>
      </w:r>
      <w:r>
        <w:t>’</w:t>
      </w:r>
      <w:r w:rsidRPr="00E7410F">
        <w:t>économie mondiale.</w:t>
      </w:r>
    </w:p>
    <w:p w14:paraId="0F41C98D" w14:textId="77777777" w:rsidR="00EF0C08" w:rsidRDefault="00EF0C08" w:rsidP="00BB3BF5">
      <w:pPr>
        <w:jc w:val="both"/>
        <w:rPr>
          <w:color w:val="000000"/>
        </w:rPr>
      </w:pPr>
    </w:p>
    <w:p w14:paraId="59449DF6" w14:textId="77777777" w:rsidR="00EF0C08" w:rsidRDefault="00EF0C08" w:rsidP="00BB3BF5">
      <w:pPr>
        <w:jc w:val="both"/>
      </w:pPr>
      <w:r w:rsidRPr="00E7410F">
        <w:rPr>
          <w:color w:val="000000"/>
        </w:rPr>
        <w:t xml:space="preserve">Si cette tendance </w:t>
      </w:r>
      <w:r>
        <w:rPr>
          <w:color w:val="000000"/>
        </w:rPr>
        <w:t>s</w:t>
      </w:r>
      <w:r w:rsidRPr="00E7410F">
        <w:rPr>
          <w:color w:val="000000"/>
        </w:rPr>
        <w:t>e poursuit, sur la base des estimations établies par l</w:t>
      </w:r>
      <w:r>
        <w:rPr>
          <w:color w:val="000000"/>
        </w:rPr>
        <w:t>’</w:t>
      </w:r>
      <w:r w:rsidRPr="00E7410F">
        <w:rPr>
          <w:color w:val="000000"/>
        </w:rPr>
        <w:t>Économiste en chef et son équipe, nous prévoyons que, par rapport à l</w:t>
      </w:r>
      <w:r>
        <w:rPr>
          <w:color w:val="000000"/>
        </w:rPr>
        <w:t>’</w:t>
      </w:r>
      <w:r w:rsidRPr="00E7410F">
        <w:rPr>
          <w:color w:val="000000"/>
        </w:rPr>
        <w:t>exercice biennal</w:t>
      </w:r>
      <w:r>
        <w:rPr>
          <w:color w:val="000000"/>
        </w:rPr>
        <w:t> </w:t>
      </w:r>
      <w:r w:rsidRPr="00E7410F">
        <w:rPr>
          <w:color w:val="000000"/>
        </w:rPr>
        <w:t>2016</w:t>
      </w:r>
      <w:r>
        <w:rPr>
          <w:color w:val="000000"/>
        </w:rPr>
        <w:noBreakHyphen/>
      </w:r>
      <w:r w:rsidRPr="00E7410F">
        <w:rPr>
          <w:color w:val="000000"/>
        </w:rPr>
        <w:t>2017, les recettes de l</w:t>
      </w:r>
      <w:r>
        <w:rPr>
          <w:color w:val="000000"/>
        </w:rPr>
        <w:t>’</w:t>
      </w:r>
      <w:r w:rsidRPr="00E7410F">
        <w:rPr>
          <w:color w:val="000000"/>
        </w:rPr>
        <w:t>Organisation progresseront de 10,4% pour atteindre 826,2</w:t>
      </w:r>
      <w:r>
        <w:rPr>
          <w:color w:val="000000"/>
        </w:rPr>
        <w:t> </w:t>
      </w:r>
      <w:r w:rsidRPr="00E7410F">
        <w:rPr>
          <w:color w:val="000000"/>
        </w:rPr>
        <w:t>millions de francs suisses au cours de l</w:t>
      </w:r>
      <w:r>
        <w:rPr>
          <w:color w:val="000000"/>
        </w:rPr>
        <w:t>’exercice 2018</w:t>
      </w:r>
      <w:r>
        <w:rPr>
          <w:color w:val="000000"/>
        </w:rPr>
        <w:noBreakHyphen/>
        <w:t xml:space="preserve">2019.  </w:t>
      </w:r>
      <w:r w:rsidRPr="00E7410F">
        <w:rPr>
          <w:color w:val="000000"/>
        </w:rPr>
        <w:t>N</w:t>
      </w:r>
      <w:r>
        <w:rPr>
          <w:color w:val="000000"/>
        </w:rPr>
        <w:t xml:space="preserve">ous proposons une augmentation </w:t>
      </w:r>
      <w:r w:rsidRPr="00E7410F">
        <w:rPr>
          <w:color w:val="000000"/>
        </w:rPr>
        <w:t>de 2,7% des dépenses, qui passeraient à 725,9</w:t>
      </w:r>
      <w:r>
        <w:rPr>
          <w:color w:val="000000"/>
        </w:rPr>
        <w:t> </w:t>
      </w:r>
      <w:r w:rsidRPr="00E7410F">
        <w:rPr>
          <w:color w:val="000000"/>
        </w:rPr>
        <w:t>millions de francs suisses</w:t>
      </w:r>
      <w:r>
        <w:rPr>
          <w:color w:val="000000"/>
        </w:rPr>
        <w:t xml:space="preserve">.  </w:t>
      </w:r>
      <w:r w:rsidRPr="00E7410F">
        <w:rPr>
          <w:color w:val="000000"/>
        </w:rPr>
        <w:t>Après ajustement des dépenses conformément aux Normes comptables internationales pour le secteur public (normes</w:t>
      </w:r>
      <w:r>
        <w:rPr>
          <w:color w:val="000000"/>
        </w:rPr>
        <w:t> </w:t>
      </w:r>
      <w:r w:rsidRPr="00E7410F">
        <w:rPr>
          <w:color w:val="000000"/>
        </w:rPr>
        <w:t>IPSAS), nous prévoyons un excédent de 61,5</w:t>
      </w:r>
      <w:r>
        <w:rPr>
          <w:color w:val="000000"/>
        </w:rPr>
        <w:t> </w:t>
      </w:r>
      <w:r w:rsidRPr="00E7410F">
        <w:rPr>
          <w:color w:val="000000"/>
        </w:rPr>
        <w:t>millions de francs suisses</w:t>
      </w:r>
      <w:r>
        <w:rPr>
          <w:color w:val="000000"/>
        </w:rPr>
        <w:t xml:space="preserve">.  </w:t>
      </w:r>
      <w:r w:rsidRPr="00E7410F">
        <w:rPr>
          <w:color w:val="000000"/>
        </w:rPr>
        <w:t>Bien que ce chiffre représente un</w:t>
      </w:r>
      <w:r>
        <w:rPr>
          <w:color w:val="000000"/>
        </w:rPr>
        <w:t>e</w:t>
      </w:r>
      <w:r w:rsidRPr="00E7410F">
        <w:rPr>
          <w:color w:val="000000"/>
        </w:rPr>
        <w:t xml:space="preserve"> </w:t>
      </w:r>
      <w:r>
        <w:rPr>
          <w:color w:val="000000"/>
        </w:rPr>
        <w:t xml:space="preserve">somme </w:t>
      </w:r>
      <w:r w:rsidRPr="00E7410F">
        <w:rPr>
          <w:color w:val="000000"/>
        </w:rPr>
        <w:t>confortable, il convient de rester prudent compte tenu des incertitudes persistantes et du manque de visibilité qui caractérisent l</w:t>
      </w:r>
      <w:r>
        <w:rPr>
          <w:color w:val="000000"/>
        </w:rPr>
        <w:t>’</w:t>
      </w:r>
      <w:r w:rsidRPr="00E7410F">
        <w:rPr>
          <w:color w:val="000000"/>
        </w:rPr>
        <w:t>économie mondiale, deux</w:t>
      </w:r>
      <w:r>
        <w:rPr>
          <w:color w:val="000000"/>
        </w:rPr>
        <w:t> </w:t>
      </w:r>
      <w:r w:rsidRPr="00E7410F">
        <w:rPr>
          <w:color w:val="000000"/>
        </w:rPr>
        <w:t>facteurs qui peuvent influer sur les résultats prévisionnels.</w:t>
      </w:r>
    </w:p>
    <w:p w14:paraId="69DDD20E" w14:textId="77777777" w:rsidR="00EF0C08" w:rsidRDefault="00EF0C08" w:rsidP="00BB3BF5">
      <w:pPr>
        <w:jc w:val="both"/>
        <w:rPr>
          <w:color w:val="000000"/>
        </w:rPr>
      </w:pPr>
    </w:p>
    <w:p w14:paraId="386CB904" w14:textId="476E2697" w:rsidR="00EF0C08" w:rsidRDefault="00EF0C08" w:rsidP="00BB3BF5">
      <w:pPr>
        <w:jc w:val="both"/>
      </w:pPr>
      <w:r w:rsidRPr="00E7410F">
        <w:rPr>
          <w:color w:val="000000"/>
        </w:rPr>
        <w:t>Nous pouvons d</w:t>
      </w:r>
      <w:r>
        <w:rPr>
          <w:color w:val="000000"/>
        </w:rPr>
        <w:t>’</w:t>
      </w:r>
      <w:r w:rsidRPr="00E7410F">
        <w:rPr>
          <w:color w:val="000000"/>
        </w:rPr>
        <w:t xml:space="preserve">ores et déjà récolter les fruits des </w:t>
      </w:r>
      <w:r w:rsidRPr="00E7410F">
        <w:t>excellent</w:t>
      </w:r>
      <w:r w:rsidRPr="00E7410F">
        <w:rPr>
          <w:color w:val="000000"/>
        </w:rPr>
        <w:t xml:space="preserve">s résultats financiers </w:t>
      </w:r>
      <w:r w:rsidRPr="00E7410F">
        <w:t>de l</w:t>
      </w:r>
      <w:r>
        <w:t>’</w:t>
      </w:r>
      <w:r w:rsidRPr="00E7410F">
        <w:t>Organisation</w:t>
      </w:r>
      <w:r>
        <w:t xml:space="preserve">.  </w:t>
      </w:r>
      <w:r w:rsidRPr="00E7410F">
        <w:t xml:space="preserve">Nous proposons une baisse de 10% des contributions des États </w:t>
      </w:r>
      <w:r w:rsidRPr="00E7410F">
        <w:rPr>
          <w:color w:val="000000"/>
        </w:rPr>
        <w:t>m</w:t>
      </w:r>
      <w:r w:rsidRPr="00E7410F">
        <w:t>embres pour l</w:t>
      </w:r>
      <w:r>
        <w:t>’</w:t>
      </w:r>
      <w:r w:rsidRPr="00E7410F">
        <w:rPr>
          <w:color w:val="000000"/>
        </w:rPr>
        <w:t>e</w:t>
      </w:r>
      <w:r w:rsidRPr="00E7410F">
        <w:t xml:space="preserve">xercice </w:t>
      </w:r>
      <w:r w:rsidRPr="00E7410F">
        <w:rPr>
          <w:color w:val="000000"/>
        </w:rPr>
        <w:t>b</w:t>
      </w:r>
      <w:r w:rsidRPr="00E7410F">
        <w:t>iennal</w:t>
      </w:r>
      <w:r>
        <w:rPr>
          <w:color w:val="000000"/>
        </w:rPr>
        <w:t> </w:t>
      </w:r>
      <w:r w:rsidRPr="00E7410F">
        <w:t>2018</w:t>
      </w:r>
      <w:r>
        <w:noBreakHyphen/>
      </w:r>
      <w:r w:rsidRPr="00E7410F">
        <w:t>2019, mesure qui</w:t>
      </w:r>
      <w:r w:rsidRPr="00E7410F">
        <w:rPr>
          <w:color w:val="000000"/>
        </w:rPr>
        <w:t>,</w:t>
      </w:r>
      <w:r w:rsidRPr="00E7410F">
        <w:t xml:space="preserve"> nous </w:t>
      </w:r>
      <w:r w:rsidRPr="00E7410F">
        <w:rPr>
          <w:color w:val="000000"/>
        </w:rPr>
        <w:t>l</w:t>
      </w:r>
      <w:r>
        <w:rPr>
          <w:color w:val="000000"/>
        </w:rPr>
        <w:t>’</w:t>
      </w:r>
      <w:r w:rsidRPr="00E7410F">
        <w:t>espérons</w:t>
      </w:r>
      <w:r w:rsidRPr="00E7410F">
        <w:rPr>
          <w:color w:val="000000"/>
        </w:rPr>
        <w:t xml:space="preserve">, </w:t>
      </w:r>
      <w:r w:rsidRPr="00E7410F">
        <w:t xml:space="preserve">apportera une modeste contribution à </w:t>
      </w:r>
      <w:r w:rsidRPr="00E7410F">
        <w:rPr>
          <w:color w:val="000000"/>
        </w:rPr>
        <w:t>l</w:t>
      </w:r>
      <w:r>
        <w:rPr>
          <w:color w:val="000000"/>
        </w:rPr>
        <w:t>’</w:t>
      </w:r>
      <w:r w:rsidR="00BB3BF5" w:rsidRPr="00E7410F">
        <w:rPr>
          <w:color w:val="000000"/>
        </w:rPr>
        <w:t>allégement</w:t>
      </w:r>
      <w:r w:rsidRPr="00E7410F">
        <w:rPr>
          <w:color w:val="000000"/>
        </w:rPr>
        <w:t xml:space="preserve"> </w:t>
      </w:r>
      <w:r w:rsidRPr="00E7410F">
        <w:t xml:space="preserve">des contraintes </w:t>
      </w:r>
      <w:r w:rsidRPr="00E7410F">
        <w:rPr>
          <w:color w:val="000000"/>
        </w:rPr>
        <w:t xml:space="preserve">budgétaires auxquelles sont confrontés </w:t>
      </w:r>
      <w:r w:rsidRPr="00E7410F">
        <w:t xml:space="preserve">de nombreux États </w:t>
      </w:r>
      <w:r>
        <w:t xml:space="preserve">membres.  </w:t>
      </w:r>
      <w:r w:rsidRPr="00E7410F">
        <w:rPr>
          <w:color w:val="000000"/>
        </w:rPr>
        <w:t>Nous avons également été en mesure de maintenir les taxes au titre des systèmes mondiaux de propriété intellectuelle à niveau nominal constant, poursuivant ainsi les neuf</w:t>
      </w:r>
      <w:r>
        <w:rPr>
          <w:color w:val="000000"/>
        </w:rPr>
        <w:t> </w:t>
      </w:r>
      <w:r w:rsidRPr="00E7410F">
        <w:rPr>
          <w:color w:val="000000"/>
        </w:rPr>
        <w:t>années record d</w:t>
      </w:r>
      <w:r>
        <w:rPr>
          <w:color w:val="000000"/>
        </w:rPr>
        <w:t>’</w:t>
      </w:r>
      <w:r w:rsidRPr="00E7410F">
        <w:rPr>
          <w:color w:val="000000"/>
        </w:rPr>
        <w:t>absence d</w:t>
      </w:r>
      <w:r>
        <w:rPr>
          <w:color w:val="000000"/>
        </w:rPr>
        <w:t>’</w:t>
      </w:r>
      <w:r w:rsidRPr="00E7410F">
        <w:rPr>
          <w:color w:val="000000"/>
        </w:rPr>
        <w:t>augmentation des taxes</w:t>
      </w:r>
      <w:r>
        <w:rPr>
          <w:color w:val="000000"/>
        </w:rPr>
        <w:t xml:space="preserve">.  </w:t>
      </w:r>
      <w:r w:rsidRPr="00E7410F">
        <w:rPr>
          <w:color w:val="000000"/>
        </w:rPr>
        <w:t>Ce record est imputable non seulement au taux de croissance des systèmes mondiaux de propriété intellectuelle mais également à un</w:t>
      </w:r>
      <w:r>
        <w:rPr>
          <w:color w:val="000000"/>
        </w:rPr>
        <w:t>e</w:t>
      </w:r>
      <w:r w:rsidRPr="00E7410F">
        <w:rPr>
          <w:color w:val="000000"/>
        </w:rPr>
        <w:t xml:space="preserve"> gestion saine aux gains de productivité résultant de la modernisation de l</w:t>
      </w:r>
      <w:r>
        <w:rPr>
          <w:color w:val="000000"/>
        </w:rPr>
        <w:t>’</w:t>
      </w:r>
      <w:r w:rsidRPr="00E7410F">
        <w:rPr>
          <w:color w:val="000000"/>
        </w:rPr>
        <w:t>environnement informatique de ces systèmes, qui nous ont permis d</w:t>
      </w:r>
      <w:r>
        <w:rPr>
          <w:color w:val="000000"/>
        </w:rPr>
        <w:t>’</w:t>
      </w:r>
      <w:r w:rsidRPr="00E7410F">
        <w:rPr>
          <w:color w:val="000000"/>
        </w:rPr>
        <w:t>absorber cette croissance sans augmenter l</w:t>
      </w:r>
      <w:r>
        <w:rPr>
          <w:color w:val="000000"/>
        </w:rPr>
        <w:t>’</w:t>
      </w:r>
      <w:r w:rsidRPr="00E7410F">
        <w:rPr>
          <w:color w:val="000000"/>
        </w:rPr>
        <w:t>effectif ou les taxes.</w:t>
      </w:r>
    </w:p>
    <w:p w14:paraId="062A8648" w14:textId="77777777" w:rsidR="0060494B" w:rsidRDefault="0060494B" w:rsidP="00BB3BF5">
      <w:pPr>
        <w:jc w:val="both"/>
      </w:pPr>
    </w:p>
    <w:p w14:paraId="61CB2079" w14:textId="77777777" w:rsidR="00BB3BF5" w:rsidRDefault="00BB3BF5" w:rsidP="00BB3BF5">
      <w:pPr>
        <w:jc w:val="both"/>
      </w:pPr>
      <w:r w:rsidRPr="00463DB1">
        <w:t>L</w:t>
      </w:r>
      <w:r>
        <w:t>’</w:t>
      </w:r>
      <w:r w:rsidRPr="00463DB1">
        <w:t>amélioration de la situation en ce qui concerne les actifs nets de l</w:t>
      </w:r>
      <w:r>
        <w:t>’</w:t>
      </w:r>
      <w:r w:rsidRPr="00463DB1">
        <w:t xml:space="preserve">Organisation </w:t>
      </w:r>
      <w:r>
        <w:t>d</w:t>
      </w:r>
      <w:r w:rsidRPr="00463DB1">
        <w:t>é</w:t>
      </w:r>
      <w:r>
        <w:t>coule</w:t>
      </w:r>
      <w:r w:rsidRPr="00463DB1">
        <w:t xml:space="preserve"> également des taux de croissance satisfaisants et de la gestion saine des systèmes mondiaux de propriété intellectuelle</w:t>
      </w:r>
      <w:r>
        <w:t xml:space="preserve">.  </w:t>
      </w:r>
      <w:r w:rsidRPr="00463DB1">
        <w:t>Les actifs nets de l</w:t>
      </w:r>
      <w:r>
        <w:t>’</w:t>
      </w:r>
      <w:r w:rsidRPr="00463DB1">
        <w:t>Organisation s</w:t>
      </w:r>
      <w:r>
        <w:t>’</w:t>
      </w:r>
      <w:r w:rsidRPr="00463DB1">
        <w:t>élevaient à 311,3 millions de francs suisses à la fin de</w:t>
      </w:r>
      <w:r>
        <w:t> </w:t>
      </w:r>
      <w:r w:rsidRPr="00463DB1">
        <w:t xml:space="preserve">2016, dont 135,5 millions de francs suisses </w:t>
      </w:r>
      <w:r>
        <w:t xml:space="preserve">sous forme de liquidités.  L’excédent prévu pour le prochain exercice biennal permettra d’augmenter le niveau de liquidités.  La situation saine en ce qui concerne les actifs nets nous a également permis de rembourser le prêt de </w:t>
      </w:r>
      <w:r w:rsidRPr="00463DB1">
        <w:t>70</w:t>
      </w:r>
      <w:r>
        <w:t>,5 </w:t>
      </w:r>
      <w:r w:rsidRPr="00463DB1">
        <w:t>million</w:t>
      </w:r>
      <w:r>
        <w:t>s pour le nouveau bâtiment, ce qui aura pour conséquence de réduire de 4,2 millions de francs suisses les intérêts qu’il est prévu de payer au cours du prochain exercice biennal.</w:t>
      </w:r>
    </w:p>
    <w:p w14:paraId="67D9F638" w14:textId="77777777" w:rsidR="00BB3BF5" w:rsidRDefault="00BB3BF5" w:rsidP="00BB3BF5">
      <w:pPr>
        <w:jc w:val="both"/>
      </w:pPr>
    </w:p>
    <w:p w14:paraId="48A99E6B" w14:textId="47CA9740" w:rsidR="00BB3BF5" w:rsidRPr="00463DB1" w:rsidRDefault="00BB3BF5" w:rsidP="00BB3BF5">
      <w:pPr>
        <w:jc w:val="both"/>
      </w:pPr>
      <w:r>
        <w:t xml:space="preserve">Nous présentons un </w:t>
      </w:r>
      <w:r w:rsidR="00941AC0">
        <w:t>Plan</w:t>
      </w:r>
      <w:r>
        <w:t>-cadre d’équipement pour les 10 prochaines années en vue d’anticiper et d’assumer de manière prudente les engagements futurs de l’Organisation.  Les principaux domaines dans lesquels des dépenses d’équipement ont été prévues</w:t>
      </w:r>
      <w:r w:rsidRPr="00463DB1">
        <w:t xml:space="preserve"> </w:t>
      </w:r>
      <w:r>
        <w:t>dans le plan-cadre</w:t>
      </w:r>
      <w:r w:rsidRPr="00463DB1">
        <w:t xml:space="preserve"> </w:t>
      </w:r>
      <w:r>
        <w:t xml:space="preserve">concernent les technologies de l’information et de la </w:t>
      </w:r>
      <w:r w:rsidRPr="00463DB1">
        <w:t>communication (T</w:t>
      </w:r>
      <w:r>
        <w:t>IC</w:t>
      </w:r>
      <w:r w:rsidRPr="00463DB1">
        <w:t xml:space="preserve">), </w:t>
      </w:r>
      <w:r>
        <w:t>qui jettent les bases de la fourniture de services par l’Organisation et, par conséquent, de la génération de recettes</w:t>
      </w:r>
      <w:r w:rsidRPr="00463DB1">
        <w:t xml:space="preserve">, </w:t>
      </w:r>
      <w:r>
        <w:t>tout en constituant le principal moyen de maîtriser les dépenses de personnel et de maintenir les taxes à un niveau constant</w:t>
      </w:r>
      <w:r w:rsidRPr="00463DB1">
        <w:t>;</w:t>
      </w:r>
      <w:r>
        <w:t xml:space="preserve"> </w:t>
      </w:r>
      <w:r w:rsidRPr="00463DB1">
        <w:t xml:space="preserve"> </w:t>
      </w:r>
      <w:r>
        <w:t xml:space="preserve">la sécurité </w:t>
      </w:r>
      <w:r w:rsidRPr="00463DB1">
        <w:t>physi</w:t>
      </w:r>
      <w:r>
        <w:t>que et la cybersécurité, afin de réduire les risques et de pallier les faiblesses découlant de l’environnement mondial actuel, et d’assurer la sûreté des fonctionnaires et des délégués, ainsi que la sécurité et la capacité d’adaptation des plateformes de TIC dont dépendent</w:t>
      </w:r>
      <w:r w:rsidRPr="00463DB1">
        <w:t xml:space="preserve"> </w:t>
      </w:r>
      <w:r>
        <w:t>les systèmes mondiaux de propriété intellectuelle</w:t>
      </w:r>
      <w:r w:rsidRPr="00463DB1">
        <w:t>;</w:t>
      </w:r>
      <w:r>
        <w:t xml:space="preserve"> </w:t>
      </w:r>
      <w:r w:rsidRPr="00463DB1">
        <w:t xml:space="preserve"> </w:t>
      </w:r>
      <w:r>
        <w:t>et l’entretien du site de l’OMPI afin d’éviter de gros engagements ponctuels en vue de réparer ou de rénover des locaux ou des installations vétustes</w:t>
      </w:r>
      <w:r w:rsidRPr="00463DB1">
        <w:t>.</w:t>
      </w:r>
    </w:p>
    <w:p w14:paraId="2FC79DAF" w14:textId="77777777" w:rsidR="00BB3BF5" w:rsidRDefault="00BB3BF5" w:rsidP="00BB3BF5">
      <w:pPr>
        <w:jc w:val="both"/>
      </w:pPr>
    </w:p>
    <w:p w14:paraId="2E2F4E42" w14:textId="77777777" w:rsidR="00BB3BF5" w:rsidRPr="00463DB1" w:rsidRDefault="00BB3BF5" w:rsidP="00BB3BF5">
      <w:pPr>
        <w:jc w:val="both"/>
      </w:pPr>
      <w:r>
        <w:lastRenderedPageBreak/>
        <w:t xml:space="preserve">L’augmentation des dépenses de personnel pour le prochain exercice biennal a été maintenue à </w:t>
      </w:r>
      <w:r w:rsidRPr="00463DB1">
        <w:t>0</w:t>
      </w:r>
      <w:r>
        <w:t>,</w:t>
      </w:r>
      <w:r w:rsidRPr="00463DB1">
        <w:t xml:space="preserve">8% </w:t>
      </w:r>
      <w:r>
        <w:t xml:space="preserve">par rapport au budget approuvé de l’exercice </w:t>
      </w:r>
      <w:r w:rsidRPr="00463DB1">
        <w:t>2016</w:t>
      </w:r>
      <w:r>
        <w:t>-</w:t>
      </w:r>
      <w:r w:rsidRPr="00463DB1">
        <w:t xml:space="preserve">2017.  </w:t>
      </w:r>
      <w:r>
        <w:t xml:space="preserve">Aucun nouveau poste n’a été prévu.  La part des dépenses de personnel inscrites au budget total diminuera, passant de </w:t>
      </w:r>
      <w:r w:rsidRPr="00463DB1">
        <w:t>64</w:t>
      </w:r>
      <w:r>
        <w:t>,</w:t>
      </w:r>
      <w:r w:rsidRPr="00463DB1">
        <w:t xml:space="preserve">6% </w:t>
      </w:r>
      <w:r>
        <w:t>pour l’exercice biennal 2</w:t>
      </w:r>
      <w:r w:rsidRPr="00463DB1">
        <w:t>016</w:t>
      </w:r>
      <w:r>
        <w:t>-</w:t>
      </w:r>
      <w:r w:rsidRPr="00463DB1">
        <w:t xml:space="preserve">2017 </w:t>
      </w:r>
      <w:r>
        <w:t xml:space="preserve">à </w:t>
      </w:r>
      <w:r w:rsidRPr="00463DB1">
        <w:t>62</w:t>
      </w:r>
      <w:r>
        <w:t>,</w:t>
      </w:r>
      <w:r w:rsidRPr="00463DB1">
        <w:t xml:space="preserve">4% </w:t>
      </w:r>
      <w:r>
        <w:t>e</w:t>
      </w:r>
      <w:r w:rsidRPr="00463DB1">
        <w:t>n</w:t>
      </w:r>
      <w:r>
        <w:t> </w:t>
      </w:r>
      <w:r w:rsidRPr="00463DB1">
        <w:t>2018</w:t>
      </w:r>
      <w:r>
        <w:t>-</w:t>
      </w:r>
      <w:r w:rsidRPr="00463DB1">
        <w:t xml:space="preserve">2019.  </w:t>
      </w:r>
      <w:r>
        <w:t>Dans ce contexte, la diversité géographique et la parité hommes-femmes constitueront des objectifs prioritaires dans le cadre de la politique en matière de ressources humaines</w:t>
      </w:r>
      <w:r w:rsidRPr="00463DB1">
        <w:t>.</w:t>
      </w:r>
    </w:p>
    <w:p w14:paraId="67CB4492" w14:textId="77777777" w:rsidR="00BB3BF5" w:rsidRDefault="00BB3BF5" w:rsidP="00FC0DA7">
      <w:pPr>
        <w:jc w:val="both"/>
      </w:pPr>
    </w:p>
    <w:p w14:paraId="55476CFD" w14:textId="77777777" w:rsidR="00FC0DA7" w:rsidRDefault="00FC0DA7" w:rsidP="00FC0DA7">
      <w:pPr>
        <w:jc w:val="both"/>
        <w:rPr>
          <w:i/>
          <w:iCs/>
        </w:rPr>
      </w:pPr>
      <w:r>
        <w:rPr>
          <w:i/>
          <w:iCs/>
        </w:rPr>
        <w:t>Tendances et points essentiels concernant le programme</w:t>
      </w:r>
    </w:p>
    <w:p w14:paraId="302D134F" w14:textId="77777777" w:rsidR="00FC0DA7" w:rsidRPr="000709C9" w:rsidRDefault="00FC0DA7" w:rsidP="00FC0DA7">
      <w:pPr>
        <w:jc w:val="both"/>
        <w:rPr>
          <w:i/>
          <w:iCs/>
        </w:rPr>
      </w:pPr>
    </w:p>
    <w:p w14:paraId="4C4A78AB" w14:textId="77777777" w:rsidR="00FC0DA7" w:rsidRDefault="00FC0DA7" w:rsidP="00FC0DA7">
      <w:pPr>
        <w:jc w:val="both"/>
      </w:pPr>
      <w:r>
        <w:t>L’un des principaux objectifs durant cet exercice biennal restera de maintenir la compétitivité des systèmes mondiaux de propriété intellectuelle.  Nous appliquerons des stratégies semblables à celles appliquées jusqu’à présent dans ce domaine.  Ces stratégies consistent à élargir la portée mondiale des systèmes, notamment des systèmes de Madrid et de La Haye, et à renforcer la participation des États appartenant à des régions insuffisamment représentées, notamment l’Amérique latine;  à investir dans le développement des environnements informatiques des systèmes mondiaux afin de les rendre plus conviviaux, plus sûrs et plus résilients;  et à améliorer les processus et les procédures sur lesquels reposent les systèmes afin de garantir le bon fonctionnement et l’efficacité de ceux-ci.  Nous espérons en particulier réaliser des progrès dans l’élaboration d’un nouvel environnement informatique pour le système de Madrid et pouvoir mettre en place un nouvel environnement informatique pour le système de La Haye, qui permettra de gérer les taux de croissance élevés prévus concernant le système de La Haye sans pour autant devoir augmenter les dépenses de personnel.  Nous allons également poursuivre les travaux commencés au cours de l’actuel exercice biennal visant à renforcer, dans la mesure souhaitée, les synergies entre les environnements informatiques des systèmes mondiaux de propriété intellectuelle et les finances, afin de pouvoir proposer aux utilisateurs une expérience fluide et cohérente fondée sur un système mondial de propriété intellectuelle.</w:t>
      </w:r>
    </w:p>
    <w:p w14:paraId="60041016" w14:textId="77777777" w:rsidR="00FC0DA7" w:rsidRDefault="00FC0DA7" w:rsidP="00FC0DA7">
      <w:pPr>
        <w:jc w:val="both"/>
      </w:pPr>
    </w:p>
    <w:p w14:paraId="16E9FF46" w14:textId="77777777" w:rsidR="00FC0DA7" w:rsidRPr="000709C9" w:rsidRDefault="00FC0DA7" w:rsidP="00FC0DA7">
      <w:pPr>
        <w:jc w:val="both"/>
      </w:pPr>
      <w:r>
        <w:t>Des résultats remarquables ont été obtenus dans le domaine de l’infrastructure mondiale, résultats qui ont profité aux offices de propriété intellectuelle, aux utilisateurs et au grand public.  Ce domaine restera également l’une des priorités du programme compte tenu de la forte demande des États membres.  Plus de 80 offices de propriété intellectuelle dans le monde, notamment dans les pays en développement,</w:t>
      </w:r>
      <w:r w:rsidRPr="001A5656">
        <w:t xml:space="preserve"> les PMA</w:t>
      </w:r>
      <w:r>
        <w:t xml:space="preserve"> et les pays en transition, utilisent à des degrés divers les modules informatiques proposés par l’Organisation pour des tâches d’administration ou de traitement.  Les plateformes, outils et bases de données créés par l’Organisation forment peu à peu un réseau de connaissances de l’OMPI.  Ce réseau, qui met en relation les offices de propriété intellectuelle des États membres et les systèmes mondiaux de propriété intellectuelle de l’Organisation, forme un système mondial au sein duquel sont regroupées les données sur l’activité en matière de propriété intellectuelle à l’échelle mondiale à partir desquelles sont créés des produits de connaissance utiles, tels que les bases de données mondiales,</w:t>
      </w:r>
      <w:r w:rsidRPr="001A5656">
        <w:t xml:space="preserve"> les CAT</w:t>
      </w:r>
      <w:r>
        <w:t>I (centres d’appui à la technologie et à l’innovation) ou encore les rapports d’analyse statistique et économique.  Ce réseau présente également un avantage non négligeable : il permet de partager des données dans différentes langues et de mieux les comprendre grâce à des outils de traduction sophistiqués, tels que WIPO Translate, qui sont le fruit du travail d’avant-garde accompli par le Secrétariat dans le domaine des réseaux neuronaux et de l’apprentissage profond.</w:t>
      </w:r>
    </w:p>
    <w:p w14:paraId="29F2EDC2" w14:textId="77777777" w:rsidR="00FC0DA7" w:rsidRDefault="00FC0DA7" w:rsidP="00FC0DA7">
      <w:pPr>
        <w:jc w:val="both"/>
        <w:rPr>
          <w:lang w:val="fr-CH"/>
        </w:rPr>
      </w:pPr>
    </w:p>
    <w:p w14:paraId="607842C2" w14:textId="77777777" w:rsidR="00A7266D" w:rsidRPr="00615AD0" w:rsidRDefault="00A7266D" w:rsidP="00FC0DA7">
      <w:pPr>
        <w:jc w:val="both"/>
        <w:rPr>
          <w:lang w:val="fr-CH"/>
        </w:rPr>
      </w:pPr>
      <w:r w:rsidRPr="00615AD0">
        <w:rPr>
          <w:lang w:val="fr-CH"/>
        </w:rPr>
        <w:t>Les travaux menés par le Secrétariat en matière d</w:t>
      </w:r>
      <w:r>
        <w:rPr>
          <w:lang w:val="fr-CH"/>
        </w:rPr>
        <w:t>’</w:t>
      </w:r>
      <w:r w:rsidRPr="00615AD0">
        <w:rPr>
          <w:lang w:val="fr-CH"/>
        </w:rPr>
        <w:t>analyse statistique et économique ont été très appréciés des États membres et du grand public, du fait qu</w:t>
      </w:r>
      <w:r>
        <w:rPr>
          <w:lang w:val="fr-CH"/>
        </w:rPr>
        <w:t>’</w:t>
      </w:r>
      <w:r w:rsidRPr="00615AD0">
        <w:rPr>
          <w:lang w:val="fr-CH"/>
        </w:rPr>
        <w:t>ils aident les décideurs à comprendre le paysage de plus en plus complexe de la propriété intellectuelle dans le monde</w:t>
      </w:r>
      <w:r>
        <w:rPr>
          <w:lang w:val="fr-CH"/>
        </w:rPr>
        <w:t xml:space="preserve">.  </w:t>
      </w:r>
      <w:r w:rsidRPr="00615AD0">
        <w:rPr>
          <w:lang w:val="fr-CH"/>
        </w:rPr>
        <w:t>Nous continuerons d</w:t>
      </w:r>
      <w:r>
        <w:rPr>
          <w:lang w:val="fr-CH"/>
        </w:rPr>
        <w:t>’</w:t>
      </w:r>
      <w:r w:rsidRPr="00615AD0">
        <w:rPr>
          <w:lang w:val="fr-CH"/>
        </w:rPr>
        <w:t>investir dans le développement de ce domaine</w:t>
      </w:r>
      <w:r>
        <w:rPr>
          <w:lang w:val="fr-CH"/>
        </w:rPr>
        <w:t xml:space="preserve">.  </w:t>
      </w:r>
      <w:r w:rsidRPr="00615AD0">
        <w:rPr>
          <w:lang w:val="fr-CH"/>
        </w:rPr>
        <w:t>En particulier, nous espérons continuer d</w:t>
      </w:r>
      <w:r>
        <w:rPr>
          <w:lang w:val="fr-CH"/>
        </w:rPr>
        <w:t>’</w:t>
      </w:r>
      <w:r w:rsidRPr="00615AD0">
        <w:rPr>
          <w:lang w:val="fr-CH"/>
        </w:rPr>
        <w:t>améliorer l</w:t>
      </w:r>
      <w:r>
        <w:rPr>
          <w:lang w:val="fr-CH"/>
        </w:rPr>
        <w:t>’</w:t>
      </w:r>
      <w:r w:rsidRPr="00615AD0">
        <w:rPr>
          <w:lang w:val="fr-CH"/>
        </w:rPr>
        <w:t>Indice mondial de l</w:t>
      </w:r>
      <w:r>
        <w:rPr>
          <w:lang w:val="fr-CH"/>
        </w:rPr>
        <w:t>’</w:t>
      </w:r>
      <w:r w:rsidRPr="00615AD0">
        <w:rPr>
          <w:lang w:val="fr-CH"/>
        </w:rPr>
        <w:t>innovation, compte tenu également des travaux novateurs effectués pour recenser des secteurs d</w:t>
      </w:r>
      <w:r>
        <w:rPr>
          <w:lang w:val="fr-CH"/>
        </w:rPr>
        <w:t>’</w:t>
      </w:r>
      <w:r w:rsidRPr="00615AD0">
        <w:rPr>
          <w:lang w:val="fr-CH"/>
        </w:rPr>
        <w:t xml:space="preserve">activité au niveau </w:t>
      </w:r>
      <w:r>
        <w:rPr>
          <w:lang w:val="fr-CH"/>
        </w:rPr>
        <w:t>infra</w:t>
      </w:r>
      <w:r w:rsidRPr="00615AD0">
        <w:rPr>
          <w:lang w:val="fr-CH"/>
        </w:rPr>
        <w:t>national, et étendre nos capacités concernant l</w:t>
      </w:r>
      <w:r>
        <w:rPr>
          <w:lang w:val="fr-CH"/>
        </w:rPr>
        <w:t>’</w:t>
      </w:r>
      <w:r w:rsidRPr="00615AD0">
        <w:rPr>
          <w:lang w:val="fr-CH"/>
        </w:rPr>
        <w:t>établissement d</w:t>
      </w:r>
      <w:r>
        <w:rPr>
          <w:lang w:val="fr-CH"/>
        </w:rPr>
        <w:t>’</w:t>
      </w:r>
      <w:r w:rsidRPr="00615AD0">
        <w:rPr>
          <w:lang w:val="fr-CH"/>
        </w:rPr>
        <w:t>indices aux industries de la création.</w:t>
      </w:r>
    </w:p>
    <w:p w14:paraId="00A60304" w14:textId="77777777" w:rsidR="00A7266D" w:rsidRDefault="00A7266D" w:rsidP="00A7266D">
      <w:pPr>
        <w:jc w:val="both"/>
        <w:rPr>
          <w:lang w:val="fr-CH"/>
        </w:rPr>
      </w:pPr>
    </w:p>
    <w:p w14:paraId="7BCE7190" w14:textId="77777777" w:rsidR="00A7266D" w:rsidRDefault="00A7266D" w:rsidP="00A7266D">
      <w:pPr>
        <w:jc w:val="both"/>
        <w:rPr>
          <w:lang w:val="fr-CH"/>
        </w:rPr>
      </w:pPr>
      <w:r w:rsidRPr="00615AD0">
        <w:rPr>
          <w:lang w:val="fr-CH"/>
        </w:rPr>
        <w:t>Comme toujours, la mise en valeur du capital humain reste une priorité</w:t>
      </w:r>
      <w:r>
        <w:rPr>
          <w:lang w:val="fr-CH"/>
        </w:rPr>
        <w:t xml:space="preserve">.  </w:t>
      </w:r>
      <w:r w:rsidRPr="00615AD0">
        <w:rPr>
          <w:lang w:val="fr-CH"/>
        </w:rPr>
        <w:t>Nous espérons que les programmes de l</w:t>
      </w:r>
      <w:r>
        <w:rPr>
          <w:lang w:val="fr-CH"/>
        </w:rPr>
        <w:t>’</w:t>
      </w:r>
      <w:r w:rsidRPr="00615AD0">
        <w:rPr>
          <w:lang w:val="fr-CH"/>
        </w:rPr>
        <w:t>Académie de l</w:t>
      </w:r>
      <w:r>
        <w:rPr>
          <w:lang w:val="fr-CH"/>
        </w:rPr>
        <w:t>’</w:t>
      </w:r>
      <w:r w:rsidRPr="00615AD0">
        <w:rPr>
          <w:lang w:val="fr-CH"/>
        </w:rPr>
        <w:t>OMPI, très demandés et appréciés, continueront de s</w:t>
      </w:r>
      <w:r>
        <w:rPr>
          <w:lang w:val="fr-CH"/>
        </w:rPr>
        <w:t>’</w:t>
      </w:r>
      <w:r w:rsidRPr="00615AD0">
        <w:rPr>
          <w:lang w:val="fr-CH"/>
        </w:rPr>
        <w:t>étoffer</w:t>
      </w:r>
      <w:r>
        <w:rPr>
          <w:lang w:val="fr-CH"/>
        </w:rPr>
        <w:t xml:space="preserve">.  </w:t>
      </w:r>
      <w:r w:rsidRPr="00615AD0">
        <w:rPr>
          <w:lang w:val="fr-CH"/>
        </w:rPr>
        <w:t>Nous entamerons des travaux en vue de la création d</w:t>
      </w:r>
      <w:r>
        <w:rPr>
          <w:lang w:val="fr-CH"/>
        </w:rPr>
        <w:t>’</w:t>
      </w:r>
      <w:r w:rsidRPr="00615AD0">
        <w:rPr>
          <w:lang w:val="fr-CH"/>
        </w:rPr>
        <w:t>un tuteur numérique fonctionnant grâce à l</w:t>
      </w:r>
      <w:r>
        <w:rPr>
          <w:lang w:val="fr-CH"/>
        </w:rPr>
        <w:t>’</w:t>
      </w:r>
      <w:r w:rsidRPr="00615AD0">
        <w:rPr>
          <w:lang w:val="fr-CH"/>
        </w:rPr>
        <w:t>intelligence artificielle</w:t>
      </w:r>
      <w:r>
        <w:rPr>
          <w:lang w:val="fr-CH"/>
        </w:rPr>
        <w:t xml:space="preserve">.  </w:t>
      </w:r>
      <w:r w:rsidRPr="00615AD0">
        <w:rPr>
          <w:lang w:val="fr-CH"/>
        </w:rPr>
        <w:t>Les résultats préliminaires relatifs à l</w:t>
      </w:r>
      <w:r>
        <w:rPr>
          <w:lang w:val="fr-CH"/>
        </w:rPr>
        <w:t>’</w:t>
      </w:r>
      <w:r w:rsidRPr="00615AD0">
        <w:rPr>
          <w:lang w:val="fr-CH"/>
        </w:rPr>
        <w:t>utilisation des tuteurs numériques font état de résultats très prometteurs</w:t>
      </w:r>
      <w:r>
        <w:rPr>
          <w:lang w:val="fr-CH"/>
        </w:rPr>
        <w:t xml:space="preserve">.  </w:t>
      </w:r>
      <w:r w:rsidRPr="00615AD0">
        <w:rPr>
          <w:lang w:val="fr-CH"/>
        </w:rPr>
        <w:t>Un tel outil contribuerait grandement à renforcer la capacité de l</w:t>
      </w:r>
      <w:r>
        <w:rPr>
          <w:lang w:val="fr-CH"/>
        </w:rPr>
        <w:t>’</w:t>
      </w:r>
      <w:r w:rsidRPr="00615AD0">
        <w:rPr>
          <w:lang w:val="fr-CH"/>
        </w:rPr>
        <w:t>Organisation de répondre à la demande croissante de formation dans le cadre de ses programmes d</w:t>
      </w:r>
      <w:r>
        <w:rPr>
          <w:lang w:val="fr-CH"/>
        </w:rPr>
        <w:t>’</w:t>
      </w:r>
      <w:r w:rsidRPr="00615AD0">
        <w:rPr>
          <w:lang w:val="fr-CH"/>
        </w:rPr>
        <w:t>enseignement à distance.</w:t>
      </w:r>
    </w:p>
    <w:p w14:paraId="39E79B99" w14:textId="77777777" w:rsidR="00A7266D" w:rsidRDefault="00A7266D" w:rsidP="00A7266D">
      <w:pPr>
        <w:jc w:val="both"/>
        <w:rPr>
          <w:lang w:val="fr-CH"/>
        </w:rPr>
      </w:pPr>
    </w:p>
    <w:p w14:paraId="05490C62" w14:textId="77777777" w:rsidR="00A7266D" w:rsidRDefault="00A7266D" w:rsidP="00A7266D">
      <w:pPr>
        <w:jc w:val="both"/>
        <w:rPr>
          <w:lang w:val="fr-CH"/>
        </w:rPr>
      </w:pPr>
      <w:r w:rsidRPr="00615AD0">
        <w:rPr>
          <w:lang w:val="fr-CH"/>
        </w:rPr>
        <w:t>Les progrès accomplis dans le domaine normatif dépendent de l</w:t>
      </w:r>
      <w:r>
        <w:rPr>
          <w:lang w:val="fr-CH"/>
        </w:rPr>
        <w:t>’</w:t>
      </w:r>
      <w:r w:rsidRPr="00615AD0">
        <w:rPr>
          <w:lang w:val="fr-CH"/>
        </w:rPr>
        <w:t>engagement des États membres et de leur volonté politique d</w:t>
      </w:r>
      <w:r>
        <w:rPr>
          <w:lang w:val="fr-CH"/>
        </w:rPr>
        <w:t>’</w:t>
      </w:r>
      <w:r w:rsidRPr="00615AD0">
        <w:rPr>
          <w:lang w:val="fr-CH"/>
        </w:rPr>
        <w:t>aboutir à des résultats</w:t>
      </w:r>
      <w:r>
        <w:rPr>
          <w:lang w:val="fr-CH"/>
        </w:rPr>
        <w:t xml:space="preserve">.  </w:t>
      </w:r>
      <w:r w:rsidRPr="00615AD0">
        <w:rPr>
          <w:lang w:val="fr-CH"/>
        </w:rPr>
        <w:t xml:space="preserve">Nous avons accepté la possibilité de convoquer </w:t>
      </w:r>
      <w:r w:rsidRPr="00615AD0">
        <w:rPr>
          <w:lang w:val="fr-CH"/>
        </w:rPr>
        <w:lastRenderedPageBreak/>
        <w:t>une conférence diplomatique si les États membres parviennent à un accord sur l</w:t>
      </w:r>
      <w:r>
        <w:rPr>
          <w:lang w:val="fr-CH"/>
        </w:rPr>
        <w:t>’</w:t>
      </w:r>
      <w:r w:rsidRPr="00615AD0">
        <w:rPr>
          <w:lang w:val="fr-CH"/>
        </w:rPr>
        <w:t>un des thèmes dont les délibérations sont déjà bien avancées, pour franchir la dernière étape en vue de la conclusion d</w:t>
      </w:r>
      <w:r>
        <w:rPr>
          <w:lang w:val="fr-CH"/>
        </w:rPr>
        <w:t>’</w:t>
      </w:r>
      <w:r w:rsidRPr="00615AD0">
        <w:rPr>
          <w:lang w:val="fr-CH"/>
        </w:rPr>
        <w:t>un traité.</w:t>
      </w:r>
    </w:p>
    <w:p w14:paraId="5E6CD03C" w14:textId="77777777" w:rsidR="00A7266D" w:rsidRDefault="00A7266D" w:rsidP="00A7266D">
      <w:pPr>
        <w:jc w:val="both"/>
        <w:rPr>
          <w:lang w:val="fr-CH"/>
        </w:rPr>
      </w:pPr>
    </w:p>
    <w:p w14:paraId="0F7D7653" w14:textId="77777777" w:rsidR="00A7266D" w:rsidRDefault="00A7266D" w:rsidP="00A7266D">
      <w:pPr>
        <w:jc w:val="both"/>
        <w:rPr>
          <w:lang w:val="fr-CH"/>
        </w:rPr>
      </w:pPr>
      <w:r w:rsidRPr="00615AD0">
        <w:rPr>
          <w:lang w:val="fr-CH"/>
        </w:rPr>
        <w:t>La dimension du développement est prise en considération dans tous les programmes de l</w:t>
      </w:r>
      <w:r>
        <w:rPr>
          <w:lang w:val="fr-CH"/>
        </w:rPr>
        <w:t>’</w:t>
      </w:r>
      <w:r w:rsidRPr="00615AD0">
        <w:rPr>
          <w:lang w:val="fr-CH"/>
        </w:rPr>
        <w:t>Organisation, et la coordination de cette question est assurée par le Secteur du développement dans le cadre du Plan d</w:t>
      </w:r>
      <w:r>
        <w:rPr>
          <w:lang w:val="fr-CH"/>
        </w:rPr>
        <w:t>’</w:t>
      </w:r>
      <w:r w:rsidRPr="00615AD0">
        <w:rPr>
          <w:lang w:val="fr-CH"/>
        </w:rPr>
        <w:t>action pour le développement</w:t>
      </w:r>
      <w:r>
        <w:rPr>
          <w:lang w:val="fr-CH"/>
        </w:rPr>
        <w:t xml:space="preserve">.  </w:t>
      </w:r>
      <w:r w:rsidRPr="00615AD0">
        <w:rPr>
          <w:lang w:val="fr-CH"/>
        </w:rPr>
        <w:t>Cette question reste une priorité essentielle pour l</w:t>
      </w:r>
      <w:r>
        <w:rPr>
          <w:lang w:val="fr-CH"/>
        </w:rPr>
        <w:t>’</w:t>
      </w:r>
      <w:r w:rsidRPr="00615AD0">
        <w:rPr>
          <w:lang w:val="fr-CH"/>
        </w:rPr>
        <w:t>Organisation et l</w:t>
      </w:r>
      <w:r>
        <w:rPr>
          <w:lang w:val="fr-CH"/>
        </w:rPr>
        <w:t>’</w:t>
      </w:r>
      <w:r w:rsidRPr="00615AD0">
        <w:rPr>
          <w:lang w:val="fr-CH"/>
        </w:rPr>
        <w:t>ensemble de ses programmes</w:t>
      </w:r>
      <w:r>
        <w:rPr>
          <w:lang w:val="fr-CH"/>
        </w:rPr>
        <w:t xml:space="preserve">.  </w:t>
      </w:r>
      <w:r w:rsidRPr="00615AD0">
        <w:rPr>
          <w:lang w:val="fr-CH"/>
        </w:rPr>
        <w:t>Les dépenses engagées en faveur du développement, selon la définition nouvellement approuvée des dépenses de développement, s</w:t>
      </w:r>
      <w:r>
        <w:rPr>
          <w:lang w:val="fr-CH"/>
        </w:rPr>
        <w:t>’</w:t>
      </w:r>
      <w:r w:rsidRPr="00615AD0">
        <w:rPr>
          <w:lang w:val="fr-CH"/>
        </w:rPr>
        <w:t>élèveront à 18,3% (un chiffre qui n</w:t>
      </w:r>
      <w:r>
        <w:rPr>
          <w:lang w:val="fr-CH"/>
        </w:rPr>
        <w:t>’</w:t>
      </w:r>
      <w:r w:rsidRPr="00615AD0">
        <w:rPr>
          <w:lang w:val="fr-CH"/>
        </w:rPr>
        <w:t>a pas d</w:t>
      </w:r>
      <w:r>
        <w:rPr>
          <w:lang w:val="fr-CH"/>
        </w:rPr>
        <w:t>’</w:t>
      </w:r>
      <w:r w:rsidRPr="00615AD0">
        <w:rPr>
          <w:lang w:val="fr-CH"/>
        </w:rPr>
        <w:t>équivalent durant l</w:t>
      </w:r>
      <w:r>
        <w:rPr>
          <w:lang w:val="fr-CH"/>
        </w:rPr>
        <w:t>’</w:t>
      </w:r>
      <w:r w:rsidRPr="00615AD0">
        <w:rPr>
          <w:lang w:val="fr-CH"/>
        </w:rPr>
        <w:t>exercice biennal en cours compte tenu de la modification de la définition).</w:t>
      </w:r>
    </w:p>
    <w:p w14:paraId="5B31108A" w14:textId="77777777" w:rsidR="00A7266D" w:rsidRDefault="00A7266D" w:rsidP="00A7266D">
      <w:pPr>
        <w:jc w:val="both"/>
        <w:rPr>
          <w:lang w:val="fr-CH"/>
        </w:rPr>
      </w:pPr>
    </w:p>
    <w:p w14:paraId="0454556E" w14:textId="1A0BB847" w:rsidR="00A7266D" w:rsidRPr="00615AD0" w:rsidRDefault="00A7266D" w:rsidP="00591A2F">
      <w:pPr>
        <w:jc w:val="both"/>
        <w:rPr>
          <w:lang w:val="fr-CH"/>
        </w:rPr>
      </w:pPr>
      <w:r w:rsidRPr="00615AD0">
        <w:rPr>
          <w:lang w:val="fr-CH"/>
        </w:rPr>
        <w:t>De même, les objectifs de développement durable occupent une place importante dans la conception et l</w:t>
      </w:r>
      <w:r>
        <w:rPr>
          <w:lang w:val="fr-CH"/>
        </w:rPr>
        <w:t>’</w:t>
      </w:r>
      <w:r w:rsidRPr="00615AD0">
        <w:rPr>
          <w:lang w:val="fr-CH"/>
        </w:rPr>
        <w:t>exécution des programmes</w:t>
      </w:r>
      <w:r>
        <w:rPr>
          <w:lang w:val="fr-CH"/>
        </w:rPr>
        <w:t xml:space="preserve">.  </w:t>
      </w:r>
      <w:r w:rsidR="00591A2F" w:rsidRPr="00591A2F">
        <w:rPr>
          <w:lang w:val="fr-CH"/>
        </w:rPr>
        <w:t>Le cadre des résultats de l’Organisation met bien en évidence les objectifs stratégiques et les résultats escomptés qui contribuent directement à la réalisation des objectifs de développement durable.</w:t>
      </w:r>
    </w:p>
    <w:p w14:paraId="325E0187" w14:textId="77777777" w:rsidR="00A7266D" w:rsidRDefault="00A7266D" w:rsidP="00A7266D">
      <w:pPr>
        <w:jc w:val="both"/>
        <w:rPr>
          <w:lang w:val="fr-CH"/>
        </w:rPr>
      </w:pPr>
    </w:p>
    <w:p w14:paraId="5B6D6418" w14:textId="77777777" w:rsidR="00A7266D" w:rsidRPr="00615AD0" w:rsidRDefault="00A7266D" w:rsidP="00A7266D">
      <w:pPr>
        <w:jc w:val="both"/>
        <w:rPr>
          <w:lang w:val="fr-CH"/>
        </w:rPr>
      </w:pPr>
      <w:r w:rsidRPr="00615AD0">
        <w:rPr>
          <w:lang w:val="fr-CH"/>
        </w:rPr>
        <w:t>L</w:t>
      </w:r>
      <w:r>
        <w:rPr>
          <w:lang w:val="fr-CH"/>
        </w:rPr>
        <w:t>’</w:t>
      </w:r>
      <w:r w:rsidRPr="00615AD0">
        <w:rPr>
          <w:lang w:val="fr-CH"/>
        </w:rPr>
        <w:t>élaboration d</w:t>
      </w:r>
      <w:r>
        <w:rPr>
          <w:lang w:val="fr-CH"/>
        </w:rPr>
        <w:t>’</w:t>
      </w:r>
      <w:r w:rsidRPr="00615AD0">
        <w:rPr>
          <w:lang w:val="fr-CH"/>
        </w:rPr>
        <w:t>un projet de programme et budget est une tâche immense et complexe</w:t>
      </w:r>
      <w:r>
        <w:rPr>
          <w:lang w:val="fr-CH"/>
        </w:rPr>
        <w:t xml:space="preserve">.  </w:t>
      </w:r>
      <w:r w:rsidRPr="00615AD0">
        <w:rPr>
          <w:lang w:val="fr-CH"/>
        </w:rPr>
        <w:t>Je saisis cette occasion pour remercier l</w:t>
      </w:r>
      <w:r>
        <w:rPr>
          <w:lang w:val="fr-CH"/>
        </w:rPr>
        <w:t>’</w:t>
      </w:r>
      <w:r w:rsidRPr="00615AD0">
        <w:rPr>
          <w:lang w:val="fr-CH"/>
        </w:rPr>
        <w:t>ensemble de mes collègues au sein de l</w:t>
      </w:r>
      <w:r>
        <w:rPr>
          <w:lang w:val="fr-CH"/>
        </w:rPr>
        <w:t>’</w:t>
      </w:r>
      <w:r w:rsidRPr="00615AD0">
        <w:rPr>
          <w:lang w:val="fr-CH"/>
        </w:rPr>
        <w:t>Organisation pour leur temps, leurs efforts et leur détermination dans l</w:t>
      </w:r>
      <w:r>
        <w:rPr>
          <w:lang w:val="fr-CH"/>
        </w:rPr>
        <w:t>’</w:t>
      </w:r>
      <w:r w:rsidRPr="00615AD0">
        <w:rPr>
          <w:lang w:val="fr-CH"/>
        </w:rPr>
        <w:t>établissement de ce projet.</w:t>
      </w:r>
    </w:p>
    <w:p w14:paraId="47CED3FE" w14:textId="77777777" w:rsidR="00A7266D" w:rsidRPr="00A206C0" w:rsidRDefault="00A7266D" w:rsidP="00A7266D"/>
    <w:p w14:paraId="64A782F3" w14:textId="77777777" w:rsidR="00A7266D" w:rsidRPr="00A206C0" w:rsidRDefault="00A7266D" w:rsidP="00A7266D">
      <w:pPr>
        <w:ind w:left="5670"/>
        <w:rPr>
          <w:lang w:val="en"/>
        </w:rPr>
      </w:pPr>
      <w:r w:rsidRPr="00A206C0">
        <w:rPr>
          <w:noProof/>
          <w:lang w:val="en-US" w:eastAsia="en-US"/>
        </w:rPr>
        <w:drawing>
          <wp:inline distT="0" distB="0" distL="0" distR="0" wp14:anchorId="3DE571B5" wp14:editId="26481368">
            <wp:extent cx="1598295" cy="508635"/>
            <wp:effectExtent l="0" t="0" r="0" b="571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09578FA7" w14:textId="77777777" w:rsidR="00A7266D" w:rsidRPr="00A206C0" w:rsidRDefault="00A7266D" w:rsidP="00A7266D">
      <w:pPr>
        <w:ind w:left="5387"/>
        <w:jc w:val="right"/>
        <w:rPr>
          <w:lang w:val="en"/>
        </w:rPr>
      </w:pPr>
    </w:p>
    <w:p w14:paraId="7F2EB84E" w14:textId="77777777" w:rsidR="00A7266D" w:rsidRPr="00591A2F" w:rsidRDefault="00A7266D" w:rsidP="00A7266D">
      <w:pPr>
        <w:pStyle w:val="NormalWeb"/>
        <w:shd w:val="clear" w:color="auto" w:fill="FFFFFF"/>
        <w:ind w:left="6096"/>
        <w:rPr>
          <w:rFonts w:ascii="Arial" w:hAnsi="Arial" w:cs="Arial"/>
          <w:sz w:val="20"/>
          <w:szCs w:val="20"/>
        </w:rPr>
      </w:pPr>
      <w:r w:rsidRPr="00591A2F">
        <w:rPr>
          <w:rFonts w:ascii="Arial" w:hAnsi="Arial" w:cs="Arial"/>
          <w:sz w:val="20"/>
          <w:szCs w:val="20"/>
        </w:rPr>
        <w:t>Francis Gurry</w:t>
      </w:r>
    </w:p>
    <w:p w14:paraId="741C7577" w14:textId="320B8781" w:rsidR="00A7266D" w:rsidRDefault="00A7266D" w:rsidP="00A7266D">
      <w:pPr>
        <w:ind w:left="5529" w:firstLine="567"/>
      </w:pPr>
      <w:r w:rsidRPr="00591A2F">
        <w:rPr>
          <w:rFonts w:cs="Arial"/>
          <w:szCs w:val="20"/>
        </w:rPr>
        <w:t>Directeur général</w:t>
      </w:r>
    </w:p>
    <w:p w14:paraId="6BC6B91E" w14:textId="77777777" w:rsidR="00A7266D" w:rsidRDefault="00A7266D" w:rsidP="00BB3BF5"/>
    <w:p w14:paraId="79889366" w14:textId="5D830F3A" w:rsidR="0060494B" w:rsidRDefault="0060494B" w:rsidP="00BB3BF5">
      <w:pPr>
        <w:rPr>
          <w:rFonts w:ascii="Arial Bold" w:eastAsia="SimSun" w:hAnsi="Arial Bold" w:cs="Arial" w:hint="eastAsia"/>
          <w:b/>
          <w:bCs/>
          <w:caps/>
          <w:kern w:val="32"/>
          <w:sz w:val="22"/>
          <w:szCs w:val="32"/>
          <w:lang w:eastAsia="en-US"/>
        </w:rPr>
      </w:pPr>
      <w:r>
        <w:rPr>
          <w:rFonts w:hint="eastAsia"/>
        </w:rPr>
        <w:br w:type="page"/>
      </w:r>
    </w:p>
    <w:p w14:paraId="2F4CCC18" w14:textId="54D8CFB9" w:rsidR="00D80270" w:rsidRPr="00D80270" w:rsidRDefault="00D80270" w:rsidP="00986700">
      <w:pPr>
        <w:pStyle w:val="Heading1"/>
        <w:ind w:left="567" w:hanging="567"/>
        <w:rPr>
          <w:rFonts w:hint="eastAsia"/>
        </w:rPr>
      </w:pPr>
      <w:bookmarkStart w:id="9" w:name="_Toc367350562"/>
      <w:bookmarkStart w:id="10" w:name="_Toc482095984"/>
      <w:bookmarkStart w:id="11" w:name="_Toc482096536"/>
      <w:bookmarkStart w:id="12" w:name="_Toc482096819"/>
      <w:bookmarkStart w:id="13" w:name="_Toc482097092"/>
      <w:bookmarkStart w:id="14" w:name="_Toc482110785"/>
      <w:bookmarkStart w:id="15" w:name="_Toc482979469"/>
      <w:bookmarkStart w:id="16" w:name="_Toc367350570"/>
      <w:bookmarkStart w:id="17" w:name="_Toc481222370"/>
      <w:r w:rsidRPr="00D80270">
        <w:lastRenderedPageBreak/>
        <w:t>I.</w:t>
      </w:r>
      <w:r w:rsidRPr="00D80270">
        <w:tab/>
      </w:r>
      <w:bookmarkEnd w:id="9"/>
      <w:bookmarkEnd w:id="10"/>
      <w:bookmarkEnd w:id="11"/>
      <w:bookmarkEnd w:id="12"/>
      <w:bookmarkEnd w:id="13"/>
      <w:bookmarkEnd w:id="14"/>
      <w:r w:rsidRPr="00D80270">
        <w:rPr>
          <w:rFonts w:hint="eastAsia"/>
        </w:rPr>
        <w:t>Présentation générale de la situation financière et des résultats</w:t>
      </w:r>
      <w:bookmarkEnd w:id="15"/>
    </w:p>
    <w:p w14:paraId="303E9201" w14:textId="77777777" w:rsidR="00D80270" w:rsidRPr="00701F12" w:rsidRDefault="00D80270" w:rsidP="00986700">
      <w:pPr>
        <w:jc w:val="both"/>
      </w:pPr>
    </w:p>
    <w:p w14:paraId="6B740FAB" w14:textId="77777777" w:rsidR="00D80270" w:rsidRPr="00701F12" w:rsidRDefault="00D80270" w:rsidP="00986700">
      <w:pPr>
        <w:jc w:val="both"/>
      </w:pPr>
    </w:p>
    <w:p w14:paraId="5E8A151F" w14:textId="77777777" w:rsidR="00D80270" w:rsidRDefault="00D80270" w:rsidP="00616FD3">
      <w:pPr>
        <w:pStyle w:val="ListParagraph"/>
        <w:numPr>
          <w:ilvl w:val="0"/>
          <w:numId w:val="59"/>
        </w:numPr>
        <w:tabs>
          <w:tab w:val="left" w:pos="567"/>
        </w:tabs>
        <w:ind w:left="0" w:firstLine="0"/>
        <w:jc w:val="both"/>
        <w:rPr>
          <w:rFonts w:cs="Arial"/>
        </w:rPr>
      </w:pPr>
      <w:r w:rsidRPr="0063749C">
        <w:t>Le présent programme et budget indique la planification pour l</w:t>
      </w:r>
      <w:r>
        <w:t>’</w:t>
      </w:r>
      <w:r w:rsidRPr="0063749C">
        <w:t>exercice biennal</w:t>
      </w:r>
      <w:r>
        <w:t> </w:t>
      </w:r>
      <w:r w:rsidRPr="0063749C">
        <w:t>2018</w:t>
      </w:r>
      <w:r>
        <w:t>-</w:t>
      </w:r>
      <w:r w:rsidRPr="0063749C">
        <w:t>2019, inspirée par le Plan stratégique à moyen terme 2016</w:t>
      </w:r>
      <w:r>
        <w:t>-</w:t>
      </w:r>
      <w:r w:rsidRPr="0063749C">
        <w:t>2021 (PSMT)</w:t>
      </w:r>
      <w:r w:rsidRPr="0063749C">
        <w:rPr>
          <w:rStyle w:val="FootnoteReference"/>
        </w:rPr>
        <w:footnoteReference w:id="2"/>
      </w:r>
      <w:r w:rsidRPr="0063749C">
        <w:t>, les contributions reçues des États membres et du Programme de développement durable à l</w:t>
      </w:r>
      <w:r>
        <w:t>’</w:t>
      </w:r>
      <w:r w:rsidRPr="0063749C">
        <w:t>horizon 2030.</w:t>
      </w:r>
      <w:r w:rsidRPr="00701F12">
        <w:t xml:space="preserve">  </w:t>
      </w:r>
      <w:r w:rsidRPr="0063749C">
        <w:t>Le tableau</w:t>
      </w:r>
      <w:r>
        <w:t> </w:t>
      </w:r>
      <w:r w:rsidRPr="0063749C">
        <w:t>1 ci</w:t>
      </w:r>
      <w:r>
        <w:t>-</w:t>
      </w:r>
      <w:r w:rsidRPr="0063749C">
        <w:t>dessous donne un aperçu des principaux paramètres de planification financière pour l</w:t>
      </w:r>
      <w:r>
        <w:t>’</w:t>
      </w:r>
      <w:r w:rsidRPr="0063749C">
        <w:t>exercice biennal</w:t>
      </w:r>
      <w:r>
        <w:t> </w:t>
      </w:r>
      <w:r w:rsidRPr="0063749C">
        <w:t>2018</w:t>
      </w:r>
      <w:r>
        <w:t>-</w:t>
      </w:r>
      <w:r w:rsidRPr="0063749C">
        <w:t>2019.</w:t>
      </w:r>
    </w:p>
    <w:p w14:paraId="725925CB" w14:textId="77777777" w:rsidR="00D80270" w:rsidRPr="00701F12" w:rsidRDefault="00D80270" w:rsidP="00986700">
      <w:pPr>
        <w:jc w:val="both"/>
        <w:rPr>
          <w:bCs/>
        </w:rPr>
      </w:pPr>
    </w:p>
    <w:p w14:paraId="610BCD49" w14:textId="43D31E18" w:rsidR="00D80270" w:rsidRDefault="00D80270" w:rsidP="00616FD3">
      <w:pPr>
        <w:pStyle w:val="ListParagraph"/>
        <w:numPr>
          <w:ilvl w:val="0"/>
          <w:numId w:val="59"/>
        </w:numPr>
        <w:tabs>
          <w:tab w:val="left" w:pos="567"/>
        </w:tabs>
        <w:ind w:left="0" w:firstLine="0"/>
        <w:jc w:val="both"/>
        <w:rPr>
          <w:rFonts w:cs="Arial"/>
        </w:rPr>
      </w:pPr>
      <w:r w:rsidRPr="0063749C">
        <w:rPr>
          <w:rFonts w:cs="Arial"/>
        </w:rPr>
        <w:t>Les recettes pour l</w:t>
      </w:r>
      <w:r>
        <w:rPr>
          <w:rFonts w:cs="Arial"/>
        </w:rPr>
        <w:t>’</w:t>
      </w:r>
      <w:r w:rsidRPr="0063749C">
        <w:rPr>
          <w:rFonts w:cs="Arial"/>
        </w:rPr>
        <w:t>exercice biennal</w:t>
      </w:r>
      <w:r>
        <w:rPr>
          <w:rFonts w:cs="Arial"/>
        </w:rPr>
        <w:t> </w:t>
      </w:r>
      <w:r w:rsidRPr="0063749C">
        <w:rPr>
          <w:rFonts w:cs="Arial"/>
        </w:rPr>
        <w:t>2018</w:t>
      </w:r>
      <w:r>
        <w:rPr>
          <w:rFonts w:cs="Arial"/>
        </w:rPr>
        <w:t>-</w:t>
      </w:r>
      <w:r w:rsidRPr="0063749C">
        <w:rPr>
          <w:rFonts w:cs="Arial"/>
        </w:rPr>
        <w:t>2019 sont estimées à 842</w:t>
      </w:r>
      <w:r>
        <w:rPr>
          <w:rFonts w:cs="Arial"/>
        </w:rPr>
        <w:t> </w:t>
      </w:r>
      <w:r w:rsidRPr="0063749C">
        <w:rPr>
          <w:rFonts w:cs="Arial"/>
        </w:rPr>
        <w:t xml:space="preserve">millions de francs suisses, traduisant une augmentation de </w:t>
      </w:r>
      <w:r w:rsidR="00073F3E">
        <w:rPr>
          <w:rFonts w:cs="Arial"/>
        </w:rPr>
        <w:t>10,4</w:t>
      </w:r>
      <w:r w:rsidRPr="0063749C">
        <w:rPr>
          <w:rFonts w:cs="Arial"/>
        </w:rPr>
        <w:t>% des recettes par rapport au budget approuvé pour l</w:t>
      </w:r>
      <w:r>
        <w:rPr>
          <w:rFonts w:cs="Arial"/>
        </w:rPr>
        <w:t>’</w:t>
      </w:r>
      <w:r w:rsidRPr="0063749C">
        <w:rPr>
          <w:rFonts w:cs="Arial"/>
        </w:rPr>
        <w:t>exercice biennal</w:t>
      </w:r>
      <w:r>
        <w:rPr>
          <w:rFonts w:cs="Arial"/>
        </w:rPr>
        <w:t> </w:t>
      </w:r>
      <w:r w:rsidRPr="0063749C">
        <w:rPr>
          <w:rFonts w:cs="Arial"/>
        </w:rPr>
        <w:t>2016</w:t>
      </w:r>
      <w:r>
        <w:rPr>
          <w:rFonts w:cs="Arial"/>
        </w:rPr>
        <w:t>-</w:t>
      </w:r>
      <w:r w:rsidRPr="0063749C">
        <w:rPr>
          <w:rFonts w:cs="Arial"/>
        </w:rPr>
        <w:t>2017 (méthode de la comptabilité d</w:t>
      </w:r>
      <w:r>
        <w:rPr>
          <w:rFonts w:cs="Arial"/>
        </w:rPr>
        <w:t>’</w:t>
      </w:r>
      <w:r w:rsidRPr="0063749C">
        <w:rPr>
          <w:rFonts w:cs="Arial"/>
        </w:rPr>
        <w:t>exercice)</w:t>
      </w:r>
      <w:r>
        <w:rPr>
          <w:rFonts w:cs="Arial"/>
        </w:rPr>
        <w:t xml:space="preserve">.  </w:t>
      </w:r>
      <w:r w:rsidR="00B604D7">
        <w:rPr>
          <w:rFonts w:cs="Arial"/>
        </w:rPr>
        <w:t>Compte tenu de l’augmentation prévue des recettes provenant des taxes</w:t>
      </w:r>
      <w:r w:rsidRPr="0063749C">
        <w:rPr>
          <w:rFonts w:cs="Arial"/>
        </w:rPr>
        <w:t>, le Directeur général a établi la valeur de l</w:t>
      </w:r>
      <w:r>
        <w:rPr>
          <w:rFonts w:cs="Arial"/>
        </w:rPr>
        <w:t>’</w:t>
      </w:r>
      <w:r w:rsidRPr="0063749C">
        <w:rPr>
          <w:rFonts w:cs="Arial"/>
        </w:rPr>
        <w:t>unité de contribution à 10% de moins qu</w:t>
      </w:r>
      <w:r>
        <w:rPr>
          <w:rFonts w:cs="Arial"/>
        </w:rPr>
        <w:t>’</w:t>
      </w:r>
      <w:r w:rsidRPr="0063749C">
        <w:rPr>
          <w:rFonts w:cs="Arial"/>
        </w:rPr>
        <w:t>au cours de l</w:t>
      </w:r>
      <w:r>
        <w:rPr>
          <w:rFonts w:cs="Arial"/>
        </w:rPr>
        <w:t>’</w:t>
      </w:r>
      <w:r w:rsidRPr="0063749C">
        <w:rPr>
          <w:rFonts w:cs="Arial"/>
        </w:rPr>
        <w:t>exercice biennal</w:t>
      </w:r>
      <w:r>
        <w:rPr>
          <w:rFonts w:cs="Arial"/>
        </w:rPr>
        <w:t> </w:t>
      </w:r>
      <w:r w:rsidRPr="0063749C">
        <w:rPr>
          <w:rFonts w:cs="Arial"/>
        </w:rPr>
        <w:t>2016</w:t>
      </w:r>
      <w:r>
        <w:rPr>
          <w:rFonts w:cs="Arial"/>
        </w:rPr>
        <w:t>-</w:t>
      </w:r>
      <w:r w:rsidRPr="0063749C">
        <w:rPr>
          <w:rFonts w:cs="Arial"/>
        </w:rPr>
        <w:t>2017.</w:t>
      </w:r>
    </w:p>
    <w:p w14:paraId="1CCF62FB" w14:textId="77777777" w:rsidR="00D80270" w:rsidRPr="00701F12" w:rsidRDefault="00D80270" w:rsidP="00986700"/>
    <w:p w14:paraId="5B14FB84" w14:textId="4F438129" w:rsidR="00D80270" w:rsidRDefault="00D80270" w:rsidP="00616FD3">
      <w:pPr>
        <w:pStyle w:val="ListParagraph"/>
        <w:numPr>
          <w:ilvl w:val="0"/>
          <w:numId w:val="59"/>
        </w:numPr>
        <w:tabs>
          <w:tab w:val="left" w:pos="567"/>
        </w:tabs>
        <w:ind w:left="0" w:firstLine="0"/>
        <w:jc w:val="both"/>
        <w:rPr>
          <w:rFonts w:cs="Arial"/>
          <w:bCs/>
        </w:rPr>
      </w:pPr>
      <w:r w:rsidRPr="0063749C">
        <w:rPr>
          <w:rFonts w:cs="Arial"/>
          <w:bCs/>
        </w:rPr>
        <w:t>Les dépenses proposées pour l</w:t>
      </w:r>
      <w:r>
        <w:rPr>
          <w:rFonts w:cs="Arial"/>
          <w:bCs/>
        </w:rPr>
        <w:t>’</w:t>
      </w:r>
      <w:r w:rsidRPr="0063749C">
        <w:rPr>
          <w:rFonts w:cs="Arial"/>
          <w:bCs/>
        </w:rPr>
        <w:t>exercice biennal s</w:t>
      </w:r>
      <w:r>
        <w:rPr>
          <w:rFonts w:cs="Arial"/>
          <w:bCs/>
        </w:rPr>
        <w:t>’</w:t>
      </w:r>
      <w:r w:rsidRPr="0063749C">
        <w:rPr>
          <w:rFonts w:cs="Arial"/>
          <w:bCs/>
        </w:rPr>
        <w:t>élèvent à 725,9</w:t>
      </w:r>
      <w:r>
        <w:rPr>
          <w:rFonts w:cs="Arial"/>
          <w:bCs/>
        </w:rPr>
        <w:t> </w:t>
      </w:r>
      <w:r w:rsidRPr="0063749C">
        <w:rPr>
          <w:rFonts w:cs="Arial"/>
          <w:bCs/>
        </w:rPr>
        <w:t>millions de francs suisses</w:t>
      </w:r>
      <w:r>
        <w:rPr>
          <w:rFonts w:cs="Arial"/>
          <w:bCs/>
        </w:rPr>
        <w:t xml:space="preserve">.  </w:t>
      </w:r>
      <w:r w:rsidRPr="0063749C">
        <w:rPr>
          <w:rFonts w:cs="Arial"/>
          <w:bCs/>
        </w:rPr>
        <w:t>Après ajustement estimatif des dépenses selon les Normes comptables internationales du secteur public (normes</w:t>
      </w:r>
      <w:r>
        <w:rPr>
          <w:rFonts w:cs="Arial"/>
          <w:bCs/>
        </w:rPr>
        <w:t> </w:t>
      </w:r>
      <w:r w:rsidRPr="0063749C">
        <w:rPr>
          <w:rFonts w:cs="Arial"/>
          <w:bCs/>
        </w:rPr>
        <w:t xml:space="preserve">IPSAS), un excédent de quelque </w:t>
      </w:r>
      <w:r w:rsidR="00073F3E">
        <w:rPr>
          <w:rFonts w:cs="Arial"/>
          <w:bCs/>
        </w:rPr>
        <w:t>61,5</w:t>
      </w:r>
      <w:r>
        <w:rPr>
          <w:rFonts w:cs="Arial"/>
          <w:bCs/>
        </w:rPr>
        <w:t> </w:t>
      </w:r>
      <w:r w:rsidRPr="0063749C">
        <w:rPr>
          <w:rFonts w:cs="Arial"/>
          <w:bCs/>
        </w:rPr>
        <w:t>millions de francs suisses est prévu à la fin de l</w:t>
      </w:r>
      <w:r>
        <w:rPr>
          <w:rFonts w:cs="Arial"/>
          <w:bCs/>
        </w:rPr>
        <w:t>’</w:t>
      </w:r>
      <w:r w:rsidRPr="0063749C">
        <w:rPr>
          <w:rFonts w:cs="Arial"/>
          <w:bCs/>
        </w:rPr>
        <w:t>exercice biennal.</w:t>
      </w:r>
    </w:p>
    <w:p w14:paraId="4F01E9F8" w14:textId="77777777" w:rsidR="00D80270" w:rsidRPr="00701F12" w:rsidRDefault="00D80270" w:rsidP="00986700">
      <w:pPr>
        <w:pStyle w:val="ListParagraph"/>
        <w:tabs>
          <w:tab w:val="left" w:pos="567"/>
        </w:tabs>
        <w:ind w:left="0"/>
        <w:jc w:val="both"/>
        <w:rPr>
          <w:rFonts w:cs="Arial"/>
          <w:bCs/>
        </w:rPr>
      </w:pPr>
    </w:p>
    <w:p w14:paraId="1779A1F8" w14:textId="77777777" w:rsidR="00D80270" w:rsidRPr="00701F12" w:rsidRDefault="00D80270" w:rsidP="00986700">
      <w:pPr>
        <w:pStyle w:val="ListParagraph"/>
        <w:tabs>
          <w:tab w:val="left" w:pos="567"/>
        </w:tabs>
        <w:ind w:left="0"/>
        <w:jc w:val="both"/>
        <w:rPr>
          <w:rFonts w:cs="Arial"/>
          <w:bCs/>
        </w:rPr>
      </w:pPr>
    </w:p>
    <w:tbl>
      <w:tblPr>
        <w:tblW w:w="5000" w:type="pct"/>
        <w:tblCellMar>
          <w:top w:w="57" w:type="dxa"/>
          <w:bottom w:w="57" w:type="dxa"/>
        </w:tblCellMar>
        <w:tblLook w:val="04A0" w:firstRow="1" w:lastRow="0" w:firstColumn="1" w:lastColumn="0" w:noHBand="0" w:noVBand="1"/>
      </w:tblPr>
      <w:tblGrid>
        <w:gridCol w:w="9287"/>
      </w:tblGrid>
      <w:tr w:rsidR="00D80270" w:rsidRPr="00701F12" w14:paraId="15CC1D6A" w14:textId="77777777" w:rsidTr="003B756D">
        <w:trPr>
          <w:cantSplit/>
        </w:trPr>
        <w:tc>
          <w:tcPr>
            <w:tcW w:w="9214" w:type="dxa"/>
            <w:tcBorders>
              <w:top w:val="nil"/>
              <w:left w:val="nil"/>
              <w:bottom w:val="nil"/>
              <w:right w:val="nil"/>
            </w:tcBorders>
            <w:shd w:val="clear" w:color="auto" w:fill="C6D9F1" w:themeFill="text2" w:themeFillTint="33"/>
            <w:vAlign w:val="center"/>
          </w:tcPr>
          <w:p w14:paraId="30475686" w14:textId="4BA37582" w:rsidR="00D80270" w:rsidRDefault="00D80270" w:rsidP="00986700">
            <w:pPr>
              <w:jc w:val="center"/>
              <w:rPr>
                <w:b/>
                <w:sz w:val="18"/>
                <w:szCs w:val="18"/>
              </w:rPr>
            </w:pPr>
            <w:r w:rsidRPr="00EB5F3F">
              <w:rPr>
                <w:b/>
                <w:sz w:val="18"/>
                <w:szCs w:val="18"/>
              </w:rPr>
              <w:t>Tableau</w:t>
            </w:r>
            <w:r>
              <w:rPr>
                <w:b/>
                <w:sz w:val="18"/>
                <w:szCs w:val="18"/>
              </w:rPr>
              <w:t> </w:t>
            </w:r>
            <w:r w:rsidRPr="00EB5F3F">
              <w:rPr>
                <w:b/>
                <w:sz w:val="18"/>
                <w:szCs w:val="18"/>
              </w:rPr>
              <w:t>1.</w:t>
            </w:r>
            <w:r>
              <w:rPr>
                <w:b/>
                <w:sz w:val="18"/>
                <w:szCs w:val="18"/>
              </w:rPr>
              <w:t xml:space="preserve"> </w:t>
            </w:r>
            <w:r w:rsidRPr="00EB5F3F">
              <w:rPr>
                <w:b/>
                <w:sz w:val="18"/>
                <w:szCs w:val="18"/>
              </w:rPr>
              <w:t xml:space="preserve"> Budget pour l</w:t>
            </w:r>
            <w:r>
              <w:rPr>
                <w:b/>
                <w:sz w:val="18"/>
                <w:szCs w:val="18"/>
              </w:rPr>
              <w:t>’</w:t>
            </w:r>
            <w:r w:rsidRPr="00EB5F3F">
              <w:rPr>
                <w:b/>
                <w:sz w:val="18"/>
                <w:szCs w:val="18"/>
              </w:rPr>
              <w:t>exercice biennal</w:t>
            </w:r>
            <w:r>
              <w:rPr>
                <w:b/>
                <w:sz w:val="18"/>
                <w:szCs w:val="18"/>
              </w:rPr>
              <w:t> </w:t>
            </w:r>
            <w:r w:rsidRPr="00EB5F3F">
              <w:rPr>
                <w:b/>
                <w:sz w:val="18"/>
                <w:szCs w:val="18"/>
              </w:rPr>
              <w:t>2018</w:t>
            </w:r>
            <w:r>
              <w:rPr>
                <w:b/>
                <w:sz w:val="18"/>
                <w:szCs w:val="18"/>
              </w:rPr>
              <w:t>-</w:t>
            </w:r>
            <w:r w:rsidRPr="00EB5F3F">
              <w:rPr>
                <w:b/>
                <w:sz w:val="18"/>
                <w:szCs w:val="18"/>
              </w:rPr>
              <w:t xml:space="preserve">2019 </w:t>
            </w:r>
            <w:r w:rsidR="00E61AC7">
              <w:rPr>
                <w:b/>
                <w:sz w:val="18"/>
                <w:szCs w:val="18"/>
              </w:rPr>
              <w:br/>
            </w:r>
            <w:r w:rsidRPr="00EB5F3F">
              <w:rPr>
                <w:b/>
                <w:sz w:val="18"/>
                <w:szCs w:val="18"/>
              </w:rPr>
              <w:t>et principaux paramètres de planification</w:t>
            </w:r>
          </w:p>
          <w:p w14:paraId="3BCF2BB2" w14:textId="77777777" w:rsidR="00D80270" w:rsidRPr="00701F12" w:rsidRDefault="00D80270" w:rsidP="00986700">
            <w:pPr>
              <w:jc w:val="center"/>
              <w:rPr>
                <w:i/>
                <w:sz w:val="18"/>
                <w:szCs w:val="18"/>
              </w:rPr>
            </w:pPr>
            <w:r w:rsidRPr="0063749C">
              <w:rPr>
                <w:i/>
                <w:sz w:val="18"/>
                <w:szCs w:val="18"/>
              </w:rPr>
              <w:t>(en millions de francs suisses)</w:t>
            </w:r>
          </w:p>
        </w:tc>
      </w:tr>
    </w:tbl>
    <w:p w14:paraId="52912580" w14:textId="77777777" w:rsidR="00D80270" w:rsidRPr="00701F12" w:rsidRDefault="00D80270" w:rsidP="00986700">
      <w:pPr>
        <w:pStyle w:val="Body1"/>
        <w:jc w:val="center"/>
        <w:rPr>
          <w:rFonts w:ascii="Arial" w:hAnsi="Arial" w:cs="Arial"/>
          <w:sz w:val="20"/>
          <w:lang w:val="fr-FR"/>
        </w:rPr>
      </w:pPr>
    </w:p>
    <w:p w14:paraId="25588FF8" w14:textId="54AA6E9A" w:rsidR="00D80270" w:rsidRPr="00701F12" w:rsidRDefault="00B604D7" w:rsidP="00986700">
      <w:pPr>
        <w:pStyle w:val="Body1"/>
        <w:jc w:val="center"/>
        <w:rPr>
          <w:rFonts w:ascii="Arial" w:hAnsi="Arial" w:cs="Arial"/>
          <w:sz w:val="20"/>
          <w:lang w:val="fr-FR"/>
        </w:rPr>
      </w:pPr>
      <w:r w:rsidRPr="00B604D7">
        <w:rPr>
          <w:noProof/>
        </w:rPr>
        <w:drawing>
          <wp:inline distT="0" distB="0" distL="0" distR="0" wp14:anchorId="10EC1C6D" wp14:editId="20DE9D45">
            <wp:extent cx="4373880" cy="19037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880" cy="1903730"/>
                    </a:xfrm>
                    <a:prstGeom prst="rect">
                      <a:avLst/>
                    </a:prstGeom>
                    <a:noFill/>
                    <a:ln>
                      <a:noFill/>
                    </a:ln>
                  </pic:spPr>
                </pic:pic>
              </a:graphicData>
            </a:graphic>
          </wp:inline>
        </w:drawing>
      </w:r>
    </w:p>
    <w:p w14:paraId="5197E938" w14:textId="77777777" w:rsidR="00D80270" w:rsidRPr="00701F12" w:rsidRDefault="00D80270" w:rsidP="00986700">
      <w:pPr>
        <w:pStyle w:val="Body1"/>
        <w:spacing w:before="120"/>
        <w:rPr>
          <w:rFonts w:ascii="Arial" w:hAnsi="Arial" w:cs="Arial"/>
          <w:i/>
          <w:sz w:val="16"/>
          <w:szCs w:val="16"/>
          <w:lang w:val="fr-FR"/>
        </w:rPr>
      </w:pPr>
      <w:r w:rsidRPr="00701F12">
        <w:rPr>
          <w:rFonts w:ascii="Arial" w:hAnsi="Arial" w:cs="Arial"/>
          <w:sz w:val="16"/>
          <w:szCs w:val="16"/>
          <w:lang w:val="fr-FR"/>
        </w:rPr>
        <w:tab/>
      </w:r>
      <w:r w:rsidRPr="00701F12">
        <w:rPr>
          <w:rFonts w:ascii="Arial" w:hAnsi="Arial" w:cs="Arial"/>
          <w:sz w:val="16"/>
          <w:szCs w:val="16"/>
          <w:lang w:val="fr-FR"/>
        </w:rPr>
        <w:tab/>
      </w:r>
      <w:r w:rsidRPr="0063749C">
        <w:rPr>
          <w:rFonts w:ascii="Arial" w:hAnsi="Arial" w:cs="Arial"/>
          <w:color w:val="auto"/>
          <w:sz w:val="16"/>
          <w:szCs w:val="16"/>
          <w:lang w:val="fr-FR"/>
        </w:rPr>
        <w:t>Note</w:t>
      </w:r>
      <w:r>
        <w:rPr>
          <w:rFonts w:ascii="Arial" w:hAnsi="Arial" w:cs="Arial"/>
          <w:color w:val="auto"/>
          <w:sz w:val="16"/>
          <w:szCs w:val="16"/>
          <w:lang w:val="fr-FR"/>
        </w:rPr>
        <w:t> :</w:t>
      </w:r>
      <w:r w:rsidRPr="0063749C">
        <w:rPr>
          <w:rFonts w:ascii="Arial" w:hAnsi="Arial" w:cs="Arial"/>
          <w:color w:val="auto"/>
          <w:sz w:val="16"/>
          <w:szCs w:val="16"/>
          <w:lang w:val="fr-FR"/>
        </w:rPr>
        <w:t xml:space="preserve"> La somme des différents éléments ne correspond pas forcément au total, les chiffres ayant été arrondis</w:t>
      </w:r>
    </w:p>
    <w:p w14:paraId="4BDAF82A" w14:textId="77777777" w:rsidR="00D80270" w:rsidRPr="00701F12" w:rsidRDefault="00D80270" w:rsidP="00986700">
      <w:pPr>
        <w:pStyle w:val="Body1"/>
        <w:spacing w:before="120"/>
        <w:rPr>
          <w:rFonts w:ascii="Arial" w:hAnsi="Arial" w:cs="Arial"/>
          <w:i/>
          <w:sz w:val="16"/>
          <w:szCs w:val="16"/>
          <w:lang w:val="fr-FR"/>
        </w:rPr>
      </w:pPr>
    </w:p>
    <w:p w14:paraId="2A6F2F89" w14:textId="77777777" w:rsidR="00D80270" w:rsidRPr="003B756D" w:rsidRDefault="00D80270" w:rsidP="00986700">
      <w:pPr>
        <w:rPr>
          <w:b/>
        </w:rPr>
      </w:pPr>
      <w:r w:rsidRPr="003B756D">
        <w:rPr>
          <w:b/>
        </w:rPr>
        <w:t>RECETTES</w:t>
      </w:r>
    </w:p>
    <w:p w14:paraId="067F712A" w14:textId="77777777" w:rsidR="00D80270" w:rsidRPr="00701F12" w:rsidRDefault="00D80270" w:rsidP="00986700">
      <w:pPr>
        <w:pStyle w:val="ListParagraph"/>
        <w:tabs>
          <w:tab w:val="left" w:pos="567"/>
        </w:tabs>
        <w:ind w:left="0"/>
        <w:jc w:val="both"/>
        <w:rPr>
          <w:rFonts w:cs="Arial"/>
        </w:rPr>
      </w:pPr>
    </w:p>
    <w:p w14:paraId="62251C4A" w14:textId="12A084E9" w:rsidR="00D80270" w:rsidRDefault="00D80270" w:rsidP="00616FD3">
      <w:pPr>
        <w:pStyle w:val="ListParagraph"/>
        <w:numPr>
          <w:ilvl w:val="0"/>
          <w:numId w:val="59"/>
        </w:numPr>
        <w:tabs>
          <w:tab w:val="left" w:pos="567"/>
        </w:tabs>
        <w:ind w:left="0" w:firstLine="0"/>
        <w:jc w:val="both"/>
        <w:rPr>
          <w:rFonts w:cs="Arial"/>
        </w:rPr>
      </w:pPr>
      <w:r w:rsidRPr="0063749C">
        <w:rPr>
          <w:rFonts w:cs="Arial"/>
        </w:rPr>
        <w:t>Les recettes globales pour l</w:t>
      </w:r>
      <w:r>
        <w:rPr>
          <w:rFonts w:cs="Arial"/>
        </w:rPr>
        <w:t>’</w:t>
      </w:r>
      <w:r w:rsidRPr="0063749C">
        <w:rPr>
          <w:rFonts w:cs="Arial"/>
        </w:rPr>
        <w:t>exercice biennal</w:t>
      </w:r>
      <w:r>
        <w:rPr>
          <w:rFonts w:cs="Arial"/>
        </w:rPr>
        <w:t> </w:t>
      </w:r>
      <w:r w:rsidRPr="0063749C">
        <w:rPr>
          <w:rFonts w:cs="Arial"/>
        </w:rPr>
        <w:t>2018</w:t>
      </w:r>
      <w:r>
        <w:rPr>
          <w:rFonts w:cs="Arial"/>
        </w:rPr>
        <w:t>-</w:t>
      </w:r>
      <w:r w:rsidRPr="0063749C">
        <w:rPr>
          <w:rFonts w:cs="Arial"/>
        </w:rPr>
        <w:t xml:space="preserve">2019 devraient atteindre </w:t>
      </w:r>
      <w:r w:rsidR="00073F3E">
        <w:rPr>
          <w:rFonts w:cs="Arial"/>
        </w:rPr>
        <w:t>826,2</w:t>
      </w:r>
      <w:r>
        <w:rPr>
          <w:rFonts w:cs="Arial"/>
        </w:rPr>
        <w:t> </w:t>
      </w:r>
      <w:r w:rsidRPr="0063749C">
        <w:rPr>
          <w:rFonts w:cs="Arial"/>
        </w:rPr>
        <w:t xml:space="preserve">millions de francs suisses, ce qui représente une augmentation de </w:t>
      </w:r>
      <w:r w:rsidR="00073F3E">
        <w:rPr>
          <w:rFonts w:cs="Arial"/>
        </w:rPr>
        <w:t>10,4</w:t>
      </w:r>
      <w:r w:rsidRPr="0063749C">
        <w:rPr>
          <w:rFonts w:cs="Arial"/>
        </w:rPr>
        <w:t>% par rapport au budget approuvé pour l</w:t>
      </w:r>
      <w:r>
        <w:rPr>
          <w:rFonts w:cs="Arial"/>
        </w:rPr>
        <w:t>’</w:t>
      </w:r>
      <w:r w:rsidRPr="0063749C">
        <w:rPr>
          <w:rFonts w:cs="Arial"/>
        </w:rPr>
        <w:t>exercice biennal</w:t>
      </w:r>
      <w:r>
        <w:rPr>
          <w:rFonts w:cs="Arial"/>
        </w:rPr>
        <w:t> </w:t>
      </w:r>
      <w:r w:rsidRPr="0063749C">
        <w:rPr>
          <w:rFonts w:cs="Arial"/>
        </w:rPr>
        <w:t>2016</w:t>
      </w:r>
      <w:r>
        <w:rPr>
          <w:rFonts w:cs="Arial"/>
        </w:rPr>
        <w:t>-</w:t>
      </w:r>
      <w:r w:rsidRPr="0063749C">
        <w:rPr>
          <w:rFonts w:cs="Arial"/>
        </w:rPr>
        <w:t>2017 (méthode de la comptabilité d</w:t>
      </w:r>
      <w:r>
        <w:rPr>
          <w:rFonts w:cs="Arial"/>
        </w:rPr>
        <w:t>’</w:t>
      </w:r>
      <w:r w:rsidRPr="0063749C">
        <w:rPr>
          <w:rFonts w:cs="Arial"/>
        </w:rPr>
        <w:t xml:space="preserve">exercice) et une augmentation de </w:t>
      </w:r>
      <w:r w:rsidR="00073F3E">
        <w:rPr>
          <w:rFonts w:cs="Arial"/>
        </w:rPr>
        <w:t>5</w:t>
      </w:r>
      <w:r w:rsidRPr="0063749C">
        <w:rPr>
          <w:rFonts w:cs="Arial"/>
        </w:rPr>
        <w:t>,1% par rapport aux estimations actualisées pour ce même exercice biennal (méthode de la comptabilité d</w:t>
      </w:r>
      <w:r>
        <w:rPr>
          <w:rFonts w:cs="Arial"/>
        </w:rPr>
        <w:t>’</w:t>
      </w:r>
      <w:r w:rsidRPr="0063749C">
        <w:rPr>
          <w:rFonts w:cs="Arial"/>
        </w:rPr>
        <w:t>exercice).</w:t>
      </w:r>
    </w:p>
    <w:p w14:paraId="44BB4063" w14:textId="77777777" w:rsidR="00D80270" w:rsidRPr="00701F12" w:rsidRDefault="00D80270" w:rsidP="00986700">
      <w:pPr>
        <w:rPr>
          <w:bCs/>
        </w:rPr>
      </w:pPr>
    </w:p>
    <w:tbl>
      <w:tblPr>
        <w:tblW w:w="4961" w:type="pct"/>
        <w:tblCellMar>
          <w:top w:w="57" w:type="dxa"/>
          <w:bottom w:w="57" w:type="dxa"/>
        </w:tblCellMar>
        <w:tblLook w:val="04A0" w:firstRow="1" w:lastRow="0" w:firstColumn="1" w:lastColumn="0" w:noHBand="0" w:noVBand="1"/>
      </w:tblPr>
      <w:tblGrid>
        <w:gridCol w:w="9215"/>
      </w:tblGrid>
      <w:tr w:rsidR="00D80270" w:rsidRPr="00701F12" w14:paraId="56A573BB" w14:textId="77777777" w:rsidTr="003B756D">
        <w:trPr>
          <w:cantSplit/>
        </w:trPr>
        <w:tc>
          <w:tcPr>
            <w:tcW w:w="9214" w:type="dxa"/>
            <w:tcBorders>
              <w:top w:val="nil"/>
              <w:left w:val="nil"/>
              <w:bottom w:val="nil"/>
              <w:right w:val="nil"/>
            </w:tcBorders>
            <w:shd w:val="clear" w:color="auto" w:fill="C6D9F1" w:themeFill="text2" w:themeFillTint="33"/>
            <w:vAlign w:val="center"/>
          </w:tcPr>
          <w:p w14:paraId="5EA1F951" w14:textId="77777777" w:rsidR="00D80270" w:rsidRPr="00701F12" w:rsidRDefault="00D80270" w:rsidP="00986700">
            <w:pPr>
              <w:keepNext/>
              <w:keepLines/>
              <w:jc w:val="center"/>
              <w:rPr>
                <w:b/>
                <w:sz w:val="18"/>
                <w:szCs w:val="18"/>
              </w:rPr>
            </w:pPr>
            <w:r w:rsidRPr="0063749C">
              <w:rPr>
                <w:b/>
                <w:sz w:val="18"/>
                <w:szCs w:val="18"/>
              </w:rPr>
              <w:lastRenderedPageBreak/>
              <w:t>Tableau</w:t>
            </w:r>
            <w:r>
              <w:rPr>
                <w:b/>
                <w:sz w:val="18"/>
                <w:szCs w:val="18"/>
              </w:rPr>
              <w:t> </w:t>
            </w:r>
            <w:r w:rsidRPr="0063749C">
              <w:rPr>
                <w:b/>
                <w:sz w:val="18"/>
                <w:szCs w:val="18"/>
              </w:rPr>
              <w:t>2.</w:t>
            </w:r>
            <w:r>
              <w:rPr>
                <w:b/>
                <w:sz w:val="18"/>
                <w:szCs w:val="18"/>
              </w:rPr>
              <w:t xml:space="preserve"> </w:t>
            </w:r>
            <w:r w:rsidRPr="0063749C">
              <w:rPr>
                <w:b/>
                <w:sz w:val="18"/>
                <w:szCs w:val="18"/>
              </w:rPr>
              <w:t xml:space="preserve"> Recettes prévisionnelles pour l</w:t>
            </w:r>
            <w:r>
              <w:rPr>
                <w:b/>
                <w:sz w:val="18"/>
                <w:szCs w:val="18"/>
              </w:rPr>
              <w:t>’</w:t>
            </w:r>
            <w:r w:rsidRPr="0063749C">
              <w:rPr>
                <w:b/>
                <w:sz w:val="18"/>
                <w:szCs w:val="18"/>
              </w:rPr>
              <w:t>exercice biennal</w:t>
            </w:r>
            <w:r>
              <w:rPr>
                <w:b/>
                <w:sz w:val="18"/>
                <w:szCs w:val="18"/>
              </w:rPr>
              <w:t> </w:t>
            </w:r>
            <w:r w:rsidRPr="0063749C">
              <w:rPr>
                <w:b/>
                <w:sz w:val="18"/>
                <w:szCs w:val="18"/>
              </w:rPr>
              <w:t>2018</w:t>
            </w:r>
            <w:r>
              <w:rPr>
                <w:b/>
                <w:sz w:val="18"/>
                <w:szCs w:val="18"/>
              </w:rPr>
              <w:t>-</w:t>
            </w:r>
            <w:r w:rsidRPr="0063749C">
              <w:rPr>
                <w:b/>
                <w:sz w:val="18"/>
                <w:szCs w:val="18"/>
              </w:rPr>
              <w:t>2019</w:t>
            </w:r>
          </w:p>
          <w:p w14:paraId="06E69316" w14:textId="77777777" w:rsidR="00D80270" w:rsidRPr="00EB5F3F" w:rsidRDefault="00D80270" w:rsidP="00986700">
            <w:pPr>
              <w:keepNext/>
              <w:keepLines/>
              <w:jc w:val="center"/>
              <w:rPr>
                <w:i/>
                <w:sz w:val="18"/>
                <w:szCs w:val="18"/>
              </w:rPr>
            </w:pPr>
            <w:r w:rsidRPr="00EB5F3F">
              <w:rPr>
                <w:i/>
                <w:sz w:val="18"/>
                <w:szCs w:val="18"/>
              </w:rPr>
              <w:t>(en millions de francs suisses)</w:t>
            </w:r>
          </w:p>
        </w:tc>
      </w:tr>
    </w:tbl>
    <w:p w14:paraId="2455A460" w14:textId="77777777" w:rsidR="00D80270" w:rsidRPr="00701F12" w:rsidRDefault="00D80270" w:rsidP="00986700">
      <w:pPr>
        <w:keepNext/>
        <w:keepLines/>
        <w:rPr>
          <w:bCs/>
        </w:rPr>
      </w:pPr>
    </w:p>
    <w:p w14:paraId="048FCFBE" w14:textId="00A4E805" w:rsidR="00D80270" w:rsidRPr="00701F12" w:rsidRDefault="00BB3BF5" w:rsidP="00986700">
      <w:pPr>
        <w:keepNext/>
        <w:keepLines/>
        <w:jc w:val="center"/>
        <w:rPr>
          <w:b/>
        </w:rPr>
      </w:pPr>
      <w:r w:rsidRPr="00BB3BF5">
        <w:rPr>
          <w:noProof/>
          <w:lang w:val="en-US" w:eastAsia="en-US"/>
        </w:rPr>
        <w:drawing>
          <wp:inline distT="0" distB="0" distL="0" distR="0" wp14:anchorId="6E75A6EF" wp14:editId="515D78DE">
            <wp:extent cx="5760085" cy="336798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367989"/>
                    </a:xfrm>
                    <a:prstGeom prst="rect">
                      <a:avLst/>
                    </a:prstGeom>
                    <a:noFill/>
                    <a:ln>
                      <a:noFill/>
                    </a:ln>
                  </pic:spPr>
                </pic:pic>
              </a:graphicData>
            </a:graphic>
          </wp:inline>
        </w:drawing>
      </w:r>
    </w:p>
    <w:p w14:paraId="1C216FD6" w14:textId="77777777" w:rsidR="00D80270" w:rsidRPr="00701F12" w:rsidRDefault="00D80270" w:rsidP="00986700">
      <w:pPr>
        <w:pStyle w:val="ListParagraph"/>
        <w:tabs>
          <w:tab w:val="left" w:pos="567"/>
        </w:tabs>
        <w:ind w:left="0"/>
        <w:jc w:val="both"/>
        <w:rPr>
          <w:rFonts w:cs="Arial"/>
        </w:rPr>
      </w:pPr>
    </w:p>
    <w:p w14:paraId="3800348A" w14:textId="77777777" w:rsidR="00D80270" w:rsidRPr="00701F12" w:rsidRDefault="00D80270" w:rsidP="00986700">
      <w:pPr>
        <w:pStyle w:val="ListParagraph"/>
        <w:tabs>
          <w:tab w:val="left" w:pos="567"/>
        </w:tabs>
        <w:ind w:left="0"/>
        <w:jc w:val="both"/>
        <w:rPr>
          <w:rFonts w:cs="Arial"/>
        </w:rPr>
      </w:pPr>
    </w:p>
    <w:p w14:paraId="75DBDD49" w14:textId="153660CE" w:rsidR="00D80270" w:rsidRDefault="00D80270" w:rsidP="00616FD3">
      <w:pPr>
        <w:pStyle w:val="ListParagraph"/>
        <w:numPr>
          <w:ilvl w:val="0"/>
          <w:numId w:val="59"/>
        </w:numPr>
        <w:tabs>
          <w:tab w:val="left" w:pos="567"/>
        </w:tabs>
        <w:ind w:left="0" w:firstLine="0"/>
        <w:jc w:val="both"/>
        <w:rPr>
          <w:rFonts w:cs="Arial"/>
        </w:rPr>
      </w:pPr>
      <w:r w:rsidRPr="0063749C">
        <w:rPr>
          <w:rFonts w:cs="Arial"/>
        </w:rPr>
        <w:t>La répartition des recettes par provenance est illustrée dans le diagramme I ci</w:t>
      </w:r>
      <w:r>
        <w:rPr>
          <w:rFonts w:cs="Arial"/>
        </w:rPr>
        <w:t>-</w:t>
      </w:r>
      <w:r w:rsidRPr="0063749C">
        <w:rPr>
          <w:rFonts w:cs="Arial"/>
        </w:rPr>
        <w:t>dessous</w:t>
      </w:r>
      <w:r>
        <w:rPr>
          <w:rFonts w:cs="Arial"/>
        </w:rPr>
        <w:t xml:space="preserve">.  </w:t>
      </w:r>
      <w:r w:rsidRPr="0063749C">
        <w:rPr>
          <w:rFonts w:cs="Arial"/>
        </w:rPr>
        <w:t>Les recettes provenant des taxes des systèmes</w:t>
      </w:r>
      <w:r w:rsidRPr="005F056D">
        <w:rPr>
          <w:rFonts w:cs="Arial"/>
        </w:rPr>
        <w:t xml:space="preserve"> du PCT</w:t>
      </w:r>
      <w:r w:rsidRPr="0063749C">
        <w:rPr>
          <w:rFonts w:cs="Arial"/>
        </w:rPr>
        <w:t xml:space="preserve">, de Madrid et de </w:t>
      </w:r>
      <w:r>
        <w:rPr>
          <w:rFonts w:cs="Arial"/>
        </w:rPr>
        <w:t>La Haye</w:t>
      </w:r>
      <w:r w:rsidRPr="0063749C">
        <w:rPr>
          <w:rFonts w:cs="Arial"/>
        </w:rPr>
        <w:t xml:space="preserve"> représentent 95,</w:t>
      </w:r>
      <w:r w:rsidR="00073F3E">
        <w:rPr>
          <w:rFonts w:cs="Arial"/>
        </w:rPr>
        <w:t>1</w:t>
      </w:r>
      <w:r w:rsidRPr="0063749C">
        <w:rPr>
          <w:rFonts w:cs="Arial"/>
        </w:rPr>
        <w:t>% des recettes totales</w:t>
      </w:r>
      <w:r>
        <w:rPr>
          <w:rFonts w:cs="Arial"/>
        </w:rPr>
        <w:t xml:space="preserve">.  </w:t>
      </w:r>
      <w:r w:rsidRPr="0063749C">
        <w:rPr>
          <w:rFonts w:cs="Arial"/>
        </w:rPr>
        <w:t>Les recettes provenant des taxes</w:t>
      </w:r>
      <w:r w:rsidRPr="005F056D">
        <w:rPr>
          <w:rFonts w:cs="Arial"/>
        </w:rPr>
        <w:t xml:space="preserve"> du PCT</w:t>
      </w:r>
      <w:r w:rsidRPr="0063749C">
        <w:rPr>
          <w:rFonts w:cs="Arial"/>
        </w:rPr>
        <w:t xml:space="preserve"> représentent</w:t>
      </w:r>
      <w:r w:rsidR="00B604D7">
        <w:rPr>
          <w:rFonts w:cs="Arial"/>
        </w:rPr>
        <w:t xml:space="preserve"> à elles seules</w:t>
      </w:r>
      <w:r w:rsidRPr="0063749C">
        <w:rPr>
          <w:rFonts w:cs="Arial"/>
        </w:rPr>
        <w:t xml:space="preserve"> 76,</w:t>
      </w:r>
      <w:r w:rsidR="00073F3E">
        <w:rPr>
          <w:rFonts w:cs="Arial"/>
        </w:rPr>
        <w:t>7</w:t>
      </w:r>
      <w:r w:rsidRPr="0063749C">
        <w:rPr>
          <w:rFonts w:cs="Arial"/>
        </w:rPr>
        <w:t>% du total.</w:t>
      </w:r>
    </w:p>
    <w:p w14:paraId="0EC52E09" w14:textId="77777777" w:rsidR="00D80270" w:rsidRPr="00701F12" w:rsidRDefault="00D80270" w:rsidP="00986700">
      <w:pPr>
        <w:rPr>
          <w:bCs/>
        </w:rPr>
      </w:pPr>
    </w:p>
    <w:tbl>
      <w:tblPr>
        <w:tblW w:w="4300" w:type="pct"/>
        <w:jc w:val="center"/>
        <w:tblCellMar>
          <w:top w:w="57" w:type="dxa"/>
          <w:bottom w:w="57" w:type="dxa"/>
        </w:tblCellMar>
        <w:tblLook w:val="04A0" w:firstRow="1" w:lastRow="0" w:firstColumn="1" w:lastColumn="0" w:noHBand="0" w:noVBand="1"/>
      </w:tblPr>
      <w:tblGrid>
        <w:gridCol w:w="7987"/>
      </w:tblGrid>
      <w:tr w:rsidR="00D80270" w:rsidRPr="00701F12" w14:paraId="056DCD0F" w14:textId="77777777" w:rsidTr="00BB3BF5">
        <w:trPr>
          <w:cantSplit/>
          <w:jc w:val="center"/>
        </w:trPr>
        <w:tc>
          <w:tcPr>
            <w:tcW w:w="7987" w:type="dxa"/>
            <w:tcBorders>
              <w:top w:val="nil"/>
              <w:left w:val="nil"/>
              <w:bottom w:val="nil"/>
              <w:right w:val="nil"/>
            </w:tcBorders>
            <w:shd w:val="clear" w:color="auto" w:fill="C6D9F1" w:themeFill="text2" w:themeFillTint="33"/>
            <w:vAlign w:val="center"/>
          </w:tcPr>
          <w:p w14:paraId="3D83D421" w14:textId="77777777" w:rsidR="00D80270" w:rsidRPr="00701F12" w:rsidRDefault="00D80270" w:rsidP="00986700">
            <w:pPr>
              <w:keepNext/>
              <w:keepLines/>
              <w:jc w:val="center"/>
              <w:rPr>
                <w:b/>
                <w:sz w:val="18"/>
                <w:szCs w:val="18"/>
              </w:rPr>
            </w:pPr>
            <w:r w:rsidRPr="0063749C">
              <w:rPr>
                <w:b/>
                <w:sz w:val="18"/>
                <w:szCs w:val="18"/>
              </w:rPr>
              <w:t>Diagramme I.</w:t>
            </w:r>
            <w:r>
              <w:rPr>
                <w:b/>
                <w:sz w:val="18"/>
                <w:szCs w:val="18"/>
              </w:rPr>
              <w:t xml:space="preserve">  </w:t>
            </w:r>
            <w:r w:rsidRPr="0063749C">
              <w:rPr>
                <w:b/>
                <w:sz w:val="18"/>
                <w:szCs w:val="18"/>
              </w:rPr>
              <w:t>Répartition des recettes pour</w:t>
            </w:r>
            <w:r>
              <w:rPr>
                <w:b/>
                <w:sz w:val="18"/>
                <w:szCs w:val="18"/>
              </w:rPr>
              <w:t> </w:t>
            </w:r>
            <w:r w:rsidRPr="0063749C">
              <w:rPr>
                <w:b/>
                <w:sz w:val="18"/>
                <w:szCs w:val="18"/>
              </w:rPr>
              <w:t>2018</w:t>
            </w:r>
            <w:r>
              <w:rPr>
                <w:b/>
                <w:sz w:val="18"/>
                <w:szCs w:val="18"/>
              </w:rPr>
              <w:t>-</w:t>
            </w:r>
            <w:r w:rsidRPr="0063749C">
              <w:rPr>
                <w:b/>
                <w:sz w:val="18"/>
                <w:szCs w:val="18"/>
              </w:rPr>
              <w:t>2019 par provenance</w:t>
            </w:r>
          </w:p>
        </w:tc>
      </w:tr>
    </w:tbl>
    <w:p w14:paraId="3C38AC44" w14:textId="328581C2" w:rsidR="003B756D" w:rsidRPr="00701F12" w:rsidRDefault="00BB3BF5" w:rsidP="00986700">
      <w:pPr>
        <w:keepNext/>
        <w:keepLines/>
        <w:jc w:val="center"/>
        <w:rPr>
          <w:b/>
        </w:rPr>
      </w:pPr>
      <w:r w:rsidRPr="00BB3BF5">
        <w:rPr>
          <w:noProof/>
          <w:lang w:val="en-US" w:eastAsia="en-US"/>
        </w:rPr>
        <w:drawing>
          <wp:inline distT="0" distB="0" distL="0" distR="0" wp14:anchorId="2AD10E4D" wp14:editId="1A39B29A">
            <wp:extent cx="4817745" cy="33096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7745" cy="3309620"/>
                    </a:xfrm>
                    <a:prstGeom prst="rect">
                      <a:avLst/>
                    </a:prstGeom>
                    <a:noFill/>
                    <a:ln>
                      <a:noFill/>
                    </a:ln>
                  </pic:spPr>
                </pic:pic>
              </a:graphicData>
            </a:graphic>
          </wp:inline>
        </w:drawing>
      </w:r>
    </w:p>
    <w:p w14:paraId="6E7AF05F" w14:textId="77777777" w:rsidR="00D80270" w:rsidRPr="00701F12" w:rsidRDefault="00D80270" w:rsidP="00986700">
      <w:pPr>
        <w:rPr>
          <w:bCs/>
        </w:rPr>
      </w:pPr>
    </w:p>
    <w:p w14:paraId="7D64533C" w14:textId="77777777" w:rsidR="00D80270" w:rsidRPr="00701F12" w:rsidRDefault="00D80270" w:rsidP="00616FD3">
      <w:pPr>
        <w:pStyle w:val="ListParagraph"/>
        <w:keepNext/>
        <w:keepLines/>
        <w:numPr>
          <w:ilvl w:val="0"/>
          <w:numId w:val="59"/>
        </w:numPr>
        <w:tabs>
          <w:tab w:val="left" w:pos="567"/>
        </w:tabs>
        <w:ind w:left="0" w:firstLine="0"/>
        <w:jc w:val="both"/>
        <w:rPr>
          <w:rFonts w:cs="Arial"/>
        </w:rPr>
      </w:pPr>
      <w:r w:rsidRPr="0063749C">
        <w:rPr>
          <w:rFonts w:cs="Arial"/>
        </w:rPr>
        <w:lastRenderedPageBreak/>
        <w:t>L</w:t>
      </w:r>
      <w:r>
        <w:rPr>
          <w:rFonts w:cs="Arial"/>
        </w:rPr>
        <w:t>’</w:t>
      </w:r>
      <w:r w:rsidRPr="0063749C">
        <w:rPr>
          <w:rFonts w:cs="Arial"/>
        </w:rPr>
        <w:t>évolution globale des recettes de</w:t>
      </w:r>
      <w:r>
        <w:rPr>
          <w:rFonts w:cs="Arial"/>
        </w:rPr>
        <w:t> </w:t>
      </w:r>
      <w:r w:rsidRPr="0063749C">
        <w:rPr>
          <w:rFonts w:cs="Arial"/>
        </w:rPr>
        <w:t>2000</w:t>
      </w:r>
      <w:r>
        <w:rPr>
          <w:rFonts w:cs="Arial"/>
        </w:rPr>
        <w:t>-</w:t>
      </w:r>
      <w:r w:rsidRPr="0063749C">
        <w:rPr>
          <w:rFonts w:cs="Arial"/>
        </w:rPr>
        <w:t>2001 à 2018</w:t>
      </w:r>
      <w:r>
        <w:rPr>
          <w:rFonts w:cs="Arial"/>
        </w:rPr>
        <w:t>-</w:t>
      </w:r>
      <w:r w:rsidRPr="0063749C">
        <w:rPr>
          <w:rFonts w:cs="Arial"/>
        </w:rPr>
        <w:t>2019 est présentée dans le diagramme II ci</w:t>
      </w:r>
      <w:r>
        <w:rPr>
          <w:rFonts w:cs="Arial"/>
        </w:rPr>
        <w:t>-</w:t>
      </w:r>
      <w:r w:rsidRPr="0063749C">
        <w:rPr>
          <w:rFonts w:cs="Arial"/>
        </w:rPr>
        <w:t>dessous.</w:t>
      </w:r>
    </w:p>
    <w:p w14:paraId="0CDA2634" w14:textId="77777777" w:rsidR="00D80270" w:rsidRPr="00701F12" w:rsidRDefault="00D80270" w:rsidP="00986700">
      <w:pPr>
        <w:keepNext/>
        <w:keepLines/>
      </w:pPr>
    </w:p>
    <w:tbl>
      <w:tblPr>
        <w:tblW w:w="4300" w:type="pct"/>
        <w:jc w:val="center"/>
        <w:tblCellMar>
          <w:top w:w="57" w:type="dxa"/>
          <w:bottom w:w="57" w:type="dxa"/>
        </w:tblCellMar>
        <w:tblLook w:val="04A0" w:firstRow="1" w:lastRow="0" w:firstColumn="1" w:lastColumn="0" w:noHBand="0" w:noVBand="1"/>
      </w:tblPr>
      <w:tblGrid>
        <w:gridCol w:w="7987"/>
      </w:tblGrid>
      <w:tr w:rsidR="00D80270" w:rsidRPr="00701F12" w14:paraId="79D617FE" w14:textId="77777777" w:rsidTr="003B756D">
        <w:trPr>
          <w:cantSplit/>
          <w:jc w:val="center"/>
        </w:trPr>
        <w:tc>
          <w:tcPr>
            <w:tcW w:w="7987" w:type="dxa"/>
            <w:tcBorders>
              <w:top w:val="nil"/>
              <w:left w:val="nil"/>
              <w:bottom w:val="nil"/>
              <w:right w:val="nil"/>
            </w:tcBorders>
            <w:shd w:val="clear" w:color="auto" w:fill="C6D9F1" w:themeFill="text2" w:themeFillTint="33"/>
            <w:vAlign w:val="center"/>
          </w:tcPr>
          <w:p w14:paraId="27F840AE" w14:textId="77777777" w:rsidR="00D80270" w:rsidRPr="00701F12" w:rsidRDefault="00D80270" w:rsidP="00986700">
            <w:pPr>
              <w:keepNext/>
              <w:keepLines/>
              <w:jc w:val="center"/>
              <w:rPr>
                <w:b/>
                <w:sz w:val="18"/>
                <w:szCs w:val="18"/>
              </w:rPr>
            </w:pPr>
            <w:r w:rsidRPr="0063749C">
              <w:rPr>
                <w:b/>
                <w:sz w:val="18"/>
                <w:szCs w:val="18"/>
              </w:rPr>
              <w:t>Diagramme II.  Évolution des recettes de</w:t>
            </w:r>
            <w:r>
              <w:rPr>
                <w:b/>
                <w:sz w:val="18"/>
                <w:szCs w:val="18"/>
              </w:rPr>
              <w:t> </w:t>
            </w:r>
            <w:r w:rsidRPr="0063749C">
              <w:rPr>
                <w:b/>
                <w:sz w:val="18"/>
                <w:szCs w:val="18"/>
              </w:rPr>
              <w:t>2000</w:t>
            </w:r>
            <w:r>
              <w:rPr>
                <w:b/>
                <w:sz w:val="18"/>
                <w:szCs w:val="18"/>
              </w:rPr>
              <w:t>-</w:t>
            </w:r>
            <w:r w:rsidRPr="0063749C">
              <w:rPr>
                <w:b/>
                <w:sz w:val="18"/>
                <w:szCs w:val="18"/>
              </w:rPr>
              <w:t>2001 à 2018</w:t>
            </w:r>
            <w:r>
              <w:rPr>
                <w:b/>
                <w:sz w:val="18"/>
                <w:szCs w:val="18"/>
              </w:rPr>
              <w:t>-</w:t>
            </w:r>
            <w:r w:rsidRPr="0063749C">
              <w:rPr>
                <w:b/>
                <w:sz w:val="18"/>
                <w:szCs w:val="18"/>
              </w:rPr>
              <w:t>2019</w:t>
            </w:r>
          </w:p>
        </w:tc>
      </w:tr>
    </w:tbl>
    <w:p w14:paraId="256361BD" w14:textId="01D06216" w:rsidR="00D80270" w:rsidRPr="00701F12" w:rsidRDefault="00BB3BF5" w:rsidP="00986700">
      <w:pPr>
        <w:keepNext/>
        <w:keepLines/>
        <w:jc w:val="center"/>
        <w:rPr>
          <w:b/>
        </w:rPr>
      </w:pPr>
      <w:r w:rsidRPr="00BB3BF5">
        <w:rPr>
          <w:noProof/>
          <w:lang w:val="en-US" w:eastAsia="en-US"/>
        </w:rPr>
        <w:drawing>
          <wp:inline distT="0" distB="0" distL="0" distR="0" wp14:anchorId="76486260" wp14:editId="3A4E9327">
            <wp:extent cx="5760085" cy="380006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00060"/>
                    </a:xfrm>
                    <a:prstGeom prst="rect">
                      <a:avLst/>
                    </a:prstGeom>
                    <a:noFill/>
                    <a:ln>
                      <a:noFill/>
                    </a:ln>
                  </pic:spPr>
                </pic:pic>
              </a:graphicData>
            </a:graphic>
          </wp:inline>
        </w:drawing>
      </w:r>
    </w:p>
    <w:p w14:paraId="70A949E0" w14:textId="77777777" w:rsidR="00D80270" w:rsidRPr="00701F12" w:rsidRDefault="00D80270" w:rsidP="00986700">
      <w:pPr>
        <w:keepNext/>
        <w:keepLines/>
        <w:jc w:val="center"/>
        <w:rPr>
          <w:b/>
        </w:rPr>
      </w:pPr>
    </w:p>
    <w:p w14:paraId="074FDA3B" w14:textId="77777777" w:rsidR="008F1BEA" w:rsidRDefault="008F1BEA"/>
    <w:p w14:paraId="7EB82A91" w14:textId="77777777" w:rsidR="008F1BEA" w:rsidRPr="005F3E79" w:rsidRDefault="008F1BEA" w:rsidP="008F1BEA">
      <w:pPr>
        <w:shd w:val="clear" w:color="auto" w:fill="FFFFFF"/>
        <w:jc w:val="both"/>
        <w:rPr>
          <w:rFonts w:cs="Arial"/>
          <w:b/>
          <w:bCs/>
        </w:rPr>
      </w:pPr>
      <w:r w:rsidRPr="005F3E79">
        <w:rPr>
          <w:rFonts w:cs="Arial"/>
          <w:b/>
          <w:bCs/>
        </w:rPr>
        <w:t>Méthodologie</w:t>
      </w:r>
    </w:p>
    <w:p w14:paraId="7A4607AA" w14:textId="77777777" w:rsidR="008F1BEA" w:rsidRPr="005F3E79" w:rsidRDefault="008F1BEA" w:rsidP="008F1BEA">
      <w:pPr>
        <w:rPr>
          <w:rFonts w:cs="Arial"/>
        </w:rPr>
      </w:pPr>
    </w:p>
    <w:p w14:paraId="6BA102DC" w14:textId="77777777" w:rsidR="008F1BEA" w:rsidRPr="005F3E79" w:rsidRDefault="008F1BEA" w:rsidP="00616FD3">
      <w:pPr>
        <w:pStyle w:val="ListParagraph"/>
        <w:numPr>
          <w:ilvl w:val="0"/>
          <w:numId w:val="59"/>
        </w:numPr>
        <w:tabs>
          <w:tab w:val="left" w:pos="567"/>
        </w:tabs>
        <w:ind w:left="0" w:firstLine="0"/>
        <w:jc w:val="both"/>
        <w:rPr>
          <w:rFonts w:cs="Arial"/>
        </w:rPr>
      </w:pPr>
      <w:r w:rsidRPr="005F3E79">
        <w:rPr>
          <w:rFonts w:cs="Arial"/>
        </w:rPr>
        <w:t>Les prévisions de recettes pour 2018</w:t>
      </w:r>
      <w:r w:rsidRPr="005F3E79">
        <w:rPr>
          <w:rFonts w:cs="Arial"/>
        </w:rPr>
        <w:noBreakHyphen/>
        <w:t>2019 ont été établies sur une base comptable pour la première fois.  Cette méthodologie vise à obtenir un meilleur alignement entre les prévisions de recettes inscrites au budget et les recettes effectives figurant dans les états financiers annuels conformément aux normes IPSAS (normes comptables du secteur public international).  La modification de la méthodologie applicable aux prévisions de recettes concerne les recettes provenant des taxes perçues au titre du PCT, du système de Madrid et du système de La Haye, les prévisions de recettes inscrites au budget pour 2018</w:t>
      </w:r>
      <w:r w:rsidRPr="005F3E79">
        <w:rPr>
          <w:rFonts w:cs="Arial"/>
        </w:rPr>
        <w:noBreakHyphen/>
        <w:t>2019 étant fondées sur la date de publication et non sur la date de dépôt des demandes déposées dans le cadre des systèmes du PCT, de Madrid et de La Haye.</w:t>
      </w:r>
    </w:p>
    <w:p w14:paraId="1AF7A6BD" w14:textId="77777777" w:rsidR="008F1BEA" w:rsidRPr="005F3E79" w:rsidRDefault="008F1BEA" w:rsidP="008F1BEA">
      <w:pPr>
        <w:rPr>
          <w:rFonts w:cs="Arial"/>
        </w:rPr>
      </w:pPr>
    </w:p>
    <w:p w14:paraId="29C45B08" w14:textId="77777777" w:rsidR="008F1BEA" w:rsidRPr="005F3E79" w:rsidRDefault="008F1BEA" w:rsidP="008F1BEA">
      <w:pPr>
        <w:tabs>
          <w:tab w:val="left" w:pos="567"/>
        </w:tabs>
        <w:jc w:val="both"/>
        <w:rPr>
          <w:rFonts w:cs="Arial"/>
          <w:b/>
          <w:bCs/>
        </w:rPr>
      </w:pPr>
      <w:r w:rsidRPr="005F3E79">
        <w:rPr>
          <w:rFonts w:cs="Arial"/>
          <w:b/>
          <w:bCs/>
        </w:rPr>
        <w:t>Hypothèses de planification</w:t>
      </w:r>
    </w:p>
    <w:p w14:paraId="6CE5087C" w14:textId="77777777" w:rsidR="008F1BEA" w:rsidRPr="005F3E79" w:rsidRDefault="008F1BEA" w:rsidP="008F1BEA">
      <w:pPr>
        <w:jc w:val="both"/>
        <w:rPr>
          <w:rFonts w:cs="Arial"/>
        </w:rPr>
      </w:pPr>
    </w:p>
    <w:p w14:paraId="2983814C" w14:textId="77777777" w:rsidR="008F1BEA" w:rsidRPr="005F3E79" w:rsidRDefault="008F1BEA" w:rsidP="00616FD3">
      <w:pPr>
        <w:pStyle w:val="ListParagraph"/>
        <w:numPr>
          <w:ilvl w:val="0"/>
          <w:numId w:val="59"/>
        </w:numPr>
        <w:tabs>
          <w:tab w:val="left" w:pos="567"/>
        </w:tabs>
        <w:ind w:left="0" w:firstLine="0"/>
        <w:jc w:val="both"/>
        <w:rPr>
          <w:rFonts w:cs="Arial"/>
        </w:rPr>
      </w:pPr>
      <w:r w:rsidRPr="005F3E79">
        <w:rPr>
          <w:rFonts w:cs="Arial"/>
        </w:rPr>
        <w:t>Les prévisions de résultats pour les systèmes d’enregistrement du PCT, de Madrid et de La Haye ont été établies par l’économiste en chef, compte tenu de l’historique des tendances en matière de dépôt pour les principales origines dans le système du PCT et des prévisions relatives au produit intérieur brut figurant dans les Perspectives de l’économie mondiale publiées par le Fonds monétaire international.  Le tableau 3 et l’annexe IV contiennent un résumé et une présentation détaillée des prévisions de résultats pour chaque système d’enregistrement.</w:t>
      </w:r>
    </w:p>
    <w:p w14:paraId="35040B04" w14:textId="77777777" w:rsidR="008F1BEA" w:rsidRPr="005F3E79" w:rsidRDefault="008F1BEA" w:rsidP="008F1BEA">
      <w:pPr>
        <w:pStyle w:val="ListParagraph"/>
        <w:tabs>
          <w:tab w:val="left" w:pos="567"/>
        </w:tabs>
        <w:ind w:left="0"/>
        <w:jc w:val="both"/>
        <w:rPr>
          <w:rFonts w:cs="Arial"/>
        </w:rPr>
      </w:pPr>
    </w:p>
    <w:tbl>
      <w:tblPr>
        <w:tblW w:w="5000" w:type="pct"/>
        <w:tblCellMar>
          <w:top w:w="57" w:type="dxa"/>
          <w:bottom w:w="57" w:type="dxa"/>
        </w:tblCellMar>
        <w:tblLook w:val="04A0" w:firstRow="1" w:lastRow="0" w:firstColumn="1" w:lastColumn="0" w:noHBand="0" w:noVBand="1"/>
      </w:tblPr>
      <w:tblGrid>
        <w:gridCol w:w="9287"/>
      </w:tblGrid>
      <w:tr w:rsidR="008F1BEA" w:rsidRPr="005F3E79" w14:paraId="3BB802B1" w14:textId="77777777" w:rsidTr="008F1BEA">
        <w:trPr>
          <w:cantSplit/>
        </w:trPr>
        <w:tc>
          <w:tcPr>
            <w:tcW w:w="9214" w:type="dxa"/>
            <w:tcBorders>
              <w:top w:val="nil"/>
              <w:left w:val="nil"/>
              <w:bottom w:val="nil"/>
              <w:right w:val="nil"/>
            </w:tcBorders>
            <w:shd w:val="clear" w:color="auto" w:fill="C6D9F1" w:themeFill="text2" w:themeFillTint="33"/>
            <w:vAlign w:val="center"/>
          </w:tcPr>
          <w:p w14:paraId="77275A16" w14:textId="77777777" w:rsidR="008F1BEA" w:rsidRPr="005F3E79" w:rsidRDefault="008F1BEA" w:rsidP="008F1BEA">
            <w:pPr>
              <w:keepNext/>
              <w:jc w:val="center"/>
              <w:rPr>
                <w:rFonts w:cs="Arial"/>
                <w:b/>
                <w:sz w:val="18"/>
                <w:szCs w:val="18"/>
              </w:rPr>
            </w:pPr>
            <w:r w:rsidRPr="005F3E79">
              <w:rPr>
                <w:rFonts w:cs="Arial"/>
                <w:b/>
                <w:sz w:val="18"/>
                <w:szCs w:val="18"/>
              </w:rPr>
              <w:lastRenderedPageBreak/>
              <w:t xml:space="preserve">Tableau 3.  Prévisions relatives à la demande de services au titre des systèmes du PCT, de Madrid </w:t>
            </w:r>
            <w:r w:rsidRPr="005F3E79">
              <w:rPr>
                <w:rFonts w:cs="Arial"/>
                <w:b/>
                <w:sz w:val="18"/>
                <w:szCs w:val="18"/>
              </w:rPr>
              <w:br/>
              <w:t>et de La Haye</w:t>
            </w:r>
          </w:p>
        </w:tc>
      </w:tr>
    </w:tbl>
    <w:p w14:paraId="1D4C0E27" w14:textId="77777777" w:rsidR="008F1BEA" w:rsidRPr="005F3E79" w:rsidRDefault="008F1BEA" w:rsidP="008F1BEA">
      <w:pPr>
        <w:keepNext/>
        <w:rPr>
          <w:rFonts w:cs="Arial"/>
        </w:rPr>
      </w:pPr>
    </w:p>
    <w:p w14:paraId="09C7BD72" w14:textId="77777777" w:rsidR="008F1BEA" w:rsidRPr="005F3E79" w:rsidRDefault="008F1BEA" w:rsidP="008F1BEA">
      <w:pPr>
        <w:rPr>
          <w:rFonts w:cs="Arial"/>
          <w:i/>
          <w:sz w:val="16"/>
          <w:szCs w:val="16"/>
        </w:rPr>
      </w:pPr>
      <w:r w:rsidRPr="005F3E79">
        <w:rPr>
          <w:rFonts w:cs="Arial"/>
          <w:noProof/>
          <w:lang w:val="en-US" w:eastAsia="en-US"/>
        </w:rPr>
        <w:drawing>
          <wp:inline distT="0" distB="0" distL="0" distR="0" wp14:anchorId="7723EF03" wp14:editId="38953EF3">
            <wp:extent cx="5850000" cy="1855086"/>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000" cy="1855086"/>
                    </a:xfrm>
                    <a:prstGeom prst="rect">
                      <a:avLst/>
                    </a:prstGeom>
                    <a:noFill/>
                    <a:ln>
                      <a:noFill/>
                    </a:ln>
                  </pic:spPr>
                </pic:pic>
              </a:graphicData>
            </a:graphic>
          </wp:inline>
        </w:drawing>
      </w:r>
      <w:r w:rsidRPr="005F3E79">
        <w:rPr>
          <w:rFonts w:cs="Arial"/>
          <w:i/>
          <w:sz w:val="16"/>
          <w:szCs w:val="16"/>
        </w:rPr>
        <w:t>Note : Prévisions actualisées pour 2016</w:t>
      </w:r>
      <w:r w:rsidRPr="005F3E79">
        <w:rPr>
          <w:rFonts w:cs="Arial"/>
          <w:i/>
          <w:sz w:val="16"/>
          <w:szCs w:val="16"/>
        </w:rPr>
        <w:noBreakHyphen/>
        <w:t>2017 en avril 2017.</w:t>
      </w:r>
    </w:p>
    <w:p w14:paraId="4EBB78A2" w14:textId="77777777" w:rsidR="008F1BEA" w:rsidRPr="005F3E79" w:rsidRDefault="008F1BEA" w:rsidP="008F1BEA">
      <w:pPr>
        <w:rPr>
          <w:rFonts w:cs="Arial"/>
        </w:rPr>
      </w:pPr>
    </w:p>
    <w:p w14:paraId="090FBDDD" w14:textId="5D88CE68" w:rsidR="008F1BEA" w:rsidRPr="005F3E79" w:rsidRDefault="008F1BEA" w:rsidP="00616FD3">
      <w:pPr>
        <w:pStyle w:val="ListParagraph"/>
        <w:numPr>
          <w:ilvl w:val="0"/>
          <w:numId w:val="94"/>
        </w:numPr>
        <w:ind w:left="1134" w:hanging="567"/>
        <w:jc w:val="both"/>
        <w:rPr>
          <w:rFonts w:cs="Arial"/>
        </w:rPr>
      </w:pPr>
      <w:r w:rsidRPr="005F3E79">
        <w:rPr>
          <w:rFonts w:cs="Arial"/>
          <w:i/>
        </w:rPr>
        <w:t>Recettes provenant des taxes du PCT</w:t>
      </w:r>
      <w:r w:rsidRPr="005F3E79">
        <w:rPr>
          <w:rFonts w:cs="Arial"/>
        </w:rPr>
        <w:t>.  L’augmentation prévue du nombre de dépôts selon le PCT en 2018</w:t>
      </w:r>
      <w:r w:rsidRPr="005F3E79">
        <w:rPr>
          <w:rFonts w:cs="Arial"/>
        </w:rPr>
        <w:noBreakHyphen/>
        <w:t>2019 est de 7,3% par rapport aux prévisions actualisées pour 2016</w:t>
      </w:r>
      <w:r w:rsidRPr="005F3E79">
        <w:rPr>
          <w:rFonts w:cs="Arial"/>
        </w:rPr>
        <w:noBreakHyphen/>
        <w:t xml:space="preserve">2017 sur la base d’une prévision de croissance à moyen et long terme d’environ 3%.  </w:t>
      </w:r>
      <w:r w:rsidR="00B604D7">
        <w:rPr>
          <w:rFonts w:cs="Arial"/>
        </w:rPr>
        <w:t xml:space="preserve">Compte tenu des incertitudes entourant l’économie mondiale, </w:t>
      </w:r>
      <w:r w:rsidRPr="005F3E79">
        <w:rPr>
          <w:rFonts w:cs="Arial"/>
        </w:rPr>
        <w:t>les prévisions de recettes provenant des taxes du PCT</w:t>
      </w:r>
      <w:r w:rsidR="00B604D7">
        <w:rPr>
          <w:rFonts w:cs="Arial"/>
        </w:rPr>
        <w:t xml:space="preserve"> dans le budget proposé pour </w:t>
      </w:r>
      <w:r w:rsidRPr="005F3E79">
        <w:rPr>
          <w:rFonts w:cs="Arial"/>
        </w:rPr>
        <w:t>2018</w:t>
      </w:r>
      <w:r w:rsidRPr="005F3E79">
        <w:rPr>
          <w:rFonts w:cs="Arial"/>
        </w:rPr>
        <w:noBreakHyphen/>
        <w:t xml:space="preserve">2019 s’élèvent à </w:t>
      </w:r>
      <w:r w:rsidR="00073F3E">
        <w:rPr>
          <w:rFonts w:cs="Arial"/>
        </w:rPr>
        <w:t>634,1</w:t>
      </w:r>
      <w:r w:rsidRPr="005F3E79">
        <w:rPr>
          <w:rFonts w:cs="Arial"/>
        </w:rPr>
        <w:t xml:space="preserve"> millions de francs suisses, </w:t>
      </w:r>
      <w:r w:rsidR="00B604D7">
        <w:rPr>
          <w:rFonts w:cs="Arial"/>
        </w:rPr>
        <w:t xml:space="preserve">soit 2% de moins que dans le scénario de base, c’est-à-dire </w:t>
      </w:r>
      <w:r w:rsidRPr="005F3E79">
        <w:rPr>
          <w:rFonts w:cs="Arial"/>
        </w:rPr>
        <w:t xml:space="preserve">une hausse de </w:t>
      </w:r>
      <w:r w:rsidR="00073F3E">
        <w:rPr>
          <w:rFonts w:cs="Arial"/>
        </w:rPr>
        <w:t>6,1</w:t>
      </w:r>
      <w:r w:rsidRPr="005F3E79">
        <w:rPr>
          <w:rFonts w:cs="Arial"/>
        </w:rPr>
        <w:t>% par rapport aux prévisions actualisées pour 2016</w:t>
      </w:r>
      <w:r w:rsidRPr="005F3E79">
        <w:rPr>
          <w:rFonts w:cs="Arial"/>
        </w:rPr>
        <w:noBreakHyphen/>
        <w:t>2017 (base comptable).</w:t>
      </w:r>
    </w:p>
    <w:p w14:paraId="3BF3870D" w14:textId="77777777" w:rsidR="008F1BEA" w:rsidRPr="005F3E79" w:rsidRDefault="008F1BEA" w:rsidP="008F1BEA">
      <w:pPr>
        <w:ind w:left="1134" w:hanging="567"/>
        <w:jc w:val="both"/>
        <w:rPr>
          <w:rFonts w:cs="Arial"/>
        </w:rPr>
      </w:pPr>
    </w:p>
    <w:p w14:paraId="0890C74E" w14:textId="6463494A" w:rsidR="008F1BEA" w:rsidRPr="005F3E79" w:rsidRDefault="008F1BEA" w:rsidP="00616FD3">
      <w:pPr>
        <w:pStyle w:val="ListParagraph"/>
        <w:numPr>
          <w:ilvl w:val="0"/>
          <w:numId w:val="94"/>
        </w:numPr>
        <w:ind w:left="1134" w:hanging="567"/>
        <w:jc w:val="both"/>
        <w:rPr>
          <w:rFonts w:cs="Arial"/>
        </w:rPr>
      </w:pPr>
      <w:r w:rsidRPr="005F3E79">
        <w:rPr>
          <w:rFonts w:cs="Arial"/>
          <w:i/>
        </w:rPr>
        <w:t xml:space="preserve">Recettes provenant des taxes perçues au titre du système de Madrid.  </w:t>
      </w:r>
      <w:r w:rsidRPr="005F3E79">
        <w:rPr>
          <w:rFonts w:cs="Arial"/>
        </w:rPr>
        <w:t>D’après les prévisions, le nombre d’enregistrements et le nombre de renouvellements dans le cadre du système de Madrid devraient augmenter respectivement de 6,7% et de 11% en 2018</w:t>
      </w:r>
      <w:r w:rsidRPr="005F3E79">
        <w:rPr>
          <w:rFonts w:cs="Arial"/>
        </w:rPr>
        <w:noBreakHyphen/>
        <w:t>2019 par rapport aux prévisions actualisées pour 2016</w:t>
      </w:r>
      <w:r w:rsidRPr="005F3E79">
        <w:rPr>
          <w:rFonts w:cs="Arial"/>
        </w:rPr>
        <w:noBreakHyphen/>
        <w:t>2017.  Ces estimations s’appuient sur une prévision de croissance à long terme des demandes de 3 à 4%, les volumes de dépôts en provenance des principaux offices de dépôt demeurant élevés.</w:t>
      </w:r>
      <w:r w:rsidR="00B604D7">
        <w:rPr>
          <w:rFonts w:cs="Arial"/>
        </w:rPr>
        <w:t xml:space="preserve">  Compte dûment tenu des facteurs opérationnels, l</w:t>
      </w:r>
      <w:r w:rsidRPr="005F3E79">
        <w:rPr>
          <w:rFonts w:cs="Arial"/>
        </w:rPr>
        <w:t>es recettes provenant des taxes perçues au titre du système de Madrid pour 2018</w:t>
      </w:r>
      <w:r w:rsidRPr="005F3E79">
        <w:rPr>
          <w:rFonts w:cs="Arial"/>
        </w:rPr>
        <w:noBreakHyphen/>
        <w:t xml:space="preserve">2019 </w:t>
      </w:r>
      <w:r w:rsidR="00B604D7">
        <w:rPr>
          <w:rFonts w:cs="Arial"/>
        </w:rPr>
        <w:t xml:space="preserve">sont estimées </w:t>
      </w:r>
      <w:r w:rsidRPr="005F3E79">
        <w:rPr>
          <w:rFonts w:cs="Arial"/>
        </w:rPr>
        <w:t>à 14</w:t>
      </w:r>
      <w:r w:rsidR="00073F3E">
        <w:rPr>
          <w:rFonts w:cs="Arial"/>
        </w:rPr>
        <w:t>0,8</w:t>
      </w:r>
      <w:r w:rsidRPr="005F3E79">
        <w:rPr>
          <w:rFonts w:cs="Arial"/>
        </w:rPr>
        <w:t xml:space="preserve"> millions de francs suisses, </w:t>
      </w:r>
      <w:r w:rsidR="00B604D7">
        <w:rPr>
          <w:rFonts w:cs="Arial"/>
        </w:rPr>
        <w:t xml:space="preserve">soit 2% de moins que dans le scénario de base, c’est-à-dire </w:t>
      </w:r>
      <w:r w:rsidRPr="005F3E79">
        <w:rPr>
          <w:rFonts w:cs="Arial"/>
        </w:rPr>
        <w:t xml:space="preserve">une hausse de </w:t>
      </w:r>
      <w:r w:rsidR="00073F3E">
        <w:rPr>
          <w:rFonts w:cs="Arial"/>
        </w:rPr>
        <w:t>6,7</w:t>
      </w:r>
      <w:r w:rsidRPr="005F3E79">
        <w:rPr>
          <w:rFonts w:cs="Arial"/>
        </w:rPr>
        <w:t>% par rapport aux prévisions actualisées pour 2016</w:t>
      </w:r>
      <w:r w:rsidRPr="005F3E79">
        <w:rPr>
          <w:rFonts w:cs="Arial"/>
        </w:rPr>
        <w:noBreakHyphen/>
        <w:t>2017 (base comptable).</w:t>
      </w:r>
    </w:p>
    <w:p w14:paraId="353ABD0D" w14:textId="77777777" w:rsidR="008F1BEA" w:rsidRPr="005F3E79" w:rsidRDefault="008F1BEA" w:rsidP="008F1BEA">
      <w:pPr>
        <w:tabs>
          <w:tab w:val="left" w:pos="1694"/>
        </w:tabs>
        <w:ind w:left="1134" w:hanging="567"/>
        <w:rPr>
          <w:rFonts w:cs="Arial"/>
        </w:rPr>
      </w:pPr>
    </w:p>
    <w:p w14:paraId="29735AAA" w14:textId="77777777" w:rsidR="008F1BEA" w:rsidRPr="005F3E79" w:rsidRDefault="008F1BEA" w:rsidP="00616FD3">
      <w:pPr>
        <w:pStyle w:val="ListParagraph"/>
        <w:numPr>
          <w:ilvl w:val="0"/>
          <w:numId w:val="94"/>
        </w:numPr>
        <w:ind w:left="1134" w:hanging="567"/>
        <w:jc w:val="both"/>
        <w:rPr>
          <w:rFonts w:cs="Arial"/>
        </w:rPr>
      </w:pPr>
      <w:r w:rsidRPr="005F3E79">
        <w:rPr>
          <w:rFonts w:cs="Arial"/>
          <w:i/>
        </w:rPr>
        <w:t xml:space="preserve">Recettes provenant des taxes perçues au titre du système de La Haye.  </w:t>
      </w:r>
      <w:r w:rsidRPr="005F3E79">
        <w:rPr>
          <w:rFonts w:cs="Arial"/>
        </w:rPr>
        <w:t>D’après les prévisions, le nombre d’enregistrements et le nombre de renouvellements dans le cadre du système de La Haye devraient augmenter respectivement de 10,7% et 6,4% en 2018</w:t>
      </w:r>
      <w:r w:rsidRPr="005F3E79">
        <w:rPr>
          <w:rFonts w:cs="Arial"/>
        </w:rPr>
        <w:noBreakHyphen/>
        <w:t>2019 par rapport aux prévisions actualisées pour 2016</w:t>
      </w:r>
      <w:r w:rsidRPr="005F3E79">
        <w:rPr>
          <w:rFonts w:cs="Arial"/>
        </w:rPr>
        <w:noBreakHyphen/>
        <w:t>2017.  Ces estimations sont fondées sur l’hypothèse d’une croissance à deux chiffres à partir de 2018, après les adhésions attendues de la Chine et de la Fédération de Russie.  Les recettes provenant des taxes perçues au titre du système de La Haye devraient donc s’élever à 11,3 millions de francs suisses, soit une hausse de 14,2% par rapport aux prévisions actualisées pour 2016</w:t>
      </w:r>
      <w:r w:rsidRPr="005F3E79">
        <w:rPr>
          <w:rFonts w:cs="Arial"/>
        </w:rPr>
        <w:noBreakHyphen/>
        <w:t>2017 (base comptable).</w:t>
      </w:r>
    </w:p>
    <w:p w14:paraId="4969F569" w14:textId="77777777" w:rsidR="008F1BEA" w:rsidRPr="005F3E79" w:rsidRDefault="008F1BEA" w:rsidP="008F1BEA">
      <w:pPr>
        <w:ind w:left="1134" w:hanging="567"/>
        <w:rPr>
          <w:rFonts w:cs="Arial"/>
        </w:rPr>
      </w:pPr>
    </w:p>
    <w:p w14:paraId="00F8AC31"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Recettes provenant des taxes perçues au titre du système de Lisbonne.  </w:t>
      </w:r>
      <w:r w:rsidRPr="005F3E79">
        <w:rPr>
          <w:rFonts w:cs="Arial"/>
        </w:rPr>
        <w:t>D’après les prévisions, une vingtaine de demandes par an devrait être déposée dans le cadre du système de Lisbonne en 2018</w:t>
      </w:r>
      <w:r w:rsidRPr="005F3E79">
        <w:rPr>
          <w:rFonts w:cs="Arial"/>
        </w:rPr>
        <w:noBreakHyphen/>
        <w:t>2019.  Le montant correspondant des recettes provenant des taxes perçues au titre du système de Lisbonne est estimé à 40 000 francs suisses, soit 33,3% de plus que dans les prévisions du programme et budget pour 2016</w:t>
      </w:r>
      <w:r w:rsidRPr="005F3E79">
        <w:rPr>
          <w:rFonts w:cs="Arial"/>
        </w:rPr>
        <w:noBreakHyphen/>
        <w:t>2017.</w:t>
      </w:r>
    </w:p>
    <w:p w14:paraId="5EF28E9E" w14:textId="77777777" w:rsidR="008F1BEA" w:rsidRPr="005F3E79" w:rsidRDefault="008F1BEA" w:rsidP="008F1BEA">
      <w:pPr>
        <w:ind w:left="1134" w:hanging="567"/>
        <w:rPr>
          <w:rFonts w:cs="Arial"/>
        </w:rPr>
      </w:pPr>
    </w:p>
    <w:p w14:paraId="1A5633CB"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Contributions statutaires.  </w:t>
      </w:r>
      <w:r w:rsidRPr="005F3E79">
        <w:rPr>
          <w:rFonts w:cs="Arial"/>
        </w:rPr>
        <w:t>Les prévisions de recettes provenant des contributions statutaires des États membres en 2018</w:t>
      </w:r>
      <w:r w:rsidRPr="005F3E79">
        <w:rPr>
          <w:rFonts w:cs="Arial"/>
        </w:rPr>
        <w:noBreakHyphen/>
        <w:t>2019 s’appuient sur une diminution de 10% de la valeur d’une unité de contribution qui s’établira à 41 021 francs suisses</w:t>
      </w:r>
      <w:r w:rsidRPr="005F3E79">
        <w:rPr>
          <w:rStyle w:val="FootnoteReference"/>
          <w:rFonts w:cs="Arial"/>
        </w:rPr>
        <w:footnoteReference w:id="3"/>
      </w:r>
      <w:r w:rsidRPr="005F3E79">
        <w:rPr>
          <w:rFonts w:cs="Arial"/>
        </w:rPr>
        <w:t>.  En 2018</w:t>
      </w:r>
      <w:r w:rsidRPr="005F3E79">
        <w:rPr>
          <w:rFonts w:cs="Arial"/>
        </w:rPr>
        <w:noBreakHyphen/>
        <w:t xml:space="preserve">2019, la catégorie de contribution par pays devrait être la même qu’en 2017.  Le montant des </w:t>
      </w:r>
      <w:r w:rsidRPr="005F3E79">
        <w:rPr>
          <w:rFonts w:cs="Arial"/>
        </w:rPr>
        <w:lastRenderedPageBreak/>
        <w:t>recettes provenant des contributions des États membres est donc estimé à 31,3 millions de francs suisses en 2018</w:t>
      </w:r>
      <w:r w:rsidRPr="005F3E79">
        <w:rPr>
          <w:rFonts w:cs="Arial"/>
        </w:rPr>
        <w:noBreakHyphen/>
        <w:t>2019 contre 34,7 millions de francs suisses en 2016</w:t>
      </w:r>
      <w:r w:rsidRPr="005F3E79">
        <w:rPr>
          <w:rFonts w:cs="Arial"/>
        </w:rPr>
        <w:noBreakHyphen/>
        <w:t>2017.</w:t>
      </w:r>
    </w:p>
    <w:p w14:paraId="780DC35E" w14:textId="77777777" w:rsidR="008F1BEA" w:rsidRPr="005F3E79" w:rsidRDefault="008F1BEA" w:rsidP="008F1BEA">
      <w:pPr>
        <w:ind w:left="1134" w:hanging="567"/>
        <w:rPr>
          <w:rFonts w:cs="Arial"/>
        </w:rPr>
      </w:pPr>
    </w:p>
    <w:p w14:paraId="430CD812"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Les recettes provenant du Centre d’arbitrage et de médiation de l’OMPI.  </w:t>
      </w:r>
      <w:r w:rsidRPr="005F3E79">
        <w:rPr>
          <w:rFonts w:cs="Arial"/>
        </w:rPr>
        <w:t>Établies sur la base d’un volume de litiges relatifs à des noms de domaine administrés par l’OMPI en 2018 et 2019 similaire à celui de 2016, année record dans ce domaine, les prévisions de recettes provenant du Centre d’arbitrage et de médiation de l’OMPI s’établissent à 3,1 millions de francs suisses, soit le même niveau que dans les prévisions actualisées pour 2016</w:t>
      </w:r>
      <w:r w:rsidRPr="005F3E79">
        <w:rPr>
          <w:rFonts w:cs="Arial"/>
        </w:rPr>
        <w:noBreakHyphen/>
        <w:t>2017.  Cela représente une hausse de 24% par rapport aux prévisions du programme et budget pour 2016</w:t>
      </w:r>
      <w:r w:rsidRPr="005F3E79">
        <w:rPr>
          <w:rFonts w:cs="Arial"/>
        </w:rPr>
        <w:noBreakHyphen/>
        <w:t>2017.</w:t>
      </w:r>
    </w:p>
    <w:p w14:paraId="5ECA0C2B" w14:textId="77777777" w:rsidR="008F1BEA" w:rsidRPr="005F3E79" w:rsidRDefault="008F1BEA" w:rsidP="008F1BEA">
      <w:pPr>
        <w:ind w:left="1134" w:hanging="567"/>
        <w:rPr>
          <w:rFonts w:cs="Arial"/>
        </w:rPr>
      </w:pPr>
    </w:p>
    <w:p w14:paraId="0841C177"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Recettes provenant des publications.  </w:t>
      </w:r>
      <w:r w:rsidRPr="005F3E79">
        <w:rPr>
          <w:rFonts w:cs="Arial"/>
        </w:rPr>
        <w:t>Après la mise en œuvre en 2017 de l’initiative relative à la diffusion mondiale de données de propriété intellectuelle, qui permet aux utilisateurs d’accéder aux données de propriété intellectuelle de manière plus économique, les prévisions de recettes provenant des publications s’élèvent à 0,4 million de francs suisses, soit une baisse de 50,2% par rapport aux prévisions actualisées pour 2016</w:t>
      </w:r>
      <w:r w:rsidRPr="005F3E79">
        <w:rPr>
          <w:rFonts w:cs="Arial"/>
        </w:rPr>
        <w:noBreakHyphen/>
        <w:t xml:space="preserve">2017.  </w:t>
      </w:r>
    </w:p>
    <w:p w14:paraId="5DA79EA9" w14:textId="77777777" w:rsidR="008F1BEA" w:rsidRPr="005F3E79" w:rsidRDefault="008F1BEA" w:rsidP="008F1BEA">
      <w:pPr>
        <w:ind w:left="1134" w:hanging="567"/>
        <w:rPr>
          <w:rFonts w:cs="Arial"/>
        </w:rPr>
      </w:pPr>
    </w:p>
    <w:p w14:paraId="027EAE96"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Recettes provenant des investissements.  </w:t>
      </w:r>
      <w:r w:rsidRPr="005F3E79">
        <w:rPr>
          <w:rFonts w:cs="Arial"/>
        </w:rPr>
        <w:t>D’ici la fin de 2017, une trésorerie principale stratégique et opérationnelle sera investie conformément à la nouvelle politique en matière d’investissement.  Les prévisions de recettes provenant des investissements sont fondées sur les taux d’intérêt actuels et devraient s’établir à 46 000 francs suisses en 2018</w:t>
      </w:r>
      <w:r w:rsidRPr="005F3E79">
        <w:rPr>
          <w:rFonts w:cs="Arial"/>
        </w:rPr>
        <w:noBreakHyphen/>
        <w:t>2019.</w:t>
      </w:r>
    </w:p>
    <w:p w14:paraId="50FC6744" w14:textId="77777777" w:rsidR="008F1BEA" w:rsidRPr="005F3E79" w:rsidRDefault="008F1BEA" w:rsidP="008F1BEA">
      <w:pPr>
        <w:ind w:left="1134" w:hanging="567"/>
        <w:rPr>
          <w:rFonts w:cs="Arial"/>
        </w:rPr>
      </w:pPr>
    </w:p>
    <w:p w14:paraId="7E126D13" w14:textId="77777777" w:rsidR="008F1BEA" w:rsidRPr="005F3E79" w:rsidRDefault="008F1BEA" w:rsidP="00616FD3">
      <w:pPr>
        <w:pStyle w:val="ListParagraph"/>
        <w:numPr>
          <w:ilvl w:val="0"/>
          <w:numId w:val="95"/>
        </w:numPr>
        <w:ind w:left="1134" w:hanging="567"/>
        <w:jc w:val="both"/>
        <w:rPr>
          <w:rFonts w:cs="Arial"/>
        </w:rPr>
      </w:pPr>
      <w:r w:rsidRPr="005F3E79">
        <w:rPr>
          <w:rFonts w:cs="Arial"/>
          <w:i/>
        </w:rPr>
        <w:t xml:space="preserve">Recettes accessoires.  </w:t>
      </w:r>
      <w:r w:rsidRPr="005F3E79">
        <w:rPr>
          <w:rFonts w:cs="Arial"/>
        </w:rPr>
        <w:t>Les prévisions de recettes accessoires s’élèvent à 5,1 millions de francs suisses en 2018</w:t>
      </w:r>
      <w:r w:rsidRPr="005F3E79">
        <w:rPr>
          <w:rFonts w:cs="Arial"/>
        </w:rPr>
        <w:noBreakHyphen/>
        <w:t>2019, soit une hausse de 1,3 million de francs suisses ou 33,5% par rapport aux prévisions du programme et budget pour 2016</w:t>
      </w:r>
      <w:r w:rsidRPr="005F3E79">
        <w:rPr>
          <w:rFonts w:cs="Arial"/>
        </w:rPr>
        <w:noBreakHyphen/>
        <w:t>2017 mais une baisse de 1,2 million de francs suisses ou 19,5% par rapport aux prévisions actualisées pour 2016</w:t>
      </w:r>
      <w:r w:rsidRPr="005F3E79">
        <w:rPr>
          <w:rFonts w:cs="Arial"/>
        </w:rPr>
        <w:noBreakHyphen/>
        <w:t>2017.  La hausse enregistrée dans les prévisions actualisées pour 2016</w:t>
      </w:r>
      <w:r w:rsidRPr="005F3E79">
        <w:rPr>
          <w:rFonts w:cs="Arial"/>
        </w:rPr>
        <w:noBreakHyphen/>
        <w:t>2017 et les prévisions de recettes pour 2018</w:t>
      </w:r>
      <w:r w:rsidRPr="005F3E79">
        <w:rPr>
          <w:rFonts w:cs="Arial"/>
        </w:rPr>
        <w:noBreakHyphen/>
        <w:t>2019 par rapport au programme et budget pour 2016</w:t>
      </w:r>
      <w:r w:rsidRPr="005F3E79">
        <w:rPr>
          <w:rFonts w:cs="Arial"/>
        </w:rPr>
        <w:noBreakHyphen/>
        <w:t>2017 s’explique essentiellement par les prévisions de recettes plus élevées provenant des coûts d’administration des fonds fiduciaires (sur la base des recettes perçues en 2016) et de la prise en considération des recettes différées relatives aux travaux de construction d’un périmètre de sécurité financé par la Fondation des immeubles pour les organisations internationales (FIPOI).  La baisse dans les prévisions de recettes en 2018</w:t>
      </w:r>
      <w:r w:rsidRPr="005F3E79">
        <w:rPr>
          <w:rFonts w:cs="Arial"/>
        </w:rPr>
        <w:noBreakHyphen/>
        <w:t>2019 par rapport aux prévisions actualisées pour 2016</w:t>
      </w:r>
      <w:r w:rsidRPr="005F3E79">
        <w:rPr>
          <w:rFonts w:cs="Arial"/>
        </w:rPr>
        <w:noBreakHyphen/>
        <w:t>2017 s’explique par le fait qu’elles ont été établies à partir de l’hypothèse d’une absence de gains de change ou de notes de crédit en 2018</w:t>
      </w:r>
      <w:r w:rsidRPr="005F3E79">
        <w:rPr>
          <w:rFonts w:cs="Arial"/>
        </w:rPr>
        <w:noBreakHyphen/>
        <w:t>2019.</w:t>
      </w:r>
    </w:p>
    <w:p w14:paraId="23EF6CC9" w14:textId="77777777" w:rsidR="008F1BEA" w:rsidRPr="005F3E79" w:rsidRDefault="008F1BEA" w:rsidP="008F1BEA">
      <w:pPr>
        <w:rPr>
          <w:rFonts w:cs="Arial"/>
        </w:rPr>
        <w:sectPr w:rsidR="008F1BEA" w:rsidRPr="005F3E79" w:rsidSect="00350BB8">
          <w:headerReference w:type="even" r:id="rId22"/>
          <w:headerReference w:type="default" r:id="rId23"/>
          <w:pgSz w:w="11907" w:h="16839" w:code="9"/>
          <w:pgMar w:top="624" w:right="1418" w:bottom="1361" w:left="1418" w:header="567" w:footer="851" w:gutter="0"/>
          <w:pgNumType w:start="3"/>
          <w:cols w:space="720"/>
          <w:docGrid w:linePitch="360"/>
        </w:sectPr>
      </w:pPr>
      <w:bookmarkStart w:id="18" w:name="_Toc419283235"/>
    </w:p>
    <w:p w14:paraId="332E0678" w14:textId="77777777" w:rsidR="008F1BEA" w:rsidRDefault="008F1BEA" w:rsidP="00350BB8">
      <w:pPr>
        <w:widowControl w:val="0"/>
        <w:tabs>
          <w:tab w:val="num" w:pos="690"/>
        </w:tabs>
        <w:jc w:val="center"/>
        <w:rPr>
          <w:b/>
          <w:color w:val="000000"/>
        </w:rPr>
      </w:pPr>
      <w:bookmarkStart w:id="19" w:name="_Toc310950755"/>
      <w:bookmarkStart w:id="20" w:name="_Toc367350565"/>
      <w:r w:rsidRPr="00F47716">
        <w:rPr>
          <w:b/>
          <w:color w:val="000000"/>
        </w:rPr>
        <w:lastRenderedPageBreak/>
        <w:t>TABLEAU SYNOPTIQUE DES RÉSULTATS ET DU PROGRAMME ET BUDGET POUR 2018</w:t>
      </w:r>
      <w:r>
        <w:rPr>
          <w:b/>
          <w:color w:val="000000"/>
        </w:rPr>
        <w:t>-20</w:t>
      </w:r>
      <w:r w:rsidRPr="00F47716">
        <w:rPr>
          <w:b/>
          <w:color w:val="000000"/>
        </w:rPr>
        <w:t>19 Y COMPRIS LA PART CONSACRÉE AU DÉVELOPPEMENT PAR RÉSULTAT</w:t>
      </w:r>
    </w:p>
    <w:p w14:paraId="07BAF2CD" w14:textId="77777777" w:rsidR="008F1BEA" w:rsidRDefault="008F1BEA" w:rsidP="00350BB8">
      <w:pPr>
        <w:widowControl w:val="0"/>
        <w:tabs>
          <w:tab w:val="num" w:pos="690"/>
        </w:tabs>
        <w:jc w:val="center"/>
        <w:rPr>
          <w:b/>
          <w:color w:val="000000"/>
          <w:sz w:val="18"/>
        </w:rPr>
      </w:pPr>
      <w:r w:rsidRPr="00F47716">
        <w:rPr>
          <w:b/>
          <w:color w:val="000000"/>
          <w:sz w:val="18"/>
        </w:rPr>
        <w:t>(</w:t>
      </w:r>
      <w:r>
        <w:rPr>
          <w:b/>
          <w:color w:val="000000"/>
          <w:sz w:val="18"/>
        </w:rPr>
        <w:t>en milliers de francs suisses</w:t>
      </w:r>
      <w:r w:rsidRPr="00F47716">
        <w:rPr>
          <w:b/>
          <w:color w:val="000000"/>
          <w:sz w:val="18"/>
        </w:rPr>
        <w:t>)</w:t>
      </w:r>
    </w:p>
    <w:p w14:paraId="7855DEDD" w14:textId="77777777" w:rsidR="00A93A3C" w:rsidRDefault="00A93A3C" w:rsidP="00350BB8">
      <w:pPr>
        <w:widowControl w:val="0"/>
        <w:tabs>
          <w:tab w:val="num" w:pos="690"/>
        </w:tabs>
        <w:jc w:val="center"/>
        <w:rPr>
          <w:b/>
          <w:color w:val="000000"/>
          <w:sz w:val="18"/>
        </w:rPr>
      </w:pPr>
    </w:p>
    <w:tbl>
      <w:tblPr>
        <w:tblW w:w="22368" w:type="dxa"/>
        <w:jc w:val="center"/>
        <w:tblLayout w:type="fixed"/>
        <w:tblCellMar>
          <w:left w:w="28" w:type="dxa"/>
          <w:right w:w="28" w:type="dxa"/>
        </w:tblCellMar>
        <w:tblLook w:val="0000" w:firstRow="0" w:lastRow="0" w:firstColumn="0" w:lastColumn="0" w:noHBand="0" w:noVBand="0"/>
      </w:tblPr>
      <w:tblGrid>
        <w:gridCol w:w="334"/>
        <w:gridCol w:w="861"/>
        <w:gridCol w:w="534"/>
        <w:gridCol w:w="2490"/>
        <w:gridCol w:w="126"/>
        <w:gridCol w:w="9"/>
        <w:gridCol w:w="2992"/>
        <w:gridCol w:w="3003"/>
        <w:gridCol w:w="6"/>
        <w:gridCol w:w="198"/>
        <w:gridCol w:w="2797"/>
        <w:gridCol w:w="2980"/>
        <w:gridCol w:w="20"/>
        <w:gridCol w:w="951"/>
        <w:gridCol w:w="2042"/>
        <w:gridCol w:w="9"/>
        <w:gridCol w:w="2988"/>
        <w:gridCol w:w="28"/>
      </w:tblGrid>
      <w:tr w:rsidR="008F1BEA" w:rsidRPr="00A93A3C" w14:paraId="55E29855" w14:textId="77777777" w:rsidTr="00A93A3C">
        <w:trPr>
          <w:trHeight w:val="420"/>
          <w:jc w:val="center"/>
        </w:trPr>
        <w:tc>
          <w:tcPr>
            <w:tcW w:w="334" w:type="dxa"/>
            <w:shd w:val="clear" w:color="auto" w:fill="C6D9F1"/>
            <w:textDirection w:val="btLr"/>
            <w:vAlign w:val="center"/>
          </w:tcPr>
          <w:p w14:paraId="12F45E4D" w14:textId="77777777" w:rsidR="008F1BEA" w:rsidRPr="00A93A3C" w:rsidRDefault="008F1BEA" w:rsidP="00350BB8">
            <w:pPr>
              <w:tabs>
                <w:tab w:val="right" w:pos="2835"/>
              </w:tabs>
              <w:jc w:val="center"/>
              <w:rPr>
                <w:rFonts w:ascii="Arial Bold" w:hAnsi="Arial Bold" w:hint="eastAsia"/>
                <w:b/>
                <w:bCs/>
                <w:smallCaps/>
                <w:sz w:val="17"/>
              </w:rPr>
            </w:pPr>
          </w:p>
        </w:tc>
        <w:tc>
          <w:tcPr>
            <w:tcW w:w="861" w:type="dxa"/>
            <w:shd w:val="clear" w:color="auto" w:fill="99CCFF"/>
            <w:textDirection w:val="btLr"/>
            <w:vAlign w:val="center"/>
          </w:tcPr>
          <w:p w14:paraId="43D277C1" w14:textId="77777777" w:rsidR="008F1BEA" w:rsidRPr="00A93A3C" w:rsidRDefault="008F1BEA" w:rsidP="00350BB8">
            <w:pPr>
              <w:tabs>
                <w:tab w:val="right" w:pos="2835"/>
              </w:tabs>
              <w:jc w:val="center"/>
              <w:rPr>
                <w:rFonts w:ascii="Arial Bold" w:hAnsi="Arial Bold" w:hint="eastAsia"/>
                <w:b/>
                <w:bCs/>
                <w:smallCaps/>
                <w:sz w:val="17"/>
              </w:rPr>
            </w:pPr>
          </w:p>
          <w:p w14:paraId="7C490166" w14:textId="77777777" w:rsidR="008F1BEA" w:rsidRPr="00A93A3C" w:rsidRDefault="008F1BEA" w:rsidP="00350BB8">
            <w:pPr>
              <w:tabs>
                <w:tab w:val="right" w:pos="2835"/>
              </w:tabs>
              <w:jc w:val="center"/>
              <w:rPr>
                <w:rFonts w:ascii="Arial Bold" w:hAnsi="Arial Bold" w:hint="eastAsia"/>
                <w:b/>
                <w:bCs/>
                <w:smallCaps/>
                <w:sz w:val="17"/>
              </w:rPr>
            </w:pPr>
          </w:p>
          <w:p w14:paraId="17C7A18A" w14:textId="77777777" w:rsidR="008F1BEA" w:rsidRPr="00A93A3C" w:rsidRDefault="008F1BEA" w:rsidP="00350BB8">
            <w:pPr>
              <w:tabs>
                <w:tab w:val="right" w:pos="2835"/>
              </w:tabs>
              <w:jc w:val="center"/>
              <w:rPr>
                <w:rFonts w:ascii="Arial Bold" w:hAnsi="Arial Bold" w:hint="eastAsia"/>
                <w:b/>
                <w:bCs/>
                <w:smallCaps/>
                <w:sz w:val="17"/>
              </w:rPr>
            </w:pPr>
          </w:p>
        </w:tc>
        <w:tc>
          <w:tcPr>
            <w:tcW w:w="3024" w:type="dxa"/>
            <w:gridSpan w:val="2"/>
            <w:shd w:val="clear" w:color="auto" w:fill="C6D9F1"/>
            <w:tcMar>
              <w:top w:w="29" w:type="dxa"/>
            </w:tcMar>
            <w:vAlign w:val="center"/>
          </w:tcPr>
          <w:p w14:paraId="608CEBCB" w14:textId="77777777" w:rsidR="008F1BEA" w:rsidRPr="00A93A3C" w:rsidRDefault="008F1BEA" w:rsidP="00350BB8">
            <w:pPr>
              <w:tabs>
                <w:tab w:val="right" w:pos="2835"/>
              </w:tabs>
              <w:jc w:val="center"/>
              <w:rPr>
                <w:rFonts w:ascii="Arial Bold" w:hAnsi="Arial Bold" w:hint="eastAsia"/>
                <w:b/>
                <w:bCs/>
                <w:smallCaps/>
                <w:sz w:val="17"/>
                <w:szCs w:val="19"/>
              </w:rPr>
            </w:pPr>
          </w:p>
        </w:tc>
        <w:tc>
          <w:tcPr>
            <w:tcW w:w="15124" w:type="dxa"/>
            <w:gridSpan w:val="11"/>
            <w:shd w:val="clear" w:color="auto" w:fill="C6D9F1"/>
            <w:vAlign w:val="center"/>
          </w:tcPr>
          <w:p w14:paraId="193EC196"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Objectif stratégique VIII : Interface de communication dynamique entre l’OMPI, ses États membres et l’ensemble des parties prenantes</w:t>
            </w:r>
          </w:p>
        </w:tc>
        <w:tc>
          <w:tcPr>
            <w:tcW w:w="3025" w:type="dxa"/>
            <w:gridSpan w:val="3"/>
            <w:shd w:val="clear" w:color="auto" w:fill="C6D9F1"/>
            <w:vAlign w:val="center"/>
          </w:tcPr>
          <w:p w14:paraId="17954E1E"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noProof/>
                <w:sz w:val="17"/>
                <w:szCs w:val="19"/>
                <w:lang w:val="en-US" w:eastAsia="en-US"/>
              </w:rPr>
              <w:drawing>
                <wp:inline distT="0" distB="0" distL="0" distR="0" wp14:anchorId="7D0F15B0" wp14:editId="6EA2878A">
                  <wp:extent cx="432000" cy="4320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8F1BEA" w:rsidRPr="00A93A3C" w14:paraId="29779979" w14:textId="77777777" w:rsidTr="00A93A3C">
        <w:trPr>
          <w:trHeight w:val="767"/>
          <w:jc w:val="center"/>
        </w:trPr>
        <w:tc>
          <w:tcPr>
            <w:tcW w:w="334" w:type="dxa"/>
            <w:shd w:val="clear" w:color="auto" w:fill="C6D9F1"/>
          </w:tcPr>
          <w:p w14:paraId="70FAE0FF" w14:textId="77777777" w:rsidR="008F1BEA" w:rsidRPr="00A93A3C" w:rsidRDefault="008F1BEA" w:rsidP="00350BB8">
            <w:pPr>
              <w:tabs>
                <w:tab w:val="right" w:pos="2835"/>
              </w:tabs>
              <w:jc w:val="center"/>
              <w:rPr>
                <w:b/>
                <w:bCs/>
                <w:sz w:val="17"/>
                <w:szCs w:val="16"/>
              </w:rPr>
            </w:pPr>
          </w:p>
        </w:tc>
        <w:tc>
          <w:tcPr>
            <w:tcW w:w="861" w:type="dxa"/>
            <w:shd w:val="clear" w:color="auto" w:fill="99CCFF"/>
          </w:tcPr>
          <w:p w14:paraId="63969AF5" w14:textId="77777777" w:rsidR="008F1BEA" w:rsidRPr="00A93A3C" w:rsidRDefault="008F1BEA" w:rsidP="00350BB8">
            <w:pPr>
              <w:tabs>
                <w:tab w:val="right" w:pos="2835"/>
              </w:tabs>
              <w:jc w:val="center"/>
              <w:rPr>
                <w:b/>
                <w:bCs/>
                <w:sz w:val="17"/>
                <w:szCs w:val="16"/>
              </w:rPr>
            </w:pPr>
          </w:p>
        </w:tc>
        <w:tc>
          <w:tcPr>
            <w:tcW w:w="3150" w:type="dxa"/>
            <w:gridSpan w:val="3"/>
            <w:shd w:val="clear" w:color="auto" w:fill="auto"/>
            <w:vAlign w:val="center"/>
          </w:tcPr>
          <w:p w14:paraId="23C3A0AB" w14:textId="77777777" w:rsidR="008F1BEA" w:rsidRPr="00A93A3C" w:rsidRDefault="008F1BEA" w:rsidP="00350BB8">
            <w:pPr>
              <w:tabs>
                <w:tab w:val="right" w:pos="2835"/>
              </w:tabs>
              <w:jc w:val="center"/>
              <w:rPr>
                <w:sz w:val="15"/>
                <w:szCs w:val="15"/>
              </w:rPr>
            </w:pPr>
            <w:r w:rsidRPr="00A93A3C">
              <w:rPr>
                <w:sz w:val="15"/>
                <w:szCs w:val="15"/>
              </w:rPr>
              <w:t> </w:t>
            </w:r>
          </w:p>
        </w:tc>
        <w:tc>
          <w:tcPr>
            <w:tcW w:w="3001" w:type="dxa"/>
            <w:gridSpan w:val="2"/>
            <w:shd w:val="clear" w:color="auto" w:fill="auto"/>
          </w:tcPr>
          <w:p w14:paraId="22F776AC" w14:textId="55D69EE2" w:rsidR="008F1BEA" w:rsidRPr="00A93A3C" w:rsidRDefault="008F1BEA" w:rsidP="00350BB8">
            <w:pPr>
              <w:tabs>
                <w:tab w:val="right" w:pos="2835"/>
              </w:tabs>
              <w:spacing w:after="60"/>
              <w:rPr>
                <w:sz w:val="15"/>
                <w:szCs w:val="15"/>
              </w:rPr>
            </w:pPr>
            <w:r w:rsidRPr="00A93A3C">
              <w:rPr>
                <w:sz w:val="15"/>
                <w:szCs w:val="15"/>
              </w:rPr>
              <w:t>VIII.1 Communication plus efficace avec un public large et varié concernant la propriété intellectuelle et le rôle de l’OMPI</w:t>
            </w:r>
            <w:r w:rsidR="00A93A3C">
              <w:rPr>
                <w:sz w:val="15"/>
                <w:szCs w:val="15"/>
              </w:rPr>
              <w:br/>
            </w:r>
          </w:p>
          <w:p w14:paraId="0A9060F5" w14:textId="77777777" w:rsidR="008F1BEA" w:rsidRPr="00A93A3C" w:rsidRDefault="008F1BEA" w:rsidP="00350BB8">
            <w:pPr>
              <w:tabs>
                <w:tab w:val="left" w:pos="1796"/>
              </w:tabs>
              <w:jc w:val="right"/>
              <w:rPr>
                <w:sz w:val="15"/>
                <w:szCs w:val="15"/>
              </w:rPr>
            </w:pPr>
            <w:r w:rsidRPr="00A93A3C">
              <w:rPr>
                <w:sz w:val="15"/>
                <w:szCs w:val="15"/>
              </w:rPr>
              <w:t xml:space="preserve">12 406 </w:t>
            </w:r>
            <w:r w:rsidRPr="00A93A3C">
              <w:rPr>
                <w:i/>
                <w:sz w:val="15"/>
                <w:szCs w:val="15"/>
              </w:rPr>
              <w:t>(</w:t>
            </w:r>
            <w:r w:rsidRPr="00A93A3C">
              <w:rPr>
                <w:i/>
                <w:color w:val="1F497D" w:themeColor="text2"/>
                <w:sz w:val="15"/>
                <w:szCs w:val="15"/>
              </w:rPr>
              <w:t>-</w:t>
            </w:r>
            <w:r w:rsidRPr="00A93A3C">
              <w:rPr>
                <w:i/>
                <w:sz w:val="15"/>
                <w:szCs w:val="15"/>
              </w:rPr>
              <w:t>)</w:t>
            </w:r>
          </w:p>
        </w:tc>
        <w:tc>
          <w:tcPr>
            <w:tcW w:w="3003" w:type="dxa"/>
            <w:shd w:val="clear" w:color="auto" w:fill="auto"/>
          </w:tcPr>
          <w:p w14:paraId="5FE43A85" w14:textId="1153C5C4" w:rsidR="008F1BEA" w:rsidRPr="00A93A3C" w:rsidRDefault="008F1BEA" w:rsidP="00350BB8">
            <w:pPr>
              <w:tabs>
                <w:tab w:val="right" w:pos="2835"/>
              </w:tabs>
              <w:spacing w:after="60"/>
              <w:rPr>
                <w:i/>
                <w:iCs/>
                <w:sz w:val="15"/>
                <w:szCs w:val="15"/>
              </w:rPr>
            </w:pPr>
            <w:r w:rsidRPr="00A93A3C">
              <w:rPr>
                <w:sz w:val="15"/>
                <w:szCs w:val="15"/>
              </w:rPr>
              <w:t>VIII.2 Amélioration de l’orientation vers les services et de la réactivité à la demande</w:t>
            </w:r>
            <w:r w:rsidRPr="00A93A3C">
              <w:rPr>
                <w:sz w:val="15"/>
                <w:szCs w:val="15"/>
              </w:rPr>
              <w:br/>
            </w:r>
            <w:r w:rsidR="00A93A3C">
              <w:rPr>
                <w:i/>
                <w:iCs/>
                <w:sz w:val="15"/>
                <w:szCs w:val="15"/>
              </w:rPr>
              <w:br/>
            </w:r>
          </w:p>
          <w:p w14:paraId="51A5DDE7" w14:textId="77777777" w:rsidR="008F1BEA" w:rsidRPr="00A93A3C" w:rsidRDefault="008F1BEA" w:rsidP="00350BB8">
            <w:pPr>
              <w:tabs>
                <w:tab w:val="left" w:pos="1873"/>
              </w:tabs>
              <w:jc w:val="right"/>
              <w:rPr>
                <w:sz w:val="15"/>
                <w:szCs w:val="15"/>
              </w:rPr>
            </w:pPr>
            <w:r w:rsidRPr="00A93A3C">
              <w:rPr>
                <w:sz w:val="15"/>
                <w:szCs w:val="15"/>
              </w:rPr>
              <w:t xml:space="preserve">7 128 </w:t>
            </w:r>
            <w:r w:rsidRPr="00A93A3C">
              <w:rPr>
                <w:i/>
                <w:sz w:val="15"/>
                <w:szCs w:val="15"/>
              </w:rPr>
              <w:t>(</w:t>
            </w:r>
            <w:r w:rsidRPr="00A93A3C">
              <w:rPr>
                <w:i/>
                <w:color w:val="1F497D" w:themeColor="text2"/>
                <w:sz w:val="15"/>
                <w:szCs w:val="15"/>
              </w:rPr>
              <w:t>-</w:t>
            </w:r>
            <w:r w:rsidRPr="00A93A3C">
              <w:rPr>
                <w:i/>
                <w:sz w:val="15"/>
                <w:szCs w:val="15"/>
              </w:rPr>
              <w:t>)</w:t>
            </w:r>
          </w:p>
        </w:tc>
        <w:tc>
          <w:tcPr>
            <w:tcW w:w="3001" w:type="dxa"/>
            <w:gridSpan w:val="3"/>
            <w:shd w:val="clear" w:color="auto" w:fill="auto"/>
          </w:tcPr>
          <w:p w14:paraId="633EBBBC" w14:textId="77777777" w:rsidR="008F1BEA" w:rsidRPr="00A93A3C" w:rsidRDefault="008F1BEA" w:rsidP="00350BB8">
            <w:pPr>
              <w:tabs>
                <w:tab w:val="right" w:pos="2835"/>
              </w:tabs>
              <w:spacing w:after="60"/>
              <w:rPr>
                <w:sz w:val="15"/>
                <w:szCs w:val="15"/>
              </w:rPr>
            </w:pPr>
            <w:r w:rsidRPr="00A93A3C">
              <w:rPr>
                <w:sz w:val="15"/>
                <w:szCs w:val="15"/>
              </w:rPr>
              <w:t>VIII.3 Engagement réel auprès des États membres</w:t>
            </w:r>
            <w:r w:rsidRPr="00A93A3C">
              <w:rPr>
                <w:sz w:val="15"/>
                <w:szCs w:val="15"/>
              </w:rPr>
              <w:br/>
            </w:r>
            <w:r w:rsidRPr="00A93A3C">
              <w:rPr>
                <w:sz w:val="15"/>
                <w:szCs w:val="15"/>
              </w:rPr>
              <w:br/>
            </w:r>
          </w:p>
          <w:p w14:paraId="78B50CCF" w14:textId="77777777" w:rsidR="008F1BEA" w:rsidRPr="00A93A3C" w:rsidRDefault="008F1BEA" w:rsidP="00350BB8">
            <w:pPr>
              <w:tabs>
                <w:tab w:val="left" w:pos="1807"/>
              </w:tabs>
              <w:jc w:val="right"/>
              <w:rPr>
                <w:sz w:val="15"/>
                <w:szCs w:val="15"/>
              </w:rPr>
            </w:pPr>
            <w:r w:rsidRPr="00A93A3C">
              <w:rPr>
                <w:sz w:val="15"/>
                <w:szCs w:val="15"/>
              </w:rPr>
              <w:t xml:space="preserve">7 342 </w:t>
            </w:r>
            <w:r w:rsidRPr="00A93A3C">
              <w:rPr>
                <w:i/>
                <w:sz w:val="15"/>
                <w:szCs w:val="15"/>
              </w:rPr>
              <w:t>(</w:t>
            </w:r>
            <w:r w:rsidRPr="00A93A3C">
              <w:rPr>
                <w:i/>
                <w:color w:val="1F497D" w:themeColor="text2"/>
                <w:sz w:val="15"/>
                <w:szCs w:val="15"/>
              </w:rPr>
              <w:t>-</w:t>
            </w:r>
            <w:r w:rsidRPr="00A93A3C">
              <w:rPr>
                <w:i/>
                <w:sz w:val="15"/>
                <w:szCs w:val="15"/>
              </w:rPr>
              <w:t>)</w:t>
            </w:r>
          </w:p>
        </w:tc>
        <w:tc>
          <w:tcPr>
            <w:tcW w:w="3000" w:type="dxa"/>
            <w:gridSpan w:val="2"/>
            <w:shd w:val="clear" w:color="auto" w:fill="auto"/>
          </w:tcPr>
          <w:p w14:paraId="54B96885" w14:textId="77777777" w:rsidR="008F1BEA" w:rsidRPr="00A93A3C" w:rsidRDefault="008F1BEA" w:rsidP="00350BB8">
            <w:pPr>
              <w:tabs>
                <w:tab w:val="right" w:pos="2835"/>
              </w:tabs>
              <w:spacing w:after="60"/>
              <w:rPr>
                <w:sz w:val="15"/>
                <w:szCs w:val="15"/>
              </w:rPr>
            </w:pPr>
            <w:r w:rsidRPr="00A93A3C">
              <w:rPr>
                <w:sz w:val="15"/>
                <w:szCs w:val="15"/>
              </w:rPr>
              <w:t>VIII.4 Échanges ouverts, transparents et dynamiques avec les parties prenantes non gouvernementales</w:t>
            </w:r>
            <w:r w:rsidRPr="00A93A3C">
              <w:rPr>
                <w:sz w:val="15"/>
                <w:szCs w:val="15"/>
              </w:rPr>
              <w:br/>
            </w:r>
          </w:p>
          <w:p w14:paraId="67EB91CD" w14:textId="77777777" w:rsidR="008F1BEA" w:rsidRPr="00A93A3C" w:rsidRDefault="008F1BEA" w:rsidP="00350BB8">
            <w:pPr>
              <w:tabs>
                <w:tab w:val="left" w:pos="1743"/>
              </w:tabs>
              <w:jc w:val="right"/>
              <w:rPr>
                <w:sz w:val="15"/>
                <w:szCs w:val="15"/>
              </w:rPr>
            </w:pPr>
            <w:r w:rsidRPr="00A93A3C">
              <w:rPr>
                <w:sz w:val="15"/>
                <w:szCs w:val="15"/>
              </w:rPr>
              <w:t>786 (</w:t>
            </w:r>
            <w:r w:rsidRPr="00A93A3C">
              <w:rPr>
                <w:i/>
                <w:color w:val="1F497D" w:themeColor="text2"/>
                <w:sz w:val="15"/>
                <w:szCs w:val="15"/>
              </w:rPr>
              <w:t>-</w:t>
            </w:r>
            <w:r w:rsidRPr="00A93A3C">
              <w:rPr>
                <w:i/>
                <w:sz w:val="15"/>
                <w:szCs w:val="15"/>
              </w:rPr>
              <w:t>)</w:t>
            </w:r>
          </w:p>
        </w:tc>
        <w:tc>
          <w:tcPr>
            <w:tcW w:w="3002" w:type="dxa"/>
            <w:gridSpan w:val="3"/>
            <w:shd w:val="clear" w:color="auto" w:fill="auto"/>
          </w:tcPr>
          <w:p w14:paraId="53455D5B" w14:textId="77777777" w:rsidR="008F1BEA" w:rsidRPr="00A93A3C" w:rsidRDefault="008F1BEA" w:rsidP="00350BB8">
            <w:pPr>
              <w:tabs>
                <w:tab w:val="right" w:pos="2835"/>
              </w:tabs>
              <w:spacing w:after="60"/>
              <w:rPr>
                <w:sz w:val="15"/>
                <w:szCs w:val="15"/>
              </w:rPr>
            </w:pPr>
            <w:r w:rsidRPr="00A93A3C">
              <w:rPr>
                <w:sz w:val="15"/>
                <w:szCs w:val="15"/>
              </w:rPr>
              <w:t>VIII.5 L’OMPI collabore efficacement avec d’autres processus et instances de négociation de l’ONU et d’autres organisations intergouvernementales</w:t>
            </w:r>
          </w:p>
          <w:p w14:paraId="271B5DE0" w14:textId="77777777" w:rsidR="008F1BEA" w:rsidRPr="00A93A3C" w:rsidRDefault="008F1BEA" w:rsidP="00350BB8">
            <w:pPr>
              <w:tabs>
                <w:tab w:val="left" w:pos="1821"/>
              </w:tabs>
              <w:jc w:val="right"/>
              <w:rPr>
                <w:sz w:val="15"/>
                <w:szCs w:val="15"/>
              </w:rPr>
            </w:pPr>
            <w:r w:rsidRPr="00A93A3C">
              <w:rPr>
                <w:sz w:val="15"/>
                <w:szCs w:val="15"/>
              </w:rPr>
              <w:t xml:space="preserve">6 357 </w:t>
            </w:r>
            <w:r w:rsidRPr="00A93A3C">
              <w:rPr>
                <w:i/>
                <w:sz w:val="15"/>
                <w:szCs w:val="15"/>
              </w:rPr>
              <w:t>(</w:t>
            </w:r>
            <w:r w:rsidRPr="00A93A3C">
              <w:rPr>
                <w:i/>
                <w:color w:val="1F497D" w:themeColor="text2"/>
                <w:sz w:val="15"/>
                <w:szCs w:val="15"/>
              </w:rPr>
              <w:t>-</w:t>
            </w:r>
            <w:r w:rsidRPr="00A93A3C">
              <w:rPr>
                <w:i/>
                <w:sz w:val="15"/>
                <w:szCs w:val="15"/>
              </w:rPr>
              <w:t>)</w:t>
            </w:r>
          </w:p>
        </w:tc>
        <w:tc>
          <w:tcPr>
            <w:tcW w:w="3016" w:type="dxa"/>
            <w:gridSpan w:val="2"/>
            <w:shd w:val="clear" w:color="auto" w:fill="auto"/>
            <w:vAlign w:val="bottom"/>
          </w:tcPr>
          <w:p w14:paraId="5FED30D7" w14:textId="77777777" w:rsidR="008F1BEA" w:rsidRPr="00A93A3C" w:rsidRDefault="008F1BEA" w:rsidP="00350BB8">
            <w:pPr>
              <w:tabs>
                <w:tab w:val="left" w:pos="907"/>
                <w:tab w:val="right" w:pos="2253"/>
              </w:tabs>
              <w:jc w:val="right"/>
              <w:rPr>
                <w:b/>
                <w:bCs/>
                <w:i/>
                <w:iCs/>
                <w:sz w:val="15"/>
                <w:szCs w:val="15"/>
              </w:rPr>
            </w:pPr>
            <w:r w:rsidRPr="00A93A3C">
              <w:rPr>
                <w:b/>
                <w:bCs/>
                <w:i/>
                <w:iCs/>
                <w:sz w:val="15"/>
                <w:szCs w:val="15"/>
              </w:rPr>
              <w:t xml:space="preserve">Total OS VIII : </w:t>
            </w:r>
            <w:r w:rsidRPr="00A93A3C">
              <w:rPr>
                <w:b/>
                <w:bCs/>
                <w:sz w:val="15"/>
                <w:szCs w:val="15"/>
              </w:rPr>
              <w:t xml:space="preserve">34 019 </w:t>
            </w:r>
            <w:r w:rsidRPr="00A93A3C">
              <w:rPr>
                <w:b/>
                <w:bCs/>
                <w:i/>
                <w:sz w:val="15"/>
                <w:szCs w:val="15"/>
              </w:rPr>
              <w:t>(</w:t>
            </w:r>
            <w:r w:rsidRPr="00A93A3C">
              <w:rPr>
                <w:b/>
                <w:bCs/>
                <w:i/>
                <w:color w:val="1F497D" w:themeColor="text2"/>
                <w:sz w:val="15"/>
                <w:szCs w:val="15"/>
              </w:rPr>
              <w:t>-</w:t>
            </w:r>
            <w:r w:rsidRPr="00A93A3C">
              <w:rPr>
                <w:b/>
                <w:bCs/>
                <w:i/>
                <w:sz w:val="15"/>
                <w:szCs w:val="15"/>
              </w:rPr>
              <w:t>)</w:t>
            </w:r>
          </w:p>
        </w:tc>
      </w:tr>
      <w:tr w:rsidR="008F1BEA" w:rsidRPr="00A93A3C" w14:paraId="4E2DB906" w14:textId="77777777" w:rsidTr="00A93A3C">
        <w:trPr>
          <w:trHeight w:val="849"/>
          <w:jc w:val="center"/>
        </w:trPr>
        <w:tc>
          <w:tcPr>
            <w:tcW w:w="334" w:type="dxa"/>
            <w:shd w:val="clear" w:color="auto" w:fill="C6D9F1"/>
          </w:tcPr>
          <w:p w14:paraId="6C4789FA" w14:textId="77777777" w:rsidR="008F1BEA" w:rsidRPr="00A93A3C" w:rsidRDefault="008F1BEA" w:rsidP="00350BB8">
            <w:pPr>
              <w:tabs>
                <w:tab w:val="right" w:pos="2835"/>
              </w:tabs>
              <w:jc w:val="center"/>
              <w:rPr>
                <w:b/>
                <w:bCs/>
                <w:sz w:val="17"/>
                <w:szCs w:val="16"/>
              </w:rPr>
            </w:pPr>
          </w:p>
        </w:tc>
        <w:tc>
          <w:tcPr>
            <w:tcW w:w="861" w:type="dxa"/>
            <w:shd w:val="clear" w:color="auto" w:fill="99CCFF"/>
            <w:vAlign w:val="center"/>
          </w:tcPr>
          <w:p w14:paraId="0F851F8E" w14:textId="77777777" w:rsidR="008F1BEA" w:rsidRPr="00A93A3C" w:rsidRDefault="008F1BEA" w:rsidP="00350BB8">
            <w:pPr>
              <w:tabs>
                <w:tab w:val="right" w:pos="2835"/>
              </w:tabs>
              <w:jc w:val="center"/>
              <w:rPr>
                <w:b/>
                <w:bCs/>
                <w:sz w:val="17"/>
                <w:szCs w:val="16"/>
              </w:rPr>
            </w:pPr>
            <w:r w:rsidRPr="00A93A3C">
              <w:rPr>
                <w:rFonts w:ascii="Arial Bold" w:hAnsi="Arial Bold"/>
                <w:b/>
                <w:bCs/>
                <w:smallCaps/>
                <w:noProof/>
                <w:sz w:val="17"/>
                <w:szCs w:val="19"/>
                <w:lang w:val="en-US" w:eastAsia="en-US"/>
              </w:rPr>
              <w:drawing>
                <wp:inline distT="0" distB="0" distL="0" distR="0" wp14:anchorId="5013CDFA" wp14:editId="700E3F3A">
                  <wp:extent cx="432000" cy="432000"/>
                  <wp:effectExtent l="0" t="0" r="635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432000" cy="432000"/>
                          </a:xfrm>
                          <a:prstGeom prst="rect">
                            <a:avLst/>
                          </a:prstGeom>
                        </pic:spPr>
                      </pic:pic>
                    </a:graphicData>
                  </a:graphic>
                </wp:inline>
              </w:drawing>
            </w:r>
          </w:p>
        </w:tc>
        <w:tc>
          <w:tcPr>
            <w:tcW w:w="3150" w:type="dxa"/>
            <w:gridSpan w:val="3"/>
            <w:shd w:val="clear" w:color="auto" w:fill="C6D9F1"/>
            <w:vAlign w:val="center"/>
          </w:tcPr>
          <w:p w14:paraId="01183513"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I : </w:t>
            </w:r>
            <w:r w:rsidRPr="00A93A3C">
              <w:rPr>
                <w:rFonts w:ascii="Arial Bold" w:hAnsi="Arial Bold"/>
                <w:b/>
                <w:bCs/>
                <w:smallCaps/>
                <w:sz w:val="17"/>
                <w:szCs w:val="19"/>
              </w:rPr>
              <w:br/>
              <w:t xml:space="preserve">Évolution équilibrée du cadre normatif international de </w:t>
            </w:r>
            <w:r w:rsidRPr="00A93A3C">
              <w:rPr>
                <w:rFonts w:ascii="Arial Bold" w:hAnsi="Arial Bold"/>
                <w:b/>
                <w:bCs/>
                <w:smallCaps/>
                <w:color w:val="000000"/>
                <w:sz w:val="17"/>
                <w:szCs w:val="19"/>
              </w:rPr>
              <w:t xml:space="preserve">la </w:t>
            </w:r>
            <w:r w:rsidRPr="00A93A3C">
              <w:rPr>
                <w:rFonts w:ascii="Arial Bold" w:hAnsi="Arial Bold"/>
                <w:b/>
                <w:bCs/>
                <w:smallCaps/>
                <w:sz w:val="17"/>
                <w:szCs w:val="19"/>
              </w:rPr>
              <w:t>propriété intellectuelle</w:t>
            </w:r>
          </w:p>
        </w:tc>
        <w:tc>
          <w:tcPr>
            <w:tcW w:w="3001" w:type="dxa"/>
            <w:gridSpan w:val="2"/>
            <w:shd w:val="clear" w:color="auto" w:fill="C6D9F1"/>
            <w:vAlign w:val="center"/>
          </w:tcPr>
          <w:p w14:paraId="18B8CD02"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II : </w:t>
            </w:r>
            <w:r w:rsidRPr="00A93A3C">
              <w:rPr>
                <w:rFonts w:ascii="Arial Bold" w:hAnsi="Arial Bold"/>
                <w:b/>
                <w:bCs/>
                <w:smallCaps/>
                <w:sz w:val="17"/>
                <w:szCs w:val="19"/>
              </w:rPr>
              <w:br/>
              <w:t>Prestation de services mondiaux de propriété intellectuelle de premier ordre</w:t>
            </w:r>
          </w:p>
        </w:tc>
        <w:tc>
          <w:tcPr>
            <w:tcW w:w="3003" w:type="dxa"/>
            <w:shd w:val="clear" w:color="auto" w:fill="C6D9F1"/>
            <w:vAlign w:val="center"/>
          </w:tcPr>
          <w:p w14:paraId="049D7490"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III : </w:t>
            </w:r>
            <w:r w:rsidRPr="00A93A3C">
              <w:rPr>
                <w:rFonts w:ascii="Arial Bold" w:hAnsi="Arial Bold"/>
                <w:b/>
                <w:bCs/>
                <w:smallCaps/>
                <w:sz w:val="17"/>
                <w:szCs w:val="19"/>
              </w:rPr>
              <w:br/>
              <w:t>Favoriser l’utilisation de la propriété intellectuelle au service du développement</w:t>
            </w:r>
          </w:p>
        </w:tc>
        <w:tc>
          <w:tcPr>
            <w:tcW w:w="3001" w:type="dxa"/>
            <w:gridSpan w:val="3"/>
            <w:shd w:val="clear" w:color="auto" w:fill="C6D9F1"/>
            <w:vAlign w:val="center"/>
          </w:tcPr>
          <w:p w14:paraId="278D6515"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IV : </w:t>
            </w:r>
            <w:r w:rsidRPr="00A93A3C">
              <w:rPr>
                <w:rFonts w:ascii="Arial Bold" w:hAnsi="Arial Bold"/>
                <w:b/>
                <w:bCs/>
                <w:smallCaps/>
                <w:sz w:val="17"/>
                <w:szCs w:val="19"/>
              </w:rPr>
              <w:br/>
              <w:t>Coordination et développement de l’infrastructure mondiale en matière de propriété intellectuelle</w:t>
            </w:r>
          </w:p>
        </w:tc>
        <w:tc>
          <w:tcPr>
            <w:tcW w:w="3000" w:type="dxa"/>
            <w:gridSpan w:val="2"/>
            <w:shd w:val="clear" w:color="auto" w:fill="C6D9F1"/>
            <w:vAlign w:val="center"/>
          </w:tcPr>
          <w:p w14:paraId="766BB1A0"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V : </w:t>
            </w:r>
            <w:r w:rsidRPr="00A93A3C">
              <w:rPr>
                <w:rFonts w:ascii="Arial Bold" w:hAnsi="Arial Bold"/>
                <w:b/>
                <w:bCs/>
                <w:smallCaps/>
                <w:sz w:val="17"/>
                <w:szCs w:val="19"/>
              </w:rPr>
              <w:br/>
              <w:t>Source de références mondiale pour l’information et l’analyse en matière de propriété intellectuelle</w:t>
            </w:r>
          </w:p>
        </w:tc>
        <w:tc>
          <w:tcPr>
            <w:tcW w:w="3002" w:type="dxa"/>
            <w:gridSpan w:val="3"/>
            <w:shd w:val="clear" w:color="auto" w:fill="C6D9F1"/>
            <w:tcMar>
              <w:top w:w="14" w:type="dxa"/>
            </w:tcMar>
            <w:vAlign w:val="center"/>
          </w:tcPr>
          <w:p w14:paraId="1C8A4B43"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VI : </w:t>
            </w:r>
            <w:r w:rsidRPr="00A93A3C">
              <w:rPr>
                <w:rFonts w:ascii="Arial Bold" w:hAnsi="Arial Bold"/>
                <w:b/>
                <w:bCs/>
                <w:smallCaps/>
                <w:sz w:val="17"/>
                <w:szCs w:val="19"/>
              </w:rPr>
              <w:br/>
              <w:t>Coopération internationale pour le respect de la propriété intellectuelle</w:t>
            </w:r>
          </w:p>
        </w:tc>
        <w:tc>
          <w:tcPr>
            <w:tcW w:w="3016" w:type="dxa"/>
            <w:gridSpan w:val="2"/>
            <w:shd w:val="clear" w:color="auto" w:fill="C6D9F1"/>
            <w:vAlign w:val="center"/>
          </w:tcPr>
          <w:p w14:paraId="00761C71" w14:textId="77777777" w:rsidR="008F1BEA" w:rsidRPr="00A93A3C" w:rsidRDefault="008F1BEA" w:rsidP="00350BB8">
            <w:pPr>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VII : </w:t>
            </w:r>
            <w:r w:rsidRPr="00A93A3C">
              <w:rPr>
                <w:rFonts w:ascii="Arial Bold" w:hAnsi="Arial Bold"/>
                <w:b/>
                <w:bCs/>
                <w:smallCaps/>
                <w:sz w:val="17"/>
                <w:szCs w:val="19"/>
              </w:rPr>
              <w:br/>
              <w:t>Propriété intellectuelle et enjeux mondiaux</w:t>
            </w:r>
          </w:p>
        </w:tc>
      </w:tr>
      <w:tr w:rsidR="008F1BEA" w:rsidRPr="00A93A3C" w14:paraId="57D812E6" w14:textId="77777777" w:rsidTr="00A93A3C">
        <w:trPr>
          <w:cantSplit/>
          <w:trHeight w:val="7171"/>
          <w:jc w:val="center"/>
        </w:trPr>
        <w:tc>
          <w:tcPr>
            <w:tcW w:w="334" w:type="dxa"/>
            <w:shd w:val="clear" w:color="auto" w:fill="C6D9F1"/>
            <w:textDirection w:val="btLr"/>
            <w:vAlign w:val="center"/>
          </w:tcPr>
          <w:p w14:paraId="4B1FE7D5" w14:textId="77777777" w:rsidR="008F1BEA" w:rsidRPr="00A93A3C" w:rsidRDefault="008F1BEA" w:rsidP="00350BB8">
            <w:pPr>
              <w:tabs>
                <w:tab w:val="right" w:pos="2835"/>
              </w:tabs>
              <w:jc w:val="center"/>
              <w:rPr>
                <w:rFonts w:ascii="Arial Bold" w:hAnsi="Arial Bold" w:hint="eastAsia"/>
                <w:b/>
                <w:bCs/>
                <w:smallCaps/>
                <w:sz w:val="17"/>
              </w:rPr>
            </w:pPr>
            <w:r w:rsidRPr="00A93A3C">
              <w:rPr>
                <w:rFonts w:ascii="Arial Bold" w:hAnsi="Arial Bold"/>
                <w:b/>
                <w:bCs/>
                <w:smallCaps/>
                <w:sz w:val="17"/>
              </w:rPr>
              <w:t>Questions transversales</w:t>
            </w:r>
          </w:p>
        </w:tc>
        <w:tc>
          <w:tcPr>
            <w:tcW w:w="861" w:type="dxa"/>
            <w:shd w:val="clear" w:color="auto" w:fill="99CCFF"/>
            <w:textDirection w:val="btLr"/>
            <w:vAlign w:val="center"/>
          </w:tcPr>
          <w:p w14:paraId="220DB4B7" w14:textId="77777777" w:rsidR="008F1BEA" w:rsidRPr="00A93A3C" w:rsidRDefault="008F1BEA" w:rsidP="00350BB8">
            <w:pPr>
              <w:tabs>
                <w:tab w:val="right" w:pos="2835"/>
              </w:tabs>
              <w:ind w:left="113" w:right="113"/>
              <w:jc w:val="center"/>
              <w:rPr>
                <w:rFonts w:ascii="Arial Bold" w:hAnsi="Arial Bold" w:hint="eastAsia"/>
                <w:b/>
                <w:bCs/>
                <w:smallCaps/>
                <w:sz w:val="17"/>
              </w:rPr>
            </w:pPr>
            <w:r w:rsidRPr="00A93A3C">
              <w:rPr>
                <w:rFonts w:ascii="Arial Bold" w:hAnsi="Arial Bold"/>
                <w:b/>
                <w:bCs/>
                <w:smallCaps/>
                <w:sz w:val="17"/>
              </w:rPr>
              <w:t>Développeme</w:t>
            </w:r>
            <w:r w:rsidRPr="00A93A3C">
              <w:rPr>
                <w:rFonts w:ascii="Arial Bold" w:hAnsi="Arial Bold" w:hint="eastAsia"/>
                <w:b/>
                <w:bCs/>
                <w:smallCaps/>
                <w:sz w:val="17"/>
              </w:rPr>
              <w:t>nt</w:t>
            </w:r>
          </w:p>
          <w:p w14:paraId="02DA9E43" w14:textId="77777777" w:rsidR="008F1BEA" w:rsidRPr="00A93A3C" w:rsidRDefault="008F1BEA" w:rsidP="00350BB8">
            <w:pPr>
              <w:tabs>
                <w:tab w:val="right" w:pos="2835"/>
              </w:tabs>
              <w:ind w:left="113" w:right="113"/>
              <w:jc w:val="center"/>
              <w:rPr>
                <w:rFonts w:ascii="Arial Bold" w:hAnsi="Arial Bold" w:hint="eastAsia"/>
                <w:b/>
                <w:bCs/>
                <w:smallCaps/>
                <w:sz w:val="17"/>
              </w:rPr>
            </w:pPr>
            <w:r w:rsidRPr="00A93A3C">
              <w:rPr>
                <w:rFonts w:ascii="Arial Bold" w:hAnsi="Arial Bold"/>
                <w:b/>
                <w:bCs/>
                <w:smallCaps/>
                <w:sz w:val="17"/>
              </w:rPr>
              <w:t>Parité hommes-femmes</w:t>
            </w:r>
          </w:p>
          <w:p w14:paraId="17F61249" w14:textId="77777777" w:rsidR="008F1BEA" w:rsidRPr="00A93A3C" w:rsidRDefault="008F1BEA" w:rsidP="00350BB8">
            <w:pPr>
              <w:tabs>
                <w:tab w:val="right" w:pos="2835"/>
              </w:tabs>
              <w:ind w:left="113" w:right="113"/>
              <w:jc w:val="center"/>
              <w:rPr>
                <w:b/>
                <w:bCs/>
                <w:sz w:val="17"/>
                <w:szCs w:val="16"/>
              </w:rPr>
            </w:pPr>
            <w:r w:rsidRPr="00A93A3C">
              <w:rPr>
                <w:rFonts w:ascii="Arial Bold" w:hAnsi="Arial Bold" w:hint="eastAsia"/>
                <w:b/>
                <w:bCs/>
                <w:smallCaps/>
                <w:sz w:val="17"/>
              </w:rPr>
              <w:t>O</w:t>
            </w:r>
            <w:r w:rsidRPr="00A93A3C">
              <w:rPr>
                <w:rFonts w:ascii="Arial Bold" w:hAnsi="Arial Bold"/>
                <w:b/>
                <w:bCs/>
                <w:smallCaps/>
                <w:sz w:val="17"/>
              </w:rPr>
              <w:t>bjectifs de développement durable</w:t>
            </w:r>
          </w:p>
        </w:tc>
        <w:tc>
          <w:tcPr>
            <w:tcW w:w="3150" w:type="dxa"/>
            <w:gridSpan w:val="3"/>
            <w:shd w:val="clear" w:color="auto" w:fill="auto"/>
          </w:tcPr>
          <w:p w14:paraId="562838DC" w14:textId="77777777" w:rsidR="008F1BEA" w:rsidRPr="00A93A3C" w:rsidRDefault="008F1BEA" w:rsidP="00350BB8">
            <w:pPr>
              <w:tabs>
                <w:tab w:val="right" w:pos="2835"/>
              </w:tabs>
              <w:spacing w:after="60"/>
              <w:rPr>
                <w:sz w:val="15"/>
                <w:szCs w:val="15"/>
              </w:rPr>
            </w:pPr>
            <w:r w:rsidRPr="00A93A3C">
              <w:rPr>
                <w:sz w:val="15"/>
                <w:szCs w:val="15"/>
              </w:rPr>
              <w:t xml:space="preserve">I.1 Renforcement de la coopération entre les États membres en ce qui concerne l’élaboration de cadres normatifs internationaux équilibrés dans le domaine de la propriété intellectuelle </w:t>
            </w:r>
          </w:p>
          <w:p w14:paraId="601A458F" w14:textId="77777777" w:rsidR="008F1BEA" w:rsidRPr="00A93A3C" w:rsidRDefault="008F1BEA" w:rsidP="00350BB8">
            <w:pPr>
              <w:tabs>
                <w:tab w:val="left" w:pos="-28"/>
                <w:tab w:val="left" w:pos="1814"/>
              </w:tabs>
              <w:spacing w:after="60"/>
              <w:jc w:val="right"/>
              <w:rPr>
                <w:sz w:val="15"/>
                <w:szCs w:val="15"/>
              </w:rPr>
            </w:pPr>
            <w:r w:rsidRPr="00A93A3C">
              <w:rPr>
                <w:sz w:val="15"/>
                <w:szCs w:val="15"/>
              </w:rPr>
              <w:t>13 167 (</w:t>
            </w:r>
            <w:r w:rsidRPr="00A93A3C">
              <w:rPr>
                <w:i/>
                <w:color w:val="1F497D" w:themeColor="text2"/>
                <w:sz w:val="15"/>
                <w:szCs w:val="15"/>
              </w:rPr>
              <w:t>4 489</w:t>
            </w:r>
            <w:r w:rsidRPr="00A93A3C">
              <w:rPr>
                <w:i/>
                <w:sz w:val="15"/>
                <w:szCs w:val="15"/>
              </w:rPr>
              <w:t>)</w:t>
            </w:r>
          </w:p>
          <w:p w14:paraId="6AEB5F88" w14:textId="77777777" w:rsidR="008F1BEA" w:rsidRPr="00A93A3C" w:rsidRDefault="008F1BEA" w:rsidP="00350BB8">
            <w:pPr>
              <w:tabs>
                <w:tab w:val="right" w:pos="1673"/>
              </w:tabs>
              <w:spacing w:after="60"/>
              <w:rPr>
                <w:sz w:val="15"/>
                <w:szCs w:val="15"/>
              </w:rPr>
            </w:pPr>
            <w:r w:rsidRPr="00A93A3C">
              <w:rPr>
                <w:sz w:val="15"/>
                <w:szCs w:val="15"/>
              </w:rPr>
              <w:t>I.2 Cadres législatifs, réglementaires et politiques adaptés et équilibrés en matière de propriété intellectuelle</w:t>
            </w:r>
            <w:r w:rsidRPr="00A93A3C">
              <w:rPr>
                <w:sz w:val="15"/>
                <w:szCs w:val="15"/>
              </w:rPr>
              <w:tab/>
            </w:r>
          </w:p>
          <w:p w14:paraId="62BCC36A" w14:textId="77777777" w:rsidR="008F1BEA" w:rsidRPr="00A93A3C" w:rsidRDefault="008F1BEA" w:rsidP="00350BB8">
            <w:pPr>
              <w:tabs>
                <w:tab w:val="left" w:pos="-28"/>
                <w:tab w:val="left" w:pos="1814"/>
              </w:tabs>
              <w:spacing w:after="60"/>
              <w:jc w:val="right"/>
              <w:rPr>
                <w:sz w:val="15"/>
                <w:szCs w:val="15"/>
              </w:rPr>
            </w:pPr>
            <w:r w:rsidRPr="00A93A3C">
              <w:rPr>
                <w:sz w:val="15"/>
                <w:szCs w:val="15"/>
              </w:rPr>
              <w:t>8 915 (</w:t>
            </w:r>
            <w:r w:rsidRPr="00A93A3C">
              <w:rPr>
                <w:i/>
                <w:color w:val="1F497D" w:themeColor="text2"/>
                <w:sz w:val="15"/>
                <w:szCs w:val="15"/>
              </w:rPr>
              <w:t>8 403</w:t>
            </w:r>
            <w:r w:rsidRPr="00A93A3C">
              <w:rPr>
                <w:i/>
                <w:sz w:val="15"/>
                <w:szCs w:val="15"/>
              </w:rPr>
              <w:t>)</w:t>
            </w:r>
          </w:p>
          <w:p w14:paraId="7EA19FA2" w14:textId="77777777" w:rsidR="008F1BEA" w:rsidRPr="00A93A3C" w:rsidRDefault="008F1BEA" w:rsidP="00350BB8">
            <w:pPr>
              <w:tabs>
                <w:tab w:val="right" w:pos="2835"/>
              </w:tabs>
              <w:spacing w:after="60"/>
              <w:rPr>
                <w:sz w:val="15"/>
                <w:szCs w:val="15"/>
              </w:rPr>
            </w:pPr>
            <w:r w:rsidRPr="00A93A3C">
              <w:rPr>
                <w:sz w:val="15"/>
                <w:szCs w:val="15"/>
              </w:rPr>
              <w:t>I.3 Sécurité accrue en ce qui concerne la protection des emblèmes d’États et des noms et emblèmes d’organisations Internationales Intergouvernementales</w:t>
            </w:r>
          </w:p>
          <w:p w14:paraId="1975F9CC" w14:textId="77777777" w:rsidR="008F1BEA" w:rsidRPr="00A93A3C" w:rsidRDefault="008F1BEA" w:rsidP="00350BB8">
            <w:pPr>
              <w:tabs>
                <w:tab w:val="left" w:pos="-28"/>
                <w:tab w:val="left" w:pos="1814"/>
              </w:tabs>
              <w:spacing w:after="60"/>
              <w:jc w:val="right"/>
              <w:rPr>
                <w:sz w:val="15"/>
                <w:szCs w:val="15"/>
              </w:rPr>
            </w:pPr>
            <w:r w:rsidRPr="00A93A3C">
              <w:rPr>
                <w:sz w:val="15"/>
                <w:szCs w:val="15"/>
              </w:rPr>
              <w:t>511 (</w:t>
            </w:r>
            <w:r w:rsidRPr="00A93A3C">
              <w:rPr>
                <w:i/>
                <w:color w:val="1F497D" w:themeColor="text2"/>
                <w:sz w:val="15"/>
                <w:szCs w:val="15"/>
              </w:rPr>
              <w:t>-</w:t>
            </w:r>
            <w:r w:rsidRPr="00A93A3C">
              <w:rPr>
                <w:i/>
                <w:sz w:val="15"/>
                <w:szCs w:val="15"/>
              </w:rPr>
              <w:t>)</w:t>
            </w:r>
          </w:p>
          <w:p w14:paraId="5DFCC8D2" w14:textId="77777777" w:rsidR="008F1BEA" w:rsidRPr="00A93A3C" w:rsidRDefault="008F1BEA" w:rsidP="00350BB8">
            <w:pPr>
              <w:tabs>
                <w:tab w:val="left" w:pos="307"/>
                <w:tab w:val="left" w:pos="2157"/>
                <w:tab w:val="right" w:pos="2835"/>
              </w:tabs>
              <w:spacing w:after="60"/>
              <w:rPr>
                <w:sz w:val="15"/>
                <w:szCs w:val="15"/>
              </w:rPr>
            </w:pPr>
            <w:r w:rsidRPr="00A93A3C">
              <w:rPr>
                <w:sz w:val="15"/>
                <w:szCs w:val="15"/>
              </w:rPr>
              <w:t>I.4 Intérêt croissant pour l’OMPI en tant qu’instance d’analyse des questions relatives à la protection internationale des brevets, modèles d’utilité, schémas de configuration (topographies) de circuits intégrés et informations confidentielles</w:t>
            </w:r>
          </w:p>
          <w:p w14:paraId="45B10598" w14:textId="77777777" w:rsidR="008F1BEA" w:rsidRPr="00A93A3C" w:rsidRDefault="008F1BEA" w:rsidP="00350BB8">
            <w:pPr>
              <w:tabs>
                <w:tab w:val="left" w:pos="-28"/>
                <w:tab w:val="left" w:pos="1814"/>
              </w:tabs>
              <w:spacing w:after="60"/>
              <w:jc w:val="right"/>
              <w:rPr>
                <w:sz w:val="15"/>
                <w:szCs w:val="15"/>
              </w:rPr>
            </w:pPr>
            <w:r w:rsidRPr="00A93A3C">
              <w:rPr>
                <w:sz w:val="15"/>
                <w:szCs w:val="15"/>
              </w:rPr>
              <w:t xml:space="preserve">312 </w:t>
            </w:r>
            <w:r w:rsidRPr="00A93A3C">
              <w:rPr>
                <w:i/>
                <w:sz w:val="15"/>
                <w:szCs w:val="15"/>
              </w:rPr>
              <w:t>(-)</w:t>
            </w:r>
          </w:p>
        </w:tc>
        <w:tc>
          <w:tcPr>
            <w:tcW w:w="3001" w:type="dxa"/>
            <w:gridSpan w:val="2"/>
            <w:shd w:val="clear" w:color="auto" w:fill="auto"/>
          </w:tcPr>
          <w:p w14:paraId="333061E0" w14:textId="77777777" w:rsidR="008F1BEA" w:rsidRPr="00A93A3C" w:rsidRDefault="008F1BEA" w:rsidP="00350BB8">
            <w:pPr>
              <w:tabs>
                <w:tab w:val="right" w:pos="2835"/>
              </w:tabs>
              <w:spacing w:after="60"/>
              <w:rPr>
                <w:sz w:val="15"/>
                <w:szCs w:val="15"/>
              </w:rPr>
            </w:pPr>
            <w:r w:rsidRPr="00A93A3C">
              <w:rPr>
                <w:sz w:val="15"/>
                <w:szCs w:val="15"/>
              </w:rPr>
              <w:t xml:space="preserve">II.1 Utilisation plus large et plus efficace du système du PCT pour le dépôt des demandes internationales de brevet </w:t>
            </w:r>
          </w:p>
          <w:p w14:paraId="6227970E" w14:textId="77777777" w:rsidR="008F1BEA" w:rsidRPr="00A93A3C" w:rsidRDefault="008F1BEA" w:rsidP="00350BB8">
            <w:pPr>
              <w:tabs>
                <w:tab w:val="left" w:pos="1796"/>
              </w:tabs>
              <w:spacing w:after="60"/>
              <w:jc w:val="right"/>
              <w:rPr>
                <w:sz w:val="15"/>
                <w:szCs w:val="15"/>
              </w:rPr>
            </w:pPr>
            <w:r w:rsidRPr="00A93A3C">
              <w:rPr>
                <w:sz w:val="15"/>
                <w:szCs w:val="15"/>
              </w:rPr>
              <w:t xml:space="preserve">30 302 </w:t>
            </w:r>
            <w:r w:rsidRPr="00A93A3C">
              <w:rPr>
                <w:i/>
                <w:sz w:val="15"/>
                <w:szCs w:val="15"/>
              </w:rPr>
              <w:t>(</w:t>
            </w:r>
            <w:r w:rsidRPr="00A93A3C">
              <w:rPr>
                <w:i/>
                <w:color w:val="1F497D" w:themeColor="text2"/>
                <w:sz w:val="15"/>
                <w:szCs w:val="15"/>
              </w:rPr>
              <w:t>8 127</w:t>
            </w:r>
            <w:r w:rsidRPr="00A93A3C">
              <w:rPr>
                <w:i/>
                <w:sz w:val="15"/>
                <w:szCs w:val="15"/>
              </w:rPr>
              <w:t>)</w:t>
            </w:r>
          </w:p>
          <w:p w14:paraId="23DAD545" w14:textId="77777777" w:rsidR="008F1BEA" w:rsidRPr="00A93A3C" w:rsidRDefault="008F1BEA" w:rsidP="00350BB8">
            <w:pPr>
              <w:autoSpaceDE w:val="0"/>
              <w:autoSpaceDN w:val="0"/>
              <w:adjustRightInd w:val="0"/>
              <w:spacing w:after="60"/>
              <w:rPr>
                <w:sz w:val="15"/>
                <w:szCs w:val="15"/>
                <w:lang w:bidi="th-TH"/>
              </w:rPr>
            </w:pPr>
            <w:r w:rsidRPr="00A93A3C">
              <w:rPr>
                <w:sz w:val="15"/>
                <w:szCs w:val="15"/>
                <w:lang w:bidi="th-TH"/>
              </w:rPr>
              <w:t>II.2 Amélioration de la productivité et de la qualité de service des opérations du PCT</w:t>
            </w:r>
          </w:p>
          <w:p w14:paraId="1D348219" w14:textId="77777777" w:rsidR="008F1BEA" w:rsidRPr="00A93A3C" w:rsidRDefault="008F1BEA" w:rsidP="00350BB8">
            <w:pPr>
              <w:autoSpaceDE w:val="0"/>
              <w:autoSpaceDN w:val="0"/>
              <w:adjustRightInd w:val="0"/>
              <w:spacing w:after="60"/>
              <w:jc w:val="right"/>
              <w:rPr>
                <w:sz w:val="15"/>
                <w:szCs w:val="15"/>
                <w:lang w:bidi="th-TH"/>
              </w:rPr>
            </w:pPr>
            <w:r w:rsidRPr="00A93A3C">
              <w:rPr>
                <w:sz w:val="15"/>
                <w:szCs w:val="15"/>
              </w:rPr>
              <w:t>185 277 (</w:t>
            </w:r>
            <w:r w:rsidRPr="00A93A3C">
              <w:rPr>
                <w:i/>
                <w:color w:val="1F497D" w:themeColor="text2"/>
                <w:sz w:val="15"/>
                <w:szCs w:val="15"/>
              </w:rPr>
              <w:t>-</w:t>
            </w:r>
            <w:r w:rsidRPr="00A93A3C">
              <w:rPr>
                <w:i/>
                <w:sz w:val="15"/>
                <w:szCs w:val="15"/>
              </w:rPr>
              <w:t>)</w:t>
            </w:r>
          </w:p>
          <w:p w14:paraId="026FBE3F" w14:textId="77777777" w:rsidR="008F1BEA" w:rsidRPr="00A93A3C" w:rsidRDefault="008F1BEA" w:rsidP="00350BB8">
            <w:pPr>
              <w:tabs>
                <w:tab w:val="right" w:pos="2835"/>
              </w:tabs>
              <w:spacing w:after="60"/>
              <w:rPr>
                <w:color w:val="0070C0"/>
                <w:sz w:val="15"/>
                <w:szCs w:val="15"/>
              </w:rPr>
            </w:pPr>
            <w:r w:rsidRPr="00A93A3C">
              <w:rPr>
                <w:sz w:val="15"/>
                <w:szCs w:val="15"/>
              </w:rPr>
              <w:t>II.3 Utilisation plus large et plus efficace du système de La Haye, notamment par les pays en développement et les PMA</w:t>
            </w:r>
          </w:p>
          <w:p w14:paraId="13E21D1A" w14:textId="77777777" w:rsidR="008F1BEA" w:rsidRPr="00A93A3C" w:rsidRDefault="008F1BEA" w:rsidP="00350BB8">
            <w:pPr>
              <w:tabs>
                <w:tab w:val="left" w:pos="1796"/>
              </w:tabs>
              <w:spacing w:after="60"/>
              <w:jc w:val="right"/>
              <w:rPr>
                <w:i/>
                <w:sz w:val="15"/>
                <w:szCs w:val="15"/>
              </w:rPr>
            </w:pPr>
            <w:r w:rsidRPr="00A93A3C">
              <w:rPr>
                <w:sz w:val="15"/>
                <w:szCs w:val="15"/>
              </w:rPr>
              <w:t>7 125 (</w:t>
            </w:r>
            <w:r w:rsidRPr="00A93A3C">
              <w:rPr>
                <w:i/>
                <w:color w:val="1F497D" w:themeColor="text2"/>
                <w:sz w:val="15"/>
                <w:szCs w:val="15"/>
              </w:rPr>
              <w:t>2 706</w:t>
            </w:r>
            <w:r w:rsidRPr="00A93A3C">
              <w:rPr>
                <w:i/>
                <w:sz w:val="15"/>
                <w:szCs w:val="15"/>
              </w:rPr>
              <w:t>)</w:t>
            </w:r>
          </w:p>
          <w:p w14:paraId="64833A59" w14:textId="77777777" w:rsidR="008F1BEA" w:rsidRPr="00A93A3C" w:rsidRDefault="008F1BEA" w:rsidP="00350BB8">
            <w:pPr>
              <w:tabs>
                <w:tab w:val="right" w:pos="2835"/>
              </w:tabs>
              <w:spacing w:after="60"/>
              <w:rPr>
                <w:sz w:val="15"/>
                <w:szCs w:val="15"/>
              </w:rPr>
            </w:pPr>
            <w:r w:rsidRPr="00A93A3C">
              <w:rPr>
                <w:sz w:val="15"/>
                <w:szCs w:val="15"/>
              </w:rPr>
              <w:t>II.4 Amélioration de la productivité et de la qualité de service des opérations de La Haye</w:t>
            </w:r>
          </w:p>
          <w:p w14:paraId="19625940" w14:textId="77777777" w:rsidR="008F1BEA" w:rsidRPr="00A93A3C" w:rsidRDefault="008F1BEA" w:rsidP="00350BB8">
            <w:pPr>
              <w:tabs>
                <w:tab w:val="left" w:pos="1796"/>
              </w:tabs>
              <w:spacing w:after="60"/>
              <w:jc w:val="right"/>
              <w:rPr>
                <w:sz w:val="15"/>
                <w:szCs w:val="15"/>
              </w:rPr>
            </w:pPr>
            <w:r w:rsidRPr="00A93A3C">
              <w:rPr>
                <w:sz w:val="15"/>
                <w:szCs w:val="15"/>
              </w:rPr>
              <w:t>5 744 (</w:t>
            </w:r>
            <w:r w:rsidRPr="00A93A3C">
              <w:rPr>
                <w:i/>
                <w:color w:val="1F497D" w:themeColor="text2"/>
                <w:sz w:val="15"/>
                <w:szCs w:val="15"/>
              </w:rPr>
              <w:t>-</w:t>
            </w:r>
            <w:r w:rsidRPr="00A93A3C">
              <w:rPr>
                <w:i/>
                <w:sz w:val="15"/>
                <w:szCs w:val="15"/>
              </w:rPr>
              <w:t>)</w:t>
            </w:r>
          </w:p>
          <w:p w14:paraId="6D06BBD2" w14:textId="77777777" w:rsidR="008F1BEA" w:rsidRPr="00A93A3C" w:rsidRDefault="008F1BEA" w:rsidP="00350BB8">
            <w:pPr>
              <w:tabs>
                <w:tab w:val="left" w:pos="1525"/>
                <w:tab w:val="right" w:pos="2835"/>
              </w:tabs>
              <w:spacing w:after="60"/>
              <w:rPr>
                <w:sz w:val="15"/>
                <w:szCs w:val="15"/>
              </w:rPr>
            </w:pPr>
            <w:r w:rsidRPr="00A93A3C">
              <w:rPr>
                <w:sz w:val="15"/>
                <w:szCs w:val="15"/>
              </w:rPr>
              <w:t>II.5 Utilisation plus large et plus efficace du système de Madrid, notamment par les pays en développement et les PMA</w:t>
            </w:r>
          </w:p>
          <w:p w14:paraId="366063BF" w14:textId="77777777" w:rsidR="008F1BEA" w:rsidRPr="00A93A3C" w:rsidRDefault="008F1BEA" w:rsidP="00350BB8">
            <w:pPr>
              <w:tabs>
                <w:tab w:val="left" w:pos="1796"/>
              </w:tabs>
              <w:spacing w:after="60"/>
              <w:jc w:val="right"/>
              <w:rPr>
                <w:sz w:val="15"/>
                <w:szCs w:val="15"/>
              </w:rPr>
            </w:pPr>
            <w:r w:rsidRPr="00A93A3C">
              <w:rPr>
                <w:sz w:val="15"/>
                <w:szCs w:val="15"/>
              </w:rPr>
              <w:t>14 196 (</w:t>
            </w:r>
            <w:r w:rsidRPr="00A93A3C">
              <w:rPr>
                <w:i/>
                <w:color w:val="1F497D" w:themeColor="text2"/>
                <w:sz w:val="15"/>
                <w:szCs w:val="15"/>
              </w:rPr>
              <w:t>6 819</w:t>
            </w:r>
            <w:r w:rsidRPr="00A93A3C">
              <w:rPr>
                <w:i/>
                <w:sz w:val="15"/>
                <w:szCs w:val="15"/>
              </w:rPr>
              <w:t>)</w:t>
            </w:r>
          </w:p>
          <w:p w14:paraId="2ADF64FD" w14:textId="77777777" w:rsidR="008F1BEA" w:rsidRPr="00A93A3C" w:rsidRDefault="008F1BEA" w:rsidP="00350BB8">
            <w:pPr>
              <w:tabs>
                <w:tab w:val="left" w:pos="1525"/>
                <w:tab w:val="right" w:pos="2835"/>
              </w:tabs>
              <w:spacing w:after="60"/>
              <w:rPr>
                <w:sz w:val="15"/>
                <w:szCs w:val="15"/>
              </w:rPr>
            </w:pPr>
            <w:r w:rsidRPr="00A93A3C">
              <w:rPr>
                <w:sz w:val="15"/>
                <w:szCs w:val="15"/>
              </w:rPr>
              <w:t>II.6 Amélioration de la productivité et de la qualité de service des opérations du système de Madrid</w:t>
            </w:r>
          </w:p>
          <w:p w14:paraId="57320624" w14:textId="77777777" w:rsidR="008F1BEA" w:rsidRPr="00A93A3C" w:rsidRDefault="008F1BEA" w:rsidP="00350BB8">
            <w:pPr>
              <w:tabs>
                <w:tab w:val="left" w:pos="1796"/>
              </w:tabs>
              <w:spacing w:after="60"/>
              <w:jc w:val="right"/>
              <w:rPr>
                <w:sz w:val="15"/>
                <w:szCs w:val="15"/>
              </w:rPr>
            </w:pPr>
            <w:r w:rsidRPr="00A93A3C">
              <w:rPr>
                <w:sz w:val="15"/>
                <w:szCs w:val="15"/>
              </w:rPr>
              <w:t xml:space="preserve">46 296 </w:t>
            </w:r>
            <w:r w:rsidRPr="00A93A3C">
              <w:rPr>
                <w:i/>
                <w:sz w:val="15"/>
                <w:szCs w:val="15"/>
              </w:rPr>
              <w:t>(</w:t>
            </w:r>
            <w:r w:rsidRPr="00A93A3C">
              <w:rPr>
                <w:i/>
                <w:color w:val="1F497D" w:themeColor="text2"/>
                <w:sz w:val="15"/>
                <w:szCs w:val="15"/>
              </w:rPr>
              <w:t>-</w:t>
            </w:r>
            <w:r w:rsidRPr="00A93A3C">
              <w:rPr>
                <w:i/>
                <w:sz w:val="15"/>
                <w:szCs w:val="15"/>
              </w:rPr>
              <w:t>)</w:t>
            </w:r>
          </w:p>
          <w:p w14:paraId="352270D0" w14:textId="77777777" w:rsidR="008F1BEA" w:rsidRPr="00A93A3C" w:rsidRDefault="008F1BEA" w:rsidP="00350BB8">
            <w:pPr>
              <w:tabs>
                <w:tab w:val="left" w:pos="1525"/>
                <w:tab w:val="right" w:pos="2835"/>
              </w:tabs>
              <w:spacing w:after="60"/>
              <w:rPr>
                <w:sz w:val="15"/>
                <w:szCs w:val="15"/>
              </w:rPr>
            </w:pPr>
            <w:r w:rsidRPr="00A93A3C">
              <w:rPr>
                <w:sz w:val="15"/>
                <w:szCs w:val="15"/>
              </w:rPr>
              <w:t>II.7 De plus en plus de litiges internationaux ou nationaux de propriété intellectuelle sont évités ou réglés par la médiation, l’arbitrage et d’autres modes extrajudiciaires de règlement des litiges de l’OMPI</w:t>
            </w:r>
          </w:p>
          <w:p w14:paraId="054EBE52" w14:textId="77777777" w:rsidR="008F1BEA" w:rsidRPr="00A93A3C" w:rsidRDefault="008F1BEA" w:rsidP="00350BB8">
            <w:pPr>
              <w:tabs>
                <w:tab w:val="left" w:pos="1796"/>
              </w:tabs>
              <w:spacing w:after="60"/>
              <w:jc w:val="right"/>
              <w:rPr>
                <w:sz w:val="15"/>
                <w:szCs w:val="15"/>
              </w:rPr>
            </w:pPr>
            <w:r w:rsidRPr="00A93A3C">
              <w:rPr>
                <w:sz w:val="15"/>
                <w:szCs w:val="15"/>
              </w:rPr>
              <w:t xml:space="preserve">5 238 </w:t>
            </w:r>
            <w:r w:rsidRPr="00A93A3C">
              <w:rPr>
                <w:i/>
                <w:sz w:val="15"/>
                <w:szCs w:val="15"/>
              </w:rPr>
              <w:t>(</w:t>
            </w:r>
            <w:r w:rsidRPr="00A93A3C">
              <w:rPr>
                <w:i/>
                <w:color w:val="1F497D" w:themeColor="text2"/>
                <w:sz w:val="15"/>
                <w:szCs w:val="15"/>
              </w:rPr>
              <w:t>497</w:t>
            </w:r>
            <w:r w:rsidRPr="00A93A3C">
              <w:rPr>
                <w:i/>
                <w:sz w:val="15"/>
                <w:szCs w:val="15"/>
              </w:rPr>
              <w:t>)</w:t>
            </w:r>
          </w:p>
          <w:p w14:paraId="38E812B3" w14:textId="77777777" w:rsidR="008F1BEA" w:rsidRPr="00A93A3C" w:rsidRDefault="008F1BEA" w:rsidP="00350BB8">
            <w:pPr>
              <w:tabs>
                <w:tab w:val="left" w:pos="1525"/>
                <w:tab w:val="right" w:pos="2835"/>
              </w:tabs>
              <w:spacing w:after="60"/>
              <w:rPr>
                <w:sz w:val="15"/>
                <w:szCs w:val="15"/>
              </w:rPr>
            </w:pPr>
            <w:r w:rsidRPr="00A93A3C">
              <w:rPr>
                <w:sz w:val="15"/>
                <w:szCs w:val="15"/>
              </w:rPr>
              <w:t>II.8 Protection effective de la propriété intellectuelle dans les gTLD et les ccTLD</w:t>
            </w:r>
          </w:p>
          <w:p w14:paraId="3A223EBC" w14:textId="77777777" w:rsidR="008F1BEA" w:rsidRPr="00A93A3C" w:rsidRDefault="008F1BEA" w:rsidP="00350BB8">
            <w:pPr>
              <w:tabs>
                <w:tab w:val="left" w:pos="1796"/>
              </w:tabs>
              <w:spacing w:after="60"/>
              <w:jc w:val="right"/>
              <w:rPr>
                <w:sz w:val="15"/>
                <w:szCs w:val="15"/>
              </w:rPr>
            </w:pPr>
            <w:r w:rsidRPr="00A93A3C">
              <w:rPr>
                <w:sz w:val="15"/>
                <w:szCs w:val="15"/>
              </w:rPr>
              <w:t xml:space="preserve">7 110 </w:t>
            </w:r>
            <w:r w:rsidRPr="00A93A3C">
              <w:rPr>
                <w:i/>
                <w:sz w:val="15"/>
                <w:szCs w:val="15"/>
              </w:rPr>
              <w:t>(</w:t>
            </w:r>
            <w:r w:rsidRPr="00A93A3C">
              <w:rPr>
                <w:i/>
                <w:color w:val="1F497D" w:themeColor="text2"/>
                <w:sz w:val="15"/>
                <w:szCs w:val="15"/>
              </w:rPr>
              <w:t>120</w:t>
            </w:r>
            <w:r w:rsidRPr="00A93A3C">
              <w:rPr>
                <w:i/>
                <w:sz w:val="15"/>
                <w:szCs w:val="15"/>
              </w:rPr>
              <w:t>)</w:t>
            </w:r>
          </w:p>
          <w:p w14:paraId="4ECD86BE" w14:textId="77777777" w:rsidR="008F1BEA" w:rsidRPr="00A93A3C" w:rsidRDefault="008F1BEA" w:rsidP="00350BB8">
            <w:pPr>
              <w:tabs>
                <w:tab w:val="left" w:pos="1525"/>
                <w:tab w:val="right" w:pos="2835"/>
              </w:tabs>
              <w:spacing w:after="60"/>
              <w:rPr>
                <w:sz w:val="15"/>
                <w:szCs w:val="15"/>
              </w:rPr>
            </w:pPr>
            <w:r w:rsidRPr="00A93A3C">
              <w:rPr>
                <w:sz w:val="15"/>
                <w:szCs w:val="15"/>
              </w:rPr>
              <w:t>II.9 Utilisation plus large et plus efficace du système de Lisbonne, notamment par les pays en développement et les PMA</w:t>
            </w:r>
          </w:p>
          <w:p w14:paraId="3DB6F5B3" w14:textId="77777777" w:rsidR="008F1BEA" w:rsidRPr="00A93A3C" w:rsidRDefault="008F1BEA" w:rsidP="00350BB8">
            <w:pPr>
              <w:tabs>
                <w:tab w:val="left" w:pos="1796"/>
              </w:tabs>
              <w:spacing w:after="60"/>
              <w:jc w:val="right"/>
              <w:rPr>
                <w:sz w:val="15"/>
                <w:szCs w:val="15"/>
              </w:rPr>
            </w:pPr>
            <w:r w:rsidRPr="00A93A3C">
              <w:rPr>
                <w:sz w:val="15"/>
                <w:szCs w:val="15"/>
              </w:rPr>
              <w:t xml:space="preserve">703 </w:t>
            </w:r>
            <w:r w:rsidRPr="00A93A3C">
              <w:rPr>
                <w:i/>
                <w:sz w:val="15"/>
                <w:szCs w:val="15"/>
              </w:rPr>
              <w:t>(</w:t>
            </w:r>
            <w:r w:rsidRPr="00A93A3C">
              <w:rPr>
                <w:i/>
                <w:color w:val="1F497D" w:themeColor="text2"/>
                <w:sz w:val="15"/>
                <w:szCs w:val="15"/>
              </w:rPr>
              <w:t>810</w:t>
            </w:r>
            <w:r w:rsidRPr="00A93A3C">
              <w:rPr>
                <w:i/>
                <w:sz w:val="15"/>
                <w:szCs w:val="15"/>
              </w:rPr>
              <w:t>)</w:t>
            </w:r>
          </w:p>
          <w:p w14:paraId="2EFCA33A" w14:textId="77777777" w:rsidR="008F1BEA" w:rsidRPr="00A93A3C" w:rsidRDefault="008F1BEA" w:rsidP="00350BB8">
            <w:pPr>
              <w:tabs>
                <w:tab w:val="left" w:pos="1525"/>
                <w:tab w:val="right" w:pos="2835"/>
              </w:tabs>
              <w:spacing w:after="60"/>
              <w:rPr>
                <w:sz w:val="15"/>
                <w:szCs w:val="15"/>
              </w:rPr>
            </w:pPr>
            <w:r w:rsidRPr="00A93A3C">
              <w:rPr>
                <w:sz w:val="15"/>
                <w:szCs w:val="15"/>
              </w:rPr>
              <w:t>II.10 Amélioration de la productivité et de la qualité de service des opérations du système de Lisbonne</w:t>
            </w:r>
          </w:p>
          <w:p w14:paraId="2D0EC1B0" w14:textId="77777777" w:rsidR="008F1BEA" w:rsidRPr="00A93A3C" w:rsidRDefault="008F1BEA" w:rsidP="00350BB8">
            <w:pPr>
              <w:tabs>
                <w:tab w:val="left" w:pos="1796"/>
              </w:tabs>
              <w:spacing w:after="60"/>
              <w:jc w:val="right"/>
              <w:rPr>
                <w:sz w:val="15"/>
                <w:szCs w:val="15"/>
              </w:rPr>
            </w:pPr>
            <w:r w:rsidRPr="00A93A3C">
              <w:rPr>
                <w:sz w:val="15"/>
                <w:szCs w:val="15"/>
              </w:rPr>
              <w:t xml:space="preserve">644 </w:t>
            </w:r>
            <w:r w:rsidRPr="00A93A3C">
              <w:rPr>
                <w:i/>
                <w:sz w:val="15"/>
                <w:szCs w:val="15"/>
              </w:rPr>
              <w:t>(</w:t>
            </w:r>
            <w:r w:rsidRPr="00A93A3C">
              <w:rPr>
                <w:i/>
                <w:color w:val="1F497D" w:themeColor="text2"/>
                <w:sz w:val="15"/>
                <w:szCs w:val="15"/>
              </w:rPr>
              <w:t>-</w:t>
            </w:r>
            <w:r w:rsidRPr="00A93A3C">
              <w:rPr>
                <w:i/>
                <w:sz w:val="15"/>
                <w:szCs w:val="15"/>
              </w:rPr>
              <w:t>)</w:t>
            </w:r>
          </w:p>
        </w:tc>
        <w:tc>
          <w:tcPr>
            <w:tcW w:w="3003" w:type="dxa"/>
            <w:shd w:val="clear" w:color="auto" w:fill="auto"/>
          </w:tcPr>
          <w:p w14:paraId="2A2939B5" w14:textId="77777777" w:rsidR="008F1BEA" w:rsidRPr="00A93A3C" w:rsidRDefault="008F1BEA" w:rsidP="00350BB8">
            <w:pPr>
              <w:spacing w:after="60"/>
              <w:rPr>
                <w:sz w:val="15"/>
                <w:szCs w:val="15"/>
              </w:rPr>
            </w:pPr>
            <w:r w:rsidRPr="00A93A3C">
              <w:rPr>
                <w:sz w:val="15"/>
                <w:szCs w:val="15"/>
              </w:rPr>
              <w:t xml:space="preserve">III.1 Stratégies et plans nationaux en matière de propriété intellectuelle conformes aux objectifs de développement nationaux </w:t>
            </w:r>
          </w:p>
          <w:p w14:paraId="0A979426" w14:textId="77777777" w:rsidR="008F1BEA" w:rsidRPr="00A93A3C" w:rsidRDefault="008F1BEA" w:rsidP="00350BB8">
            <w:pPr>
              <w:tabs>
                <w:tab w:val="left" w:pos="1873"/>
              </w:tabs>
              <w:spacing w:after="60"/>
              <w:jc w:val="right"/>
              <w:rPr>
                <w:sz w:val="15"/>
                <w:szCs w:val="15"/>
              </w:rPr>
            </w:pPr>
            <w:r w:rsidRPr="00A93A3C">
              <w:rPr>
                <w:sz w:val="15"/>
                <w:szCs w:val="15"/>
              </w:rPr>
              <w:t xml:space="preserve">10 312 </w:t>
            </w:r>
            <w:r w:rsidRPr="00A93A3C">
              <w:rPr>
                <w:i/>
                <w:sz w:val="15"/>
                <w:szCs w:val="15"/>
              </w:rPr>
              <w:t>(</w:t>
            </w:r>
            <w:r w:rsidRPr="00A93A3C">
              <w:rPr>
                <w:i/>
                <w:color w:val="1F497D" w:themeColor="text2"/>
                <w:sz w:val="15"/>
                <w:szCs w:val="15"/>
              </w:rPr>
              <w:t>10 312</w:t>
            </w:r>
            <w:r w:rsidRPr="00A93A3C">
              <w:rPr>
                <w:i/>
                <w:sz w:val="15"/>
                <w:szCs w:val="15"/>
              </w:rPr>
              <w:t>)</w:t>
            </w:r>
          </w:p>
          <w:p w14:paraId="741B1C8A" w14:textId="77777777" w:rsidR="008F1BEA" w:rsidRPr="00A93A3C" w:rsidRDefault="008F1BEA" w:rsidP="00350BB8">
            <w:pPr>
              <w:spacing w:after="60"/>
              <w:rPr>
                <w:sz w:val="15"/>
                <w:szCs w:val="15"/>
              </w:rPr>
            </w:pPr>
            <w:r w:rsidRPr="00A93A3C">
              <w:rPr>
                <w:sz w:val="15"/>
                <w:szCs w:val="15"/>
              </w:rPr>
              <w:t>III.2 Mise en valeur des ressources humaines pour répondre aux besoins variés en matière d’utilisation efficace de la propriété intellectuelle au service du développement dans les pays en développement, les PMA et les économies en transition</w:t>
            </w:r>
          </w:p>
          <w:p w14:paraId="4F22D6D0" w14:textId="77777777" w:rsidR="008F1BEA" w:rsidRPr="00A93A3C" w:rsidRDefault="008F1BEA" w:rsidP="00350BB8">
            <w:pPr>
              <w:tabs>
                <w:tab w:val="left" w:pos="1873"/>
              </w:tabs>
              <w:spacing w:after="60"/>
              <w:jc w:val="right"/>
              <w:rPr>
                <w:sz w:val="15"/>
                <w:szCs w:val="15"/>
              </w:rPr>
            </w:pPr>
            <w:r w:rsidRPr="00A93A3C">
              <w:rPr>
                <w:sz w:val="15"/>
                <w:szCs w:val="15"/>
              </w:rPr>
              <w:t xml:space="preserve">33 712 </w:t>
            </w:r>
            <w:r w:rsidRPr="00A93A3C">
              <w:rPr>
                <w:i/>
                <w:sz w:val="15"/>
                <w:szCs w:val="15"/>
              </w:rPr>
              <w:t>(</w:t>
            </w:r>
            <w:r w:rsidRPr="00A93A3C">
              <w:rPr>
                <w:i/>
                <w:color w:val="1F497D" w:themeColor="text2"/>
                <w:sz w:val="15"/>
                <w:szCs w:val="15"/>
              </w:rPr>
              <w:t>33 712</w:t>
            </w:r>
            <w:r w:rsidRPr="00A93A3C">
              <w:rPr>
                <w:i/>
                <w:sz w:val="15"/>
                <w:szCs w:val="15"/>
              </w:rPr>
              <w:t>)</w:t>
            </w:r>
          </w:p>
          <w:p w14:paraId="0697CCFF" w14:textId="77777777" w:rsidR="008F1BEA" w:rsidRPr="00A93A3C" w:rsidRDefault="008F1BEA" w:rsidP="00350BB8">
            <w:pPr>
              <w:spacing w:after="60"/>
              <w:rPr>
                <w:sz w:val="15"/>
                <w:szCs w:val="15"/>
              </w:rPr>
            </w:pPr>
            <w:r w:rsidRPr="00A93A3C">
              <w:rPr>
                <w:sz w:val="15"/>
                <w:szCs w:val="15"/>
              </w:rPr>
              <w:t>III.3 Intégration des recommandations du Plan d’action pour le développement dans les activités de l’OMPI</w:t>
            </w:r>
          </w:p>
          <w:p w14:paraId="08A0078A" w14:textId="77777777" w:rsidR="008F1BEA" w:rsidRPr="00A93A3C" w:rsidRDefault="008F1BEA" w:rsidP="00350BB8">
            <w:pPr>
              <w:tabs>
                <w:tab w:val="left" w:pos="1873"/>
              </w:tabs>
              <w:spacing w:after="60"/>
              <w:jc w:val="right"/>
              <w:rPr>
                <w:sz w:val="15"/>
                <w:szCs w:val="15"/>
              </w:rPr>
            </w:pPr>
            <w:r w:rsidRPr="00A93A3C">
              <w:rPr>
                <w:sz w:val="15"/>
                <w:szCs w:val="15"/>
              </w:rPr>
              <w:t xml:space="preserve">3 680 </w:t>
            </w:r>
            <w:r w:rsidRPr="00A93A3C">
              <w:rPr>
                <w:i/>
                <w:sz w:val="15"/>
                <w:szCs w:val="15"/>
              </w:rPr>
              <w:t>(</w:t>
            </w:r>
            <w:r w:rsidRPr="00A93A3C">
              <w:rPr>
                <w:i/>
                <w:color w:val="1F497D" w:themeColor="text2"/>
                <w:sz w:val="15"/>
                <w:szCs w:val="15"/>
              </w:rPr>
              <w:t>3 680</w:t>
            </w:r>
            <w:r w:rsidRPr="00A93A3C">
              <w:rPr>
                <w:i/>
                <w:sz w:val="15"/>
                <w:szCs w:val="15"/>
              </w:rPr>
              <w:t>)</w:t>
            </w:r>
          </w:p>
          <w:p w14:paraId="7E4DF5BF" w14:textId="77777777" w:rsidR="008F1BEA" w:rsidRPr="00A93A3C" w:rsidRDefault="008F1BEA" w:rsidP="00350BB8">
            <w:pPr>
              <w:spacing w:after="60"/>
              <w:rPr>
                <w:sz w:val="15"/>
                <w:szCs w:val="15"/>
              </w:rPr>
            </w:pPr>
            <w:r w:rsidRPr="00A93A3C">
              <w:rPr>
                <w:sz w:val="15"/>
                <w:szCs w:val="15"/>
              </w:rPr>
              <w:t>III.4 Accords de coopération avec les institutions des pays en développement, des PMA et des pays en transition renforcés et adaptés à leurs besoins</w:t>
            </w:r>
          </w:p>
          <w:p w14:paraId="0FD99E92" w14:textId="77777777" w:rsidR="008F1BEA" w:rsidRPr="00A93A3C" w:rsidRDefault="008F1BEA" w:rsidP="00350BB8">
            <w:pPr>
              <w:tabs>
                <w:tab w:val="left" w:pos="1873"/>
              </w:tabs>
              <w:spacing w:after="60"/>
              <w:jc w:val="right"/>
              <w:rPr>
                <w:i/>
                <w:sz w:val="15"/>
                <w:szCs w:val="15"/>
              </w:rPr>
            </w:pPr>
            <w:r w:rsidRPr="00A93A3C">
              <w:rPr>
                <w:sz w:val="15"/>
                <w:szCs w:val="15"/>
              </w:rPr>
              <w:t xml:space="preserve">10 179 </w:t>
            </w:r>
            <w:r w:rsidRPr="00A93A3C">
              <w:rPr>
                <w:i/>
                <w:sz w:val="15"/>
                <w:szCs w:val="15"/>
              </w:rPr>
              <w:t>(</w:t>
            </w:r>
            <w:r w:rsidRPr="00A93A3C">
              <w:rPr>
                <w:i/>
                <w:color w:val="1F497D" w:themeColor="text2"/>
                <w:sz w:val="15"/>
                <w:szCs w:val="15"/>
              </w:rPr>
              <w:t>9 712</w:t>
            </w:r>
            <w:r w:rsidRPr="00A93A3C">
              <w:rPr>
                <w:i/>
                <w:sz w:val="15"/>
                <w:szCs w:val="15"/>
              </w:rPr>
              <w:t>)</w:t>
            </w:r>
          </w:p>
          <w:p w14:paraId="2AA4F605" w14:textId="77777777" w:rsidR="008F1BEA" w:rsidRPr="00A93A3C" w:rsidRDefault="008F1BEA" w:rsidP="00350BB8">
            <w:pPr>
              <w:spacing w:after="60"/>
              <w:rPr>
                <w:sz w:val="15"/>
                <w:szCs w:val="15"/>
              </w:rPr>
            </w:pPr>
            <w:r w:rsidRPr="00A93A3C">
              <w:rPr>
                <w:sz w:val="15"/>
                <w:szCs w:val="15"/>
              </w:rPr>
              <w:t>III.6 Renforcement des capacités d’utilisation de la propriété intellectuelle au service de l’innovation dans les PME, les universités et les instituts de recherche</w:t>
            </w:r>
          </w:p>
          <w:p w14:paraId="157EF363" w14:textId="77777777" w:rsidR="008F1BEA" w:rsidRPr="00A93A3C" w:rsidRDefault="008F1BEA" w:rsidP="00350BB8">
            <w:pPr>
              <w:tabs>
                <w:tab w:val="left" w:pos="1873"/>
              </w:tabs>
              <w:spacing w:after="60"/>
              <w:jc w:val="right"/>
              <w:rPr>
                <w:sz w:val="15"/>
                <w:szCs w:val="15"/>
              </w:rPr>
            </w:pPr>
            <w:r w:rsidRPr="00A93A3C">
              <w:rPr>
                <w:sz w:val="15"/>
                <w:szCs w:val="15"/>
              </w:rPr>
              <w:t xml:space="preserve">7 011 </w:t>
            </w:r>
            <w:r w:rsidRPr="00A93A3C">
              <w:rPr>
                <w:i/>
                <w:sz w:val="15"/>
                <w:szCs w:val="15"/>
              </w:rPr>
              <w:t>(</w:t>
            </w:r>
            <w:r w:rsidRPr="00A93A3C">
              <w:rPr>
                <w:i/>
                <w:color w:val="1F497D" w:themeColor="text2"/>
                <w:sz w:val="15"/>
                <w:szCs w:val="15"/>
              </w:rPr>
              <w:t>7 011</w:t>
            </w:r>
            <w:r w:rsidRPr="00A93A3C">
              <w:rPr>
                <w:i/>
                <w:sz w:val="15"/>
                <w:szCs w:val="15"/>
              </w:rPr>
              <w:t>)</w:t>
            </w:r>
          </w:p>
          <w:p w14:paraId="424BE113" w14:textId="77777777" w:rsidR="008F1BEA" w:rsidRPr="00A93A3C" w:rsidRDefault="008F1BEA" w:rsidP="00350BB8">
            <w:pPr>
              <w:tabs>
                <w:tab w:val="left" w:pos="346"/>
                <w:tab w:val="left" w:pos="1525"/>
                <w:tab w:val="right" w:pos="2835"/>
              </w:tabs>
              <w:spacing w:after="60"/>
              <w:rPr>
                <w:sz w:val="15"/>
                <w:szCs w:val="15"/>
              </w:rPr>
            </w:pPr>
          </w:p>
        </w:tc>
        <w:tc>
          <w:tcPr>
            <w:tcW w:w="3001" w:type="dxa"/>
            <w:gridSpan w:val="3"/>
            <w:shd w:val="clear" w:color="auto" w:fill="auto"/>
          </w:tcPr>
          <w:p w14:paraId="74067402" w14:textId="77777777" w:rsidR="008F1BEA" w:rsidRPr="00A93A3C" w:rsidRDefault="008F1BEA" w:rsidP="00350BB8">
            <w:pPr>
              <w:spacing w:after="60"/>
              <w:ind w:right="44"/>
              <w:rPr>
                <w:sz w:val="15"/>
                <w:szCs w:val="15"/>
              </w:rPr>
            </w:pPr>
            <w:r w:rsidRPr="00A93A3C">
              <w:rPr>
                <w:sz w:val="15"/>
                <w:szCs w:val="15"/>
              </w:rPr>
              <w:t>IV.1 Système actualisé et mondialement accepté des classifications internationales et des normes de l</w:t>
            </w:r>
            <w:r w:rsidRPr="00A93A3C">
              <w:rPr>
                <w:rFonts w:cs="Arial"/>
                <w:sz w:val="15"/>
                <w:szCs w:val="15"/>
                <w:rtl/>
              </w:rPr>
              <w:t>‏</w:t>
            </w:r>
            <w:r w:rsidRPr="00A93A3C">
              <w:rPr>
                <w:sz w:val="15"/>
                <w:szCs w:val="15"/>
              </w:rPr>
              <w:t>’</w:t>
            </w:r>
            <w:r w:rsidRPr="00A93A3C">
              <w:rPr>
                <w:sz w:val="15"/>
                <w:szCs w:val="15"/>
                <w:rtl/>
                <w:cs/>
              </w:rPr>
              <w:t>‎OMPI pour faciliter l‏’</w:t>
            </w:r>
            <w:r w:rsidRPr="00A93A3C">
              <w:rPr>
                <w:rFonts w:cs="Arial"/>
                <w:sz w:val="15"/>
                <w:szCs w:val="15"/>
                <w:cs/>
              </w:rPr>
              <w:t>‎</w:t>
            </w:r>
            <w:r w:rsidRPr="00A93A3C">
              <w:rPr>
                <w:sz w:val="15"/>
                <w:szCs w:val="15"/>
                <w:rtl/>
                <w:cs/>
              </w:rPr>
              <w:t>accès des parties prenantes du monde entier à l‏’‎</w:t>
            </w:r>
            <w:r w:rsidRPr="00A93A3C">
              <w:rPr>
                <w:sz w:val="15"/>
                <w:szCs w:val="15"/>
              </w:rPr>
              <w:t>information en matière de propriété intellectuelle, ainsi que son utilisation et sa diffusion</w:t>
            </w:r>
          </w:p>
          <w:p w14:paraId="369D7653" w14:textId="77777777" w:rsidR="008F1BEA" w:rsidRPr="00A93A3C" w:rsidRDefault="008F1BEA" w:rsidP="00350BB8">
            <w:pPr>
              <w:tabs>
                <w:tab w:val="left" w:pos="1807"/>
              </w:tabs>
              <w:spacing w:after="60"/>
              <w:ind w:right="44"/>
              <w:jc w:val="right"/>
              <w:rPr>
                <w:i/>
                <w:sz w:val="15"/>
                <w:szCs w:val="15"/>
              </w:rPr>
            </w:pPr>
            <w:r w:rsidRPr="00A93A3C">
              <w:rPr>
                <w:sz w:val="15"/>
                <w:szCs w:val="15"/>
              </w:rPr>
              <w:t xml:space="preserve">7 215 </w:t>
            </w:r>
            <w:r w:rsidRPr="00A93A3C">
              <w:rPr>
                <w:i/>
                <w:sz w:val="15"/>
                <w:szCs w:val="15"/>
              </w:rPr>
              <w:t>(</w:t>
            </w:r>
            <w:r w:rsidRPr="00A93A3C">
              <w:rPr>
                <w:i/>
                <w:color w:val="1F497D" w:themeColor="text2"/>
                <w:sz w:val="15"/>
                <w:szCs w:val="15"/>
              </w:rPr>
              <w:t>511</w:t>
            </w:r>
            <w:r w:rsidRPr="00A93A3C">
              <w:rPr>
                <w:i/>
                <w:sz w:val="15"/>
                <w:szCs w:val="15"/>
              </w:rPr>
              <w:t>)</w:t>
            </w:r>
          </w:p>
          <w:p w14:paraId="51D122E5" w14:textId="77777777" w:rsidR="008F1BEA" w:rsidRPr="00A93A3C" w:rsidRDefault="008F1BEA" w:rsidP="00350BB8">
            <w:pPr>
              <w:spacing w:after="60"/>
              <w:ind w:right="44"/>
              <w:rPr>
                <w:sz w:val="15"/>
                <w:szCs w:val="15"/>
              </w:rPr>
            </w:pPr>
            <w:r w:rsidRPr="00A93A3C">
              <w:rPr>
                <w:sz w:val="15"/>
                <w:szCs w:val="15"/>
              </w:rPr>
              <w:t xml:space="preserve">IV.2 Amélioration de l’accessibilité et de l’utilisation de l’information en matière de propriété intellectuelle par les institutions compétentes et le public afin de promouvoir l’innovation et la créativité </w:t>
            </w:r>
          </w:p>
          <w:p w14:paraId="5F3495BD" w14:textId="77777777" w:rsidR="008F1BEA" w:rsidRPr="00A93A3C" w:rsidRDefault="008F1BEA" w:rsidP="00350BB8">
            <w:pPr>
              <w:tabs>
                <w:tab w:val="left" w:pos="1807"/>
              </w:tabs>
              <w:spacing w:after="60"/>
              <w:ind w:right="44"/>
              <w:jc w:val="right"/>
              <w:rPr>
                <w:i/>
                <w:sz w:val="15"/>
                <w:szCs w:val="15"/>
              </w:rPr>
            </w:pPr>
            <w:r w:rsidRPr="00A93A3C">
              <w:rPr>
                <w:sz w:val="15"/>
                <w:szCs w:val="15"/>
              </w:rPr>
              <w:t xml:space="preserve">18 726 </w:t>
            </w:r>
            <w:r w:rsidRPr="00A93A3C">
              <w:rPr>
                <w:i/>
                <w:sz w:val="15"/>
                <w:szCs w:val="15"/>
              </w:rPr>
              <w:t>(</w:t>
            </w:r>
            <w:r w:rsidRPr="00A93A3C">
              <w:rPr>
                <w:i/>
                <w:color w:val="1F497D" w:themeColor="text2"/>
                <w:sz w:val="15"/>
                <w:szCs w:val="15"/>
              </w:rPr>
              <w:t>10 336</w:t>
            </w:r>
            <w:r w:rsidRPr="00A93A3C">
              <w:rPr>
                <w:i/>
                <w:sz w:val="15"/>
                <w:szCs w:val="15"/>
              </w:rPr>
              <w:t>)</w:t>
            </w:r>
          </w:p>
          <w:p w14:paraId="7F6158BC" w14:textId="77777777" w:rsidR="008F1BEA" w:rsidRPr="00A93A3C" w:rsidRDefault="008F1BEA" w:rsidP="00350BB8">
            <w:pPr>
              <w:spacing w:after="60"/>
              <w:ind w:right="44"/>
              <w:rPr>
                <w:sz w:val="15"/>
                <w:szCs w:val="15"/>
              </w:rPr>
            </w:pPr>
            <w:r w:rsidRPr="00A93A3C">
              <w:rPr>
                <w:sz w:val="15"/>
                <w:szCs w:val="15"/>
              </w:rPr>
              <w:t xml:space="preserve">IV.3 Élargissement de la portée géographique du contenu et de l’utilisation des bases de données mondiales de l’OMPI en matière de propriété intellectuelle </w:t>
            </w:r>
          </w:p>
          <w:p w14:paraId="549625C6" w14:textId="77777777" w:rsidR="008F1BEA" w:rsidRPr="00A93A3C" w:rsidRDefault="008F1BEA" w:rsidP="00350BB8">
            <w:pPr>
              <w:tabs>
                <w:tab w:val="left" w:pos="1807"/>
              </w:tabs>
              <w:spacing w:after="60"/>
              <w:ind w:right="44"/>
              <w:jc w:val="right"/>
              <w:rPr>
                <w:sz w:val="15"/>
                <w:szCs w:val="15"/>
              </w:rPr>
            </w:pPr>
            <w:r w:rsidRPr="00A93A3C">
              <w:rPr>
                <w:sz w:val="15"/>
                <w:szCs w:val="15"/>
              </w:rPr>
              <w:t xml:space="preserve">2 476 </w:t>
            </w:r>
            <w:r w:rsidRPr="00A93A3C">
              <w:rPr>
                <w:i/>
                <w:sz w:val="15"/>
                <w:szCs w:val="15"/>
              </w:rPr>
              <w:t>(</w:t>
            </w:r>
            <w:r w:rsidRPr="00A93A3C">
              <w:rPr>
                <w:i/>
                <w:color w:val="1F497D" w:themeColor="text2"/>
                <w:sz w:val="15"/>
                <w:szCs w:val="15"/>
              </w:rPr>
              <w:t>1 236</w:t>
            </w:r>
            <w:r w:rsidRPr="00A93A3C">
              <w:rPr>
                <w:i/>
                <w:sz w:val="15"/>
                <w:szCs w:val="15"/>
              </w:rPr>
              <w:t>)</w:t>
            </w:r>
          </w:p>
          <w:p w14:paraId="1F33F1FA" w14:textId="77777777" w:rsidR="008F1BEA" w:rsidRPr="00A93A3C" w:rsidRDefault="008F1BEA" w:rsidP="00350BB8">
            <w:pPr>
              <w:spacing w:after="60"/>
              <w:ind w:right="44"/>
              <w:rPr>
                <w:sz w:val="15"/>
                <w:szCs w:val="15"/>
              </w:rPr>
            </w:pPr>
            <w:r w:rsidRPr="00A93A3C">
              <w:rPr>
                <w:sz w:val="15"/>
                <w:szCs w:val="15"/>
              </w:rPr>
              <w:t>IV.4 Amélioration de l’infrastructure technique et du savoir permettant aux offices de propriété intellectuelle et aux autres institutions de propriété intellectuelle de fournir des services améliorés (moins chers, plus rapides, de meilleure qualité) à leurs parties prenantes et d’obtenir de meilleurs résultat en matière d’administration de la propriété intellectuelle</w:t>
            </w:r>
          </w:p>
          <w:p w14:paraId="26D6BD84" w14:textId="77777777" w:rsidR="008F1BEA" w:rsidRPr="00A93A3C" w:rsidRDefault="008F1BEA" w:rsidP="00350BB8">
            <w:pPr>
              <w:tabs>
                <w:tab w:val="left" w:pos="1807"/>
              </w:tabs>
              <w:spacing w:after="60"/>
              <w:ind w:right="44"/>
              <w:jc w:val="right"/>
              <w:rPr>
                <w:i/>
                <w:sz w:val="15"/>
                <w:szCs w:val="15"/>
              </w:rPr>
            </w:pPr>
            <w:r w:rsidRPr="00A93A3C">
              <w:rPr>
                <w:sz w:val="15"/>
                <w:szCs w:val="15"/>
              </w:rPr>
              <w:t xml:space="preserve">17 434 </w:t>
            </w:r>
            <w:r w:rsidRPr="00A93A3C">
              <w:rPr>
                <w:i/>
                <w:sz w:val="15"/>
                <w:szCs w:val="15"/>
              </w:rPr>
              <w:t>(</w:t>
            </w:r>
            <w:r w:rsidRPr="00A93A3C">
              <w:rPr>
                <w:i/>
                <w:color w:val="1F497D" w:themeColor="text2"/>
                <w:sz w:val="15"/>
                <w:szCs w:val="15"/>
              </w:rPr>
              <w:t>16 159</w:t>
            </w:r>
            <w:r w:rsidRPr="00A93A3C">
              <w:rPr>
                <w:i/>
                <w:sz w:val="15"/>
                <w:szCs w:val="15"/>
              </w:rPr>
              <w:t>)</w:t>
            </w:r>
          </w:p>
          <w:p w14:paraId="1731458D" w14:textId="77777777" w:rsidR="008F1BEA" w:rsidRPr="00A93A3C" w:rsidRDefault="008F1BEA" w:rsidP="00350BB8">
            <w:pPr>
              <w:tabs>
                <w:tab w:val="left" w:pos="366"/>
                <w:tab w:val="left" w:pos="2205"/>
                <w:tab w:val="right" w:pos="2835"/>
              </w:tabs>
              <w:spacing w:after="60"/>
              <w:rPr>
                <w:i/>
                <w:iCs/>
                <w:sz w:val="15"/>
                <w:szCs w:val="15"/>
              </w:rPr>
            </w:pPr>
          </w:p>
        </w:tc>
        <w:tc>
          <w:tcPr>
            <w:tcW w:w="3000" w:type="dxa"/>
            <w:gridSpan w:val="2"/>
            <w:shd w:val="clear" w:color="auto" w:fill="auto"/>
          </w:tcPr>
          <w:p w14:paraId="5845E878" w14:textId="77777777" w:rsidR="008F1BEA" w:rsidRPr="00A93A3C" w:rsidRDefault="008F1BEA" w:rsidP="00350BB8">
            <w:pPr>
              <w:tabs>
                <w:tab w:val="right" w:pos="2835"/>
              </w:tabs>
              <w:spacing w:after="60"/>
              <w:rPr>
                <w:sz w:val="15"/>
                <w:szCs w:val="15"/>
              </w:rPr>
            </w:pPr>
            <w:r w:rsidRPr="00A93A3C">
              <w:rPr>
                <w:sz w:val="15"/>
                <w:szCs w:val="15"/>
              </w:rPr>
              <w:t xml:space="preserve">V.1 Utilisation plus large et plus efficace de l’information statistique de l’OMPI en matière de propriété intellectuelle </w:t>
            </w:r>
          </w:p>
          <w:p w14:paraId="0CF430EB" w14:textId="77777777" w:rsidR="008F1BEA" w:rsidRPr="00A93A3C" w:rsidRDefault="008F1BEA" w:rsidP="00350BB8">
            <w:pPr>
              <w:tabs>
                <w:tab w:val="left" w:pos="1743"/>
              </w:tabs>
              <w:spacing w:after="60"/>
              <w:jc w:val="right"/>
              <w:rPr>
                <w:sz w:val="15"/>
                <w:szCs w:val="15"/>
              </w:rPr>
            </w:pPr>
            <w:r w:rsidRPr="00A93A3C">
              <w:rPr>
                <w:sz w:val="15"/>
                <w:szCs w:val="15"/>
              </w:rPr>
              <w:t xml:space="preserve">2 659 </w:t>
            </w:r>
            <w:r w:rsidRPr="00A93A3C">
              <w:rPr>
                <w:i/>
                <w:sz w:val="15"/>
                <w:szCs w:val="15"/>
              </w:rPr>
              <w:t>(</w:t>
            </w:r>
            <w:r w:rsidRPr="00A93A3C">
              <w:rPr>
                <w:i/>
                <w:color w:val="1F497D" w:themeColor="text2"/>
                <w:sz w:val="15"/>
                <w:szCs w:val="15"/>
              </w:rPr>
              <w:t>116</w:t>
            </w:r>
            <w:r w:rsidRPr="00A93A3C">
              <w:rPr>
                <w:i/>
                <w:sz w:val="15"/>
                <w:szCs w:val="15"/>
              </w:rPr>
              <w:t>)</w:t>
            </w:r>
          </w:p>
          <w:p w14:paraId="0F055B60" w14:textId="77777777" w:rsidR="008F1BEA" w:rsidRPr="00A93A3C" w:rsidRDefault="008F1BEA" w:rsidP="00350BB8">
            <w:pPr>
              <w:tabs>
                <w:tab w:val="right" w:pos="2835"/>
              </w:tabs>
              <w:spacing w:after="60"/>
              <w:rPr>
                <w:sz w:val="15"/>
                <w:szCs w:val="15"/>
              </w:rPr>
            </w:pPr>
            <w:r w:rsidRPr="00A93A3C">
              <w:rPr>
                <w:sz w:val="15"/>
                <w:szCs w:val="15"/>
              </w:rPr>
              <w:t xml:space="preserve">V.2 Utilisation plus large et plus efficace des analyses économiques de l’OMPI aux fins de l’élaboration des politiques </w:t>
            </w:r>
          </w:p>
          <w:p w14:paraId="5B8F2799" w14:textId="77777777" w:rsidR="008F1BEA" w:rsidRPr="00A93A3C" w:rsidRDefault="008F1BEA" w:rsidP="00350BB8">
            <w:pPr>
              <w:tabs>
                <w:tab w:val="left" w:pos="1743"/>
              </w:tabs>
              <w:spacing w:after="60"/>
              <w:jc w:val="right"/>
              <w:rPr>
                <w:sz w:val="15"/>
                <w:szCs w:val="15"/>
              </w:rPr>
            </w:pPr>
            <w:r w:rsidRPr="00A93A3C">
              <w:rPr>
                <w:sz w:val="15"/>
                <w:szCs w:val="15"/>
              </w:rPr>
              <w:t xml:space="preserve">4 259 </w:t>
            </w:r>
            <w:r w:rsidRPr="00A93A3C">
              <w:rPr>
                <w:i/>
                <w:sz w:val="15"/>
                <w:szCs w:val="15"/>
              </w:rPr>
              <w:t>(</w:t>
            </w:r>
            <w:r w:rsidRPr="00A93A3C">
              <w:rPr>
                <w:i/>
                <w:color w:val="1F497D" w:themeColor="text2"/>
                <w:sz w:val="15"/>
                <w:szCs w:val="15"/>
              </w:rPr>
              <w:t>1 286</w:t>
            </w:r>
            <w:r w:rsidRPr="00A93A3C">
              <w:rPr>
                <w:i/>
                <w:sz w:val="15"/>
                <w:szCs w:val="15"/>
              </w:rPr>
              <w:t>)</w:t>
            </w:r>
          </w:p>
          <w:p w14:paraId="1DEEFB7D" w14:textId="77777777" w:rsidR="008F1BEA" w:rsidRPr="00A93A3C" w:rsidRDefault="008F1BEA" w:rsidP="00350BB8">
            <w:pPr>
              <w:tabs>
                <w:tab w:val="left" w:pos="1525"/>
                <w:tab w:val="right" w:pos="2835"/>
              </w:tabs>
              <w:spacing w:after="60"/>
              <w:rPr>
                <w:sz w:val="15"/>
                <w:szCs w:val="15"/>
              </w:rPr>
            </w:pPr>
          </w:p>
        </w:tc>
        <w:tc>
          <w:tcPr>
            <w:tcW w:w="3002" w:type="dxa"/>
            <w:gridSpan w:val="3"/>
            <w:shd w:val="clear" w:color="auto" w:fill="auto"/>
          </w:tcPr>
          <w:p w14:paraId="7432BB41" w14:textId="77777777" w:rsidR="008F1BEA" w:rsidRPr="00A93A3C" w:rsidRDefault="008F1BEA" w:rsidP="00350BB8">
            <w:pPr>
              <w:tabs>
                <w:tab w:val="left" w:pos="395"/>
                <w:tab w:val="right" w:pos="2814"/>
              </w:tabs>
              <w:spacing w:after="60"/>
              <w:ind w:right="171"/>
              <w:rPr>
                <w:sz w:val="15"/>
                <w:szCs w:val="15"/>
              </w:rPr>
            </w:pPr>
            <w:r w:rsidRPr="00A93A3C">
              <w:rPr>
                <w:sz w:val="15"/>
                <w:szCs w:val="15"/>
              </w:rPr>
              <w:t>VI.1 Progrès du dialogue international entre les États Membres de l’OMPI et les parties prenantes internationales concernées sur la promotion du respect de la propriété intellectuelle, compte tenu de la recommandation n° 45 du Plan d’action de l’OMPI pour le développement</w:t>
            </w:r>
          </w:p>
          <w:p w14:paraId="5946AC71" w14:textId="77777777" w:rsidR="008F1BEA" w:rsidRPr="00A93A3C" w:rsidRDefault="008F1BEA" w:rsidP="00350BB8">
            <w:pPr>
              <w:tabs>
                <w:tab w:val="left" w:pos="1821"/>
              </w:tabs>
              <w:spacing w:after="60"/>
              <w:ind w:right="171"/>
              <w:jc w:val="right"/>
              <w:rPr>
                <w:i/>
                <w:sz w:val="15"/>
                <w:szCs w:val="15"/>
              </w:rPr>
            </w:pPr>
            <w:r w:rsidRPr="00A93A3C">
              <w:rPr>
                <w:sz w:val="15"/>
                <w:szCs w:val="15"/>
              </w:rPr>
              <w:t xml:space="preserve">2 080 </w:t>
            </w:r>
            <w:r w:rsidRPr="00A93A3C">
              <w:rPr>
                <w:i/>
                <w:sz w:val="15"/>
                <w:szCs w:val="15"/>
              </w:rPr>
              <w:t>(</w:t>
            </w:r>
            <w:r w:rsidRPr="00A93A3C">
              <w:rPr>
                <w:i/>
                <w:color w:val="1F497D" w:themeColor="text2"/>
                <w:sz w:val="15"/>
                <w:szCs w:val="15"/>
              </w:rPr>
              <w:t>967</w:t>
            </w:r>
            <w:r w:rsidRPr="00A93A3C">
              <w:rPr>
                <w:i/>
                <w:sz w:val="15"/>
                <w:szCs w:val="15"/>
              </w:rPr>
              <w:t>)</w:t>
            </w:r>
          </w:p>
          <w:p w14:paraId="0752403F" w14:textId="77777777" w:rsidR="008F1BEA" w:rsidRPr="00A93A3C" w:rsidRDefault="008F1BEA" w:rsidP="00350BB8">
            <w:pPr>
              <w:tabs>
                <w:tab w:val="right" w:pos="2835"/>
              </w:tabs>
              <w:spacing w:after="60"/>
              <w:rPr>
                <w:sz w:val="15"/>
                <w:szCs w:val="15"/>
              </w:rPr>
            </w:pPr>
            <w:r w:rsidRPr="00A93A3C">
              <w:rPr>
                <w:sz w:val="15"/>
                <w:szCs w:val="15"/>
              </w:rPr>
              <w:t>VI.2 Coopération et coordination systématiques, efficaces et transparentes entre les activités de l’OMPI et des organisations nationales et internationales dans le domaine de la promotion du respect de la propriété intellectuelle</w:t>
            </w:r>
          </w:p>
          <w:p w14:paraId="79777884" w14:textId="77777777" w:rsidR="008F1BEA" w:rsidRPr="00A93A3C" w:rsidRDefault="008F1BEA" w:rsidP="00350BB8">
            <w:pPr>
              <w:tabs>
                <w:tab w:val="left" w:pos="1821"/>
              </w:tabs>
              <w:spacing w:after="60"/>
              <w:ind w:right="171"/>
              <w:jc w:val="right"/>
              <w:rPr>
                <w:sz w:val="15"/>
                <w:szCs w:val="15"/>
              </w:rPr>
            </w:pPr>
            <w:r w:rsidRPr="00A93A3C">
              <w:rPr>
                <w:sz w:val="15"/>
                <w:szCs w:val="15"/>
              </w:rPr>
              <w:t xml:space="preserve">941 </w:t>
            </w:r>
            <w:r w:rsidRPr="00A93A3C">
              <w:rPr>
                <w:i/>
                <w:sz w:val="15"/>
                <w:szCs w:val="15"/>
              </w:rPr>
              <w:t>(</w:t>
            </w:r>
            <w:r w:rsidRPr="00A93A3C">
              <w:rPr>
                <w:i/>
                <w:color w:val="1F497D" w:themeColor="text2"/>
                <w:sz w:val="15"/>
                <w:szCs w:val="15"/>
              </w:rPr>
              <w:t>-</w:t>
            </w:r>
            <w:r w:rsidRPr="00A93A3C">
              <w:rPr>
                <w:i/>
                <w:sz w:val="15"/>
                <w:szCs w:val="15"/>
              </w:rPr>
              <w:t>)</w:t>
            </w:r>
          </w:p>
          <w:p w14:paraId="775752AA" w14:textId="77777777" w:rsidR="008F1BEA" w:rsidRPr="00A93A3C" w:rsidRDefault="008F1BEA" w:rsidP="00350BB8">
            <w:pPr>
              <w:tabs>
                <w:tab w:val="left" w:pos="384"/>
                <w:tab w:val="left" w:pos="2237"/>
                <w:tab w:val="right" w:pos="2835"/>
              </w:tabs>
              <w:spacing w:after="60"/>
              <w:rPr>
                <w:sz w:val="15"/>
                <w:szCs w:val="15"/>
              </w:rPr>
            </w:pPr>
          </w:p>
        </w:tc>
        <w:tc>
          <w:tcPr>
            <w:tcW w:w="3016" w:type="dxa"/>
            <w:gridSpan w:val="2"/>
            <w:shd w:val="clear" w:color="auto" w:fill="auto"/>
          </w:tcPr>
          <w:p w14:paraId="6C0B478E" w14:textId="77777777" w:rsidR="008F1BEA" w:rsidRPr="00A93A3C" w:rsidRDefault="008F1BEA" w:rsidP="00350BB8">
            <w:pPr>
              <w:tabs>
                <w:tab w:val="right" w:pos="2835"/>
              </w:tabs>
              <w:spacing w:after="60"/>
              <w:rPr>
                <w:sz w:val="15"/>
                <w:szCs w:val="15"/>
              </w:rPr>
            </w:pPr>
            <w:r w:rsidRPr="00A93A3C">
              <w:rPr>
                <w:sz w:val="15"/>
                <w:szCs w:val="15"/>
              </w:rPr>
              <w:t xml:space="preserve"> VII.1 Plateformes et instruments fondés sur la propriété intellectuelle pour le transfert de connaissances et l’adaptation et la diffusion de la technologie entre les pays développés et les pays en développement, notamment les PMA, pour relever des défis mondiaux </w:t>
            </w:r>
          </w:p>
          <w:p w14:paraId="07C4FFE9" w14:textId="77777777" w:rsidR="008F1BEA" w:rsidRPr="00A93A3C" w:rsidRDefault="008F1BEA" w:rsidP="00350BB8">
            <w:pPr>
              <w:tabs>
                <w:tab w:val="left" w:pos="1757"/>
              </w:tabs>
              <w:spacing w:after="60"/>
              <w:jc w:val="right"/>
              <w:rPr>
                <w:i/>
                <w:sz w:val="15"/>
                <w:szCs w:val="15"/>
              </w:rPr>
            </w:pPr>
            <w:r w:rsidRPr="00A93A3C">
              <w:rPr>
                <w:sz w:val="15"/>
                <w:szCs w:val="15"/>
              </w:rPr>
              <w:t xml:space="preserve">6 968 </w:t>
            </w:r>
            <w:r w:rsidRPr="00A93A3C">
              <w:rPr>
                <w:i/>
                <w:sz w:val="15"/>
                <w:szCs w:val="15"/>
              </w:rPr>
              <w:t>(</w:t>
            </w:r>
            <w:r w:rsidRPr="00A93A3C">
              <w:rPr>
                <w:i/>
                <w:color w:val="1F497D" w:themeColor="text2"/>
                <w:sz w:val="15"/>
                <w:szCs w:val="15"/>
              </w:rPr>
              <w:t>5 824</w:t>
            </w:r>
            <w:r w:rsidRPr="00A93A3C">
              <w:rPr>
                <w:i/>
                <w:sz w:val="15"/>
                <w:szCs w:val="15"/>
              </w:rPr>
              <w:t>)</w:t>
            </w:r>
          </w:p>
          <w:p w14:paraId="2B9A41B9" w14:textId="77777777" w:rsidR="008F1BEA" w:rsidRPr="00A93A3C" w:rsidRDefault="008F1BEA" w:rsidP="00350BB8">
            <w:pPr>
              <w:pStyle w:val="ListParagraph"/>
              <w:tabs>
                <w:tab w:val="left" w:pos="424"/>
                <w:tab w:val="left" w:pos="2253"/>
                <w:tab w:val="right" w:pos="2835"/>
              </w:tabs>
              <w:spacing w:after="60"/>
              <w:ind w:left="360"/>
              <w:rPr>
                <w:rFonts w:cs="Arial"/>
                <w:sz w:val="15"/>
                <w:szCs w:val="15"/>
              </w:rPr>
            </w:pPr>
          </w:p>
        </w:tc>
      </w:tr>
      <w:tr w:rsidR="008F1BEA" w:rsidRPr="00A93A3C" w14:paraId="1F18E487" w14:textId="77777777" w:rsidTr="00A93A3C">
        <w:trPr>
          <w:trHeight w:val="288"/>
          <w:jc w:val="center"/>
        </w:trPr>
        <w:tc>
          <w:tcPr>
            <w:tcW w:w="334" w:type="dxa"/>
            <w:shd w:val="clear" w:color="auto" w:fill="C6D9F1"/>
          </w:tcPr>
          <w:p w14:paraId="1759E057" w14:textId="77777777" w:rsidR="008F1BEA" w:rsidRPr="00A93A3C" w:rsidRDefault="008F1BEA" w:rsidP="00350BB8">
            <w:pPr>
              <w:tabs>
                <w:tab w:val="right" w:pos="2835"/>
              </w:tabs>
              <w:jc w:val="center"/>
              <w:rPr>
                <w:b/>
                <w:bCs/>
                <w:sz w:val="17"/>
                <w:szCs w:val="16"/>
              </w:rPr>
            </w:pPr>
          </w:p>
        </w:tc>
        <w:tc>
          <w:tcPr>
            <w:tcW w:w="861" w:type="dxa"/>
            <w:shd w:val="clear" w:color="auto" w:fill="99CCFF"/>
          </w:tcPr>
          <w:p w14:paraId="6E003AD3" w14:textId="77777777" w:rsidR="008F1BEA" w:rsidRPr="00A93A3C" w:rsidRDefault="008F1BEA" w:rsidP="00350BB8">
            <w:pPr>
              <w:tabs>
                <w:tab w:val="right" w:pos="2835"/>
              </w:tabs>
              <w:jc w:val="center"/>
              <w:rPr>
                <w:b/>
                <w:bCs/>
                <w:sz w:val="17"/>
                <w:szCs w:val="16"/>
              </w:rPr>
            </w:pPr>
          </w:p>
        </w:tc>
        <w:tc>
          <w:tcPr>
            <w:tcW w:w="3150" w:type="dxa"/>
            <w:gridSpan w:val="3"/>
            <w:shd w:val="clear" w:color="auto" w:fill="auto"/>
          </w:tcPr>
          <w:p w14:paraId="19DDACF6" w14:textId="77777777" w:rsidR="008F1BEA" w:rsidRPr="00A93A3C" w:rsidRDefault="008F1BEA" w:rsidP="00350BB8">
            <w:pPr>
              <w:tabs>
                <w:tab w:val="left" w:pos="964"/>
              </w:tabs>
              <w:jc w:val="right"/>
              <w:rPr>
                <w:b/>
                <w:bCs/>
                <w:i/>
                <w:iCs/>
                <w:sz w:val="15"/>
                <w:szCs w:val="15"/>
              </w:rPr>
            </w:pPr>
            <w:r w:rsidRPr="00A93A3C">
              <w:rPr>
                <w:b/>
                <w:bCs/>
                <w:i/>
                <w:iCs/>
                <w:sz w:val="15"/>
                <w:szCs w:val="15"/>
              </w:rPr>
              <w:t xml:space="preserve">Total OS I : </w:t>
            </w:r>
            <w:r w:rsidRPr="00A93A3C">
              <w:rPr>
                <w:b/>
                <w:bCs/>
                <w:sz w:val="15"/>
                <w:szCs w:val="15"/>
              </w:rPr>
              <w:t xml:space="preserve">22 905 </w:t>
            </w:r>
            <w:r w:rsidRPr="00A93A3C">
              <w:rPr>
                <w:b/>
                <w:bCs/>
                <w:i/>
                <w:sz w:val="15"/>
                <w:szCs w:val="15"/>
              </w:rPr>
              <w:t>(</w:t>
            </w:r>
            <w:r w:rsidRPr="00A93A3C">
              <w:rPr>
                <w:b/>
                <w:bCs/>
                <w:i/>
                <w:color w:val="1F497D" w:themeColor="text2"/>
                <w:sz w:val="15"/>
                <w:szCs w:val="15"/>
              </w:rPr>
              <w:t>12 891</w:t>
            </w:r>
            <w:r w:rsidRPr="00A93A3C">
              <w:rPr>
                <w:b/>
                <w:bCs/>
                <w:i/>
                <w:sz w:val="15"/>
                <w:szCs w:val="15"/>
              </w:rPr>
              <w:t>)</w:t>
            </w:r>
          </w:p>
        </w:tc>
        <w:tc>
          <w:tcPr>
            <w:tcW w:w="3001" w:type="dxa"/>
            <w:gridSpan w:val="2"/>
            <w:shd w:val="clear" w:color="auto" w:fill="auto"/>
          </w:tcPr>
          <w:p w14:paraId="68411A07" w14:textId="77777777" w:rsidR="008F1BEA" w:rsidRPr="00A93A3C" w:rsidRDefault="008F1BEA" w:rsidP="00350BB8">
            <w:pPr>
              <w:tabs>
                <w:tab w:val="left" w:pos="804"/>
              </w:tabs>
              <w:jc w:val="right"/>
              <w:rPr>
                <w:i/>
                <w:iCs/>
                <w:sz w:val="15"/>
                <w:szCs w:val="15"/>
              </w:rPr>
            </w:pPr>
            <w:r w:rsidRPr="00A93A3C">
              <w:rPr>
                <w:b/>
                <w:bCs/>
                <w:i/>
                <w:iCs/>
                <w:sz w:val="15"/>
                <w:szCs w:val="15"/>
              </w:rPr>
              <w:t xml:space="preserve">Total OS II : </w:t>
            </w:r>
            <w:r w:rsidRPr="00A93A3C">
              <w:rPr>
                <w:b/>
                <w:bCs/>
                <w:sz w:val="15"/>
                <w:szCs w:val="15"/>
              </w:rPr>
              <w:t xml:space="preserve">302 635 </w:t>
            </w:r>
            <w:r w:rsidRPr="00A93A3C">
              <w:rPr>
                <w:b/>
                <w:bCs/>
                <w:i/>
                <w:sz w:val="15"/>
                <w:szCs w:val="15"/>
              </w:rPr>
              <w:t>(</w:t>
            </w:r>
            <w:r w:rsidRPr="00A93A3C">
              <w:rPr>
                <w:b/>
                <w:bCs/>
                <w:i/>
                <w:color w:val="1F497D" w:themeColor="text2"/>
                <w:sz w:val="15"/>
                <w:szCs w:val="15"/>
              </w:rPr>
              <w:t>19 080</w:t>
            </w:r>
            <w:r w:rsidRPr="00A93A3C">
              <w:rPr>
                <w:b/>
                <w:bCs/>
                <w:i/>
                <w:sz w:val="15"/>
                <w:szCs w:val="15"/>
              </w:rPr>
              <w:t>)</w:t>
            </w:r>
            <w:r w:rsidRPr="00A93A3C">
              <w:rPr>
                <w:i/>
                <w:iCs/>
                <w:sz w:val="15"/>
                <w:szCs w:val="15"/>
              </w:rPr>
              <w:t xml:space="preserve"> </w:t>
            </w:r>
          </w:p>
        </w:tc>
        <w:tc>
          <w:tcPr>
            <w:tcW w:w="3003" w:type="dxa"/>
            <w:shd w:val="clear" w:color="auto" w:fill="auto"/>
          </w:tcPr>
          <w:p w14:paraId="24907562" w14:textId="77777777" w:rsidR="008F1BEA" w:rsidRPr="00A93A3C" w:rsidRDefault="008F1BEA" w:rsidP="00350BB8">
            <w:pPr>
              <w:tabs>
                <w:tab w:val="left" w:pos="1023"/>
              </w:tabs>
              <w:jc w:val="right"/>
              <w:rPr>
                <w:i/>
                <w:iCs/>
                <w:sz w:val="15"/>
                <w:szCs w:val="15"/>
              </w:rPr>
            </w:pPr>
            <w:r w:rsidRPr="00A93A3C">
              <w:rPr>
                <w:b/>
                <w:bCs/>
                <w:i/>
                <w:iCs/>
                <w:sz w:val="15"/>
                <w:szCs w:val="15"/>
              </w:rPr>
              <w:t xml:space="preserve">Total OS III : </w:t>
            </w:r>
            <w:r w:rsidRPr="00A93A3C">
              <w:rPr>
                <w:b/>
                <w:bCs/>
                <w:sz w:val="15"/>
                <w:szCs w:val="15"/>
              </w:rPr>
              <w:t xml:space="preserve">64 894 </w:t>
            </w:r>
            <w:r w:rsidRPr="00A93A3C">
              <w:rPr>
                <w:b/>
                <w:bCs/>
                <w:i/>
                <w:sz w:val="15"/>
                <w:szCs w:val="15"/>
              </w:rPr>
              <w:t>(</w:t>
            </w:r>
            <w:r w:rsidRPr="00A93A3C">
              <w:rPr>
                <w:b/>
                <w:bCs/>
                <w:i/>
                <w:color w:val="1F497D" w:themeColor="text2"/>
                <w:sz w:val="15"/>
                <w:szCs w:val="15"/>
              </w:rPr>
              <w:t>64 426</w:t>
            </w:r>
            <w:r w:rsidRPr="00A93A3C">
              <w:rPr>
                <w:b/>
                <w:bCs/>
                <w:i/>
                <w:sz w:val="15"/>
                <w:szCs w:val="15"/>
              </w:rPr>
              <w:t>)</w:t>
            </w:r>
          </w:p>
        </w:tc>
        <w:tc>
          <w:tcPr>
            <w:tcW w:w="3001" w:type="dxa"/>
            <w:gridSpan w:val="3"/>
            <w:shd w:val="clear" w:color="auto" w:fill="auto"/>
          </w:tcPr>
          <w:p w14:paraId="54F3E739" w14:textId="77777777" w:rsidR="008F1BEA" w:rsidRPr="00A93A3C" w:rsidRDefault="008F1BEA" w:rsidP="00350BB8">
            <w:pPr>
              <w:tabs>
                <w:tab w:val="left" w:pos="957"/>
              </w:tabs>
              <w:jc w:val="right"/>
              <w:rPr>
                <w:i/>
                <w:iCs/>
                <w:sz w:val="15"/>
                <w:szCs w:val="15"/>
              </w:rPr>
            </w:pPr>
            <w:r w:rsidRPr="00A93A3C">
              <w:rPr>
                <w:b/>
                <w:bCs/>
                <w:i/>
                <w:iCs/>
                <w:sz w:val="15"/>
                <w:szCs w:val="15"/>
              </w:rPr>
              <w:t xml:space="preserve">Total OS IV : </w:t>
            </w:r>
            <w:r w:rsidRPr="00A93A3C">
              <w:rPr>
                <w:b/>
                <w:bCs/>
                <w:sz w:val="15"/>
                <w:szCs w:val="15"/>
              </w:rPr>
              <w:t xml:space="preserve">45 851 </w:t>
            </w:r>
            <w:r w:rsidRPr="00A93A3C">
              <w:rPr>
                <w:b/>
                <w:bCs/>
                <w:i/>
                <w:sz w:val="15"/>
                <w:szCs w:val="15"/>
              </w:rPr>
              <w:t>(</w:t>
            </w:r>
            <w:r w:rsidRPr="00A93A3C">
              <w:rPr>
                <w:b/>
                <w:bCs/>
                <w:i/>
                <w:color w:val="1F497D" w:themeColor="text2"/>
                <w:sz w:val="15"/>
                <w:szCs w:val="15"/>
              </w:rPr>
              <w:t>28 242</w:t>
            </w:r>
            <w:r w:rsidRPr="00A93A3C">
              <w:rPr>
                <w:b/>
                <w:bCs/>
                <w:i/>
                <w:sz w:val="15"/>
                <w:szCs w:val="15"/>
              </w:rPr>
              <w:t>)</w:t>
            </w:r>
          </w:p>
        </w:tc>
        <w:tc>
          <w:tcPr>
            <w:tcW w:w="3000" w:type="dxa"/>
            <w:gridSpan w:val="2"/>
            <w:shd w:val="clear" w:color="auto" w:fill="auto"/>
          </w:tcPr>
          <w:p w14:paraId="2BFA5F82" w14:textId="77777777" w:rsidR="008F1BEA" w:rsidRPr="00A93A3C" w:rsidRDefault="008F1BEA" w:rsidP="00350BB8">
            <w:pPr>
              <w:tabs>
                <w:tab w:val="left" w:pos="892"/>
              </w:tabs>
              <w:jc w:val="right"/>
              <w:rPr>
                <w:i/>
                <w:iCs/>
                <w:sz w:val="15"/>
                <w:szCs w:val="15"/>
              </w:rPr>
            </w:pPr>
            <w:r w:rsidRPr="00A93A3C">
              <w:rPr>
                <w:b/>
                <w:bCs/>
                <w:i/>
                <w:iCs/>
                <w:sz w:val="15"/>
                <w:szCs w:val="15"/>
              </w:rPr>
              <w:t>Total OS V : 6 918</w:t>
            </w:r>
            <w:r w:rsidRPr="00A93A3C">
              <w:rPr>
                <w:b/>
                <w:bCs/>
                <w:sz w:val="15"/>
                <w:szCs w:val="15"/>
              </w:rPr>
              <w:t xml:space="preserve"> </w:t>
            </w:r>
            <w:r w:rsidRPr="00A93A3C">
              <w:rPr>
                <w:b/>
                <w:bCs/>
                <w:i/>
                <w:sz w:val="15"/>
                <w:szCs w:val="15"/>
              </w:rPr>
              <w:t>(</w:t>
            </w:r>
            <w:r w:rsidRPr="00A93A3C">
              <w:rPr>
                <w:b/>
                <w:bCs/>
                <w:i/>
                <w:color w:val="1F497D" w:themeColor="text2"/>
                <w:sz w:val="15"/>
                <w:szCs w:val="15"/>
              </w:rPr>
              <w:t>1 402</w:t>
            </w:r>
            <w:r w:rsidRPr="00A93A3C">
              <w:rPr>
                <w:b/>
                <w:bCs/>
                <w:i/>
                <w:sz w:val="15"/>
                <w:szCs w:val="15"/>
              </w:rPr>
              <w:t>)</w:t>
            </w:r>
          </w:p>
        </w:tc>
        <w:tc>
          <w:tcPr>
            <w:tcW w:w="3002" w:type="dxa"/>
            <w:gridSpan w:val="3"/>
            <w:shd w:val="clear" w:color="auto" w:fill="auto"/>
          </w:tcPr>
          <w:p w14:paraId="3F2EC3FC" w14:textId="77777777" w:rsidR="008F1BEA" w:rsidRPr="00A93A3C" w:rsidRDefault="008F1BEA" w:rsidP="00350BB8">
            <w:pPr>
              <w:tabs>
                <w:tab w:val="left" w:pos="971"/>
              </w:tabs>
              <w:jc w:val="right"/>
              <w:rPr>
                <w:i/>
                <w:iCs/>
                <w:sz w:val="15"/>
                <w:szCs w:val="15"/>
              </w:rPr>
            </w:pPr>
            <w:r w:rsidRPr="00A93A3C">
              <w:rPr>
                <w:b/>
                <w:bCs/>
                <w:i/>
                <w:iCs/>
                <w:sz w:val="15"/>
                <w:szCs w:val="15"/>
              </w:rPr>
              <w:t xml:space="preserve">Total OS VI : 3 021 </w:t>
            </w:r>
            <w:r w:rsidRPr="00A93A3C">
              <w:rPr>
                <w:b/>
                <w:bCs/>
                <w:i/>
                <w:sz w:val="15"/>
                <w:szCs w:val="15"/>
              </w:rPr>
              <w:t>(</w:t>
            </w:r>
            <w:r w:rsidRPr="00A93A3C">
              <w:rPr>
                <w:b/>
                <w:bCs/>
                <w:i/>
                <w:color w:val="1F497D" w:themeColor="text2"/>
                <w:sz w:val="15"/>
                <w:szCs w:val="15"/>
              </w:rPr>
              <w:t>967</w:t>
            </w:r>
            <w:r w:rsidRPr="00A93A3C">
              <w:rPr>
                <w:b/>
                <w:bCs/>
                <w:i/>
                <w:sz w:val="15"/>
                <w:szCs w:val="15"/>
              </w:rPr>
              <w:t>)</w:t>
            </w:r>
            <w:r w:rsidRPr="00A93A3C">
              <w:rPr>
                <w:i/>
                <w:iCs/>
                <w:sz w:val="15"/>
                <w:szCs w:val="15"/>
              </w:rPr>
              <w:t xml:space="preserve"> </w:t>
            </w:r>
          </w:p>
        </w:tc>
        <w:tc>
          <w:tcPr>
            <w:tcW w:w="3016" w:type="dxa"/>
            <w:gridSpan w:val="2"/>
            <w:shd w:val="clear" w:color="auto" w:fill="auto"/>
          </w:tcPr>
          <w:p w14:paraId="00217883" w14:textId="77777777" w:rsidR="008F1BEA" w:rsidRPr="00A93A3C" w:rsidRDefault="008F1BEA" w:rsidP="00350BB8">
            <w:pPr>
              <w:tabs>
                <w:tab w:val="left" w:pos="907"/>
              </w:tabs>
              <w:jc w:val="right"/>
              <w:rPr>
                <w:i/>
                <w:iCs/>
                <w:sz w:val="15"/>
                <w:szCs w:val="15"/>
              </w:rPr>
            </w:pPr>
            <w:r w:rsidRPr="00A93A3C">
              <w:rPr>
                <w:b/>
                <w:bCs/>
                <w:i/>
                <w:iCs/>
                <w:sz w:val="15"/>
                <w:szCs w:val="15"/>
              </w:rPr>
              <w:t>Total OS VII : 6 968</w:t>
            </w:r>
            <w:r w:rsidRPr="00A93A3C">
              <w:rPr>
                <w:b/>
                <w:bCs/>
                <w:sz w:val="15"/>
                <w:szCs w:val="15"/>
              </w:rPr>
              <w:t xml:space="preserve"> </w:t>
            </w:r>
            <w:r w:rsidRPr="00A93A3C">
              <w:rPr>
                <w:b/>
                <w:bCs/>
                <w:i/>
                <w:sz w:val="15"/>
                <w:szCs w:val="15"/>
              </w:rPr>
              <w:t>(</w:t>
            </w:r>
            <w:r w:rsidRPr="00A93A3C">
              <w:rPr>
                <w:b/>
                <w:bCs/>
                <w:i/>
                <w:color w:val="1F497D" w:themeColor="text2"/>
                <w:sz w:val="15"/>
                <w:szCs w:val="15"/>
              </w:rPr>
              <w:t>5 824</w:t>
            </w:r>
            <w:r w:rsidRPr="00A93A3C">
              <w:rPr>
                <w:b/>
                <w:bCs/>
                <w:i/>
                <w:sz w:val="15"/>
                <w:szCs w:val="15"/>
              </w:rPr>
              <w:t>)</w:t>
            </w:r>
          </w:p>
        </w:tc>
      </w:tr>
      <w:tr w:rsidR="008F1BEA" w:rsidRPr="00A93A3C" w14:paraId="00CA604C" w14:textId="77777777" w:rsidTr="00A93A3C">
        <w:trPr>
          <w:trHeight w:val="799"/>
          <w:jc w:val="center"/>
        </w:trPr>
        <w:tc>
          <w:tcPr>
            <w:tcW w:w="334" w:type="dxa"/>
            <w:shd w:val="clear" w:color="auto" w:fill="C6D9F1"/>
          </w:tcPr>
          <w:p w14:paraId="1903C598" w14:textId="77777777" w:rsidR="008F1BEA" w:rsidRPr="00A93A3C" w:rsidRDefault="008F1BEA" w:rsidP="00350BB8">
            <w:pPr>
              <w:tabs>
                <w:tab w:val="right" w:pos="2835"/>
              </w:tabs>
              <w:jc w:val="center"/>
              <w:rPr>
                <w:b/>
                <w:bCs/>
                <w:sz w:val="17"/>
                <w:szCs w:val="16"/>
              </w:rPr>
            </w:pPr>
          </w:p>
        </w:tc>
        <w:tc>
          <w:tcPr>
            <w:tcW w:w="1395" w:type="dxa"/>
            <w:gridSpan w:val="2"/>
            <w:shd w:val="clear" w:color="auto" w:fill="99CCFF"/>
            <w:vAlign w:val="center"/>
          </w:tcPr>
          <w:p w14:paraId="40C02313" w14:textId="77777777" w:rsidR="008F1BEA" w:rsidRPr="00A93A3C" w:rsidRDefault="008F1BEA" w:rsidP="00350BB8">
            <w:pPr>
              <w:tabs>
                <w:tab w:val="right" w:pos="2835"/>
              </w:tabs>
              <w:jc w:val="center"/>
              <w:rPr>
                <w:b/>
                <w:bCs/>
                <w:sz w:val="17"/>
                <w:szCs w:val="16"/>
              </w:rPr>
            </w:pPr>
            <w:r w:rsidRPr="00A93A3C">
              <w:rPr>
                <w:rFonts w:ascii="Arial Bold" w:hAnsi="Arial Bold"/>
                <w:b/>
                <w:bCs/>
                <w:smallCaps/>
                <w:sz w:val="17"/>
              </w:rPr>
              <w:t>Contribuant à</w:t>
            </w:r>
            <w:r w:rsidRPr="00A93A3C">
              <w:rPr>
                <w:rFonts w:ascii="Arial Bold" w:hAnsi="Arial Bold" w:hint="eastAsia"/>
                <w:b/>
                <w:bCs/>
                <w:smallCaps/>
                <w:sz w:val="17"/>
              </w:rPr>
              <w:t> </w:t>
            </w:r>
            <w:r w:rsidRPr="00A93A3C">
              <w:rPr>
                <w:rFonts w:ascii="Arial Bold" w:hAnsi="Arial Bold"/>
                <w:b/>
                <w:bCs/>
                <w:smallCaps/>
                <w:sz w:val="17"/>
              </w:rPr>
              <w:t>:</w:t>
            </w:r>
          </w:p>
        </w:tc>
        <w:tc>
          <w:tcPr>
            <w:tcW w:w="2625" w:type="dxa"/>
            <w:gridSpan w:val="3"/>
            <w:shd w:val="clear" w:color="auto" w:fill="auto"/>
            <w:vAlign w:val="center"/>
          </w:tcPr>
          <w:p w14:paraId="260E54FD" w14:textId="77777777" w:rsidR="008F1BEA" w:rsidRPr="00A93A3C" w:rsidRDefault="008F1BEA" w:rsidP="00350BB8">
            <w:pPr>
              <w:tabs>
                <w:tab w:val="right" w:pos="2835"/>
              </w:tabs>
              <w:jc w:val="center"/>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65A804C3" wp14:editId="4662FF85">
                  <wp:extent cx="432000" cy="432000"/>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13560C38" wp14:editId="0FE6521A">
                  <wp:extent cx="432000" cy="43200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3BED597F" wp14:editId="58103546">
                  <wp:extent cx="432000" cy="432000"/>
                  <wp:effectExtent l="0" t="0" r="635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2992" w:type="dxa"/>
            <w:shd w:val="clear" w:color="auto" w:fill="auto"/>
            <w:vAlign w:val="center"/>
          </w:tcPr>
          <w:p w14:paraId="0EDF3386" w14:textId="77777777" w:rsidR="008F1BEA" w:rsidRPr="00A93A3C" w:rsidRDefault="008F1BEA" w:rsidP="00350BB8">
            <w:pPr>
              <w:tabs>
                <w:tab w:val="right" w:pos="2835"/>
              </w:tabs>
              <w:jc w:val="right"/>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60AFE151" wp14:editId="54D12479">
                  <wp:extent cx="432000" cy="432000"/>
                  <wp:effectExtent l="0" t="0" r="635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3009" w:type="dxa"/>
            <w:gridSpan w:val="2"/>
            <w:shd w:val="clear" w:color="auto" w:fill="auto"/>
            <w:vAlign w:val="center"/>
          </w:tcPr>
          <w:p w14:paraId="23C84558" w14:textId="77777777" w:rsidR="008F1BEA" w:rsidRPr="00A93A3C" w:rsidRDefault="008F1BEA" w:rsidP="00350BB8">
            <w:pPr>
              <w:tabs>
                <w:tab w:val="right" w:pos="2835"/>
              </w:tabs>
              <w:jc w:val="right"/>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4EE72698" wp14:editId="4532DB44">
                  <wp:extent cx="432000" cy="432000"/>
                  <wp:effectExtent l="0" t="0" r="635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3537E6B5" wp14:editId="37237B39">
                  <wp:extent cx="432000" cy="432000"/>
                  <wp:effectExtent l="0" t="0" r="635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2995" w:type="dxa"/>
            <w:gridSpan w:val="2"/>
            <w:shd w:val="clear" w:color="auto" w:fill="auto"/>
            <w:vAlign w:val="center"/>
          </w:tcPr>
          <w:p w14:paraId="5518F425" w14:textId="77777777" w:rsidR="008F1BEA" w:rsidRPr="00A93A3C" w:rsidRDefault="008F1BEA" w:rsidP="00350BB8">
            <w:pPr>
              <w:tabs>
                <w:tab w:val="right" w:pos="2835"/>
              </w:tabs>
              <w:jc w:val="right"/>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1019DAD7" wp14:editId="50517AD7">
                  <wp:extent cx="432000" cy="43200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08468FC4" wp14:editId="16377811">
                  <wp:extent cx="432000" cy="432000"/>
                  <wp:effectExtent l="0" t="0" r="635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2980" w:type="dxa"/>
            <w:shd w:val="clear" w:color="auto" w:fill="auto"/>
            <w:vAlign w:val="center"/>
          </w:tcPr>
          <w:p w14:paraId="395B0B9B" w14:textId="77777777" w:rsidR="008F1BEA" w:rsidRPr="00A93A3C" w:rsidRDefault="008F1BEA" w:rsidP="00350BB8">
            <w:pPr>
              <w:tabs>
                <w:tab w:val="right" w:pos="2835"/>
              </w:tabs>
              <w:jc w:val="right"/>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0145682E" wp14:editId="55B585E4">
                  <wp:extent cx="432000" cy="432000"/>
                  <wp:effectExtent l="0" t="0" r="635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3022" w:type="dxa"/>
            <w:gridSpan w:val="4"/>
            <w:shd w:val="clear" w:color="auto" w:fill="auto"/>
            <w:vAlign w:val="center"/>
          </w:tcPr>
          <w:p w14:paraId="74D8FCD1" w14:textId="77777777" w:rsidR="008F1BEA" w:rsidRPr="00A93A3C" w:rsidRDefault="008F1BEA" w:rsidP="00350BB8">
            <w:pPr>
              <w:tabs>
                <w:tab w:val="right" w:pos="2835"/>
              </w:tabs>
              <w:jc w:val="right"/>
              <w:rPr>
                <w:rFonts w:ascii="Arial Bold" w:hAnsi="Arial Bold" w:hint="eastAsia"/>
                <w:b/>
                <w:bCs/>
                <w:smallCaps/>
                <w:sz w:val="17"/>
              </w:rPr>
            </w:pPr>
          </w:p>
        </w:tc>
        <w:tc>
          <w:tcPr>
            <w:tcW w:w="3016" w:type="dxa"/>
            <w:gridSpan w:val="2"/>
            <w:shd w:val="clear" w:color="auto" w:fill="auto"/>
            <w:vAlign w:val="center"/>
          </w:tcPr>
          <w:p w14:paraId="4367D104" w14:textId="77777777" w:rsidR="008F1BEA" w:rsidRPr="00A93A3C" w:rsidRDefault="008F1BEA" w:rsidP="00350BB8">
            <w:pPr>
              <w:tabs>
                <w:tab w:val="right" w:pos="2835"/>
              </w:tabs>
              <w:jc w:val="right"/>
              <w:rPr>
                <w:rFonts w:ascii="Arial Bold" w:hAnsi="Arial Bold" w:hint="eastAsia"/>
                <w:b/>
                <w:bCs/>
                <w:smallCaps/>
                <w:sz w:val="17"/>
              </w:rPr>
            </w:pPr>
            <w:r w:rsidRPr="00A93A3C">
              <w:rPr>
                <w:rFonts w:ascii="Arial Bold" w:hAnsi="Arial Bold"/>
                <w:b/>
                <w:bCs/>
                <w:smallCaps/>
                <w:noProof/>
                <w:sz w:val="17"/>
                <w:szCs w:val="19"/>
                <w:lang w:val="en-US" w:eastAsia="en-US"/>
              </w:rPr>
              <w:drawing>
                <wp:inline distT="0" distB="0" distL="0" distR="0" wp14:anchorId="2CBE7D7F" wp14:editId="582CF58A">
                  <wp:extent cx="432000" cy="432000"/>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336E7F63" wp14:editId="4FD18243">
                  <wp:extent cx="432000" cy="4320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A93A3C">
              <w:rPr>
                <w:rFonts w:ascii="Arial Bold" w:hAnsi="Arial Bold"/>
                <w:b/>
                <w:bCs/>
                <w:smallCaps/>
                <w:noProof/>
                <w:sz w:val="17"/>
                <w:szCs w:val="19"/>
                <w:lang w:val="en-US" w:eastAsia="en-US"/>
              </w:rPr>
              <w:drawing>
                <wp:inline distT="0" distB="0" distL="0" distR="0" wp14:anchorId="4648DF8D" wp14:editId="4F047052">
                  <wp:extent cx="432000" cy="4320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DG goals_icons-individual-cmyk-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8F1BEA" w:rsidRPr="00A93A3C" w14:paraId="6AE2E524" w14:textId="77777777" w:rsidTr="00A93A3C">
        <w:trPr>
          <w:trHeight w:val="295"/>
          <w:jc w:val="center"/>
        </w:trPr>
        <w:tc>
          <w:tcPr>
            <w:tcW w:w="334" w:type="dxa"/>
            <w:shd w:val="clear" w:color="auto" w:fill="C6D9F1"/>
          </w:tcPr>
          <w:p w14:paraId="6EDCEEEA" w14:textId="77777777" w:rsidR="008F1BEA" w:rsidRPr="00A93A3C" w:rsidRDefault="008F1BEA" w:rsidP="00350BB8">
            <w:pPr>
              <w:keepNext/>
              <w:tabs>
                <w:tab w:val="right" w:pos="2835"/>
              </w:tabs>
              <w:jc w:val="center"/>
              <w:rPr>
                <w:b/>
                <w:bCs/>
                <w:sz w:val="17"/>
                <w:szCs w:val="16"/>
              </w:rPr>
            </w:pPr>
          </w:p>
        </w:tc>
        <w:tc>
          <w:tcPr>
            <w:tcW w:w="861" w:type="dxa"/>
            <w:shd w:val="clear" w:color="auto" w:fill="99CCFF"/>
          </w:tcPr>
          <w:p w14:paraId="2CC686C3" w14:textId="77777777" w:rsidR="008F1BEA" w:rsidRPr="00A93A3C" w:rsidRDefault="008F1BEA" w:rsidP="00350BB8">
            <w:pPr>
              <w:keepNext/>
              <w:tabs>
                <w:tab w:val="right" w:pos="2835"/>
              </w:tabs>
              <w:jc w:val="center"/>
              <w:rPr>
                <w:b/>
                <w:bCs/>
                <w:sz w:val="17"/>
                <w:szCs w:val="16"/>
              </w:rPr>
            </w:pPr>
          </w:p>
        </w:tc>
        <w:tc>
          <w:tcPr>
            <w:tcW w:w="21173" w:type="dxa"/>
            <w:gridSpan w:val="16"/>
            <w:shd w:val="clear" w:color="auto" w:fill="C6D9F1"/>
            <w:vAlign w:val="center"/>
          </w:tcPr>
          <w:p w14:paraId="572CC087" w14:textId="77777777" w:rsidR="008F1BEA" w:rsidRPr="00A93A3C" w:rsidRDefault="008F1BEA" w:rsidP="00350BB8">
            <w:pPr>
              <w:keepNext/>
              <w:tabs>
                <w:tab w:val="right" w:pos="2835"/>
              </w:tabs>
              <w:jc w:val="center"/>
              <w:rPr>
                <w:rFonts w:ascii="Arial Bold" w:hAnsi="Arial Bold" w:hint="eastAsia"/>
                <w:b/>
                <w:bCs/>
                <w:smallCaps/>
                <w:sz w:val="17"/>
                <w:szCs w:val="19"/>
              </w:rPr>
            </w:pPr>
            <w:r w:rsidRPr="00A93A3C">
              <w:rPr>
                <w:rFonts w:ascii="Arial Bold" w:hAnsi="Arial Bold"/>
                <w:b/>
                <w:bCs/>
                <w:smallCaps/>
                <w:sz w:val="17"/>
                <w:szCs w:val="19"/>
              </w:rPr>
              <w:t xml:space="preserve">Objectif stratégique IX : </w:t>
            </w:r>
            <w:r w:rsidRPr="00A93A3C">
              <w:rPr>
                <w:rFonts w:ascii="Arial Bold" w:hAnsi="Arial Bold"/>
                <w:b/>
                <w:bCs/>
                <w:smallCaps/>
                <w:color w:val="000000"/>
                <w:sz w:val="17"/>
                <w:szCs w:val="19"/>
              </w:rPr>
              <w:t>S</w:t>
            </w:r>
            <w:r w:rsidRPr="00A93A3C">
              <w:rPr>
                <w:rFonts w:ascii="Arial Bold" w:hAnsi="Arial Bold"/>
                <w:b/>
                <w:bCs/>
                <w:smallCaps/>
                <w:sz w:val="17"/>
                <w:szCs w:val="19"/>
              </w:rPr>
              <w:t xml:space="preserve">tructure d’appui administratif et financier efficace </w:t>
            </w:r>
            <w:r w:rsidRPr="00A93A3C">
              <w:rPr>
                <w:rFonts w:ascii="Arial Bold" w:hAnsi="Arial Bold"/>
                <w:b/>
                <w:bCs/>
                <w:smallCaps/>
                <w:color w:val="000000"/>
                <w:sz w:val="17"/>
                <w:szCs w:val="19"/>
              </w:rPr>
              <w:t xml:space="preserve">afin de permettre </w:t>
            </w:r>
            <w:r w:rsidRPr="00A93A3C">
              <w:rPr>
                <w:rFonts w:ascii="Arial Bold" w:hAnsi="Arial Bold"/>
                <w:b/>
                <w:bCs/>
                <w:smallCaps/>
                <w:sz w:val="17"/>
                <w:szCs w:val="19"/>
              </w:rPr>
              <w:t>à l’OMPI d’exécuter ses programmes</w:t>
            </w:r>
          </w:p>
        </w:tc>
      </w:tr>
      <w:tr w:rsidR="008F1BEA" w:rsidRPr="00A93A3C" w14:paraId="0E4FB905" w14:textId="77777777" w:rsidTr="00A93A3C">
        <w:trPr>
          <w:trHeight w:val="1754"/>
          <w:jc w:val="center"/>
        </w:trPr>
        <w:tc>
          <w:tcPr>
            <w:tcW w:w="334" w:type="dxa"/>
            <w:shd w:val="clear" w:color="auto" w:fill="C6D9F1"/>
          </w:tcPr>
          <w:p w14:paraId="1D7D77B6" w14:textId="77777777" w:rsidR="008F1BEA" w:rsidRPr="00A93A3C" w:rsidRDefault="008F1BEA" w:rsidP="00350BB8">
            <w:pPr>
              <w:tabs>
                <w:tab w:val="right" w:pos="2835"/>
              </w:tabs>
              <w:jc w:val="center"/>
              <w:rPr>
                <w:b/>
                <w:bCs/>
                <w:sz w:val="17"/>
                <w:szCs w:val="16"/>
              </w:rPr>
            </w:pPr>
          </w:p>
        </w:tc>
        <w:tc>
          <w:tcPr>
            <w:tcW w:w="861" w:type="dxa"/>
            <w:shd w:val="clear" w:color="auto" w:fill="99CCFF"/>
          </w:tcPr>
          <w:p w14:paraId="71664EAA" w14:textId="77777777" w:rsidR="008F1BEA" w:rsidRPr="00A93A3C" w:rsidRDefault="008F1BEA" w:rsidP="00350BB8">
            <w:pPr>
              <w:tabs>
                <w:tab w:val="right" w:pos="2835"/>
              </w:tabs>
              <w:jc w:val="center"/>
              <w:rPr>
                <w:b/>
                <w:bCs/>
                <w:sz w:val="17"/>
                <w:szCs w:val="16"/>
              </w:rPr>
            </w:pPr>
          </w:p>
        </w:tc>
        <w:tc>
          <w:tcPr>
            <w:tcW w:w="3150" w:type="dxa"/>
            <w:gridSpan w:val="3"/>
            <w:shd w:val="clear" w:color="auto" w:fill="auto"/>
          </w:tcPr>
          <w:p w14:paraId="7CE4CFE2" w14:textId="77777777" w:rsidR="008F1BEA" w:rsidRPr="00A93A3C" w:rsidRDefault="008F1BEA" w:rsidP="00350BB8">
            <w:pPr>
              <w:tabs>
                <w:tab w:val="left" w:pos="1525"/>
                <w:tab w:val="right" w:pos="2835"/>
              </w:tabs>
              <w:rPr>
                <w:sz w:val="15"/>
                <w:szCs w:val="15"/>
              </w:rPr>
            </w:pPr>
            <w:r w:rsidRPr="00A93A3C">
              <w:rPr>
                <w:sz w:val="15"/>
                <w:szCs w:val="15"/>
              </w:rPr>
              <w:br/>
            </w:r>
          </w:p>
        </w:tc>
        <w:tc>
          <w:tcPr>
            <w:tcW w:w="3001" w:type="dxa"/>
            <w:gridSpan w:val="2"/>
            <w:shd w:val="clear" w:color="auto" w:fill="auto"/>
          </w:tcPr>
          <w:p w14:paraId="7108022A" w14:textId="48745252" w:rsidR="008F1BEA" w:rsidRPr="00A93A3C" w:rsidRDefault="008F1BEA" w:rsidP="00350BB8">
            <w:pPr>
              <w:tabs>
                <w:tab w:val="right" w:pos="2835"/>
              </w:tabs>
              <w:spacing w:after="60"/>
              <w:rPr>
                <w:sz w:val="15"/>
                <w:szCs w:val="15"/>
              </w:rPr>
            </w:pPr>
            <w:r w:rsidRPr="00A93A3C">
              <w:rPr>
                <w:sz w:val="15"/>
                <w:szCs w:val="15"/>
              </w:rPr>
              <w:t>IX.1 Services d’appui efficaces, efficients, de qualité et tournés vers la clientèle, à l’intention à la fois des clients internes et des parties prenantes externes</w:t>
            </w:r>
            <w:r w:rsidRPr="00A93A3C">
              <w:rPr>
                <w:sz w:val="15"/>
                <w:szCs w:val="15"/>
              </w:rPr>
              <w:br/>
            </w:r>
            <w:r w:rsidRPr="00A93A3C">
              <w:rPr>
                <w:sz w:val="15"/>
                <w:szCs w:val="15"/>
              </w:rPr>
              <w:br/>
            </w:r>
            <w:r w:rsidR="00A93A3C" w:rsidRPr="00A93A3C">
              <w:rPr>
                <w:sz w:val="15"/>
                <w:szCs w:val="15"/>
              </w:rPr>
              <w:br/>
            </w:r>
            <w:r w:rsidRPr="00A93A3C">
              <w:rPr>
                <w:sz w:val="15"/>
                <w:szCs w:val="15"/>
              </w:rPr>
              <w:br/>
            </w:r>
          </w:p>
          <w:p w14:paraId="5B480935" w14:textId="77777777" w:rsidR="008F1BEA" w:rsidRPr="00A93A3C" w:rsidRDefault="008F1BEA" w:rsidP="00350BB8">
            <w:pPr>
              <w:tabs>
                <w:tab w:val="left" w:pos="1796"/>
              </w:tabs>
              <w:jc w:val="right"/>
              <w:rPr>
                <w:sz w:val="15"/>
                <w:szCs w:val="15"/>
              </w:rPr>
            </w:pPr>
            <w:r w:rsidRPr="00A93A3C">
              <w:rPr>
                <w:sz w:val="15"/>
                <w:szCs w:val="15"/>
              </w:rPr>
              <w:t>162 673</w:t>
            </w:r>
            <w:r w:rsidRPr="00A93A3C">
              <w:rPr>
                <w:i/>
                <w:sz w:val="15"/>
                <w:szCs w:val="15"/>
              </w:rPr>
              <w:t xml:space="preserve"> (</w:t>
            </w:r>
            <w:r w:rsidRPr="00A93A3C">
              <w:rPr>
                <w:i/>
                <w:color w:val="1F497D" w:themeColor="text2"/>
                <w:sz w:val="15"/>
                <w:szCs w:val="15"/>
              </w:rPr>
              <w:t>-</w:t>
            </w:r>
            <w:r w:rsidRPr="00A93A3C">
              <w:rPr>
                <w:i/>
                <w:sz w:val="15"/>
                <w:szCs w:val="15"/>
              </w:rPr>
              <w:t>)</w:t>
            </w:r>
          </w:p>
        </w:tc>
        <w:tc>
          <w:tcPr>
            <w:tcW w:w="3003" w:type="dxa"/>
            <w:shd w:val="clear" w:color="auto" w:fill="auto"/>
          </w:tcPr>
          <w:p w14:paraId="75960B25" w14:textId="77777777" w:rsidR="008F1BEA" w:rsidRPr="00A93A3C" w:rsidRDefault="008F1BEA" w:rsidP="00350BB8">
            <w:pPr>
              <w:tabs>
                <w:tab w:val="right" w:pos="2835"/>
              </w:tabs>
              <w:spacing w:after="60"/>
              <w:rPr>
                <w:sz w:val="15"/>
                <w:szCs w:val="15"/>
              </w:rPr>
            </w:pPr>
            <w:r w:rsidRPr="00A93A3C">
              <w:rPr>
                <w:sz w:val="15"/>
                <w:szCs w:val="15"/>
              </w:rPr>
              <w:t>IX.2 Un Secrétariat réactif, efficace et doté de ressources humaines bien gérées et compétentes, à même d’obtenir des résultats concrets</w:t>
            </w:r>
            <w:r w:rsidRPr="00A93A3C">
              <w:rPr>
                <w:sz w:val="15"/>
                <w:szCs w:val="15"/>
              </w:rPr>
              <w:br/>
            </w:r>
            <w:r w:rsidRPr="00A93A3C">
              <w:rPr>
                <w:sz w:val="15"/>
                <w:szCs w:val="15"/>
              </w:rPr>
              <w:br/>
            </w:r>
            <w:r w:rsidRPr="00A93A3C">
              <w:rPr>
                <w:sz w:val="15"/>
                <w:szCs w:val="15"/>
              </w:rPr>
              <w:br/>
            </w:r>
            <w:r w:rsidRPr="00A93A3C">
              <w:rPr>
                <w:sz w:val="15"/>
                <w:szCs w:val="15"/>
              </w:rPr>
              <w:br/>
            </w:r>
          </w:p>
          <w:p w14:paraId="183682EE" w14:textId="77777777" w:rsidR="008F1BEA" w:rsidRPr="00A93A3C" w:rsidRDefault="008F1BEA" w:rsidP="00350BB8">
            <w:pPr>
              <w:tabs>
                <w:tab w:val="left" w:pos="1873"/>
              </w:tabs>
              <w:jc w:val="right"/>
              <w:rPr>
                <w:sz w:val="15"/>
                <w:szCs w:val="15"/>
              </w:rPr>
            </w:pPr>
            <w:r w:rsidRPr="00A93A3C">
              <w:rPr>
                <w:sz w:val="15"/>
                <w:szCs w:val="15"/>
              </w:rPr>
              <w:t xml:space="preserve">37 208 </w:t>
            </w:r>
            <w:r w:rsidRPr="00A93A3C">
              <w:rPr>
                <w:i/>
                <w:sz w:val="15"/>
                <w:szCs w:val="15"/>
              </w:rPr>
              <w:t>(</w:t>
            </w:r>
            <w:r w:rsidRPr="00A93A3C">
              <w:rPr>
                <w:i/>
                <w:color w:val="1F497D" w:themeColor="text2"/>
                <w:sz w:val="15"/>
                <w:szCs w:val="15"/>
              </w:rPr>
              <w:t>-</w:t>
            </w:r>
            <w:r w:rsidRPr="00A93A3C">
              <w:rPr>
                <w:i/>
                <w:sz w:val="15"/>
                <w:szCs w:val="15"/>
              </w:rPr>
              <w:t>)</w:t>
            </w:r>
          </w:p>
        </w:tc>
        <w:tc>
          <w:tcPr>
            <w:tcW w:w="3001" w:type="dxa"/>
            <w:gridSpan w:val="3"/>
            <w:shd w:val="clear" w:color="auto" w:fill="auto"/>
          </w:tcPr>
          <w:p w14:paraId="7E499AEE" w14:textId="77777777" w:rsidR="008F1BEA" w:rsidRPr="00A93A3C" w:rsidRDefault="008F1BEA" w:rsidP="00350BB8">
            <w:pPr>
              <w:tabs>
                <w:tab w:val="left" w:pos="1525"/>
                <w:tab w:val="right" w:pos="2835"/>
              </w:tabs>
              <w:spacing w:after="60"/>
              <w:rPr>
                <w:sz w:val="15"/>
                <w:szCs w:val="15"/>
              </w:rPr>
            </w:pPr>
            <w:r w:rsidRPr="00A93A3C">
              <w:rPr>
                <w:sz w:val="15"/>
                <w:szCs w:val="15"/>
              </w:rPr>
              <w:t>IX.3 Un environnement de travail stimulant étayé par un cadre réglementaire efficace et des voies appropriées pour répondre aux préoccupations du personnel</w:t>
            </w:r>
            <w:r w:rsidRPr="00A93A3C">
              <w:rPr>
                <w:sz w:val="15"/>
                <w:szCs w:val="15"/>
              </w:rPr>
              <w:br/>
            </w:r>
            <w:r w:rsidRPr="00A93A3C">
              <w:rPr>
                <w:sz w:val="15"/>
                <w:szCs w:val="15"/>
              </w:rPr>
              <w:br/>
            </w:r>
            <w:r w:rsidRPr="00A93A3C">
              <w:rPr>
                <w:sz w:val="15"/>
                <w:szCs w:val="15"/>
              </w:rPr>
              <w:br/>
            </w:r>
          </w:p>
          <w:p w14:paraId="68C99EAF" w14:textId="77777777" w:rsidR="008F1BEA" w:rsidRPr="00A93A3C" w:rsidRDefault="008F1BEA" w:rsidP="00350BB8">
            <w:pPr>
              <w:tabs>
                <w:tab w:val="left" w:pos="1807"/>
              </w:tabs>
              <w:jc w:val="right"/>
              <w:rPr>
                <w:sz w:val="15"/>
                <w:szCs w:val="15"/>
              </w:rPr>
            </w:pPr>
            <w:r w:rsidRPr="00A93A3C">
              <w:rPr>
                <w:sz w:val="15"/>
                <w:szCs w:val="15"/>
              </w:rPr>
              <w:t xml:space="preserve">2 107 </w:t>
            </w:r>
            <w:r w:rsidRPr="00A93A3C">
              <w:rPr>
                <w:i/>
                <w:sz w:val="15"/>
                <w:szCs w:val="15"/>
              </w:rPr>
              <w:t>(</w:t>
            </w:r>
            <w:r w:rsidRPr="00A93A3C">
              <w:rPr>
                <w:i/>
                <w:color w:val="1F497D" w:themeColor="text2"/>
                <w:sz w:val="15"/>
                <w:szCs w:val="15"/>
              </w:rPr>
              <w:t>-</w:t>
            </w:r>
            <w:r w:rsidRPr="00A93A3C">
              <w:rPr>
                <w:i/>
                <w:sz w:val="15"/>
                <w:szCs w:val="15"/>
              </w:rPr>
              <w:t>)</w:t>
            </w:r>
          </w:p>
        </w:tc>
        <w:tc>
          <w:tcPr>
            <w:tcW w:w="3000" w:type="dxa"/>
            <w:gridSpan w:val="2"/>
            <w:shd w:val="clear" w:color="auto" w:fill="auto"/>
          </w:tcPr>
          <w:p w14:paraId="19D993F1" w14:textId="77777777" w:rsidR="008F1BEA" w:rsidRPr="00A93A3C" w:rsidRDefault="008F1BEA" w:rsidP="00350BB8">
            <w:pPr>
              <w:tabs>
                <w:tab w:val="right" w:pos="2835"/>
              </w:tabs>
              <w:spacing w:after="60"/>
              <w:rPr>
                <w:sz w:val="15"/>
                <w:szCs w:val="15"/>
              </w:rPr>
            </w:pPr>
            <w:r w:rsidRPr="00A93A3C">
              <w:rPr>
                <w:sz w:val="15"/>
                <w:szCs w:val="15"/>
              </w:rPr>
              <w:t>IX.4 Une organisation écologiquement et socialement responsable assurant la sûreté et la sécurité du personnel, des délégués, des visiteurs, de l’information et des biens</w:t>
            </w:r>
            <w:r w:rsidRPr="00A93A3C">
              <w:rPr>
                <w:sz w:val="15"/>
                <w:szCs w:val="15"/>
              </w:rPr>
              <w:br/>
            </w:r>
            <w:r w:rsidRPr="00A93A3C">
              <w:rPr>
                <w:sz w:val="15"/>
                <w:szCs w:val="15"/>
              </w:rPr>
              <w:br/>
            </w:r>
            <w:r w:rsidRPr="00A93A3C">
              <w:rPr>
                <w:sz w:val="15"/>
                <w:szCs w:val="15"/>
              </w:rPr>
              <w:br/>
            </w:r>
          </w:p>
          <w:p w14:paraId="4B0D3B66" w14:textId="77777777" w:rsidR="008F1BEA" w:rsidRPr="00A93A3C" w:rsidRDefault="008F1BEA" w:rsidP="00350BB8">
            <w:pPr>
              <w:tabs>
                <w:tab w:val="left" w:pos="1743"/>
              </w:tabs>
              <w:jc w:val="right"/>
              <w:rPr>
                <w:sz w:val="15"/>
                <w:szCs w:val="15"/>
              </w:rPr>
            </w:pPr>
            <w:r w:rsidRPr="00A93A3C">
              <w:rPr>
                <w:sz w:val="15"/>
                <w:szCs w:val="15"/>
              </w:rPr>
              <w:t xml:space="preserve">21 890 </w:t>
            </w:r>
            <w:r w:rsidRPr="00A93A3C">
              <w:rPr>
                <w:i/>
                <w:sz w:val="15"/>
                <w:szCs w:val="15"/>
              </w:rPr>
              <w:t>(</w:t>
            </w:r>
            <w:r w:rsidRPr="00A93A3C">
              <w:rPr>
                <w:i/>
                <w:color w:val="1F497D" w:themeColor="text2"/>
                <w:sz w:val="15"/>
                <w:szCs w:val="15"/>
              </w:rPr>
              <w:t>-</w:t>
            </w:r>
            <w:r w:rsidRPr="00A93A3C">
              <w:rPr>
                <w:i/>
                <w:sz w:val="15"/>
                <w:szCs w:val="15"/>
              </w:rPr>
              <w:t>)</w:t>
            </w:r>
          </w:p>
        </w:tc>
        <w:tc>
          <w:tcPr>
            <w:tcW w:w="3002" w:type="dxa"/>
            <w:gridSpan w:val="3"/>
            <w:shd w:val="clear" w:color="auto" w:fill="auto"/>
          </w:tcPr>
          <w:p w14:paraId="55AC9065" w14:textId="77777777" w:rsidR="008F1BEA" w:rsidRPr="00A93A3C" w:rsidRDefault="008F1BEA" w:rsidP="00350BB8">
            <w:pPr>
              <w:spacing w:after="60"/>
              <w:rPr>
                <w:sz w:val="15"/>
                <w:szCs w:val="15"/>
                <w:lang w:bidi="th-TH"/>
              </w:rPr>
            </w:pPr>
            <w:r w:rsidRPr="00A93A3C">
              <w:rPr>
                <w:sz w:val="15"/>
                <w:szCs w:val="15"/>
                <w:lang w:bidi="th-TH"/>
              </w:rPr>
              <w:t>IX.5 Renforcement de l’obligation redditionnelle, de l’apprentissage institutionnel, de l’optimisation des ressources financières, de l’administration, du contrôle interne et de la gestion institutionnelle avec le concours d’une supervision indépendante efficace</w:t>
            </w:r>
          </w:p>
          <w:p w14:paraId="582C5273" w14:textId="77777777" w:rsidR="008F1BEA" w:rsidRPr="00A93A3C" w:rsidRDefault="008F1BEA" w:rsidP="00350BB8">
            <w:pPr>
              <w:tabs>
                <w:tab w:val="left" w:pos="1821"/>
              </w:tabs>
              <w:jc w:val="right"/>
              <w:rPr>
                <w:sz w:val="15"/>
                <w:szCs w:val="15"/>
              </w:rPr>
            </w:pPr>
            <w:r w:rsidRPr="00A93A3C">
              <w:rPr>
                <w:sz w:val="15"/>
                <w:szCs w:val="15"/>
              </w:rPr>
              <w:t xml:space="preserve">7 411 </w:t>
            </w:r>
            <w:r w:rsidRPr="00A93A3C">
              <w:rPr>
                <w:i/>
                <w:sz w:val="15"/>
                <w:szCs w:val="15"/>
              </w:rPr>
              <w:t>(</w:t>
            </w:r>
            <w:r w:rsidRPr="00A93A3C">
              <w:rPr>
                <w:i/>
                <w:color w:val="1F497D" w:themeColor="text2"/>
                <w:sz w:val="15"/>
                <w:szCs w:val="15"/>
              </w:rPr>
              <w:t>-</w:t>
            </w:r>
            <w:r w:rsidRPr="00A93A3C">
              <w:rPr>
                <w:i/>
                <w:sz w:val="15"/>
                <w:szCs w:val="15"/>
              </w:rPr>
              <w:t>)</w:t>
            </w:r>
          </w:p>
        </w:tc>
        <w:tc>
          <w:tcPr>
            <w:tcW w:w="3016" w:type="dxa"/>
            <w:gridSpan w:val="2"/>
            <w:shd w:val="clear" w:color="auto" w:fill="auto"/>
            <w:vAlign w:val="bottom"/>
          </w:tcPr>
          <w:p w14:paraId="3763E4DD" w14:textId="77777777" w:rsidR="008F1BEA" w:rsidRPr="00A93A3C" w:rsidRDefault="008F1BEA" w:rsidP="00350BB8">
            <w:pPr>
              <w:tabs>
                <w:tab w:val="left" w:pos="862"/>
                <w:tab w:val="right" w:pos="2835"/>
              </w:tabs>
              <w:jc w:val="right"/>
              <w:rPr>
                <w:sz w:val="15"/>
                <w:szCs w:val="15"/>
              </w:rPr>
            </w:pPr>
            <w:r w:rsidRPr="00A93A3C">
              <w:rPr>
                <w:b/>
                <w:bCs/>
                <w:i/>
                <w:iCs/>
                <w:sz w:val="15"/>
                <w:szCs w:val="15"/>
              </w:rPr>
              <w:t xml:space="preserve">Total OS IX : </w:t>
            </w:r>
            <w:r w:rsidRPr="00A93A3C">
              <w:rPr>
                <w:b/>
                <w:bCs/>
                <w:sz w:val="15"/>
                <w:szCs w:val="15"/>
              </w:rPr>
              <w:t xml:space="preserve">231 289 </w:t>
            </w:r>
            <w:r w:rsidRPr="00A93A3C">
              <w:rPr>
                <w:b/>
                <w:bCs/>
                <w:i/>
                <w:sz w:val="15"/>
                <w:szCs w:val="15"/>
              </w:rPr>
              <w:t>(</w:t>
            </w:r>
            <w:r w:rsidRPr="00A93A3C">
              <w:rPr>
                <w:b/>
                <w:bCs/>
                <w:i/>
                <w:color w:val="1F497D" w:themeColor="text2"/>
                <w:sz w:val="15"/>
                <w:szCs w:val="15"/>
              </w:rPr>
              <w:t>-</w:t>
            </w:r>
            <w:r w:rsidRPr="00A93A3C">
              <w:rPr>
                <w:b/>
                <w:bCs/>
                <w:i/>
                <w:sz w:val="15"/>
                <w:szCs w:val="15"/>
              </w:rPr>
              <w:t>)</w:t>
            </w:r>
          </w:p>
        </w:tc>
      </w:tr>
      <w:tr w:rsidR="008F1BEA" w:rsidRPr="00A93A3C" w14:paraId="550C3E1A" w14:textId="77777777" w:rsidTr="00A93A3C">
        <w:trPr>
          <w:gridAfter w:val="1"/>
          <w:wAfter w:w="28" w:type="dxa"/>
          <w:trHeight w:val="688"/>
          <w:jc w:val="center"/>
        </w:trPr>
        <w:tc>
          <w:tcPr>
            <w:tcW w:w="334" w:type="dxa"/>
          </w:tcPr>
          <w:p w14:paraId="2379BA47" w14:textId="77777777" w:rsidR="008F1BEA" w:rsidRPr="00A93A3C" w:rsidRDefault="008F1BEA" w:rsidP="00350BB8">
            <w:pPr>
              <w:tabs>
                <w:tab w:val="right" w:pos="2835"/>
              </w:tabs>
              <w:rPr>
                <w:sz w:val="16"/>
                <w:szCs w:val="16"/>
              </w:rPr>
            </w:pPr>
          </w:p>
        </w:tc>
        <w:tc>
          <w:tcPr>
            <w:tcW w:w="10219" w:type="dxa"/>
            <w:gridSpan w:val="9"/>
          </w:tcPr>
          <w:p w14:paraId="0FEBF7E2" w14:textId="77777777" w:rsidR="008F1BEA" w:rsidRPr="00A93A3C" w:rsidRDefault="008F1BEA" w:rsidP="00350BB8">
            <w:pPr>
              <w:tabs>
                <w:tab w:val="right" w:pos="2835"/>
              </w:tabs>
              <w:rPr>
                <w:i/>
                <w:iCs/>
                <w:sz w:val="15"/>
                <w:szCs w:val="15"/>
              </w:rPr>
            </w:pPr>
            <w:r w:rsidRPr="00A93A3C">
              <w:rPr>
                <w:i/>
                <w:iCs/>
                <w:sz w:val="15"/>
                <w:szCs w:val="15"/>
              </w:rPr>
              <w:t>– Le budget proposé par résultat ne tient pas compte des ressources non affectées proposées : 7357 millions de francs suisses</w:t>
            </w:r>
          </w:p>
          <w:p w14:paraId="6A915484" w14:textId="77777777" w:rsidR="008F1BEA" w:rsidRPr="00A93A3C" w:rsidRDefault="008F1BEA" w:rsidP="00350BB8">
            <w:pPr>
              <w:tabs>
                <w:tab w:val="right" w:pos="2835"/>
              </w:tabs>
              <w:rPr>
                <w:i/>
                <w:iCs/>
                <w:sz w:val="15"/>
                <w:szCs w:val="15"/>
              </w:rPr>
            </w:pPr>
            <w:r w:rsidRPr="00A93A3C">
              <w:rPr>
                <w:i/>
                <w:iCs/>
                <w:sz w:val="15"/>
                <w:szCs w:val="15"/>
              </w:rPr>
              <w:t>– Part consacrée au développement : Les ressources sont indiquées comme dépenses consacrées au développement uniquement lorsque le bénéficiaire est un pays en développement et que des dépenses équivalentes ne sont pas prévues pour les pays développés (conformément à la pratique passée, les pays en transition économique sont inclus aux fins du programme et budget)</w:t>
            </w:r>
          </w:p>
        </w:tc>
        <w:tc>
          <w:tcPr>
            <w:tcW w:w="6748" w:type="dxa"/>
            <w:gridSpan w:val="4"/>
          </w:tcPr>
          <w:p w14:paraId="64644DBA" w14:textId="77777777" w:rsidR="008F1BEA" w:rsidRPr="00A93A3C" w:rsidRDefault="008F1BEA" w:rsidP="00350BB8">
            <w:pPr>
              <w:tabs>
                <w:tab w:val="right" w:pos="2835"/>
              </w:tabs>
              <w:rPr>
                <w:i/>
                <w:iCs/>
                <w:sz w:val="15"/>
                <w:szCs w:val="15"/>
              </w:rPr>
            </w:pPr>
            <w:r w:rsidRPr="00A93A3C">
              <w:rPr>
                <w:i/>
                <w:iCs/>
                <w:sz w:val="15"/>
                <w:szCs w:val="15"/>
              </w:rPr>
              <w:t>– Les chiffres indiqués pour la part consacrée au développement tiennent compte des ressources affectées aux projets relevant du Plan d'action pour le développement</w:t>
            </w:r>
          </w:p>
          <w:p w14:paraId="7706C97C" w14:textId="77777777" w:rsidR="008F1BEA" w:rsidRPr="00A93A3C" w:rsidRDefault="008F1BEA" w:rsidP="00350BB8">
            <w:pPr>
              <w:tabs>
                <w:tab w:val="right" w:pos="2835"/>
              </w:tabs>
              <w:rPr>
                <w:b/>
                <w:bCs/>
                <w:i/>
                <w:iCs/>
                <w:color w:val="1F497D" w:themeColor="text2"/>
                <w:sz w:val="15"/>
                <w:szCs w:val="15"/>
              </w:rPr>
            </w:pPr>
            <w:r w:rsidRPr="00A93A3C">
              <w:rPr>
                <w:i/>
                <w:iCs/>
                <w:sz w:val="15"/>
                <w:szCs w:val="15"/>
              </w:rPr>
              <w:t xml:space="preserve">– </w:t>
            </w:r>
            <w:r w:rsidRPr="00A93A3C">
              <w:rPr>
                <w:i/>
                <w:iCs/>
                <w:sz w:val="15"/>
                <w:szCs w:val="15"/>
                <w:vertAlign w:val="superscript"/>
              </w:rPr>
              <w:t xml:space="preserve"> </w:t>
            </w:r>
            <w:r w:rsidRPr="00A93A3C">
              <w:rPr>
                <w:i/>
                <w:iCs/>
                <w:sz w:val="15"/>
                <w:szCs w:val="15"/>
              </w:rPr>
              <w:t>La somme des différents éléments du budget ne correspond pas forcément au total, les chiffres ayant été arrondis</w:t>
            </w:r>
          </w:p>
        </w:tc>
        <w:tc>
          <w:tcPr>
            <w:tcW w:w="5039" w:type="dxa"/>
            <w:gridSpan w:val="3"/>
            <w:vAlign w:val="bottom"/>
          </w:tcPr>
          <w:p w14:paraId="5A6C8FFC" w14:textId="77777777" w:rsidR="008F1BEA" w:rsidRPr="00A93A3C" w:rsidRDefault="008F1BEA" w:rsidP="00350BB8">
            <w:pPr>
              <w:tabs>
                <w:tab w:val="right" w:pos="2835"/>
              </w:tabs>
              <w:jc w:val="right"/>
              <w:rPr>
                <w:b/>
                <w:bCs/>
                <w:i/>
                <w:iCs/>
                <w:sz w:val="15"/>
                <w:szCs w:val="15"/>
              </w:rPr>
            </w:pPr>
            <w:r w:rsidRPr="00A93A3C">
              <w:rPr>
                <w:b/>
                <w:bCs/>
                <w:i/>
                <w:iCs/>
                <w:sz w:val="15"/>
                <w:szCs w:val="15"/>
              </w:rPr>
              <w:t>Budget total proposé pour 2018-2019 : 725 857</w:t>
            </w:r>
          </w:p>
          <w:p w14:paraId="11DC8CA5" w14:textId="77777777" w:rsidR="008F1BEA" w:rsidRPr="00A93A3C" w:rsidRDefault="008F1BEA" w:rsidP="00350BB8">
            <w:pPr>
              <w:tabs>
                <w:tab w:val="right" w:pos="2835"/>
              </w:tabs>
              <w:jc w:val="right"/>
              <w:rPr>
                <w:sz w:val="15"/>
                <w:szCs w:val="15"/>
              </w:rPr>
            </w:pPr>
            <w:r w:rsidRPr="00A93A3C">
              <w:rPr>
                <w:b/>
                <w:bCs/>
                <w:i/>
                <w:iCs/>
                <w:color w:val="1F497D" w:themeColor="text2"/>
                <w:sz w:val="15"/>
                <w:szCs w:val="15"/>
              </w:rPr>
              <w:t>(Part totale consacrée au développement : 132 832)</w:t>
            </w:r>
          </w:p>
        </w:tc>
      </w:tr>
      <w:bookmarkEnd w:id="19"/>
      <w:bookmarkEnd w:id="20"/>
    </w:tbl>
    <w:p w14:paraId="02E74357" w14:textId="70945105" w:rsidR="00A93A3C" w:rsidRDefault="00A93A3C" w:rsidP="00350BB8">
      <w:pPr>
        <w:pStyle w:val="StyleHeading214ptAuto"/>
        <w:rPr>
          <w:rFonts w:eastAsiaTheme="minorEastAsia" w:hint="eastAsia"/>
          <w:sz w:val="20"/>
          <w:lang w:val="fr-FR" w:eastAsia="ja-JP"/>
        </w:rPr>
      </w:pPr>
    </w:p>
    <w:p w14:paraId="04F51A24" w14:textId="77777777" w:rsidR="00A93A3C" w:rsidRDefault="00A93A3C">
      <w:pPr>
        <w:rPr>
          <w:rFonts w:ascii="Arial Bold" w:hAnsi="Arial Bold" w:hint="eastAsia"/>
          <w:b/>
          <w:iCs/>
          <w:szCs w:val="28"/>
        </w:rPr>
      </w:pPr>
      <w:r>
        <w:rPr>
          <w:rFonts w:hint="eastAsia"/>
        </w:rPr>
        <w:br w:type="page"/>
      </w:r>
    </w:p>
    <w:p w14:paraId="256A0D7E" w14:textId="77777777" w:rsidR="008F1BEA" w:rsidRPr="00F47716" w:rsidRDefault="008F1BEA" w:rsidP="00350BB8">
      <w:pPr>
        <w:pStyle w:val="StyleHeading214ptAuto"/>
        <w:rPr>
          <w:rFonts w:eastAsiaTheme="minorEastAsia" w:hint="eastAsia"/>
          <w:sz w:val="20"/>
          <w:lang w:val="fr-FR" w:eastAsia="ja-JP"/>
        </w:rPr>
      </w:pPr>
    </w:p>
    <w:p w14:paraId="332D30AA" w14:textId="77777777" w:rsidR="008F1BEA" w:rsidRPr="005F3E79" w:rsidRDefault="008F1BEA" w:rsidP="008F1BEA">
      <w:pPr>
        <w:pStyle w:val="ListParagraph"/>
        <w:tabs>
          <w:tab w:val="left" w:pos="567"/>
        </w:tabs>
        <w:ind w:left="0"/>
        <w:jc w:val="both"/>
        <w:rPr>
          <w:rFonts w:cs="Arial"/>
          <w:bCs/>
        </w:rPr>
      </w:pPr>
    </w:p>
    <w:p w14:paraId="67B0B4D5" w14:textId="77777777" w:rsidR="008F1BEA" w:rsidRPr="005F3E79" w:rsidRDefault="008F1BEA" w:rsidP="008F1BEA">
      <w:pPr>
        <w:pStyle w:val="ListParagraph"/>
        <w:tabs>
          <w:tab w:val="left" w:pos="567"/>
        </w:tabs>
        <w:ind w:left="0"/>
        <w:jc w:val="both"/>
        <w:rPr>
          <w:rFonts w:cs="Arial"/>
          <w:bCs/>
        </w:rPr>
        <w:sectPr w:rsidR="008F1BEA" w:rsidRPr="005F3E79" w:rsidSect="00A93A3C">
          <w:headerReference w:type="even" r:id="rId29"/>
          <w:headerReference w:type="default" r:id="rId30"/>
          <w:endnotePr>
            <w:numFmt w:val="decimal"/>
          </w:endnotePr>
          <w:pgSz w:w="23814" w:h="16839" w:orient="landscape" w:code="8"/>
          <w:pgMar w:top="289" w:right="510" w:bottom="289" w:left="510" w:header="284" w:footer="284" w:gutter="0"/>
          <w:cols w:space="720"/>
          <w:docGrid w:linePitch="299"/>
        </w:sectPr>
      </w:pPr>
    </w:p>
    <w:bookmarkEnd w:id="18"/>
    <w:p w14:paraId="01164FBC" w14:textId="77777777" w:rsidR="008F1BEA" w:rsidRPr="008F1BEA" w:rsidRDefault="008F1BEA" w:rsidP="008F1BEA">
      <w:pPr>
        <w:rPr>
          <w:b/>
          <w:sz w:val="22"/>
        </w:rPr>
      </w:pPr>
      <w:r w:rsidRPr="008F1BEA">
        <w:rPr>
          <w:b/>
          <w:sz w:val="22"/>
        </w:rPr>
        <w:lastRenderedPageBreak/>
        <w:t>RÉSULTATS ET RESSOURCES</w:t>
      </w:r>
    </w:p>
    <w:p w14:paraId="4FFD988B" w14:textId="77777777" w:rsidR="008F1BEA" w:rsidRPr="005F3E79" w:rsidRDefault="008F1BEA" w:rsidP="008F1BEA">
      <w:pPr>
        <w:rPr>
          <w:rFonts w:cs="Arial"/>
        </w:rPr>
      </w:pPr>
    </w:p>
    <w:p w14:paraId="4ED1DDA5" w14:textId="77777777" w:rsidR="008F1BEA" w:rsidRPr="005F3E79" w:rsidRDefault="008F1BEA" w:rsidP="00616FD3">
      <w:pPr>
        <w:pStyle w:val="ListParagraph"/>
        <w:keepNext/>
        <w:keepLines/>
        <w:numPr>
          <w:ilvl w:val="0"/>
          <w:numId w:val="59"/>
        </w:numPr>
        <w:tabs>
          <w:tab w:val="left" w:pos="567"/>
        </w:tabs>
        <w:ind w:left="0" w:firstLine="0"/>
        <w:jc w:val="both"/>
        <w:rPr>
          <w:rFonts w:eastAsia="SimSun" w:cs="Arial"/>
          <w:lang w:eastAsia="zh-CN"/>
        </w:rPr>
      </w:pPr>
      <w:r w:rsidRPr="005F3E79">
        <w:rPr>
          <w:rFonts w:cs="Arial"/>
        </w:rPr>
        <w:t>La proposition relative à l’exercice biennal 2018</w:t>
      </w:r>
      <w:r w:rsidRPr="005F3E79">
        <w:rPr>
          <w:rFonts w:cs="Arial"/>
        </w:rPr>
        <w:noBreakHyphen/>
        <w:t>2019 vise à faire en sorte que les ressources de l’Organisation continuent d’être affectées en premier lieu à l’obtention des résultats auxquels les États membres et les autres parties prenantes attachent la plus haute importance.  Le montant total des dépenses proposées pour l’exercice biennal 2018</w:t>
      </w:r>
      <w:r w:rsidRPr="005F3E79">
        <w:rPr>
          <w:rFonts w:cs="Arial"/>
        </w:rPr>
        <w:noBreakHyphen/>
        <w:t>2019 s’élève à 725,9 millions de francs suisses, soit une hausse de 18,9 millions de francs suisses ou 2,7% par rapport au budget approuvé de 707 millions de francs suisses pour 2016</w:t>
      </w:r>
      <w:r w:rsidRPr="005F3E79">
        <w:rPr>
          <w:rFonts w:cs="Arial"/>
        </w:rPr>
        <w:noBreakHyphen/>
        <w:t>2017.</w:t>
      </w:r>
      <w:r w:rsidRPr="005F3E79">
        <w:rPr>
          <w:rFonts w:eastAsia="SimSun" w:cs="Arial"/>
          <w:lang w:eastAsia="zh-CN"/>
        </w:rPr>
        <w:t xml:space="preserve">  Il convient d’examiner ces données au regard de l’augmentation prévue des dépôts dans le cadre des systèmes d’enregistrement international et de l’augmentation associée de 12,5% des recettes par rapport au budget approuvé pour 2016</w:t>
      </w:r>
      <w:r w:rsidRPr="005F3E79">
        <w:rPr>
          <w:rFonts w:eastAsia="SimSun" w:cs="Arial"/>
          <w:lang w:eastAsia="zh-CN"/>
        </w:rPr>
        <w:noBreakHyphen/>
        <w:t>2017.</w:t>
      </w:r>
    </w:p>
    <w:p w14:paraId="6430DD61" w14:textId="77777777" w:rsidR="008F1BEA" w:rsidRPr="005F3E79" w:rsidRDefault="008F1BEA" w:rsidP="008F1BEA">
      <w:pPr>
        <w:pStyle w:val="ListParagraph"/>
        <w:tabs>
          <w:tab w:val="left" w:pos="567"/>
        </w:tabs>
        <w:ind w:left="0"/>
        <w:jc w:val="both"/>
        <w:rPr>
          <w:rFonts w:cs="Arial"/>
        </w:rPr>
      </w:pPr>
    </w:p>
    <w:p w14:paraId="41A9B54B" w14:textId="3D583BA9" w:rsidR="008F1BEA" w:rsidRPr="005F3E79" w:rsidRDefault="008F1BEA" w:rsidP="00616FD3">
      <w:pPr>
        <w:pStyle w:val="ListParagraph"/>
        <w:numPr>
          <w:ilvl w:val="0"/>
          <w:numId w:val="59"/>
        </w:numPr>
        <w:tabs>
          <w:tab w:val="left" w:pos="567"/>
        </w:tabs>
        <w:ind w:left="0" w:firstLine="0"/>
        <w:jc w:val="both"/>
        <w:rPr>
          <w:rFonts w:cs="Arial"/>
        </w:rPr>
      </w:pPr>
      <w:r w:rsidRPr="005F3E79">
        <w:rPr>
          <w:rFonts w:cs="Arial"/>
        </w:rPr>
        <w:t>L’Organisation a besoin d’investissements d’équipement continus dans le domaine des locaux, de la sûreté, de la sécurité et des projets informatiques pour continuer à être en mesure d’accomplir sa mission.  Un Plan</w:t>
      </w:r>
      <w:r w:rsidRPr="005F3E79">
        <w:rPr>
          <w:rFonts w:cs="Arial"/>
        </w:rPr>
        <w:noBreakHyphen/>
        <w:t>cadre d’équipement</w:t>
      </w:r>
      <w:r w:rsidR="00B604D7">
        <w:rPr>
          <w:rFonts w:cs="Arial"/>
        </w:rPr>
        <w:t xml:space="preserve"> (PCE)</w:t>
      </w:r>
      <w:r w:rsidRPr="005F3E79">
        <w:rPr>
          <w:rFonts w:cs="Arial"/>
        </w:rPr>
        <w:t xml:space="preserve"> présentant les principaux investissements d’équipement relatifs aux locaux, à la sûreté et à la sécurité qui sont nécessaires pour les 10 prochaines années a été établi.  En outre, plusieurs projets informatiques hautement prioritaires ont été définis en vue de renforcer les activités opérationnelles des systèmes d’enregistrement international, ainsi que l’intégration et la résilience des principaux systèmes informatiques de l’OMPI.  Le </w:t>
      </w:r>
      <w:r w:rsidR="00B604D7">
        <w:rPr>
          <w:rFonts w:cs="Arial"/>
        </w:rPr>
        <w:t>PCE</w:t>
      </w:r>
      <w:r w:rsidRPr="005F3E79">
        <w:rPr>
          <w:rStyle w:val="FootnoteReference"/>
          <w:rFonts w:cs="Arial"/>
        </w:rPr>
        <w:footnoteReference w:id="4"/>
      </w:r>
      <w:r w:rsidRPr="005F3E79">
        <w:rPr>
          <w:rFonts w:cs="Arial"/>
        </w:rPr>
        <w:t xml:space="preserve"> définit cinq projets d’équipement essentiels d’un montant total prévu de 25,5 millions de francs suisses pour une mise en œuvre durant l’exercice biennal 2018</w:t>
      </w:r>
      <w:r w:rsidRPr="005F3E79">
        <w:rPr>
          <w:rFonts w:cs="Arial"/>
        </w:rPr>
        <w:noBreakHyphen/>
        <w:t>2019, qu’il est proposé de financer au moyen des réserves conformément à la Politique révisée de l’OMPI relative aux réserves</w:t>
      </w:r>
      <w:r w:rsidRPr="005F3E79">
        <w:rPr>
          <w:rStyle w:val="FootnoteReference"/>
          <w:rFonts w:cs="Arial"/>
        </w:rPr>
        <w:footnoteReference w:id="5"/>
      </w:r>
      <w:r w:rsidRPr="005F3E79">
        <w:rPr>
          <w:rFonts w:cs="Arial"/>
        </w:rPr>
        <w:t>.</w:t>
      </w:r>
    </w:p>
    <w:p w14:paraId="269CDD08" w14:textId="77777777" w:rsidR="008F1BEA" w:rsidRPr="005F3E79" w:rsidRDefault="008F1BEA" w:rsidP="008F1BEA">
      <w:pPr>
        <w:jc w:val="both"/>
        <w:rPr>
          <w:rFonts w:cs="Arial"/>
        </w:rPr>
      </w:pPr>
    </w:p>
    <w:p w14:paraId="6AD84D20" w14:textId="77777777" w:rsidR="008F1BEA" w:rsidRPr="005F3E79" w:rsidRDefault="008F1BEA" w:rsidP="00616FD3">
      <w:pPr>
        <w:pStyle w:val="ListParagraph"/>
        <w:numPr>
          <w:ilvl w:val="0"/>
          <w:numId w:val="59"/>
        </w:numPr>
        <w:tabs>
          <w:tab w:val="left" w:pos="567"/>
        </w:tabs>
        <w:ind w:left="0" w:firstLine="0"/>
        <w:jc w:val="both"/>
        <w:rPr>
          <w:rFonts w:cs="Arial"/>
        </w:rPr>
      </w:pPr>
      <w:r w:rsidRPr="005F3E79">
        <w:rPr>
          <w:rFonts w:cs="Arial"/>
        </w:rPr>
        <w:t>Le tableau synoptique des résultats détaille les 38 résultats escomptés par l’Organisation pour l’exercice biennal 2018</w:t>
      </w:r>
      <w:r w:rsidRPr="005F3E79">
        <w:rPr>
          <w:rFonts w:cs="Arial"/>
        </w:rPr>
        <w:noBreakHyphen/>
        <w:t>2019, contre 39 en 2016</w:t>
      </w:r>
      <w:r w:rsidRPr="005F3E79">
        <w:rPr>
          <w:rFonts w:cs="Arial"/>
        </w:rPr>
        <w:noBreakHyphen/>
        <w:t>2017</w:t>
      </w:r>
      <w:r w:rsidRPr="005F3E79">
        <w:rPr>
          <w:rStyle w:val="FootnoteReference"/>
          <w:rFonts w:cs="Arial"/>
        </w:rPr>
        <w:footnoteReference w:id="6"/>
      </w:r>
      <w:r w:rsidRPr="005F3E79">
        <w:rPr>
          <w:rFonts w:cs="Arial"/>
        </w:rPr>
        <w:t>, et indique le mandat des programmes contribuant à l’obtention de ces résultats.  En outre, les résultats escomptés au titre des objectifs stratégiques II, VII et IX ont été renumérotés dans l’ordre chronologique.  Le Plan d’action de l’OMPI pour le développement, l’égalité entre les hommes et les femmes et les objectifs de développement durable sont des questions intersectorielles qui sont intégrées dans tous les objectifs stratégiques.  Le tableau donne également une vue fondée sur les résultats du budget de l’exercice biennal 2018</w:t>
      </w:r>
      <w:r w:rsidRPr="005F3E79">
        <w:rPr>
          <w:rFonts w:cs="Arial"/>
        </w:rPr>
        <w:noBreakHyphen/>
        <w:t>2019 et de la part des ressources consacrées au développement pour chaque résultat.  Une ventilation des ressources extrabudgétaires potentiellement disponibles au titre de chaque programme est indiquée au niveau des programmes et dans l’annexe V.</w:t>
      </w:r>
    </w:p>
    <w:p w14:paraId="0713C0EF" w14:textId="77777777" w:rsidR="008F1BEA" w:rsidRPr="005F3E79" w:rsidRDefault="008F1BEA" w:rsidP="008F1BEA">
      <w:pPr>
        <w:jc w:val="both"/>
        <w:rPr>
          <w:rFonts w:cs="Arial"/>
        </w:rPr>
      </w:pPr>
    </w:p>
    <w:p w14:paraId="1BDD517D" w14:textId="40B621C5" w:rsidR="008F1BEA" w:rsidRPr="005F3E79" w:rsidRDefault="008F1BEA" w:rsidP="00616FD3">
      <w:pPr>
        <w:pStyle w:val="ListParagraph"/>
        <w:numPr>
          <w:ilvl w:val="0"/>
          <w:numId w:val="59"/>
        </w:numPr>
        <w:tabs>
          <w:tab w:val="left" w:pos="567"/>
        </w:tabs>
        <w:ind w:left="0" w:firstLine="0"/>
        <w:jc w:val="both"/>
        <w:rPr>
          <w:rFonts w:cs="Arial"/>
        </w:rPr>
      </w:pPr>
      <w:r w:rsidRPr="005F3E79">
        <w:rPr>
          <w:rFonts w:eastAsia="SimSun" w:cs="Arial"/>
          <w:lang w:eastAsia="zh-CN"/>
        </w:rPr>
        <w:t xml:space="preserve">Le budget </w:t>
      </w:r>
      <w:r w:rsidR="00B604D7">
        <w:rPr>
          <w:rFonts w:eastAsia="SimSun" w:cs="Arial"/>
          <w:lang w:eastAsia="zh-CN"/>
        </w:rPr>
        <w:t xml:space="preserve">proposé </w:t>
      </w:r>
      <w:r w:rsidRPr="005F3E79">
        <w:rPr>
          <w:rFonts w:eastAsia="SimSun" w:cs="Arial"/>
          <w:lang w:eastAsia="zh-CN"/>
        </w:rPr>
        <w:t>pour 2018</w:t>
      </w:r>
      <w:r w:rsidRPr="005F3E79">
        <w:rPr>
          <w:rFonts w:eastAsia="SimSun" w:cs="Arial"/>
          <w:lang w:eastAsia="zh-CN"/>
        </w:rPr>
        <w:noBreakHyphen/>
        <w:t>2019 par programme et par poste de dépenses est résumé dans les tableaux 4 et 5.  La structure des programmes est inchangée par rapport à l’exercice biennal 2016</w:t>
      </w:r>
      <w:r w:rsidRPr="005F3E79">
        <w:rPr>
          <w:rFonts w:eastAsia="SimSun" w:cs="Arial"/>
          <w:lang w:eastAsia="zh-CN"/>
        </w:rPr>
        <w:noBreakHyphen/>
        <w:t>2017.  La comparaison entre le budget proposé par programme pour 2018</w:t>
      </w:r>
      <w:r w:rsidRPr="005F3E79">
        <w:rPr>
          <w:rFonts w:eastAsia="SimSun" w:cs="Arial"/>
          <w:lang w:eastAsia="zh-CN"/>
        </w:rPr>
        <w:noBreakHyphen/>
        <w:t>2019 et le budget approuvé et après virements pour 2016</w:t>
      </w:r>
      <w:r w:rsidRPr="005F3E79">
        <w:rPr>
          <w:rFonts w:eastAsia="SimSun" w:cs="Arial"/>
          <w:lang w:eastAsia="zh-CN"/>
        </w:rPr>
        <w:noBreakHyphen/>
        <w:t>2017</w:t>
      </w:r>
      <w:r w:rsidRPr="005F3E79">
        <w:rPr>
          <w:rStyle w:val="FootnoteReference"/>
          <w:rFonts w:eastAsia="SimSun" w:cs="Arial"/>
          <w:lang w:eastAsia="zh-CN"/>
        </w:rPr>
        <w:footnoteReference w:id="7"/>
      </w:r>
      <w:r w:rsidRPr="005F3E79">
        <w:rPr>
          <w:rFonts w:eastAsia="SimSun" w:cs="Arial"/>
          <w:lang w:eastAsia="zh-CN"/>
        </w:rPr>
        <w:t xml:space="preserve"> figure à l’annexe II.  L’annexe III indique la répartition des recettes et des dépenses par union pour 2018</w:t>
      </w:r>
      <w:r w:rsidRPr="005F3E79">
        <w:rPr>
          <w:rFonts w:eastAsia="SimSun" w:cs="Arial"/>
          <w:lang w:eastAsia="zh-CN"/>
        </w:rPr>
        <w:noBreakHyphen/>
        <w:t>2019.</w:t>
      </w:r>
      <w:r w:rsidRPr="005F3E79">
        <w:rPr>
          <w:rFonts w:cs="Arial"/>
        </w:rPr>
        <w:t xml:space="preserve">  Elle a été considérablement améliorée par rapport à l’exercice biennal précédent et inclut désormais des explications de fond détaillées sur la méthode actuelle de répartition du budget par union.</w:t>
      </w:r>
    </w:p>
    <w:p w14:paraId="148BF8E3" w14:textId="77777777" w:rsidR="008F1BEA" w:rsidRPr="005F3E79" w:rsidRDefault="008F1BEA" w:rsidP="008F1BEA">
      <w:pPr>
        <w:tabs>
          <w:tab w:val="num" w:pos="690"/>
        </w:tabs>
        <w:jc w:val="both"/>
        <w:rPr>
          <w:rFonts w:cs="Arial"/>
        </w:rPr>
      </w:pPr>
    </w:p>
    <w:p w14:paraId="58D7D316" w14:textId="77777777" w:rsidR="008F1BEA" w:rsidRPr="005F3E79" w:rsidRDefault="008F1BEA" w:rsidP="00616FD3">
      <w:pPr>
        <w:pStyle w:val="ListParagraph"/>
        <w:numPr>
          <w:ilvl w:val="0"/>
          <w:numId w:val="59"/>
        </w:numPr>
        <w:tabs>
          <w:tab w:val="left" w:pos="567"/>
        </w:tabs>
        <w:ind w:left="0" w:firstLine="0"/>
        <w:jc w:val="both"/>
        <w:rPr>
          <w:rFonts w:cs="Arial"/>
        </w:rPr>
      </w:pPr>
      <w:r w:rsidRPr="005F3E79">
        <w:rPr>
          <w:rFonts w:eastAsia="SimSun" w:cs="Arial"/>
          <w:lang w:eastAsia="zh-CN"/>
        </w:rPr>
        <w:t>Les prévisions de recettes pour l’exercice biennal 2018</w:t>
      </w:r>
      <w:r w:rsidRPr="005F3E79">
        <w:rPr>
          <w:rFonts w:eastAsia="SimSun" w:cs="Arial"/>
          <w:lang w:eastAsia="zh-CN"/>
        </w:rPr>
        <w:noBreakHyphen/>
        <w:t xml:space="preserve">2019 ont été établies sur une base comptable.  Le budget des dépenses est établi sur la base d’une comptabilité d’exercice modifiée conformément au Règlement financier de l’Organisation et à son règlement d’exécution.  </w:t>
      </w:r>
      <w:r w:rsidRPr="005F3E79">
        <w:rPr>
          <w:rFonts w:cs="Arial"/>
        </w:rPr>
        <w:t>L’exigence découlant des normes IPSAS relative à l’établissement de rapports annuels sur les états financiers de l’Organisation impose également à l’OMPI de présenter son budget chaque année.  À cette fin, les montants relatifs aux recettes et aux dépenses dans le budget annuel figurent à l’annexe VI du présent document.</w:t>
      </w:r>
    </w:p>
    <w:p w14:paraId="6AC9DCCA" w14:textId="77777777" w:rsidR="008F1BEA" w:rsidRPr="005F3E79" w:rsidRDefault="008F1BEA" w:rsidP="008F1BEA">
      <w:pPr>
        <w:tabs>
          <w:tab w:val="num" w:pos="690"/>
        </w:tabs>
        <w:jc w:val="both"/>
        <w:rPr>
          <w:rFonts w:cs="Arial"/>
        </w:rPr>
      </w:pPr>
    </w:p>
    <w:tbl>
      <w:tblPr>
        <w:tblW w:w="4961" w:type="pct"/>
        <w:tblCellMar>
          <w:top w:w="57" w:type="dxa"/>
          <w:bottom w:w="57" w:type="dxa"/>
        </w:tblCellMar>
        <w:tblLook w:val="04A0" w:firstRow="1" w:lastRow="0" w:firstColumn="1" w:lastColumn="0" w:noHBand="0" w:noVBand="1"/>
      </w:tblPr>
      <w:tblGrid>
        <w:gridCol w:w="9215"/>
      </w:tblGrid>
      <w:tr w:rsidR="008F1BEA" w:rsidRPr="005F3E79" w14:paraId="22353ED3" w14:textId="77777777" w:rsidTr="008F1BEA">
        <w:trPr>
          <w:cantSplit/>
        </w:trPr>
        <w:tc>
          <w:tcPr>
            <w:tcW w:w="9214" w:type="dxa"/>
            <w:tcBorders>
              <w:top w:val="nil"/>
              <w:left w:val="nil"/>
              <w:bottom w:val="nil"/>
              <w:right w:val="nil"/>
            </w:tcBorders>
            <w:shd w:val="clear" w:color="auto" w:fill="C6D9F1" w:themeFill="text2" w:themeFillTint="33"/>
            <w:vAlign w:val="center"/>
          </w:tcPr>
          <w:p w14:paraId="5D281D81" w14:textId="77777777" w:rsidR="008F1BEA" w:rsidRPr="005F3E79" w:rsidRDefault="008F1BEA" w:rsidP="008F1BEA">
            <w:pPr>
              <w:keepNext/>
              <w:keepLines/>
              <w:jc w:val="center"/>
              <w:rPr>
                <w:rFonts w:cs="Arial"/>
                <w:b/>
              </w:rPr>
            </w:pPr>
            <w:r w:rsidRPr="005F3E79">
              <w:rPr>
                <w:rFonts w:cs="Arial"/>
                <w:b/>
              </w:rPr>
              <w:lastRenderedPageBreak/>
              <w:t>Tableau 4.  Budget proposé par programme pour 2018</w:t>
            </w:r>
            <w:r w:rsidRPr="005F3E79">
              <w:rPr>
                <w:rFonts w:cs="Arial"/>
                <w:b/>
              </w:rPr>
              <w:noBreakHyphen/>
              <w:t>2019</w:t>
            </w:r>
          </w:p>
          <w:p w14:paraId="6700BBE5" w14:textId="77777777" w:rsidR="008F1BEA" w:rsidRPr="005F3E79" w:rsidRDefault="008F1BEA" w:rsidP="008F1BEA">
            <w:pPr>
              <w:keepNext/>
              <w:keepLines/>
              <w:jc w:val="center"/>
              <w:rPr>
                <w:rFonts w:cs="Arial"/>
                <w:b/>
                <w:sz w:val="18"/>
                <w:szCs w:val="18"/>
              </w:rPr>
            </w:pPr>
            <w:r w:rsidRPr="005F3E79">
              <w:rPr>
                <w:rFonts w:cs="Arial"/>
                <w:i/>
                <w:sz w:val="18"/>
                <w:szCs w:val="18"/>
              </w:rPr>
              <w:t>(en milliers de francs suisses)</w:t>
            </w:r>
          </w:p>
        </w:tc>
      </w:tr>
    </w:tbl>
    <w:p w14:paraId="6FB7D714" w14:textId="77777777" w:rsidR="008F1BEA" w:rsidRPr="005F3E79" w:rsidRDefault="008F1BEA" w:rsidP="008F1BEA">
      <w:pPr>
        <w:keepNext/>
        <w:keepLines/>
        <w:tabs>
          <w:tab w:val="num" w:pos="690"/>
        </w:tabs>
        <w:jc w:val="both"/>
        <w:rPr>
          <w:rFonts w:cs="Arial"/>
        </w:rPr>
      </w:pPr>
    </w:p>
    <w:p w14:paraId="7AC2FD78" w14:textId="77777777" w:rsidR="008F1BEA" w:rsidRPr="005F3E79" w:rsidRDefault="008F1BEA" w:rsidP="008F1BEA">
      <w:pPr>
        <w:keepNext/>
        <w:keepLines/>
        <w:tabs>
          <w:tab w:val="num" w:pos="690"/>
        </w:tabs>
        <w:jc w:val="both"/>
        <w:rPr>
          <w:rFonts w:cs="Arial"/>
          <w:b/>
        </w:rPr>
      </w:pPr>
      <w:r w:rsidRPr="005F3E79">
        <w:rPr>
          <w:rFonts w:cs="Arial"/>
          <w:noProof/>
          <w:lang w:val="en-US" w:eastAsia="en-US"/>
        </w:rPr>
        <w:drawing>
          <wp:inline distT="0" distB="0" distL="0" distR="0" wp14:anchorId="509CC9AB" wp14:editId="29F17359">
            <wp:extent cx="5850000" cy="6266107"/>
            <wp:effectExtent l="0" t="0" r="0" b="19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000" cy="6266107"/>
                    </a:xfrm>
                    <a:prstGeom prst="rect">
                      <a:avLst/>
                    </a:prstGeom>
                    <a:noFill/>
                    <a:ln>
                      <a:noFill/>
                    </a:ln>
                  </pic:spPr>
                </pic:pic>
              </a:graphicData>
            </a:graphic>
          </wp:inline>
        </w:drawing>
      </w:r>
    </w:p>
    <w:p w14:paraId="2582D151" w14:textId="77777777" w:rsidR="008F1BEA" w:rsidRPr="005F3E79" w:rsidRDefault="008F1BEA" w:rsidP="008F1BEA">
      <w:pPr>
        <w:tabs>
          <w:tab w:val="num" w:pos="690"/>
        </w:tabs>
        <w:jc w:val="both"/>
        <w:rPr>
          <w:rFonts w:cs="Arial"/>
          <w:b/>
        </w:rPr>
      </w:pPr>
    </w:p>
    <w:p w14:paraId="26A4D97C" w14:textId="77777777" w:rsidR="008F1BEA" w:rsidRPr="005F3E79" w:rsidRDefault="008F1BEA" w:rsidP="008F1BEA">
      <w:pPr>
        <w:tabs>
          <w:tab w:val="num" w:pos="690"/>
        </w:tabs>
        <w:jc w:val="both"/>
        <w:rPr>
          <w:rFonts w:cs="Arial"/>
          <w:b/>
        </w:rPr>
      </w:pPr>
    </w:p>
    <w:p w14:paraId="1D382159" w14:textId="77777777" w:rsidR="008F1BEA" w:rsidRPr="005F3E79" w:rsidRDefault="008F1BEA" w:rsidP="008F1BEA">
      <w:pPr>
        <w:tabs>
          <w:tab w:val="left" w:pos="567"/>
        </w:tabs>
        <w:jc w:val="both"/>
        <w:rPr>
          <w:rFonts w:cs="Arial"/>
          <w:b/>
          <w:bCs/>
        </w:rPr>
      </w:pPr>
      <w:r w:rsidRPr="005F3E79">
        <w:rPr>
          <w:rFonts w:cs="Arial"/>
          <w:b/>
          <w:bCs/>
        </w:rPr>
        <w:t>Priorités essentielles pour l’exercice biennal 2018</w:t>
      </w:r>
      <w:r w:rsidRPr="005F3E79">
        <w:rPr>
          <w:rFonts w:cs="Arial"/>
          <w:b/>
          <w:bCs/>
        </w:rPr>
        <w:noBreakHyphen/>
        <w:t>2019 et incidences budgétaires connexes</w:t>
      </w:r>
    </w:p>
    <w:p w14:paraId="0D6408C2" w14:textId="77777777" w:rsidR="008F1BEA" w:rsidRPr="005F3E79" w:rsidRDefault="008F1BEA" w:rsidP="008F1BEA">
      <w:pPr>
        <w:tabs>
          <w:tab w:val="num" w:pos="690"/>
        </w:tabs>
        <w:jc w:val="both"/>
        <w:rPr>
          <w:rFonts w:cs="Arial"/>
        </w:rPr>
      </w:pPr>
    </w:p>
    <w:p w14:paraId="51B0C182" w14:textId="77777777" w:rsidR="008F1BEA" w:rsidRPr="005F3E79" w:rsidRDefault="008F1BEA" w:rsidP="00616FD3">
      <w:pPr>
        <w:pStyle w:val="ListParagraph"/>
        <w:numPr>
          <w:ilvl w:val="0"/>
          <w:numId w:val="59"/>
        </w:numPr>
        <w:tabs>
          <w:tab w:val="left" w:pos="567"/>
        </w:tabs>
        <w:ind w:left="0" w:firstLine="0"/>
        <w:jc w:val="both"/>
        <w:rPr>
          <w:rFonts w:eastAsia="SimSun" w:cs="Arial"/>
          <w:lang w:eastAsia="zh-CN"/>
        </w:rPr>
      </w:pPr>
      <w:r w:rsidRPr="005F3E79">
        <w:rPr>
          <w:rFonts w:cs="Arial"/>
        </w:rPr>
        <w:t>L’augmentation des dépenses de personnel pour 2018</w:t>
      </w:r>
      <w:r w:rsidRPr="005F3E79">
        <w:rPr>
          <w:rFonts w:cs="Arial"/>
        </w:rPr>
        <w:noBreakHyphen/>
        <w:t>2019 a été limitée à 3,4 millions de francs suisses, soit 0,8%, par rapport au budget approuvé pour 2016</w:t>
      </w:r>
      <w:r w:rsidRPr="005F3E79">
        <w:rPr>
          <w:rFonts w:cs="Arial"/>
        </w:rPr>
        <w:noBreakHyphen/>
        <w:t>2017 (voir le tableau 5).  Cette maîtrise des dépenses est le résultat des efforts continus déployés pour limiter les dépenses de personnel et évoluer vers un personnel plus réactif et flexible, capable de mener à bien des projets et des initiatives avec des contraintes de temps.</w:t>
      </w:r>
    </w:p>
    <w:p w14:paraId="04FC7990" w14:textId="77777777" w:rsidR="008F1BEA" w:rsidRPr="005F3E79" w:rsidRDefault="008F1BEA" w:rsidP="008F1BEA">
      <w:pPr>
        <w:tabs>
          <w:tab w:val="num" w:pos="690"/>
        </w:tabs>
        <w:jc w:val="both"/>
        <w:rPr>
          <w:rFonts w:cs="Arial"/>
        </w:rPr>
      </w:pPr>
    </w:p>
    <w:p w14:paraId="64D03AEA" w14:textId="77777777" w:rsidR="008F1BEA" w:rsidRPr="005F3E79" w:rsidRDefault="008F1BEA" w:rsidP="00616FD3">
      <w:pPr>
        <w:numPr>
          <w:ilvl w:val="0"/>
          <w:numId w:val="59"/>
        </w:numPr>
        <w:tabs>
          <w:tab w:val="left" w:pos="567"/>
        </w:tabs>
        <w:ind w:left="0" w:firstLine="0"/>
        <w:jc w:val="both"/>
        <w:rPr>
          <w:rFonts w:cs="Arial"/>
        </w:rPr>
      </w:pPr>
      <w:r w:rsidRPr="005F3E79">
        <w:rPr>
          <w:rFonts w:cs="Arial"/>
        </w:rPr>
        <w:t>L’augmentation des dépenses autres que les dépenses de personnel pour 2018</w:t>
      </w:r>
      <w:r w:rsidRPr="005F3E79">
        <w:rPr>
          <w:rFonts w:cs="Arial"/>
        </w:rPr>
        <w:noBreakHyphen/>
        <w:t>2019 s’élève à 15,4 millions de francs suisses, soit 6,1%, par rapport au budget approuvé pour 2016</w:t>
      </w:r>
      <w:r w:rsidRPr="005F3E79">
        <w:rPr>
          <w:rFonts w:cs="Arial"/>
        </w:rPr>
        <w:noBreakHyphen/>
        <w:t>2017.  Les économies prévues sont intégrées aux niveaux de référence dans les prévisions budgétaires, compte dûment tenu des gains d’efficacité, des modifications apportées aux modèles économiques, de l’automatisation et des décisions en matière d’investissement.</w:t>
      </w:r>
    </w:p>
    <w:p w14:paraId="2371064A" w14:textId="77777777" w:rsidR="008F1BEA" w:rsidRPr="005F3E79" w:rsidRDefault="008F1BEA" w:rsidP="008F1BEA">
      <w:pPr>
        <w:tabs>
          <w:tab w:val="left" w:pos="567"/>
        </w:tabs>
        <w:jc w:val="both"/>
        <w:rPr>
          <w:rFonts w:cs="Arial"/>
        </w:rPr>
      </w:pPr>
    </w:p>
    <w:p w14:paraId="420B1236" w14:textId="77777777" w:rsidR="008F1BEA" w:rsidRPr="005F3E79" w:rsidRDefault="008F1BEA" w:rsidP="00616FD3">
      <w:pPr>
        <w:numPr>
          <w:ilvl w:val="0"/>
          <w:numId w:val="59"/>
        </w:numPr>
        <w:tabs>
          <w:tab w:val="left" w:pos="567"/>
        </w:tabs>
        <w:ind w:left="0" w:firstLine="0"/>
        <w:jc w:val="both"/>
        <w:rPr>
          <w:rFonts w:cs="Arial"/>
        </w:rPr>
      </w:pPr>
      <w:r w:rsidRPr="005F3E79">
        <w:rPr>
          <w:rFonts w:cs="Arial"/>
        </w:rPr>
        <w:t>Les points ci</w:t>
      </w:r>
      <w:r w:rsidRPr="005F3E79">
        <w:rPr>
          <w:rFonts w:cs="Arial"/>
        </w:rPr>
        <w:noBreakHyphen/>
        <w:t>après définissent les principales activités et stratégies de mise en œuvre de haut niveau pour l’exercice biennal 2018</w:t>
      </w:r>
      <w:r w:rsidRPr="005F3E79">
        <w:rPr>
          <w:rFonts w:cs="Arial"/>
        </w:rPr>
        <w:noBreakHyphen/>
        <w:t>2019, par objectif stratégique, avec les hypothèses de planification associées et les incidences sur le budget proposé pour 2018</w:t>
      </w:r>
      <w:r w:rsidRPr="005F3E79">
        <w:rPr>
          <w:rFonts w:cs="Arial"/>
        </w:rPr>
        <w:noBreakHyphen/>
        <w:t>2019 par rapport au budget approuvé pour 2016</w:t>
      </w:r>
      <w:r w:rsidRPr="005F3E79">
        <w:rPr>
          <w:rFonts w:cs="Arial"/>
        </w:rPr>
        <w:noBreakHyphen/>
        <w:t>2017.</w:t>
      </w:r>
    </w:p>
    <w:p w14:paraId="3DC6667A" w14:textId="77777777" w:rsidR="008F1BEA" w:rsidRPr="005F3E79" w:rsidRDefault="008F1BEA" w:rsidP="008F1BEA">
      <w:pPr>
        <w:tabs>
          <w:tab w:val="left" w:pos="567"/>
        </w:tabs>
        <w:jc w:val="both"/>
        <w:rPr>
          <w:rFonts w:cs="Arial"/>
        </w:rPr>
      </w:pPr>
    </w:p>
    <w:p w14:paraId="7F562D62" w14:textId="77777777" w:rsidR="008F1BEA" w:rsidRPr="005F3E79" w:rsidRDefault="008F1BEA" w:rsidP="008F1BEA">
      <w:pPr>
        <w:tabs>
          <w:tab w:val="num" w:pos="690"/>
        </w:tabs>
        <w:jc w:val="both"/>
        <w:rPr>
          <w:rFonts w:cs="Arial"/>
          <w:b/>
        </w:rPr>
      </w:pPr>
      <w:r w:rsidRPr="005F3E79">
        <w:rPr>
          <w:rFonts w:cs="Arial"/>
          <w:b/>
        </w:rPr>
        <w:t>Élaboration d’un cadre normatif international équilibré dans le domaine de la propriété intellectuelle</w:t>
      </w:r>
    </w:p>
    <w:p w14:paraId="28180B5A" w14:textId="77777777" w:rsidR="008F1BEA" w:rsidRPr="005F3E79" w:rsidRDefault="008F1BEA" w:rsidP="008F1BEA">
      <w:pPr>
        <w:tabs>
          <w:tab w:val="right" w:pos="1134"/>
        </w:tabs>
        <w:jc w:val="both"/>
        <w:rPr>
          <w:rFonts w:cs="Arial"/>
        </w:rPr>
      </w:pPr>
    </w:p>
    <w:p w14:paraId="3D785430" w14:textId="77777777" w:rsidR="008F1BEA" w:rsidRPr="005F3E79" w:rsidRDefault="008F1BEA" w:rsidP="00616FD3">
      <w:pPr>
        <w:pStyle w:val="ListParagraph"/>
        <w:numPr>
          <w:ilvl w:val="0"/>
          <w:numId w:val="93"/>
        </w:numPr>
        <w:tabs>
          <w:tab w:val="left" w:pos="567"/>
        </w:tabs>
        <w:ind w:left="567" w:hanging="567"/>
        <w:jc w:val="both"/>
        <w:rPr>
          <w:rFonts w:cs="Arial"/>
        </w:rPr>
      </w:pPr>
      <w:r w:rsidRPr="005F3E79">
        <w:rPr>
          <w:rFonts w:cs="Arial"/>
        </w:rPr>
        <w:t>Faciliter la coopération et l’entente parmi les États membres concernant le développement d’un cadre normatif international équilibré de la propriété intellectuelle sur la base des décisions des États membres.</w:t>
      </w:r>
    </w:p>
    <w:p w14:paraId="4C427CC5" w14:textId="77777777" w:rsidR="008F1BEA" w:rsidRPr="005F3E79" w:rsidRDefault="008F1BEA" w:rsidP="008F1BEA">
      <w:pPr>
        <w:pStyle w:val="ListParagraph"/>
        <w:tabs>
          <w:tab w:val="left" w:pos="567"/>
        </w:tabs>
        <w:ind w:left="567" w:hanging="567"/>
        <w:jc w:val="both"/>
        <w:rPr>
          <w:rFonts w:cs="Arial"/>
        </w:rPr>
      </w:pPr>
    </w:p>
    <w:p w14:paraId="2DB96869" w14:textId="77777777" w:rsidR="008F1BEA" w:rsidRPr="005F3E79" w:rsidRDefault="008F1BEA" w:rsidP="00616FD3">
      <w:pPr>
        <w:pStyle w:val="ListParagraph"/>
        <w:numPr>
          <w:ilvl w:val="0"/>
          <w:numId w:val="93"/>
        </w:numPr>
        <w:tabs>
          <w:tab w:val="left" w:pos="567"/>
        </w:tabs>
        <w:ind w:left="567" w:hanging="567"/>
        <w:jc w:val="both"/>
        <w:rPr>
          <w:rFonts w:cs="Arial"/>
        </w:rPr>
      </w:pPr>
      <w:r w:rsidRPr="005F3E79">
        <w:rPr>
          <w:rFonts w:cs="Arial"/>
        </w:rPr>
        <w:t>Continuer à encourager l’adhésion aux traités de l’OMPI, notamment au Traité de Beijing, au Traité de Marrakech, aux traités Internet de l’OMPI, au Traité de Singapour et au Traité sur le droit des brevets, ainsi que leur mise en œuvre.</w:t>
      </w:r>
    </w:p>
    <w:p w14:paraId="3CE74BA0" w14:textId="77777777" w:rsidR="008F1BEA" w:rsidRPr="005F3E79" w:rsidRDefault="008F1BEA" w:rsidP="008F1BEA">
      <w:pPr>
        <w:pStyle w:val="ListParagraph"/>
        <w:tabs>
          <w:tab w:val="left" w:pos="567"/>
        </w:tabs>
        <w:ind w:left="567" w:hanging="567"/>
        <w:jc w:val="both"/>
        <w:rPr>
          <w:rFonts w:cs="Arial"/>
        </w:rPr>
      </w:pPr>
    </w:p>
    <w:tbl>
      <w:tblPr>
        <w:tblW w:w="5000" w:type="pct"/>
        <w:tblCellMar>
          <w:top w:w="57" w:type="dxa"/>
          <w:bottom w:w="57" w:type="dxa"/>
        </w:tblCellMar>
        <w:tblLook w:val="04A0" w:firstRow="1" w:lastRow="0" w:firstColumn="1" w:lastColumn="0" w:noHBand="0" w:noVBand="1"/>
      </w:tblPr>
      <w:tblGrid>
        <w:gridCol w:w="1954"/>
        <w:gridCol w:w="3466"/>
        <w:gridCol w:w="3867"/>
      </w:tblGrid>
      <w:tr w:rsidR="008F1BEA" w:rsidRPr="005F3E79" w14:paraId="759A501A" w14:textId="77777777" w:rsidTr="0026354A">
        <w:trPr>
          <w:cantSplit/>
        </w:trPr>
        <w:tc>
          <w:tcPr>
            <w:tcW w:w="1954" w:type="dxa"/>
            <w:shd w:val="clear" w:color="auto" w:fill="C6D9F1" w:themeFill="text2" w:themeFillTint="33"/>
            <w:vAlign w:val="center"/>
          </w:tcPr>
          <w:p w14:paraId="104D1DE8" w14:textId="77777777" w:rsidR="008F1BEA" w:rsidRPr="005F3E79" w:rsidRDefault="008F1BEA" w:rsidP="0026354A">
            <w:pPr>
              <w:tabs>
                <w:tab w:val="right" w:pos="1134"/>
              </w:tabs>
              <w:rPr>
                <w:rFonts w:cs="Arial"/>
                <w:b/>
                <w:sz w:val="16"/>
                <w:szCs w:val="16"/>
              </w:rPr>
            </w:pPr>
            <w:r w:rsidRPr="005F3E79">
              <w:rPr>
                <w:rFonts w:cs="Arial"/>
                <w:b/>
                <w:sz w:val="16"/>
                <w:szCs w:val="16"/>
              </w:rPr>
              <w:t>Programme</w:t>
            </w:r>
          </w:p>
        </w:tc>
        <w:tc>
          <w:tcPr>
            <w:tcW w:w="3466" w:type="dxa"/>
            <w:shd w:val="clear" w:color="auto" w:fill="C6D9F1" w:themeFill="text2" w:themeFillTint="33"/>
            <w:vAlign w:val="center"/>
          </w:tcPr>
          <w:p w14:paraId="79810C84" w14:textId="77777777" w:rsidR="008F1BEA" w:rsidRPr="005F3E79" w:rsidRDefault="008F1BEA" w:rsidP="0026354A">
            <w:pPr>
              <w:tabs>
                <w:tab w:val="right" w:pos="1134"/>
              </w:tabs>
              <w:rPr>
                <w:rFonts w:cs="Arial"/>
                <w:b/>
                <w:sz w:val="16"/>
                <w:szCs w:val="16"/>
              </w:rPr>
            </w:pPr>
            <w:r w:rsidRPr="005F3E79">
              <w:rPr>
                <w:rFonts w:cs="Arial"/>
                <w:b/>
                <w:sz w:val="16"/>
                <w:szCs w:val="16"/>
              </w:rPr>
              <w:t>Hypothèses de planification</w:t>
            </w:r>
          </w:p>
        </w:tc>
        <w:tc>
          <w:tcPr>
            <w:tcW w:w="3867" w:type="dxa"/>
            <w:shd w:val="clear" w:color="auto" w:fill="C6D9F1" w:themeFill="text2" w:themeFillTint="33"/>
            <w:vAlign w:val="center"/>
          </w:tcPr>
          <w:p w14:paraId="66CA2FD8" w14:textId="77777777" w:rsidR="008F1BEA" w:rsidRPr="005F3E79" w:rsidRDefault="008F1BEA" w:rsidP="0026354A">
            <w:pPr>
              <w:tabs>
                <w:tab w:val="right" w:pos="1134"/>
              </w:tabs>
              <w:rPr>
                <w:rFonts w:cs="Arial"/>
                <w:b/>
                <w:sz w:val="16"/>
                <w:szCs w:val="16"/>
              </w:rPr>
            </w:pPr>
            <w:r w:rsidRPr="005F3E79">
              <w:rPr>
                <w:rFonts w:cs="Arial"/>
                <w:b/>
                <w:sz w:val="16"/>
                <w:szCs w:val="16"/>
              </w:rPr>
              <w:t>Incidences sur le budget</w:t>
            </w:r>
          </w:p>
        </w:tc>
      </w:tr>
      <w:tr w:rsidR="008F1BEA" w:rsidRPr="005F3E79" w14:paraId="4637791F" w14:textId="77777777" w:rsidTr="0026354A">
        <w:trPr>
          <w:cantSplit/>
        </w:trPr>
        <w:tc>
          <w:tcPr>
            <w:tcW w:w="1954" w:type="dxa"/>
          </w:tcPr>
          <w:p w14:paraId="3BFFDF18" w14:textId="77777777" w:rsidR="008F1BEA" w:rsidRPr="005F3E79" w:rsidRDefault="008F1BEA" w:rsidP="0026354A">
            <w:pPr>
              <w:tabs>
                <w:tab w:val="right" w:pos="1134"/>
              </w:tabs>
              <w:rPr>
                <w:rFonts w:cs="Arial"/>
                <w:sz w:val="16"/>
                <w:szCs w:val="16"/>
              </w:rPr>
            </w:pPr>
          </w:p>
        </w:tc>
        <w:tc>
          <w:tcPr>
            <w:tcW w:w="7333" w:type="dxa"/>
            <w:gridSpan w:val="2"/>
          </w:tcPr>
          <w:p w14:paraId="621E79E7" w14:textId="4DF27624" w:rsidR="008F1BEA" w:rsidRPr="005F3E79" w:rsidRDefault="008F1BEA" w:rsidP="00073F3E">
            <w:pPr>
              <w:tabs>
                <w:tab w:val="right" w:pos="1134"/>
              </w:tabs>
              <w:jc w:val="both"/>
              <w:rPr>
                <w:rFonts w:cs="Arial"/>
                <w:sz w:val="16"/>
                <w:szCs w:val="16"/>
              </w:rPr>
            </w:pPr>
            <w:r w:rsidRPr="005F3E79">
              <w:rPr>
                <w:rFonts w:cs="Arial"/>
                <w:sz w:val="16"/>
                <w:szCs w:val="16"/>
              </w:rPr>
              <w:t xml:space="preserve">Une provision </w:t>
            </w:r>
            <w:r w:rsidR="00A4010E">
              <w:rPr>
                <w:rFonts w:cs="Arial"/>
                <w:sz w:val="16"/>
                <w:szCs w:val="16"/>
              </w:rPr>
              <w:t>de 1</w:t>
            </w:r>
            <w:r w:rsidRPr="005F3E79">
              <w:rPr>
                <w:rFonts w:cs="Arial"/>
                <w:sz w:val="16"/>
                <w:szCs w:val="16"/>
              </w:rPr>
              <w:t xml:space="preserve"> million de francs suisses a été inscrite au budget pour couvrir les frais d’une conférence diplomatique si les États membres décident d’en convoquer une au cours de l’exercice biennal 201</w:t>
            </w:r>
            <w:r w:rsidR="00073F3E">
              <w:rPr>
                <w:rFonts w:cs="Arial"/>
                <w:sz w:val="16"/>
                <w:szCs w:val="16"/>
              </w:rPr>
              <w:t>8</w:t>
            </w:r>
            <w:r w:rsidRPr="005F3E79">
              <w:rPr>
                <w:rFonts w:cs="Arial"/>
                <w:sz w:val="16"/>
                <w:szCs w:val="16"/>
              </w:rPr>
              <w:noBreakHyphen/>
              <w:t>201</w:t>
            </w:r>
            <w:r w:rsidR="00073F3E">
              <w:rPr>
                <w:rFonts w:cs="Arial"/>
                <w:sz w:val="16"/>
                <w:szCs w:val="16"/>
              </w:rPr>
              <w:t>9</w:t>
            </w:r>
            <w:r w:rsidRPr="005F3E79">
              <w:rPr>
                <w:rFonts w:cs="Arial"/>
                <w:sz w:val="16"/>
                <w:szCs w:val="16"/>
              </w:rPr>
              <w:t>.  La provision apparaît dans “non affecté”.</w:t>
            </w:r>
          </w:p>
        </w:tc>
      </w:tr>
      <w:tr w:rsidR="008F1BEA" w:rsidRPr="005F3E79" w14:paraId="2F40F6F7" w14:textId="77777777" w:rsidTr="0026354A">
        <w:trPr>
          <w:cantSplit/>
        </w:trPr>
        <w:tc>
          <w:tcPr>
            <w:tcW w:w="1954" w:type="dxa"/>
          </w:tcPr>
          <w:p w14:paraId="592E6ACF" w14:textId="77777777" w:rsidR="008F1BEA" w:rsidRPr="005F3E79" w:rsidRDefault="008F1BEA" w:rsidP="0026354A">
            <w:pPr>
              <w:tabs>
                <w:tab w:val="right" w:pos="1134"/>
              </w:tabs>
              <w:rPr>
                <w:rFonts w:cs="Arial"/>
                <w:sz w:val="16"/>
                <w:szCs w:val="16"/>
              </w:rPr>
            </w:pPr>
            <w:r w:rsidRPr="005F3E79">
              <w:rPr>
                <w:rFonts w:cs="Arial"/>
                <w:sz w:val="16"/>
                <w:szCs w:val="16"/>
              </w:rPr>
              <w:t>Programme 1 (Droit des brevets)</w:t>
            </w:r>
          </w:p>
        </w:tc>
        <w:tc>
          <w:tcPr>
            <w:tcW w:w="3466" w:type="dxa"/>
          </w:tcPr>
          <w:p w14:paraId="64C46B27" w14:textId="77777777" w:rsidR="008F1BEA" w:rsidRPr="005F3E79" w:rsidRDefault="008F1BEA" w:rsidP="0026354A">
            <w:pPr>
              <w:tabs>
                <w:tab w:val="right" w:pos="1134"/>
              </w:tabs>
              <w:rPr>
                <w:rFonts w:cs="Arial"/>
                <w:sz w:val="16"/>
                <w:szCs w:val="16"/>
              </w:rPr>
            </w:pPr>
            <w:r w:rsidRPr="005F3E79">
              <w:rPr>
                <w:rFonts w:cs="Arial"/>
                <w:sz w:val="16"/>
                <w:szCs w:val="16"/>
              </w:rPr>
              <w:t>Jusqu’à trois sessions du Comité permanent du droit des brevets (SCP)</w:t>
            </w:r>
          </w:p>
        </w:tc>
        <w:tc>
          <w:tcPr>
            <w:tcW w:w="3867" w:type="dxa"/>
            <w:vAlign w:val="center"/>
          </w:tcPr>
          <w:p w14:paraId="5E4F9CD8" w14:textId="77777777" w:rsidR="008F1BEA" w:rsidRPr="005F3E79" w:rsidRDefault="008F1BEA" w:rsidP="0026354A">
            <w:pPr>
              <w:tabs>
                <w:tab w:val="right" w:pos="1134"/>
              </w:tabs>
              <w:rPr>
                <w:rFonts w:cs="Arial"/>
                <w:sz w:val="16"/>
                <w:szCs w:val="16"/>
              </w:rPr>
            </w:pPr>
            <w:r w:rsidRPr="005F3E79">
              <w:rPr>
                <w:rFonts w:cs="Arial"/>
                <w:sz w:val="16"/>
                <w:szCs w:val="16"/>
              </w:rPr>
              <w:t xml:space="preserve">Prévisions de dépenses supplémentaires autres que les dépenses de personnel s’élevant à 60 000 francs suisses pour les coûts de traduction liés à une étude du SCP </w:t>
            </w:r>
          </w:p>
        </w:tc>
      </w:tr>
      <w:tr w:rsidR="008F1BEA" w:rsidRPr="005F3E79" w14:paraId="5BFBF726" w14:textId="77777777" w:rsidTr="0026354A">
        <w:trPr>
          <w:cantSplit/>
        </w:trPr>
        <w:tc>
          <w:tcPr>
            <w:tcW w:w="1954" w:type="dxa"/>
          </w:tcPr>
          <w:p w14:paraId="6A4F3C2B" w14:textId="77777777" w:rsidR="008F1BEA" w:rsidRPr="005F3E79" w:rsidRDefault="008F1BEA" w:rsidP="0026354A">
            <w:pPr>
              <w:tabs>
                <w:tab w:val="right" w:pos="1134"/>
              </w:tabs>
              <w:rPr>
                <w:rFonts w:cs="Arial"/>
                <w:sz w:val="16"/>
                <w:szCs w:val="16"/>
              </w:rPr>
            </w:pPr>
            <w:r w:rsidRPr="005F3E79">
              <w:rPr>
                <w:rFonts w:cs="Arial"/>
                <w:sz w:val="16"/>
                <w:szCs w:val="16"/>
              </w:rPr>
              <w:t>Programme 2 (Droit des marques)</w:t>
            </w:r>
          </w:p>
        </w:tc>
        <w:tc>
          <w:tcPr>
            <w:tcW w:w="3466" w:type="dxa"/>
          </w:tcPr>
          <w:p w14:paraId="7CC420AC" w14:textId="77777777" w:rsidR="008F1BEA" w:rsidRPr="005F3E79" w:rsidRDefault="008F1BEA" w:rsidP="0026354A">
            <w:pPr>
              <w:tabs>
                <w:tab w:val="right" w:pos="1134"/>
              </w:tabs>
              <w:rPr>
                <w:rFonts w:cs="Arial"/>
                <w:sz w:val="16"/>
                <w:szCs w:val="16"/>
              </w:rPr>
            </w:pPr>
            <w:r w:rsidRPr="005F3E79">
              <w:rPr>
                <w:rFonts w:cs="Arial"/>
                <w:sz w:val="16"/>
                <w:szCs w:val="16"/>
              </w:rPr>
              <w:t>Jusqu’à trois sessions du Comité permanent du droit des marques, des dessins et modèles industriels et des indications géographiques (SCT)</w:t>
            </w:r>
          </w:p>
        </w:tc>
        <w:tc>
          <w:tcPr>
            <w:tcW w:w="3867" w:type="dxa"/>
          </w:tcPr>
          <w:p w14:paraId="0B266BA3" w14:textId="77777777" w:rsidR="008F1BEA" w:rsidRPr="005F3E79" w:rsidRDefault="008F1BEA" w:rsidP="0026354A">
            <w:pPr>
              <w:tabs>
                <w:tab w:val="right" w:pos="1134"/>
              </w:tabs>
              <w:rPr>
                <w:rFonts w:cs="Arial"/>
                <w:sz w:val="16"/>
                <w:szCs w:val="16"/>
              </w:rPr>
            </w:pPr>
            <w:r w:rsidRPr="005F3E79">
              <w:rPr>
                <w:rFonts w:cs="Arial"/>
                <w:sz w:val="16"/>
                <w:szCs w:val="16"/>
              </w:rPr>
              <w:t>Prévisions de dépenses supplémentaires autres que les dépenses de personnel s’élevant à 107 000 francs suisses</w:t>
            </w:r>
          </w:p>
        </w:tc>
      </w:tr>
      <w:tr w:rsidR="008F1BEA" w:rsidRPr="005F3E79" w14:paraId="0FF33D03" w14:textId="77777777" w:rsidTr="0026354A">
        <w:trPr>
          <w:cantSplit/>
        </w:trPr>
        <w:tc>
          <w:tcPr>
            <w:tcW w:w="1954" w:type="dxa"/>
          </w:tcPr>
          <w:p w14:paraId="6C4549B7" w14:textId="77777777" w:rsidR="008F1BEA" w:rsidRPr="005F3E79" w:rsidRDefault="008F1BEA" w:rsidP="0026354A">
            <w:pPr>
              <w:tabs>
                <w:tab w:val="right" w:pos="1134"/>
              </w:tabs>
              <w:rPr>
                <w:rFonts w:cs="Arial"/>
                <w:sz w:val="16"/>
                <w:szCs w:val="16"/>
              </w:rPr>
            </w:pPr>
            <w:r w:rsidRPr="005F3E79">
              <w:rPr>
                <w:rFonts w:cs="Arial"/>
                <w:sz w:val="16"/>
                <w:szCs w:val="16"/>
              </w:rPr>
              <w:t>Programme 3 (Droit d’auteur et droits connexes)</w:t>
            </w:r>
          </w:p>
        </w:tc>
        <w:tc>
          <w:tcPr>
            <w:tcW w:w="3466" w:type="dxa"/>
          </w:tcPr>
          <w:p w14:paraId="3929D450" w14:textId="77777777" w:rsidR="008F1BEA" w:rsidRPr="005F3E79" w:rsidRDefault="008F1BEA" w:rsidP="0026354A">
            <w:pPr>
              <w:tabs>
                <w:tab w:val="right" w:pos="1134"/>
              </w:tabs>
              <w:rPr>
                <w:rFonts w:cs="Arial"/>
                <w:sz w:val="16"/>
                <w:szCs w:val="16"/>
              </w:rPr>
            </w:pPr>
            <w:r w:rsidRPr="005F3E79">
              <w:rPr>
                <w:rFonts w:cs="Arial"/>
                <w:sz w:val="16"/>
                <w:szCs w:val="16"/>
              </w:rPr>
              <w:t>Jusqu’à quatre sessions du Comité permanent du droit d’auteur et des droits connexes (SCCR)</w:t>
            </w:r>
          </w:p>
        </w:tc>
        <w:tc>
          <w:tcPr>
            <w:tcW w:w="3867" w:type="dxa"/>
          </w:tcPr>
          <w:p w14:paraId="14C2CB05" w14:textId="77777777" w:rsidR="008F1BEA" w:rsidRPr="005F3E79" w:rsidRDefault="008F1BEA" w:rsidP="0026354A">
            <w:pPr>
              <w:tabs>
                <w:tab w:val="right" w:pos="1134"/>
              </w:tabs>
              <w:rPr>
                <w:rFonts w:cs="Arial"/>
                <w:sz w:val="16"/>
                <w:szCs w:val="16"/>
              </w:rPr>
            </w:pPr>
            <w:r w:rsidRPr="005F3E79">
              <w:rPr>
                <w:rFonts w:cs="Arial"/>
                <w:sz w:val="16"/>
                <w:szCs w:val="16"/>
              </w:rPr>
              <w:t xml:space="preserve">Prévisions de dépenses supplémentaires autres que les dépenses de personnel s’élevant à 80 000 francs suisses pour la promotion, en particulier, des traités de Beijing et de Marrakech </w:t>
            </w:r>
          </w:p>
        </w:tc>
      </w:tr>
      <w:tr w:rsidR="008F1BEA" w:rsidRPr="005F3E79" w14:paraId="29D4E429" w14:textId="77777777" w:rsidTr="0026354A">
        <w:trPr>
          <w:cantSplit/>
        </w:trPr>
        <w:tc>
          <w:tcPr>
            <w:tcW w:w="1954" w:type="dxa"/>
          </w:tcPr>
          <w:p w14:paraId="0178466E" w14:textId="77777777" w:rsidR="008F1BEA" w:rsidRPr="005F3E79" w:rsidRDefault="008F1BEA" w:rsidP="0026354A">
            <w:pPr>
              <w:tabs>
                <w:tab w:val="right" w:pos="1134"/>
              </w:tabs>
              <w:rPr>
                <w:rFonts w:cs="Arial"/>
                <w:sz w:val="16"/>
                <w:szCs w:val="16"/>
              </w:rPr>
            </w:pPr>
            <w:r w:rsidRPr="005F3E79">
              <w:rPr>
                <w:rFonts w:cs="Arial"/>
                <w:sz w:val="16"/>
                <w:szCs w:val="16"/>
              </w:rPr>
              <w:t>Programme 4 (</w:t>
            </w:r>
            <w:r w:rsidRPr="005F3E79">
              <w:rPr>
                <w:rFonts w:cs="Arial"/>
                <w:sz w:val="16"/>
                <w:szCs w:val="16"/>
                <w:cs/>
              </w:rPr>
              <w:t>‎</w:t>
            </w:r>
            <w:r w:rsidRPr="005F3E79">
              <w:rPr>
                <w:rFonts w:cs="Arial"/>
                <w:sz w:val="16"/>
                <w:szCs w:val="16"/>
                <w:rtl/>
                <w:cs/>
              </w:rPr>
              <w:t>Savoirs traditionnels, expressions culturelles traditionnelles et ressources génétiques)</w:t>
            </w:r>
          </w:p>
        </w:tc>
        <w:tc>
          <w:tcPr>
            <w:tcW w:w="3466" w:type="dxa"/>
          </w:tcPr>
          <w:p w14:paraId="7E328F1F" w14:textId="77777777" w:rsidR="008F1BEA" w:rsidRPr="005F3E79" w:rsidRDefault="008F1BEA" w:rsidP="0026354A">
            <w:pPr>
              <w:tabs>
                <w:tab w:val="right" w:pos="1134"/>
              </w:tabs>
              <w:rPr>
                <w:rFonts w:cs="Arial"/>
                <w:sz w:val="16"/>
                <w:szCs w:val="16"/>
              </w:rPr>
            </w:pPr>
            <w:r w:rsidRPr="005F3E79">
              <w:rPr>
                <w:rFonts w:cs="Arial"/>
                <w:sz w:val="16"/>
                <w:szCs w:val="16"/>
              </w:rPr>
              <w:t>Jusqu’à quatre sessions du Comité intergouvernemental de la propriété intellectuelle relative aux ressources génétiques, aux savoirs traditionnels et au folklore (IGC)</w:t>
            </w:r>
          </w:p>
        </w:tc>
        <w:tc>
          <w:tcPr>
            <w:tcW w:w="3867" w:type="dxa"/>
          </w:tcPr>
          <w:p w14:paraId="74A99C0F" w14:textId="77777777" w:rsidR="008F1BEA" w:rsidRPr="005F3E79" w:rsidRDefault="008F1BEA" w:rsidP="0026354A">
            <w:pPr>
              <w:tabs>
                <w:tab w:val="right" w:pos="1134"/>
              </w:tabs>
              <w:rPr>
                <w:rFonts w:cs="Arial"/>
                <w:sz w:val="16"/>
                <w:szCs w:val="16"/>
              </w:rPr>
            </w:pPr>
            <w:r w:rsidRPr="005F3E79">
              <w:rPr>
                <w:rFonts w:cs="Arial"/>
                <w:sz w:val="16"/>
                <w:szCs w:val="16"/>
              </w:rPr>
              <w:t>Les dépenses associées figurent dans le programme correspondant</w:t>
            </w:r>
          </w:p>
        </w:tc>
      </w:tr>
      <w:tr w:rsidR="008F1BEA" w:rsidRPr="005F3E79" w14:paraId="611660CC" w14:textId="77777777" w:rsidTr="0026354A">
        <w:trPr>
          <w:cantSplit/>
        </w:trPr>
        <w:tc>
          <w:tcPr>
            <w:tcW w:w="9287" w:type="dxa"/>
            <w:gridSpan w:val="3"/>
            <w:shd w:val="clear" w:color="auto" w:fill="C6D9F1" w:themeFill="text2" w:themeFillTint="33"/>
            <w:vAlign w:val="center"/>
          </w:tcPr>
          <w:p w14:paraId="6741C458" w14:textId="77777777" w:rsidR="008F1BEA" w:rsidRPr="005F3E79" w:rsidRDefault="008F1BEA" w:rsidP="0026354A">
            <w:pPr>
              <w:tabs>
                <w:tab w:val="right" w:pos="1134"/>
              </w:tabs>
              <w:rPr>
                <w:rFonts w:cs="Arial"/>
                <w:sz w:val="16"/>
                <w:szCs w:val="16"/>
              </w:rPr>
            </w:pPr>
          </w:p>
        </w:tc>
      </w:tr>
    </w:tbl>
    <w:p w14:paraId="328C637A" w14:textId="6B20C360" w:rsidR="008F1BEA" w:rsidRPr="005F3E79" w:rsidRDefault="008F1BEA" w:rsidP="008F1BEA">
      <w:pPr>
        <w:tabs>
          <w:tab w:val="right" w:pos="1134"/>
        </w:tabs>
        <w:jc w:val="both"/>
        <w:rPr>
          <w:rFonts w:cs="Arial"/>
          <w:i/>
          <w:sz w:val="16"/>
          <w:szCs w:val="16"/>
        </w:rPr>
      </w:pPr>
      <w:r w:rsidRPr="005F3E79">
        <w:rPr>
          <w:rFonts w:cs="Arial"/>
          <w:i/>
          <w:sz w:val="16"/>
          <w:szCs w:val="16"/>
        </w:rPr>
        <w:t xml:space="preserve">Note : comparaisons par rapport au budget </w:t>
      </w:r>
      <w:r w:rsidR="005F2354" w:rsidRPr="005F3E79">
        <w:rPr>
          <w:rFonts w:cs="Arial"/>
          <w:i/>
          <w:sz w:val="16"/>
          <w:szCs w:val="16"/>
        </w:rPr>
        <w:t>2016</w:t>
      </w:r>
      <w:r w:rsidR="005F2354" w:rsidRPr="005F3E79">
        <w:rPr>
          <w:rFonts w:cs="Arial"/>
          <w:i/>
          <w:sz w:val="16"/>
          <w:szCs w:val="16"/>
        </w:rPr>
        <w:noBreakHyphen/>
        <w:t>2017</w:t>
      </w:r>
      <w:r w:rsidR="005F2354">
        <w:rPr>
          <w:rFonts w:cs="Arial"/>
          <w:i/>
          <w:sz w:val="16"/>
          <w:szCs w:val="16"/>
        </w:rPr>
        <w:t xml:space="preserve"> approuvé.</w:t>
      </w:r>
    </w:p>
    <w:p w14:paraId="4ED11257" w14:textId="77777777" w:rsidR="008F1BEA" w:rsidRDefault="008F1BEA" w:rsidP="008F1BEA">
      <w:pPr>
        <w:tabs>
          <w:tab w:val="num" w:pos="690"/>
        </w:tabs>
        <w:jc w:val="both"/>
        <w:rPr>
          <w:rFonts w:cs="Arial"/>
        </w:rPr>
      </w:pPr>
    </w:p>
    <w:p w14:paraId="246117BB" w14:textId="77777777" w:rsidR="00350BB8" w:rsidRDefault="00350BB8" w:rsidP="008F1BEA">
      <w:pPr>
        <w:tabs>
          <w:tab w:val="num" w:pos="690"/>
        </w:tabs>
        <w:jc w:val="both"/>
        <w:rPr>
          <w:rFonts w:cs="Arial"/>
        </w:rPr>
      </w:pPr>
    </w:p>
    <w:p w14:paraId="00311142" w14:textId="77777777" w:rsidR="00350BB8" w:rsidRPr="004E0048" w:rsidRDefault="00350BB8" w:rsidP="00350BB8">
      <w:pPr>
        <w:widowControl w:val="0"/>
        <w:tabs>
          <w:tab w:val="num" w:pos="690"/>
        </w:tabs>
        <w:jc w:val="both"/>
        <w:rPr>
          <w:b/>
        </w:rPr>
      </w:pPr>
      <w:r w:rsidRPr="004E0048">
        <w:rPr>
          <w:b/>
        </w:rPr>
        <w:t>Systèmes d’enregistrement internationaux</w:t>
      </w:r>
    </w:p>
    <w:p w14:paraId="756FC0C7" w14:textId="77777777" w:rsidR="00350BB8" w:rsidRPr="004E0048" w:rsidRDefault="00350BB8" w:rsidP="00350BB8">
      <w:pPr>
        <w:widowControl w:val="0"/>
        <w:tabs>
          <w:tab w:val="num" w:pos="690"/>
        </w:tabs>
        <w:jc w:val="both"/>
      </w:pPr>
    </w:p>
    <w:p w14:paraId="5B438E26"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Garantir une utilisation plus large et plus efficace des services fournis par les systèmes d’enregistrement internationaux de l’OMPI, en particulier les systèmes du PCT, de Madrid et de La Haye, qui sont le pilier de la viabilité financière à long terme de l’Organisation.</w:t>
      </w:r>
    </w:p>
    <w:p w14:paraId="49B1399F" w14:textId="77777777" w:rsidR="00350BB8" w:rsidRPr="004E0048" w:rsidRDefault="00350BB8" w:rsidP="00350BB8">
      <w:pPr>
        <w:pStyle w:val="ListParagraph"/>
        <w:widowControl w:val="0"/>
        <w:tabs>
          <w:tab w:val="left" w:pos="567"/>
        </w:tabs>
        <w:ind w:left="567" w:hanging="567"/>
        <w:jc w:val="both"/>
        <w:rPr>
          <w:rFonts w:cs="Arial"/>
        </w:rPr>
      </w:pPr>
    </w:p>
    <w:p w14:paraId="2EFC5F3B"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Continuer de relever les défis liés à l’évolution de la composition géographique de la demande relative à ces services et s’adapter notamment aux nouvelles exigences en matière de compétences linguistiques et à l’augmentation rapide du nombre de membres des systèmes de Madrid et de La Haye.</w:t>
      </w:r>
    </w:p>
    <w:p w14:paraId="22DE2570" w14:textId="77777777" w:rsidR="00350BB8" w:rsidRPr="004E0048" w:rsidRDefault="00350BB8" w:rsidP="00350BB8">
      <w:pPr>
        <w:pStyle w:val="ListParagraph"/>
        <w:ind w:left="567" w:hanging="567"/>
        <w:rPr>
          <w:rFonts w:cs="Arial"/>
        </w:rPr>
      </w:pPr>
    </w:p>
    <w:p w14:paraId="3F4F0CB5"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Intensifier les efforts afin d’accroître l’efficacité opérationnelle des systèmes d’enregistrement en vue de la création d’un environnement informatique entièrement électronique, intégré et sûr pour les systèmes du PCT, de Madrid et de La Haye.</w:t>
      </w:r>
    </w:p>
    <w:p w14:paraId="56A75F7B" w14:textId="77777777" w:rsidR="00350BB8" w:rsidRPr="004E0048" w:rsidRDefault="00350BB8" w:rsidP="00350BB8">
      <w:pPr>
        <w:pStyle w:val="ListParagraph"/>
        <w:widowControl w:val="0"/>
        <w:tabs>
          <w:tab w:val="left" w:pos="567"/>
        </w:tabs>
        <w:ind w:left="0"/>
        <w:jc w:val="both"/>
        <w:rPr>
          <w:rFonts w:cs="Arial"/>
        </w:rPr>
      </w:pPr>
    </w:p>
    <w:tbl>
      <w:tblPr>
        <w:tblW w:w="5000" w:type="pct"/>
        <w:tblCellMar>
          <w:top w:w="57" w:type="dxa"/>
          <w:bottom w:w="57" w:type="dxa"/>
        </w:tblCellMar>
        <w:tblLook w:val="04A0" w:firstRow="1" w:lastRow="0" w:firstColumn="1" w:lastColumn="0" w:noHBand="0" w:noVBand="1"/>
      </w:tblPr>
      <w:tblGrid>
        <w:gridCol w:w="1954"/>
        <w:gridCol w:w="3465"/>
        <w:gridCol w:w="3868"/>
      </w:tblGrid>
      <w:tr w:rsidR="00350BB8" w:rsidRPr="004E0048" w14:paraId="5C53445E" w14:textId="77777777" w:rsidTr="00350BB8">
        <w:trPr>
          <w:cantSplit/>
        </w:trPr>
        <w:tc>
          <w:tcPr>
            <w:tcW w:w="1954" w:type="dxa"/>
            <w:shd w:val="clear" w:color="auto" w:fill="C6D9F1" w:themeFill="text2" w:themeFillTint="33"/>
            <w:vAlign w:val="center"/>
          </w:tcPr>
          <w:p w14:paraId="6E06E8D1" w14:textId="77777777" w:rsidR="00350BB8" w:rsidRPr="004E0048" w:rsidRDefault="00350BB8" w:rsidP="00350BB8">
            <w:pPr>
              <w:keepNext/>
              <w:tabs>
                <w:tab w:val="right" w:pos="1134"/>
              </w:tabs>
              <w:rPr>
                <w:b/>
                <w:sz w:val="16"/>
                <w:szCs w:val="16"/>
              </w:rPr>
            </w:pPr>
            <w:r w:rsidRPr="004E0048">
              <w:rPr>
                <w:b/>
                <w:sz w:val="16"/>
                <w:szCs w:val="16"/>
              </w:rPr>
              <w:lastRenderedPageBreak/>
              <w:t>Programme</w:t>
            </w:r>
          </w:p>
        </w:tc>
        <w:tc>
          <w:tcPr>
            <w:tcW w:w="3465" w:type="dxa"/>
            <w:shd w:val="clear" w:color="auto" w:fill="C6D9F1" w:themeFill="text2" w:themeFillTint="33"/>
            <w:vAlign w:val="center"/>
          </w:tcPr>
          <w:p w14:paraId="1A1E92CA" w14:textId="77777777" w:rsidR="00350BB8" w:rsidRPr="004E0048" w:rsidRDefault="00350BB8" w:rsidP="00350BB8">
            <w:pPr>
              <w:keepNext/>
              <w:tabs>
                <w:tab w:val="right" w:pos="1134"/>
              </w:tabs>
              <w:rPr>
                <w:b/>
                <w:sz w:val="16"/>
                <w:szCs w:val="16"/>
              </w:rPr>
            </w:pPr>
            <w:r w:rsidRPr="004E0048">
              <w:rPr>
                <w:b/>
                <w:sz w:val="16"/>
                <w:szCs w:val="16"/>
              </w:rPr>
              <w:t>Hypothèses de planification</w:t>
            </w:r>
          </w:p>
        </w:tc>
        <w:tc>
          <w:tcPr>
            <w:tcW w:w="3868" w:type="dxa"/>
            <w:shd w:val="clear" w:color="auto" w:fill="C6D9F1" w:themeFill="text2" w:themeFillTint="33"/>
            <w:vAlign w:val="center"/>
          </w:tcPr>
          <w:p w14:paraId="21F20269" w14:textId="77777777" w:rsidR="00350BB8" w:rsidRPr="004E0048" w:rsidRDefault="00350BB8" w:rsidP="00350BB8">
            <w:pPr>
              <w:keepNext/>
              <w:tabs>
                <w:tab w:val="right" w:pos="1134"/>
              </w:tabs>
              <w:rPr>
                <w:b/>
                <w:sz w:val="16"/>
                <w:szCs w:val="16"/>
              </w:rPr>
            </w:pPr>
            <w:r w:rsidRPr="004E0048">
              <w:rPr>
                <w:b/>
                <w:sz w:val="16"/>
                <w:szCs w:val="16"/>
              </w:rPr>
              <w:t>Incidences budgétaires</w:t>
            </w:r>
          </w:p>
        </w:tc>
      </w:tr>
      <w:tr w:rsidR="00350BB8" w:rsidRPr="004E0048" w14:paraId="1760DA7E" w14:textId="77777777" w:rsidTr="00350BB8">
        <w:trPr>
          <w:cantSplit/>
        </w:trPr>
        <w:tc>
          <w:tcPr>
            <w:tcW w:w="1954" w:type="dxa"/>
          </w:tcPr>
          <w:p w14:paraId="29AD48AF" w14:textId="77777777" w:rsidR="00350BB8" w:rsidRPr="004E0048" w:rsidRDefault="00350BB8" w:rsidP="00350BB8">
            <w:pPr>
              <w:keepNext/>
              <w:tabs>
                <w:tab w:val="right" w:pos="1134"/>
              </w:tabs>
              <w:rPr>
                <w:sz w:val="16"/>
                <w:szCs w:val="16"/>
              </w:rPr>
            </w:pPr>
            <w:r w:rsidRPr="004E0048">
              <w:rPr>
                <w:sz w:val="16"/>
                <w:szCs w:val="16"/>
              </w:rPr>
              <w:t xml:space="preserve">Programme 5 (PCT) </w:t>
            </w:r>
          </w:p>
        </w:tc>
        <w:tc>
          <w:tcPr>
            <w:tcW w:w="3465" w:type="dxa"/>
          </w:tcPr>
          <w:p w14:paraId="1FA4A4BE" w14:textId="77777777" w:rsidR="00350BB8" w:rsidRPr="004E0048" w:rsidRDefault="00350BB8" w:rsidP="00350BB8">
            <w:pPr>
              <w:keepNext/>
              <w:tabs>
                <w:tab w:val="right" w:pos="1134"/>
              </w:tabs>
              <w:rPr>
                <w:sz w:val="16"/>
                <w:szCs w:val="16"/>
              </w:rPr>
            </w:pPr>
            <w:r w:rsidRPr="004E0048">
              <w:rPr>
                <w:sz w:val="16"/>
                <w:szCs w:val="16"/>
              </w:rPr>
              <w:t>Augmentation du nombre de demandes de 13%</w:t>
            </w:r>
          </w:p>
        </w:tc>
        <w:tc>
          <w:tcPr>
            <w:tcW w:w="3868" w:type="dxa"/>
          </w:tcPr>
          <w:p w14:paraId="7B5C1A10" w14:textId="48BDF1B9" w:rsidR="00350BB8" w:rsidRPr="004E0048" w:rsidRDefault="00350BB8" w:rsidP="00350BB8">
            <w:pPr>
              <w:keepNext/>
              <w:tabs>
                <w:tab w:val="right" w:pos="1134"/>
              </w:tabs>
              <w:rPr>
                <w:sz w:val="16"/>
                <w:szCs w:val="16"/>
              </w:rPr>
            </w:pPr>
            <w:r w:rsidRPr="004E0048">
              <w:rPr>
                <w:sz w:val="16"/>
                <w:szCs w:val="16"/>
              </w:rPr>
              <w:t>Besoins additionnels en ressources autres que les ressources en personnel estimés à 6,8 millions de francs suisses pour les opérations du PCT</w:t>
            </w:r>
          </w:p>
        </w:tc>
      </w:tr>
      <w:tr w:rsidR="00350BB8" w:rsidRPr="004E0048" w14:paraId="4C8D809F" w14:textId="77777777" w:rsidTr="00350BB8">
        <w:trPr>
          <w:cantSplit/>
        </w:trPr>
        <w:tc>
          <w:tcPr>
            <w:tcW w:w="1954" w:type="dxa"/>
          </w:tcPr>
          <w:p w14:paraId="79AABEDB" w14:textId="77777777" w:rsidR="00350BB8" w:rsidRPr="004E0048" w:rsidRDefault="00350BB8" w:rsidP="00350BB8">
            <w:pPr>
              <w:tabs>
                <w:tab w:val="right" w:pos="1134"/>
              </w:tabs>
              <w:rPr>
                <w:sz w:val="16"/>
                <w:szCs w:val="16"/>
              </w:rPr>
            </w:pPr>
            <w:r w:rsidRPr="004E0048">
              <w:rPr>
                <w:sz w:val="16"/>
                <w:szCs w:val="16"/>
              </w:rPr>
              <w:t>Programme 6 (Système de Madrid)</w:t>
            </w:r>
          </w:p>
        </w:tc>
        <w:tc>
          <w:tcPr>
            <w:tcW w:w="3465" w:type="dxa"/>
          </w:tcPr>
          <w:p w14:paraId="2668C269" w14:textId="77777777" w:rsidR="00350BB8" w:rsidRPr="004E0048" w:rsidRDefault="00350BB8" w:rsidP="00350BB8">
            <w:pPr>
              <w:tabs>
                <w:tab w:val="right" w:pos="1134"/>
              </w:tabs>
              <w:rPr>
                <w:sz w:val="16"/>
                <w:szCs w:val="16"/>
              </w:rPr>
            </w:pPr>
            <w:r w:rsidRPr="004E0048">
              <w:rPr>
                <w:sz w:val="16"/>
                <w:szCs w:val="16"/>
              </w:rPr>
              <w:t xml:space="preserve">Augmentation du nombre d’enregistrements et de renouvellements de 15% et 12,5% respectivement </w:t>
            </w:r>
          </w:p>
        </w:tc>
        <w:tc>
          <w:tcPr>
            <w:tcW w:w="3868" w:type="dxa"/>
          </w:tcPr>
          <w:p w14:paraId="1BF6EA5F" w14:textId="77777777" w:rsidR="00350BB8" w:rsidRPr="004E0048" w:rsidRDefault="00350BB8" w:rsidP="00350BB8">
            <w:pPr>
              <w:tabs>
                <w:tab w:val="right" w:pos="1134"/>
              </w:tabs>
              <w:rPr>
                <w:sz w:val="16"/>
                <w:szCs w:val="16"/>
              </w:rPr>
            </w:pPr>
            <w:r w:rsidRPr="004E0048">
              <w:rPr>
                <w:sz w:val="16"/>
                <w:szCs w:val="16"/>
              </w:rPr>
              <w:t>Besoins additionnels en ressources autres que les ressources en personnel estimés à 2,2 millions de francs suisses pour les opérations du système de Madrid</w:t>
            </w:r>
          </w:p>
          <w:p w14:paraId="6A8A0923" w14:textId="77777777" w:rsidR="00350BB8" w:rsidRPr="004E0048" w:rsidRDefault="00350BB8" w:rsidP="00350BB8">
            <w:pPr>
              <w:tabs>
                <w:tab w:val="right" w:pos="1134"/>
              </w:tabs>
              <w:rPr>
                <w:sz w:val="16"/>
                <w:szCs w:val="16"/>
              </w:rPr>
            </w:pPr>
          </w:p>
        </w:tc>
      </w:tr>
      <w:tr w:rsidR="00350BB8" w:rsidRPr="004E0048" w14:paraId="672E6A43" w14:textId="77777777" w:rsidTr="00350BB8">
        <w:trPr>
          <w:cantSplit/>
        </w:trPr>
        <w:tc>
          <w:tcPr>
            <w:tcW w:w="1954" w:type="dxa"/>
          </w:tcPr>
          <w:p w14:paraId="6B8C25BB" w14:textId="77777777" w:rsidR="00350BB8" w:rsidRPr="004E0048" w:rsidRDefault="00350BB8" w:rsidP="00350BB8">
            <w:pPr>
              <w:tabs>
                <w:tab w:val="right" w:pos="1134"/>
              </w:tabs>
              <w:rPr>
                <w:sz w:val="16"/>
                <w:szCs w:val="16"/>
              </w:rPr>
            </w:pPr>
            <w:r w:rsidRPr="004E0048">
              <w:rPr>
                <w:sz w:val="16"/>
                <w:szCs w:val="16"/>
              </w:rPr>
              <w:t>Programme 31 (Système de La Haye)</w:t>
            </w:r>
          </w:p>
        </w:tc>
        <w:tc>
          <w:tcPr>
            <w:tcW w:w="3465" w:type="dxa"/>
          </w:tcPr>
          <w:p w14:paraId="7A906C31" w14:textId="77777777" w:rsidR="00350BB8" w:rsidRPr="004E0048" w:rsidRDefault="00350BB8" w:rsidP="00350BB8">
            <w:pPr>
              <w:tabs>
                <w:tab w:val="right" w:pos="1134"/>
              </w:tabs>
              <w:rPr>
                <w:sz w:val="16"/>
                <w:szCs w:val="16"/>
              </w:rPr>
            </w:pPr>
            <w:r w:rsidRPr="004E0048">
              <w:rPr>
                <w:sz w:val="16"/>
                <w:szCs w:val="16"/>
              </w:rPr>
              <w:t xml:space="preserve">Augmentation du nombre d’enregistrements et de renouvellements de 15,2% et 20,5% respectivement </w:t>
            </w:r>
          </w:p>
        </w:tc>
        <w:tc>
          <w:tcPr>
            <w:tcW w:w="3868" w:type="dxa"/>
          </w:tcPr>
          <w:p w14:paraId="11939E59" w14:textId="77777777" w:rsidR="00350BB8" w:rsidRPr="004E0048" w:rsidRDefault="00350BB8" w:rsidP="00350BB8">
            <w:pPr>
              <w:tabs>
                <w:tab w:val="right" w:pos="1134"/>
              </w:tabs>
              <w:rPr>
                <w:sz w:val="16"/>
                <w:szCs w:val="16"/>
              </w:rPr>
            </w:pPr>
            <w:r w:rsidRPr="004E0048">
              <w:rPr>
                <w:sz w:val="16"/>
                <w:szCs w:val="16"/>
              </w:rPr>
              <w:t>Besoins additionnels en ressources en personnel et autres que les ressources en personnel estimés respectivement à 2,5 millions et à 1,1 million de francs suisses pour renforcer les opérations du système de La Haye et déployer le nouveau système informatique</w:t>
            </w:r>
          </w:p>
        </w:tc>
      </w:tr>
      <w:tr w:rsidR="00350BB8" w:rsidRPr="004E0048" w14:paraId="6B1E7E42" w14:textId="77777777" w:rsidTr="00350BB8">
        <w:trPr>
          <w:cantSplit/>
        </w:trPr>
        <w:tc>
          <w:tcPr>
            <w:tcW w:w="1954" w:type="dxa"/>
            <w:shd w:val="clear" w:color="auto" w:fill="C6D9F1" w:themeFill="text2" w:themeFillTint="33"/>
            <w:vAlign w:val="center"/>
          </w:tcPr>
          <w:p w14:paraId="7AAF7370" w14:textId="77777777" w:rsidR="00350BB8" w:rsidRPr="004E0048" w:rsidRDefault="00350BB8" w:rsidP="00350BB8">
            <w:pPr>
              <w:tabs>
                <w:tab w:val="right" w:pos="1134"/>
              </w:tabs>
              <w:rPr>
                <w:sz w:val="16"/>
                <w:szCs w:val="16"/>
              </w:rPr>
            </w:pPr>
          </w:p>
        </w:tc>
        <w:tc>
          <w:tcPr>
            <w:tcW w:w="3465" w:type="dxa"/>
            <w:shd w:val="clear" w:color="auto" w:fill="C6D9F1" w:themeFill="text2" w:themeFillTint="33"/>
            <w:vAlign w:val="center"/>
          </w:tcPr>
          <w:p w14:paraId="37EC8D7E" w14:textId="77777777" w:rsidR="00350BB8" w:rsidRPr="004E0048" w:rsidRDefault="00350BB8" w:rsidP="00350BB8">
            <w:pPr>
              <w:tabs>
                <w:tab w:val="right" w:pos="1134"/>
              </w:tabs>
              <w:rPr>
                <w:sz w:val="16"/>
                <w:szCs w:val="16"/>
              </w:rPr>
            </w:pPr>
          </w:p>
        </w:tc>
        <w:tc>
          <w:tcPr>
            <w:tcW w:w="3868" w:type="dxa"/>
            <w:shd w:val="clear" w:color="auto" w:fill="C6D9F1" w:themeFill="text2" w:themeFillTint="33"/>
            <w:vAlign w:val="center"/>
          </w:tcPr>
          <w:p w14:paraId="08FCF3B8" w14:textId="77777777" w:rsidR="00350BB8" w:rsidRPr="004E0048" w:rsidRDefault="00350BB8" w:rsidP="00350BB8">
            <w:pPr>
              <w:tabs>
                <w:tab w:val="right" w:pos="1134"/>
              </w:tabs>
              <w:rPr>
                <w:sz w:val="16"/>
                <w:szCs w:val="16"/>
              </w:rPr>
            </w:pPr>
          </w:p>
        </w:tc>
      </w:tr>
    </w:tbl>
    <w:p w14:paraId="4DD5297A"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740BE84E" w14:textId="77777777" w:rsidR="00350BB8" w:rsidRPr="004E0048" w:rsidRDefault="00350BB8" w:rsidP="00350BB8">
      <w:pPr>
        <w:widowControl w:val="0"/>
        <w:tabs>
          <w:tab w:val="num" w:pos="690"/>
        </w:tabs>
        <w:jc w:val="both"/>
        <w:rPr>
          <w:b/>
          <w:smallCaps/>
        </w:rPr>
      </w:pPr>
    </w:p>
    <w:p w14:paraId="07DBF552" w14:textId="77777777" w:rsidR="00350BB8" w:rsidRPr="004E0048" w:rsidRDefault="00350BB8" w:rsidP="00350BB8">
      <w:pPr>
        <w:widowControl w:val="0"/>
        <w:tabs>
          <w:tab w:val="num" w:pos="690"/>
        </w:tabs>
        <w:jc w:val="both"/>
        <w:rPr>
          <w:b/>
          <w:smallCaps/>
        </w:rPr>
      </w:pPr>
    </w:p>
    <w:p w14:paraId="1C5EFD5E" w14:textId="77777777" w:rsidR="00350BB8" w:rsidRPr="004E0048" w:rsidRDefault="00350BB8" w:rsidP="00350BB8">
      <w:pPr>
        <w:keepNext/>
        <w:keepLines/>
        <w:widowControl w:val="0"/>
        <w:tabs>
          <w:tab w:val="num" w:pos="690"/>
        </w:tabs>
        <w:jc w:val="both"/>
        <w:rPr>
          <w:b/>
        </w:rPr>
      </w:pPr>
      <w:r w:rsidRPr="004E0048">
        <w:rPr>
          <w:b/>
        </w:rPr>
        <w:t>Favoriser l’utilisation de la propriété intellectuelle au service du développement</w:t>
      </w:r>
    </w:p>
    <w:p w14:paraId="032AC9EE" w14:textId="77777777" w:rsidR="00350BB8" w:rsidRPr="004E0048" w:rsidRDefault="00350BB8" w:rsidP="00350BB8">
      <w:pPr>
        <w:keepNext/>
        <w:keepLines/>
        <w:widowControl w:val="0"/>
        <w:tabs>
          <w:tab w:val="num" w:pos="690"/>
        </w:tabs>
        <w:jc w:val="both"/>
        <w:rPr>
          <w:b/>
          <w:smallCaps/>
        </w:rPr>
      </w:pPr>
    </w:p>
    <w:p w14:paraId="1B916D94" w14:textId="77777777" w:rsidR="00350BB8" w:rsidRPr="004E0048" w:rsidRDefault="00350BB8" w:rsidP="00616FD3">
      <w:pPr>
        <w:pStyle w:val="ListParagraph"/>
        <w:keepNext/>
        <w:keepLines/>
        <w:widowControl w:val="0"/>
        <w:numPr>
          <w:ilvl w:val="0"/>
          <w:numId w:val="93"/>
        </w:numPr>
        <w:tabs>
          <w:tab w:val="left" w:pos="567"/>
        </w:tabs>
        <w:ind w:left="567" w:hanging="567"/>
        <w:jc w:val="both"/>
        <w:rPr>
          <w:rFonts w:cs="Arial"/>
        </w:rPr>
      </w:pPr>
      <w:r w:rsidRPr="004E0048">
        <w:rPr>
          <w:rFonts w:cs="Arial"/>
        </w:rPr>
        <w:t>Renforcer davantage la mise en œuvre des activités de l’OMPI axées sur le développement s’inspirant des objectifs de développement durable intégrés et indivisibles, des principes énoncés dans le Programme de développement durable à l’horizon 2030 et des recommandations du Plan d’action de l’OMPI pour le développement;  mettre davantage l’accent sur l’amélioration de la conception, de la planification, du suivi et de l’évaluation des activités de l’OMPI axées sur le développement et mettre en place des partenariats durables à tous les niveaux afin de pérenniser les résultats en matière de développement.</w:t>
      </w:r>
    </w:p>
    <w:p w14:paraId="35259080" w14:textId="77777777" w:rsidR="00350BB8" w:rsidRPr="004E0048" w:rsidRDefault="00350BB8" w:rsidP="00350BB8">
      <w:pPr>
        <w:pStyle w:val="ListParagraph"/>
        <w:widowControl w:val="0"/>
        <w:tabs>
          <w:tab w:val="left" w:pos="567"/>
        </w:tabs>
        <w:ind w:left="567" w:hanging="567"/>
        <w:jc w:val="both"/>
        <w:rPr>
          <w:rFonts w:cs="Arial"/>
        </w:rPr>
      </w:pPr>
    </w:p>
    <w:p w14:paraId="7D253EC9"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Renforcer la contribution de l’OMPI à la réalisation de l’objectif de développement durable 9 relatif à l’industrie, l’innovation et l’infrastructure en consolidant les cadres juridiques en matière de propriété intellectuelle ainsi que les systèmes d’enregistrement internationaux, les bases de données et plateformes, les analyses et statistiques, les partenariats et les activités de renforcement des capacités de l’OMPI</w:t>
      </w:r>
      <w:r w:rsidRPr="004E0048">
        <w:rPr>
          <w:rStyle w:val="FootnoteReference"/>
          <w:rFonts w:cs="Arial"/>
        </w:rPr>
        <w:footnoteReference w:id="8"/>
      </w:r>
      <w:r w:rsidRPr="004E0048">
        <w:rPr>
          <w:rFonts w:cs="Arial"/>
        </w:rPr>
        <w:t>.</w:t>
      </w:r>
    </w:p>
    <w:p w14:paraId="18E69F61" w14:textId="77777777" w:rsidR="00350BB8" w:rsidRPr="004E0048" w:rsidRDefault="00350BB8" w:rsidP="00350BB8">
      <w:pPr>
        <w:pStyle w:val="ListParagraph"/>
        <w:widowControl w:val="0"/>
        <w:tabs>
          <w:tab w:val="left" w:pos="567"/>
        </w:tabs>
        <w:ind w:left="0"/>
        <w:jc w:val="both"/>
        <w:rPr>
          <w:rFonts w:cs="Arial"/>
        </w:rPr>
      </w:pPr>
    </w:p>
    <w:tbl>
      <w:tblPr>
        <w:tblW w:w="4961" w:type="pct"/>
        <w:tblCellMar>
          <w:top w:w="57" w:type="dxa"/>
          <w:bottom w:w="57" w:type="dxa"/>
        </w:tblCellMar>
        <w:tblLook w:val="04A0" w:firstRow="1" w:lastRow="0" w:firstColumn="1" w:lastColumn="0" w:noHBand="0" w:noVBand="1"/>
      </w:tblPr>
      <w:tblGrid>
        <w:gridCol w:w="2490"/>
        <w:gridCol w:w="6725"/>
      </w:tblGrid>
      <w:tr w:rsidR="00350BB8" w:rsidRPr="004E0048" w14:paraId="4AC3F7CA" w14:textId="77777777" w:rsidTr="005F2354">
        <w:trPr>
          <w:cantSplit/>
          <w:tblHeader/>
        </w:trPr>
        <w:tc>
          <w:tcPr>
            <w:tcW w:w="2490" w:type="dxa"/>
            <w:shd w:val="clear" w:color="auto" w:fill="C6D9F1" w:themeFill="text2" w:themeFillTint="33"/>
            <w:vAlign w:val="center"/>
          </w:tcPr>
          <w:p w14:paraId="627D178A" w14:textId="77777777" w:rsidR="00350BB8" w:rsidRPr="004E0048" w:rsidRDefault="00350BB8" w:rsidP="00350BB8">
            <w:pPr>
              <w:tabs>
                <w:tab w:val="right" w:pos="1134"/>
              </w:tabs>
              <w:rPr>
                <w:b/>
                <w:sz w:val="16"/>
                <w:szCs w:val="16"/>
              </w:rPr>
            </w:pPr>
            <w:r w:rsidRPr="004E0048">
              <w:rPr>
                <w:b/>
                <w:sz w:val="16"/>
                <w:szCs w:val="16"/>
              </w:rPr>
              <w:t>Programme</w:t>
            </w:r>
          </w:p>
        </w:tc>
        <w:tc>
          <w:tcPr>
            <w:tcW w:w="6725" w:type="dxa"/>
            <w:shd w:val="clear" w:color="auto" w:fill="C6D9F1" w:themeFill="text2" w:themeFillTint="33"/>
            <w:vAlign w:val="center"/>
          </w:tcPr>
          <w:p w14:paraId="73FCF806" w14:textId="77777777" w:rsidR="00350BB8" w:rsidRPr="004E0048" w:rsidRDefault="00350BB8" w:rsidP="00350BB8">
            <w:pPr>
              <w:tabs>
                <w:tab w:val="right" w:pos="1134"/>
              </w:tabs>
              <w:rPr>
                <w:b/>
                <w:sz w:val="16"/>
                <w:szCs w:val="16"/>
              </w:rPr>
            </w:pPr>
            <w:r w:rsidRPr="004E0048">
              <w:rPr>
                <w:b/>
                <w:sz w:val="16"/>
                <w:szCs w:val="16"/>
              </w:rPr>
              <w:t>Incidences budgétaires</w:t>
            </w:r>
          </w:p>
        </w:tc>
      </w:tr>
      <w:tr w:rsidR="00350BB8" w:rsidRPr="004E0048" w14:paraId="6EF2B26F" w14:textId="77777777" w:rsidTr="005F2354">
        <w:trPr>
          <w:cantSplit/>
        </w:trPr>
        <w:tc>
          <w:tcPr>
            <w:tcW w:w="2490" w:type="dxa"/>
          </w:tcPr>
          <w:p w14:paraId="5B05D2BA" w14:textId="77777777" w:rsidR="00350BB8" w:rsidRPr="004E0048" w:rsidRDefault="00350BB8" w:rsidP="00350BB8">
            <w:pPr>
              <w:tabs>
                <w:tab w:val="right" w:pos="1134"/>
              </w:tabs>
              <w:rPr>
                <w:sz w:val="8"/>
                <w:szCs w:val="8"/>
              </w:rPr>
            </w:pPr>
          </w:p>
        </w:tc>
        <w:tc>
          <w:tcPr>
            <w:tcW w:w="6725" w:type="dxa"/>
          </w:tcPr>
          <w:p w14:paraId="798E9B8F" w14:textId="381FCA61" w:rsidR="00350BB8" w:rsidRPr="004E0048" w:rsidRDefault="00350BB8" w:rsidP="00350BB8">
            <w:pPr>
              <w:tabs>
                <w:tab w:val="right" w:pos="1134"/>
              </w:tabs>
              <w:rPr>
                <w:sz w:val="8"/>
                <w:szCs w:val="8"/>
              </w:rPr>
            </w:pPr>
            <w:r w:rsidRPr="004E0048">
              <w:rPr>
                <w:sz w:val="16"/>
                <w:szCs w:val="16"/>
              </w:rPr>
              <w:t>La part totale du budget de l’OMPI consacrée au développement pour l’exercice biennal 2018-2019 s’élève à 132,8 millions de francs suisses, soit 18,3%</w:t>
            </w:r>
          </w:p>
        </w:tc>
      </w:tr>
      <w:tr w:rsidR="00350BB8" w:rsidRPr="004E0048" w14:paraId="4EF5F074" w14:textId="77777777" w:rsidTr="005F2354">
        <w:trPr>
          <w:cantSplit/>
        </w:trPr>
        <w:tc>
          <w:tcPr>
            <w:tcW w:w="2490" w:type="dxa"/>
          </w:tcPr>
          <w:p w14:paraId="71D4B534" w14:textId="77777777" w:rsidR="00350BB8" w:rsidRPr="004E0048" w:rsidRDefault="00350BB8" w:rsidP="00350BB8">
            <w:pPr>
              <w:tabs>
                <w:tab w:val="right" w:pos="1134"/>
              </w:tabs>
              <w:rPr>
                <w:sz w:val="16"/>
                <w:szCs w:val="16"/>
              </w:rPr>
            </w:pPr>
            <w:r w:rsidRPr="004E0048">
              <w:rPr>
                <w:sz w:val="16"/>
                <w:szCs w:val="16"/>
              </w:rPr>
              <w:t xml:space="preserve">Programme 8 </w:t>
            </w:r>
            <w:r w:rsidRPr="004E0048">
              <w:rPr>
                <w:rFonts w:cs="Arial"/>
                <w:sz w:val="16"/>
                <w:szCs w:val="16"/>
                <w:rtl/>
              </w:rPr>
              <w:t>‏</w:t>
            </w:r>
            <w:r w:rsidRPr="004E0048">
              <w:rPr>
                <w:sz w:val="16"/>
                <w:szCs w:val="16"/>
              </w:rPr>
              <w:t>(Coordination du Plan d’action pour le développement)</w:t>
            </w:r>
          </w:p>
        </w:tc>
        <w:tc>
          <w:tcPr>
            <w:tcW w:w="6725" w:type="dxa"/>
          </w:tcPr>
          <w:p w14:paraId="796C689B" w14:textId="77777777" w:rsidR="00350BB8" w:rsidRPr="004E0048" w:rsidRDefault="00350BB8" w:rsidP="00350BB8">
            <w:pPr>
              <w:tabs>
                <w:tab w:val="right" w:pos="1134"/>
              </w:tabs>
              <w:rPr>
                <w:sz w:val="16"/>
                <w:szCs w:val="16"/>
              </w:rPr>
            </w:pPr>
            <w:r w:rsidRPr="004E0048">
              <w:rPr>
                <w:sz w:val="16"/>
                <w:szCs w:val="16"/>
              </w:rPr>
              <w:t>Les ressources connexes sont indiquées dans le programme</w:t>
            </w:r>
          </w:p>
        </w:tc>
      </w:tr>
      <w:tr w:rsidR="00350BB8" w:rsidRPr="004E0048" w14:paraId="2E131F4B" w14:textId="77777777" w:rsidTr="005F2354">
        <w:trPr>
          <w:cantSplit/>
        </w:trPr>
        <w:tc>
          <w:tcPr>
            <w:tcW w:w="2490" w:type="dxa"/>
          </w:tcPr>
          <w:p w14:paraId="4C166C6E" w14:textId="77777777" w:rsidR="00350BB8" w:rsidRPr="004E0048" w:rsidRDefault="00350BB8" w:rsidP="00350BB8">
            <w:pPr>
              <w:tabs>
                <w:tab w:val="right" w:pos="1134"/>
              </w:tabs>
              <w:rPr>
                <w:sz w:val="16"/>
                <w:szCs w:val="16"/>
              </w:rPr>
            </w:pPr>
            <w:r w:rsidRPr="004E0048">
              <w:rPr>
                <w:sz w:val="16"/>
                <w:szCs w:val="16"/>
              </w:rPr>
              <w:t>Programme 10 (Pays en transition et pays développés)</w:t>
            </w:r>
          </w:p>
        </w:tc>
        <w:tc>
          <w:tcPr>
            <w:tcW w:w="6725" w:type="dxa"/>
          </w:tcPr>
          <w:p w14:paraId="134A8D15" w14:textId="77777777" w:rsidR="00350BB8" w:rsidRPr="004E0048" w:rsidRDefault="00350BB8" w:rsidP="00350BB8">
            <w:pPr>
              <w:tabs>
                <w:tab w:val="right" w:pos="1134"/>
              </w:tabs>
              <w:rPr>
                <w:sz w:val="16"/>
                <w:szCs w:val="16"/>
              </w:rPr>
            </w:pPr>
            <w:r w:rsidRPr="004E0048">
              <w:rPr>
                <w:sz w:val="16"/>
                <w:szCs w:val="16"/>
              </w:rPr>
              <w:t xml:space="preserve">Besoins additionnels en ressources en personnel estimés à 760 000 francs suisses pour favoriser l’utilisation du système de propriété intellectuelle dans les pays en transition </w:t>
            </w:r>
          </w:p>
        </w:tc>
      </w:tr>
      <w:tr w:rsidR="00350BB8" w:rsidRPr="004E0048" w14:paraId="51A304AF" w14:textId="77777777" w:rsidTr="005F2354">
        <w:trPr>
          <w:cantSplit/>
        </w:trPr>
        <w:tc>
          <w:tcPr>
            <w:tcW w:w="2490" w:type="dxa"/>
          </w:tcPr>
          <w:p w14:paraId="2EA450B8" w14:textId="77777777" w:rsidR="00350BB8" w:rsidRPr="004E0048" w:rsidRDefault="00350BB8" w:rsidP="00350BB8">
            <w:pPr>
              <w:tabs>
                <w:tab w:val="right" w:pos="1134"/>
              </w:tabs>
              <w:rPr>
                <w:sz w:val="16"/>
                <w:szCs w:val="16"/>
              </w:rPr>
            </w:pPr>
            <w:r w:rsidRPr="004E0048">
              <w:rPr>
                <w:sz w:val="16"/>
                <w:szCs w:val="16"/>
              </w:rPr>
              <w:t>Programme 11 (Académie de l’OMPI)</w:t>
            </w:r>
          </w:p>
        </w:tc>
        <w:tc>
          <w:tcPr>
            <w:tcW w:w="6725" w:type="dxa"/>
          </w:tcPr>
          <w:p w14:paraId="1769D1D1" w14:textId="36A3B040" w:rsidR="00350BB8" w:rsidRPr="004E0048" w:rsidRDefault="00350BB8" w:rsidP="00350BB8">
            <w:pPr>
              <w:tabs>
                <w:tab w:val="right" w:pos="1134"/>
              </w:tabs>
              <w:rPr>
                <w:sz w:val="16"/>
                <w:szCs w:val="16"/>
              </w:rPr>
            </w:pPr>
            <w:r w:rsidRPr="004E0048">
              <w:rPr>
                <w:sz w:val="16"/>
                <w:szCs w:val="16"/>
              </w:rPr>
              <w:t>Besoins additionnels en ressources autres que les ressources en personnel estimés à 329 000 francs suisses pour mettre en œuvre le projet du Plan d’action pour le développement relatif à la coopération avec les instituts de formation judiciaires.  Besoins additionnels en ressources autres que les ressources en personnel estimés à 189 000 francs suisses pour mener à bien l’intégration de ce projet</w:t>
            </w:r>
          </w:p>
        </w:tc>
      </w:tr>
      <w:tr w:rsidR="00350BB8" w:rsidRPr="004E0048" w14:paraId="4F93CBB1" w14:textId="77777777" w:rsidTr="005F2354">
        <w:trPr>
          <w:cantSplit/>
        </w:trPr>
        <w:tc>
          <w:tcPr>
            <w:tcW w:w="2490" w:type="dxa"/>
          </w:tcPr>
          <w:p w14:paraId="75F78B88" w14:textId="77777777" w:rsidR="00350BB8" w:rsidRPr="004E0048" w:rsidRDefault="00350BB8" w:rsidP="00350BB8">
            <w:pPr>
              <w:tabs>
                <w:tab w:val="right" w:pos="1134"/>
              </w:tabs>
              <w:rPr>
                <w:sz w:val="16"/>
                <w:szCs w:val="16"/>
              </w:rPr>
            </w:pPr>
            <w:r w:rsidRPr="004E0048">
              <w:rPr>
                <w:sz w:val="16"/>
                <w:szCs w:val="16"/>
              </w:rPr>
              <w:t xml:space="preserve">Programme 14 </w:t>
            </w:r>
            <w:r w:rsidRPr="004E0048">
              <w:rPr>
                <w:rFonts w:cs="Arial"/>
                <w:sz w:val="16"/>
                <w:szCs w:val="16"/>
                <w:rtl/>
              </w:rPr>
              <w:t>‏</w:t>
            </w:r>
            <w:r w:rsidRPr="004E0048">
              <w:rPr>
                <w:sz w:val="16"/>
                <w:szCs w:val="16"/>
              </w:rPr>
              <w:t>(</w:t>
            </w:r>
            <w:r w:rsidRPr="004E0048">
              <w:rPr>
                <w:sz w:val="16"/>
                <w:szCs w:val="16"/>
                <w:rtl/>
                <w:cs/>
              </w:rPr>
              <w:t>‎Services d‏’</w:t>
            </w:r>
            <w:r w:rsidRPr="004E0048">
              <w:rPr>
                <w:rFonts w:cs="Arial"/>
                <w:sz w:val="16"/>
                <w:szCs w:val="16"/>
                <w:cs/>
              </w:rPr>
              <w:t>‎</w:t>
            </w:r>
            <w:r w:rsidRPr="004E0048">
              <w:rPr>
                <w:sz w:val="16"/>
                <w:szCs w:val="16"/>
                <w:rtl/>
                <w:cs/>
              </w:rPr>
              <w:t>accès à l‏’‎</w:t>
            </w:r>
            <w:r w:rsidRPr="004E0048">
              <w:rPr>
                <w:sz w:val="16"/>
                <w:szCs w:val="16"/>
              </w:rPr>
              <w:t>information et aux savoirs)</w:t>
            </w:r>
          </w:p>
        </w:tc>
        <w:tc>
          <w:tcPr>
            <w:tcW w:w="6725" w:type="dxa"/>
          </w:tcPr>
          <w:p w14:paraId="7F5DE129" w14:textId="40AD45E4" w:rsidR="00350BB8" w:rsidRPr="004E0048" w:rsidRDefault="00350BB8" w:rsidP="00350BB8">
            <w:pPr>
              <w:tabs>
                <w:tab w:val="right" w:pos="1134"/>
              </w:tabs>
              <w:rPr>
                <w:sz w:val="16"/>
                <w:szCs w:val="16"/>
              </w:rPr>
            </w:pPr>
            <w:r w:rsidRPr="004E0048">
              <w:rPr>
                <w:sz w:val="16"/>
                <w:szCs w:val="16"/>
              </w:rPr>
              <w:t>Besoins additionnels en ressources en personnel et autres que les ressources en personnel estimés à 350 000 francs suisses pour mettre en œuvre le projet du Plan d’action pour le développement relatif à l’utilisation de l’information figurant dans le domaine public et à 509 000 francs suisses pour mettre en œuvre le projet relatif à la gestion de la propriété intellectuelle et au transfert de technologie</w:t>
            </w:r>
          </w:p>
        </w:tc>
      </w:tr>
      <w:tr w:rsidR="00350BB8" w:rsidRPr="004E0048" w14:paraId="192D8177" w14:textId="77777777" w:rsidTr="005F2354">
        <w:trPr>
          <w:cantSplit/>
        </w:trPr>
        <w:tc>
          <w:tcPr>
            <w:tcW w:w="2490" w:type="dxa"/>
          </w:tcPr>
          <w:p w14:paraId="73FA316B" w14:textId="77777777" w:rsidR="00350BB8" w:rsidRPr="004E0048" w:rsidRDefault="00350BB8" w:rsidP="005F2354">
            <w:pPr>
              <w:keepNext/>
              <w:tabs>
                <w:tab w:val="right" w:pos="1134"/>
              </w:tabs>
              <w:rPr>
                <w:sz w:val="16"/>
                <w:szCs w:val="16"/>
              </w:rPr>
            </w:pPr>
            <w:r w:rsidRPr="004E0048">
              <w:rPr>
                <w:sz w:val="16"/>
                <w:szCs w:val="16"/>
              </w:rPr>
              <w:lastRenderedPageBreak/>
              <w:t>Programme 16 (</w:t>
            </w:r>
            <w:r w:rsidRPr="004E0048">
              <w:rPr>
                <w:rFonts w:cs="Arial"/>
                <w:sz w:val="16"/>
                <w:szCs w:val="16"/>
                <w:cs/>
              </w:rPr>
              <w:t>‎</w:t>
            </w:r>
            <w:r w:rsidRPr="004E0048">
              <w:rPr>
                <w:sz w:val="16"/>
                <w:szCs w:val="16"/>
                <w:rtl/>
                <w:cs/>
              </w:rPr>
              <w:t>Économie et statistiques)</w:t>
            </w:r>
          </w:p>
        </w:tc>
        <w:tc>
          <w:tcPr>
            <w:tcW w:w="6725" w:type="dxa"/>
          </w:tcPr>
          <w:p w14:paraId="6046DA31" w14:textId="77777777" w:rsidR="00350BB8" w:rsidRPr="004E0048" w:rsidRDefault="00350BB8" w:rsidP="005F2354">
            <w:pPr>
              <w:keepNext/>
              <w:tabs>
                <w:tab w:val="right" w:pos="1134"/>
              </w:tabs>
              <w:rPr>
                <w:sz w:val="16"/>
                <w:szCs w:val="16"/>
              </w:rPr>
            </w:pPr>
            <w:r w:rsidRPr="004E0048">
              <w:rPr>
                <w:sz w:val="16"/>
                <w:szCs w:val="16"/>
              </w:rPr>
              <w:t>Besoins en ressources en personnel et autres que les ressources en personnel estimés respectivement à 357 700 francs suisses et à 225 000 francs suisses pour mener à bien l’intégration du projet du Plan d’action pour le développement relatif à la propriété intellectuelle et au développement socioéconomique</w:t>
            </w:r>
          </w:p>
        </w:tc>
      </w:tr>
      <w:tr w:rsidR="00350BB8" w:rsidRPr="004E0048" w14:paraId="3AB8FE82" w14:textId="77777777" w:rsidTr="005F2354">
        <w:trPr>
          <w:cantSplit/>
        </w:trPr>
        <w:tc>
          <w:tcPr>
            <w:tcW w:w="2490" w:type="dxa"/>
            <w:shd w:val="clear" w:color="auto" w:fill="C6D9F1" w:themeFill="text2" w:themeFillTint="33"/>
          </w:tcPr>
          <w:p w14:paraId="01CC68C8" w14:textId="77777777" w:rsidR="00350BB8" w:rsidRPr="004E0048" w:rsidRDefault="00350BB8" w:rsidP="005F2354">
            <w:pPr>
              <w:keepNext/>
              <w:tabs>
                <w:tab w:val="right" w:pos="1134"/>
              </w:tabs>
              <w:rPr>
                <w:sz w:val="16"/>
                <w:szCs w:val="16"/>
              </w:rPr>
            </w:pPr>
          </w:p>
        </w:tc>
        <w:tc>
          <w:tcPr>
            <w:tcW w:w="6725" w:type="dxa"/>
            <w:shd w:val="clear" w:color="auto" w:fill="C6D9F1" w:themeFill="text2" w:themeFillTint="33"/>
          </w:tcPr>
          <w:p w14:paraId="19DC7D20" w14:textId="77777777" w:rsidR="00350BB8" w:rsidRPr="004E0048" w:rsidRDefault="00350BB8" w:rsidP="005F2354">
            <w:pPr>
              <w:keepNext/>
              <w:tabs>
                <w:tab w:val="right" w:pos="1134"/>
              </w:tabs>
              <w:rPr>
                <w:sz w:val="16"/>
                <w:szCs w:val="16"/>
              </w:rPr>
            </w:pPr>
          </w:p>
        </w:tc>
      </w:tr>
    </w:tbl>
    <w:p w14:paraId="05A51BEB"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717420E4" w14:textId="77777777" w:rsidR="00350BB8" w:rsidRPr="004E0048" w:rsidRDefault="00350BB8" w:rsidP="00350BB8">
      <w:pPr>
        <w:pStyle w:val="ListParagraph"/>
        <w:widowControl w:val="0"/>
        <w:tabs>
          <w:tab w:val="left" w:pos="567"/>
        </w:tabs>
        <w:ind w:left="0"/>
        <w:jc w:val="both"/>
        <w:rPr>
          <w:rFonts w:cs="Arial"/>
        </w:rPr>
      </w:pPr>
    </w:p>
    <w:p w14:paraId="0F1EBD2C" w14:textId="77777777" w:rsidR="00350BB8" w:rsidRPr="004E0048" w:rsidRDefault="00350BB8" w:rsidP="00350BB8">
      <w:pPr>
        <w:pStyle w:val="ListParagraph"/>
        <w:widowControl w:val="0"/>
        <w:tabs>
          <w:tab w:val="left" w:pos="567"/>
        </w:tabs>
        <w:ind w:left="0"/>
        <w:jc w:val="both"/>
        <w:rPr>
          <w:rFonts w:cs="Arial"/>
        </w:rPr>
      </w:pPr>
    </w:p>
    <w:p w14:paraId="294BFB81" w14:textId="77777777" w:rsidR="00350BB8" w:rsidRPr="004E0048" w:rsidRDefault="00350BB8" w:rsidP="00350BB8">
      <w:pPr>
        <w:widowControl w:val="0"/>
        <w:tabs>
          <w:tab w:val="num" w:pos="690"/>
        </w:tabs>
        <w:jc w:val="both"/>
        <w:rPr>
          <w:b/>
        </w:rPr>
      </w:pPr>
      <w:r w:rsidRPr="004E0048">
        <w:rPr>
          <w:b/>
        </w:rPr>
        <w:t>Infrastructure mondiale en matière de propriété intellectuelle</w:t>
      </w:r>
    </w:p>
    <w:p w14:paraId="62FC5861" w14:textId="77777777" w:rsidR="00350BB8" w:rsidRPr="004E0048" w:rsidRDefault="00350BB8" w:rsidP="00350BB8">
      <w:pPr>
        <w:pStyle w:val="ListParagraph"/>
        <w:widowControl w:val="0"/>
        <w:tabs>
          <w:tab w:val="left" w:pos="567"/>
        </w:tabs>
        <w:ind w:left="0"/>
        <w:jc w:val="both"/>
        <w:rPr>
          <w:rFonts w:cs="Arial"/>
        </w:rPr>
      </w:pPr>
    </w:p>
    <w:p w14:paraId="05D77D40"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Poursuivre l’amélioration de l’accessibilité et de l’utilisation de l’information en matière de propriété intellectuelle par les institutions compétentes et le public afin de promouvoir l’innovation et la créativité.</w:t>
      </w:r>
    </w:p>
    <w:p w14:paraId="36ECA4F7" w14:textId="77777777" w:rsidR="00350BB8" w:rsidRPr="004E0048" w:rsidRDefault="00350BB8" w:rsidP="00350BB8">
      <w:pPr>
        <w:pStyle w:val="ListParagraph"/>
        <w:widowControl w:val="0"/>
        <w:tabs>
          <w:tab w:val="left" w:pos="567"/>
        </w:tabs>
        <w:ind w:left="567" w:hanging="567"/>
        <w:jc w:val="both"/>
        <w:rPr>
          <w:rFonts w:cs="Arial"/>
        </w:rPr>
      </w:pPr>
    </w:p>
    <w:p w14:paraId="2F8171B8" w14:textId="77777777" w:rsidR="00350BB8" w:rsidRPr="004E0048" w:rsidRDefault="00350BB8" w:rsidP="00616FD3">
      <w:pPr>
        <w:pStyle w:val="ListParagraph"/>
        <w:widowControl w:val="0"/>
        <w:numPr>
          <w:ilvl w:val="0"/>
          <w:numId w:val="93"/>
        </w:numPr>
        <w:tabs>
          <w:tab w:val="left" w:pos="567"/>
        </w:tabs>
        <w:ind w:left="567" w:hanging="567"/>
        <w:jc w:val="both"/>
        <w:rPr>
          <w:rFonts w:eastAsia="Times New Roman" w:cs="Arial"/>
          <w:bCs/>
          <w:szCs w:val="20"/>
          <w:lang w:eastAsia="en-US"/>
        </w:rPr>
      </w:pPr>
      <w:r w:rsidRPr="004E0048">
        <w:rPr>
          <w:rFonts w:eastAsia="Times New Roman" w:cs="Arial"/>
          <w:bCs/>
          <w:szCs w:val="20"/>
          <w:lang w:eastAsia="en-US"/>
        </w:rPr>
        <w:t>Continuer d’améliorer la Classification internationale des brevets (CIB) ainsi que les systèmes de classification de Nice, de Locarno et de Vienne;  mettre au point un outil logiciel afin d’appuyer la mise en œuvre de la norme ST.26 de l’OMPI relative à la présentation des listages des séquences de nucléotides et d’acides aminés.</w:t>
      </w:r>
    </w:p>
    <w:p w14:paraId="13F47F75" w14:textId="77777777" w:rsidR="00350BB8" w:rsidRPr="004E0048" w:rsidRDefault="00350BB8" w:rsidP="00350BB8">
      <w:pPr>
        <w:pStyle w:val="ListParagraph"/>
        <w:widowControl w:val="0"/>
        <w:tabs>
          <w:tab w:val="left" w:pos="567"/>
        </w:tabs>
        <w:ind w:left="567" w:hanging="567"/>
        <w:jc w:val="both"/>
        <w:rPr>
          <w:rFonts w:cs="Arial"/>
        </w:rPr>
      </w:pPr>
    </w:p>
    <w:p w14:paraId="25CA564A" w14:textId="77777777" w:rsidR="00350BB8" w:rsidRPr="004E0048" w:rsidRDefault="00350BB8" w:rsidP="00616FD3">
      <w:pPr>
        <w:pStyle w:val="ListParagraph"/>
        <w:keepNext/>
        <w:keepLines/>
        <w:widowControl w:val="0"/>
        <w:numPr>
          <w:ilvl w:val="0"/>
          <w:numId w:val="93"/>
        </w:numPr>
        <w:ind w:left="567" w:hanging="567"/>
        <w:jc w:val="both"/>
        <w:rPr>
          <w:rFonts w:cs="Arial"/>
          <w:szCs w:val="20"/>
        </w:rPr>
      </w:pPr>
      <w:r w:rsidRPr="004E0048">
        <w:rPr>
          <w:rFonts w:cs="Arial"/>
          <w:szCs w:val="20"/>
        </w:rPr>
        <w:t>Élargir la portée géographique des bases de données mondiales de l’OMPI (PATENTSCOPE, Base de données mondiale sur les marques, Base de données mondiale sur les dessins et modèles), en ajoutant de nouvelles collections nationales de données ainsi qu’en améliorant la qualité des données existantes et la rapidité des mises à jour;  continuer de perfectionner les outils de recherche, notamment en améliorant WIPO Translate au moyen de la technologie de traduction automatique neuronale.</w:t>
      </w:r>
    </w:p>
    <w:p w14:paraId="5E5D23DB" w14:textId="77777777" w:rsidR="00350BB8" w:rsidRPr="004E0048" w:rsidRDefault="00350BB8" w:rsidP="00350BB8">
      <w:pPr>
        <w:pStyle w:val="ListParagraph"/>
        <w:ind w:left="567" w:hanging="567"/>
        <w:rPr>
          <w:rFonts w:cs="Arial"/>
        </w:rPr>
      </w:pPr>
    </w:p>
    <w:p w14:paraId="363573A2" w14:textId="77777777" w:rsidR="00350BB8" w:rsidRPr="004E0048" w:rsidRDefault="00350BB8" w:rsidP="00616FD3">
      <w:pPr>
        <w:pStyle w:val="ListParagraph"/>
        <w:keepNext/>
        <w:keepLines/>
        <w:widowControl w:val="0"/>
        <w:numPr>
          <w:ilvl w:val="0"/>
          <w:numId w:val="93"/>
        </w:numPr>
        <w:ind w:left="567" w:hanging="567"/>
        <w:jc w:val="both"/>
        <w:rPr>
          <w:rFonts w:cs="Arial"/>
        </w:rPr>
      </w:pPr>
      <w:r w:rsidRPr="004E0048">
        <w:rPr>
          <w:rFonts w:cs="Arial"/>
        </w:rPr>
        <w:t>Continuer de perfectionner la série de modules IPAS (IPAS, WIPO File, WIPO Publish, WIPOScan) de sorte qu’elle puisse répondre aux besoins des offices de propriété intellectuelle se trouvant à différents niveaux de développement;  solliciter un retour d’information direct de la part des offices de propriété intellectuelle au sujet de l’orientation future du programme de travail dans le cadre d’un nouveau groupe consultatif au sein duquel toutes les régions seront représentées;  déployer la solution WIPO Connect dans au moins huit organismes de gestion collective et poursuivre les améliorations afin de pérenniser ce système.</w:t>
      </w:r>
    </w:p>
    <w:p w14:paraId="3BA1D6FB" w14:textId="77777777" w:rsidR="00350BB8" w:rsidRPr="004E0048" w:rsidRDefault="00350BB8" w:rsidP="00350BB8">
      <w:pPr>
        <w:widowControl w:val="0"/>
        <w:tabs>
          <w:tab w:val="left" w:pos="567"/>
        </w:tabs>
        <w:ind w:left="567" w:hanging="567"/>
        <w:jc w:val="both"/>
      </w:pPr>
    </w:p>
    <w:p w14:paraId="4AC13FD0" w14:textId="77777777" w:rsidR="00350BB8" w:rsidRPr="004E0048" w:rsidRDefault="00350BB8" w:rsidP="00350BB8">
      <w:pPr>
        <w:widowControl w:val="0"/>
        <w:tabs>
          <w:tab w:val="left" w:pos="567"/>
        </w:tabs>
        <w:jc w:val="both"/>
      </w:pPr>
    </w:p>
    <w:tbl>
      <w:tblPr>
        <w:tblW w:w="4961" w:type="pct"/>
        <w:tblCellMar>
          <w:top w:w="57" w:type="dxa"/>
          <w:bottom w:w="57" w:type="dxa"/>
        </w:tblCellMar>
        <w:tblLook w:val="04A0" w:firstRow="1" w:lastRow="0" w:firstColumn="1" w:lastColumn="0" w:noHBand="0" w:noVBand="1"/>
      </w:tblPr>
      <w:tblGrid>
        <w:gridCol w:w="2630"/>
        <w:gridCol w:w="6585"/>
      </w:tblGrid>
      <w:tr w:rsidR="00350BB8" w:rsidRPr="004E0048" w14:paraId="143F11FE" w14:textId="77777777" w:rsidTr="005F2354">
        <w:trPr>
          <w:cantSplit/>
        </w:trPr>
        <w:tc>
          <w:tcPr>
            <w:tcW w:w="2630" w:type="dxa"/>
            <w:shd w:val="clear" w:color="auto" w:fill="C6D9F1" w:themeFill="text2" w:themeFillTint="33"/>
            <w:vAlign w:val="center"/>
          </w:tcPr>
          <w:p w14:paraId="72B9E63A" w14:textId="77777777" w:rsidR="00350BB8" w:rsidRPr="004E0048" w:rsidRDefault="00350BB8" w:rsidP="00350BB8">
            <w:pPr>
              <w:keepNext/>
              <w:keepLines/>
              <w:tabs>
                <w:tab w:val="right" w:pos="1134"/>
              </w:tabs>
              <w:rPr>
                <w:b/>
                <w:sz w:val="16"/>
                <w:szCs w:val="16"/>
              </w:rPr>
            </w:pPr>
            <w:r w:rsidRPr="004E0048">
              <w:rPr>
                <w:b/>
                <w:sz w:val="16"/>
                <w:szCs w:val="16"/>
              </w:rPr>
              <w:t>Programme</w:t>
            </w:r>
          </w:p>
        </w:tc>
        <w:tc>
          <w:tcPr>
            <w:tcW w:w="6585" w:type="dxa"/>
            <w:shd w:val="clear" w:color="auto" w:fill="C6D9F1" w:themeFill="text2" w:themeFillTint="33"/>
            <w:vAlign w:val="center"/>
          </w:tcPr>
          <w:p w14:paraId="60C22CD7" w14:textId="77777777" w:rsidR="00350BB8" w:rsidRPr="004E0048" w:rsidRDefault="00350BB8" w:rsidP="00350BB8">
            <w:pPr>
              <w:keepNext/>
              <w:keepLines/>
              <w:tabs>
                <w:tab w:val="right" w:pos="1134"/>
              </w:tabs>
              <w:rPr>
                <w:b/>
                <w:sz w:val="16"/>
                <w:szCs w:val="16"/>
              </w:rPr>
            </w:pPr>
            <w:r w:rsidRPr="004E0048">
              <w:rPr>
                <w:b/>
                <w:sz w:val="16"/>
                <w:szCs w:val="16"/>
              </w:rPr>
              <w:t>Incidences budgétaires</w:t>
            </w:r>
          </w:p>
        </w:tc>
      </w:tr>
      <w:tr w:rsidR="00350BB8" w:rsidRPr="004E0048" w14:paraId="1C07B2FE" w14:textId="77777777" w:rsidTr="005F2354">
        <w:trPr>
          <w:cantSplit/>
        </w:trPr>
        <w:tc>
          <w:tcPr>
            <w:tcW w:w="2630" w:type="dxa"/>
          </w:tcPr>
          <w:p w14:paraId="2D0A7FFB" w14:textId="77777777" w:rsidR="00350BB8" w:rsidRPr="004E0048" w:rsidRDefault="00350BB8" w:rsidP="00350BB8">
            <w:pPr>
              <w:keepNext/>
              <w:keepLines/>
              <w:tabs>
                <w:tab w:val="right" w:pos="1134"/>
              </w:tabs>
              <w:rPr>
                <w:sz w:val="16"/>
                <w:szCs w:val="16"/>
              </w:rPr>
            </w:pPr>
            <w:r w:rsidRPr="004E0048">
              <w:rPr>
                <w:sz w:val="16"/>
                <w:szCs w:val="16"/>
              </w:rPr>
              <w:t xml:space="preserve">Programme 12 </w:t>
            </w:r>
            <w:r w:rsidRPr="004E0048">
              <w:rPr>
                <w:rFonts w:cs="Arial"/>
                <w:sz w:val="16"/>
                <w:szCs w:val="16"/>
                <w:rtl/>
              </w:rPr>
              <w:t>‏</w:t>
            </w:r>
            <w:r w:rsidRPr="004E0048">
              <w:rPr>
                <w:sz w:val="16"/>
                <w:szCs w:val="16"/>
              </w:rPr>
              <w:t>(Classifications internationales et normes)</w:t>
            </w:r>
          </w:p>
        </w:tc>
        <w:tc>
          <w:tcPr>
            <w:tcW w:w="6585" w:type="dxa"/>
          </w:tcPr>
          <w:p w14:paraId="53987D31" w14:textId="20F57DCE" w:rsidR="00350BB8" w:rsidRPr="004E0048" w:rsidRDefault="00350BB8" w:rsidP="00B604D7">
            <w:pPr>
              <w:keepNext/>
              <w:keepLines/>
              <w:tabs>
                <w:tab w:val="right" w:pos="1134"/>
              </w:tabs>
              <w:rPr>
                <w:sz w:val="16"/>
                <w:szCs w:val="16"/>
              </w:rPr>
            </w:pPr>
            <w:r w:rsidRPr="004E0048">
              <w:rPr>
                <w:sz w:val="16"/>
                <w:szCs w:val="16"/>
              </w:rPr>
              <w:t>Besoins additionnels en ressources autres que les ressources en personnel estimés à 350 000 francs suisses pour mettre au point un outil logiciel afin d’appuyer la mise en œuvre de la norme ST.26</w:t>
            </w:r>
            <w:r w:rsidR="00B604D7">
              <w:rPr>
                <w:sz w:val="16"/>
                <w:szCs w:val="16"/>
              </w:rPr>
              <w:t xml:space="preserve"> (présentation des listages des séquences de nucléotides et d’acides aminés)</w:t>
            </w:r>
          </w:p>
        </w:tc>
      </w:tr>
      <w:tr w:rsidR="00350BB8" w:rsidRPr="004E0048" w14:paraId="5EC25476" w14:textId="77777777" w:rsidTr="005F2354">
        <w:trPr>
          <w:cantSplit/>
        </w:trPr>
        <w:tc>
          <w:tcPr>
            <w:tcW w:w="2630" w:type="dxa"/>
          </w:tcPr>
          <w:p w14:paraId="08B87A1C" w14:textId="77777777" w:rsidR="00350BB8" w:rsidRPr="004E0048" w:rsidRDefault="00350BB8" w:rsidP="00350BB8">
            <w:pPr>
              <w:keepNext/>
              <w:keepLines/>
              <w:tabs>
                <w:tab w:val="right" w:pos="1134"/>
              </w:tabs>
              <w:rPr>
                <w:sz w:val="16"/>
                <w:szCs w:val="16"/>
              </w:rPr>
            </w:pPr>
            <w:r w:rsidRPr="004E0048">
              <w:rPr>
                <w:sz w:val="16"/>
                <w:szCs w:val="16"/>
              </w:rPr>
              <w:t xml:space="preserve">Programme 13 </w:t>
            </w:r>
            <w:r w:rsidRPr="004E0048">
              <w:rPr>
                <w:rFonts w:cs="Arial"/>
                <w:sz w:val="16"/>
                <w:szCs w:val="16"/>
                <w:rtl/>
              </w:rPr>
              <w:t>‏</w:t>
            </w:r>
            <w:r w:rsidRPr="004E0048">
              <w:rPr>
                <w:sz w:val="16"/>
                <w:szCs w:val="16"/>
              </w:rPr>
              <w:t>(Bases de données mondiales)</w:t>
            </w:r>
          </w:p>
        </w:tc>
        <w:tc>
          <w:tcPr>
            <w:tcW w:w="6585" w:type="dxa"/>
          </w:tcPr>
          <w:p w14:paraId="0F417F6E" w14:textId="1A2ABB6D" w:rsidR="00350BB8" w:rsidRPr="004E0048" w:rsidRDefault="00350BB8" w:rsidP="00350BB8">
            <w:pPr>
              <w:keepNext/>
              <w:keepLines/>
              <w:tabs>
                <w:tab w:val="right" w:pos="1134"/>
              </w:tabs>
              <w:rPr>
                <w:sz w:val="16"/>
                <w:szCs w:val="16"/>
              </w:rPr>
            </w:pPr>
            <w:r w:rsidRPr="004E0048">
              <w:rPr>
                <w:sz w:val="16"/>
                <w:szCs w:val="16"/>
              </w:rPr>
              <w:t>Besoins additionnels en ressources en personnel et autres que les ressources en personnel estimés respectivement à 814 600 francs suisses et à 700 000 francs suisses pour pouvoir élargir la portée géographique des bases de données mondiales de l’OMPI et améliorer WIPO Translate</w:t>
            </w:r>
          </w:p>
        </w:tc>
      </w:tr>
      <w:tr w:rsidR="00350BB8" w:rsidRPr="004E0048" w14:paraId="4A2DC9B2" w14:textId="77777777" w:rsidTr="005F2354">
        <w:trPr>
          <w:cantSplit/>
        </w:trPr>
        <w:tc>
          <w:tcPr>
            <w:tcW w:w="2630" w:type="dxa"/>
          </w:tcPr>
          <w:p w14:paraId="602F17DE" w14:textId="77777777" w:rsidR="00350BB8" w:rsidRPr="004E0048" w:rsidRDefault="00350BB8" w:rsidP="00350BB8">
            <w:pPr>
              <w:keepNext/>
              <w:keepLines/>
              <w:tabs>
                <w:tab w:val="right" w:pos="1134"/>
              </w:tabs>
              <w:rPr>
                <w:sz w:val="16"/>
                <w:szCs w:val="16"/>
              </w:rPr>
            </w:pPr>
            <w:r w:rsidRPr="004E0048">
              <w:rPr>
                <w:sz w:val="16"/>
                <w:szCs w:val="16"/>
              </w:rPr>
              <w:t xml:space="preserve">Programme 14 </w:t>
            </w:r>
            <w:r w:rsidRPr="004E0048">
              <w:rPr>
                <w:rFonts w:cs="Arial"/>
                <w:sz w:val="16"/>
                <w:szCs w:val="16"/>
                <w:rtl/>
              </w:rPr>
              <w:t>‏</w:t>
            </w:r>
            <w:r w:rsidRPr="004E0048">
              <w:rPr>
                <w:sz w:val="16"/>
                <w:szCs w:val="16"/>
              </w:rPr>
              <w:t>(</w:t>
            </w:r>
            <w:r w:rsidRPr="004E0048">
              <w:rPr>
                <w:sz w:val="16"/>
                <w:szCs w:val="16"/>
                <w:rtl/>
                <w:cs/>
              </w:rPr>
              <w:t>‎Services d‏’</w:t>
            </w:r>
            <w:r w:rsidRPr="004E0048">
              <w:rPr>
                <w:rFonts w:cs="Arial"/>
                <w:sz w:val="16"/>
                <w:szCs w:val="16"/>
                <w:cs/>
              </w:rPr>
              <w:t>‎</w:t>
            </w:r>
            <w:r w:rsidRPr="004E0048">
              <w:rPr>
                <w:sz w:val="16"/>
                <w:szCs w:val="16"/>
                <w:rtl/>
                <w:cs/>
              </w:rPr>
              <w:t>accès à l‏’‎</w:t>
            </w:r>
            <w:r w:rsidRPr="004E0048">
              <w:rPr>
                <w:sz w:val="16"/>
                <w:szCs w:val="16"/>
              </w:rPr>
              <w:t>information et aux savoirs)</w:t>
            </w:r>
          </w:p>
        </w:tc>
        <w:tc>
          <w:tcPr>
            <w:tcW w:w="6585" w:type="dxa"/>
          </w:tcPr>
          <w:p w14:paraId="09B39A29" w14:textId="77777777" w:rsidR="00350BB8" w:rsidRPr="004E0048" w:rsidRDefault="00350BB8" w:rsidP="00350BB8">
            <w:pPr>
              <w:keepNext/>
              <w:keepLines/>
              <w:tabs>
                <w:tab w:val="right" w:pos="1134"/>
              </w:tabs>
              <w:rPr>
                <w:sz w:val="16"/>
                <w:szCs w:val="16"/>
              </w:rPr>
            </w:pPr>
            <w:r w:rsidRPr="004E0048">
              <w:rPr>
                <w:sz w:val="16"/>
                <w:szCs w:val="16"/>
              </w:rPr>
              <w:t>Les ressources connexes sont indiquées dans le programme</w:t>
            </w:r>
          </w:p>
        </w:tc>
      </w:tr>
      <w:tr w:rsidR="00350BB8" w:rsidRPr="004E0048" w14:paraId="31CA95A2" w14:textId="77777777" w:rsidTr="005F2354">
        <w:trPr>
          <w:cantSplit/>
        </w:trPr>
        <w:tc>
          <w:tcPr>
            <w:tcW w:w="2630" w:type="dxa"/>
          </w:tcPr>
          <w:p w14:paraId="599F9159" w14:textId="77777777" w:rsidR="00350BB8" w:rsidRPr="004E0048" w:rsidRDefault="00350BB8" w:rsidP="00350BB8">
            <w:pPr>
              <w:keepNext/>
              <w:keepLines/>
              <w:tabs>
                <w:tab w:val="right" w:pos="1134"/>
              </w:tabs>
              <w:rPr>
                <w:sz w:val="16"/>
                <w:szCs w:val="16"/>
              </w:rPr>
            </w:pPr>
            <w:r w:rsidRPr="004E0048">
              <w:rPr>
                <w:sz w:val="16"/>
                <w:szCs w:val="16"/>
              </w:rPr>
              <w:t>Programme 15 (</w:t>
            </w:r>
            <w:r w:rsidRPr="004E0048">
              <w:rPr>
                <w:rFonts w:cs="Arial"/>
                <w:sz w:val="16"/>
                <w:szCs w:val="16"/>
                <w:cs/>
              </w:rPr>
              <w:t>‎</w:t>
            </w:r>
            <w:r w:rsidRPr="004E0048">
              <w:rPr>
                <w:sz w:val="16"/>
                <w:szCs w:val="16"/>
                <w:rtl/>
                <w:cs/>
              </w:rPr>
              <w:t>Solutions opérationnelles pour les offices de propriété intellectuelle)</w:t>
            </w:r>
          </w:p>
        </w:tc>
        <w:tc>
          <w:tcPr>
            <w:tcW w:w="6585" w:type="dxa"/>
          </w:tcPr>
          <w:p w14:paraId="5997DB72" w14:textId="77777777" w:rsidR="00350BB8" w:rsidRPr="004E0048" w:rsidRDefault="00350BB8" w:rsidP="00350BB8">
            <w:pPr>
              <w:keepNext/>
              <w:keepLines/>
              <w:tabs>
                <w:tab w:val="right" w:pos="1134"/>
              </w:tabs>
              <w:rPr>
                <w:sz w:val="16"/>
                <w:szCs w:val="16"/>
              </w:rPr>
            </w:pPr>
            <w:r w:rsidRPr="004E0048">
              <w:rPr>
                <w:sz w:val="16"/>
                <w:szCs w:val="16"/>
              </w:rPr>
              <w:t>Besoins additionnels en ressources en personnel et autres que les ressources en personnel estimés respectivement à 357 700 francs suisses et à 423 532 francs suisses pour appuyer l’utilisation de la série de modules IPAS</w:t>
            </w:r>
            <w:r w:rsidRPr="004E0048">
              <w:rPr>
                <w:lang w:val="fr-CH"/>
              </w:rPr>
              <w:t xml:space="preserve"> </w:t>
            </w:r>
            <w:r w:rsidRPr="004E0048">
              <w:rPr>
                <w:sz w:val="16"/>
                <w:szCs w:val="16"/>
              </w:rPr>
              <w:t>dans les offices nationaux de propriété intellectuelle, établir un groupe consultatif et déployer la solution WIPO Connect</w:t>
            </w:r>
          </w:p>
        </w:tc>
      </w:tr>
      <w:tr w:rsidR="00350BB8" w:rsidRPr="004E0048" w14:paraId="22593A23" w14:textId="77777777" w:rsidTr="005F2354">
        <w:trPr>
          <w:cantSplit/>
        </w:trPr>
        <w:tc>
          <w:tcPr>
            <w:tcW w:w="2630" w:type="dxa"/>
            <w:shd w:val="clear" w:color="auto" w:fill="C6D9F1" w:themeFill="text2" w:themeFillTint="33"/>
          </w:tcPr>
          <w:p w14:paraId="43DB2CEF" w14:textId="77777777" w:rsidR="00350BB8" w:rsidRPr="004E0048" w:rsidRDefault="00350BB8" w:rsidP="00350BB8">
            <w:pPr>
              <w:keepNext/>
              <w:keepLines/>
              <w:tabs>
                <w:tab w:val="right" w:pos="1134"/>
              </w:tabs>
              <w:rPr>
                <w:sz w:val="16"/>
                <w:szCs w:val="16"/>
              </w:rPr>
            </w:pPr>
          </w:p>
        </w:tc>
        <w:tc>
          <w:tcPr>
            <w:tcW w:w="6585" w:type="dxa"/>
            <w:shd w:val="clear" w:color="auto" w:fill="C6D9F1" w:themeFill="text2" w:themeFillTint="33"/>
          </w:tcPr>
          <w:p w14:paraId="4A57B8CC" w14:textId="77777777" w:rsidR="00350BB8" w:rsidRPr="004E0048" w:rsidRDefault="00350BB8" w:rsidP="00350BB8">
            <w:pPr>
              <w:keepNext/>
              <w:keepLines/>
              <w:tabs>
                <w:tab w:val="right" w:pos="1134"/>
              </w:tabs>
              <w:rPr>
                <w:sz w:val="16"/>
                <w:szCs w:val="16"/>
              </w:rPr>
            </w:pPr>
          </w:p>
        </w:tc>
      </w:tr>
    </w:tbl>
    <w:p w14:paraId="2A2CBDBF"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385A1DFE" w14:textId="77777777" w:rsidR="00350BB8" w:rsidRPr="004E0048" w:rsidRDefault="00350BB8" w:rsidP="00350BB8">
      <w:pPr>
        <w:pStyle w:val="ListParagraph"/>
        <w:widowControl w:val="0"/>
        <w:tabs>
          <w:tab w:val="left" w:pos="567"/>
        </w:tabs>
        <w:ind w:left="0"/>
        <w:jc w:val="both"/>
        <w:rPr>
          <w:rFonts w:cs="Arial"/>
        </w:rPr>
      </w:pPr>
    </w:p>
    <w:p w14:paraId="743D5CC8" w14:textId="77777777" w:rsidR="00350BB8" w:rsidRPr="004E0048" w:rsidRDefault="00350BB8" w:rsidP="00350BB8">
      <w:pPr>
        <w:widowControl w:val="0"/>
        <w:tabs>
          <w:tab w:val="num" w:pos="690"/>
        </w:tabs>
        <w:jc w:val="both"/>
        <w:rPr>
          <w:b/>
        </w:rPr>
      </w:pPr>
    </w:p>
    <w:p w14:paraId="711D57BE" w14:textId="77777777" w:rsidR="00350BB8" w:rsidRPr="004E0048" w:rsidRDefault="00350BB8" w:rsidP="00350BB8">
      <w:pPr>
        <w:widowControl w:val="0"/>
        <w:tabs>
          <w:tab w:val="num" w:pos="690"/>
        </w:tabs>
        <w:jc w:val="both"/>
        <w:rPr>
          <w:b/>
        </w:rPr>
      </w:pPr>
      <w:r w:rsidRPr="004E0048">
        <w:rPr>
          <w:b/>
        </w:rPr>
        <w:t>Source de références mondiale pour l’information et l’analyse en matière de propriété intellectuelle</w:t>
      </w:r>
    </w:p>
    <w:p w14:paraId="0DBC143B" w14:textId="77777777" w:rsidR="00350BB8" w:rsidRPr="004E0048" w:rsidRDefault="00350BB8" w:rsidP="00350BB8">
      <w:pPr>
        <w:pStyle w:val="ListParagraph"/>
        <w:widowControl w:val="0"/>
        <w:tabs>
          <w:tab w:val="left" w:pos="567"/>
        </w:tabs>
        <w:ind w:left="567" w:hanging="567"/>
        <w:jc w:val="both"/>
        <w:rPr>
          <w:rFonts w:cs="Arial"/>
        </w:rPr>
      </w:pPr>
    </w:p>
    <w:p w14:paraId="0360C6D2" w14:textId="77777777" w:rsidR="00350BB8" w:rsidRPr="004E0048" w:rsidRDefault="00350BB8" w:rsidP="00616FD3">
      <w:pPr>
        <w:pStyle w:val="ListParagraph"/>
        <w:widowControl w:val="0"/>
        <w:numPr>
          <w:ilvl w:val="0"/>
          <w:numId w:val="93"/>
        </w:numPr>
        <w:tabs>
          <w:tab w:val="left" w:pos="567"/>
        </w:tabs>
        <w:ind w:left="567" w:hanging="567"/>
        <w:jc w:val="both"/>
        <w:rPr>
          <w:rFonts w:cs="Arial"/>
          <w:szCs w:val="20"/>
        </w:rPr>
      </w:pPr>
      <w:r w:rsidRPr="004E0048">
        <w:rPr>
          <w:rFonts w:cs="Arial"/>
          <w:szCs w:val="20"/>
        </w:rPr>
        <w:t xml:space="preserve">Continuer d’élargir la portée géographique et thématique des statistiques de propriété intellectuelle recueillies dans le cadre de l’enquête statistique annuelle de l’OMPI;  continuer d’évaluer les résultats en matière d’innovation en enrichissant et en copubliant l’Indice mondial de l’innovation;  fournir des analyses approfondies sur le rôle que joue le système de propriété </w:t>
      </w:r>
      <w:r w:rsidRPr="004E0048">
        <w:rPr>
          <w:rFonts w:cs="Arial"/>
          <w:szCs w:val="20"/>
        </w:rPr>
        <w:lastRenderedPageBreak/>
        <w:t>intellectuelle dans l’économie mondiale en publiant les rapports thématiques sur la propriété intellectuelle dans le monde;  continuer de mettre au point et de renforcer le programme de recherche sur la politique et les résultats dans l’économie de la création.</w:t>
      </w:r>
    </w:p>
    <w:p w14:paraId="32B82049" w14:textId="77777777" w:rsidR="00350BB8" w:rsidRPr="004E0048" w:rsidRDefault="00350BB8" w:rsidP="00350BB8">
      <w:pPr>
        <w:pStyle w:val="ListParagraph"/>
        <w:widowControl w:val="0"/>
        <w:tabs>
          <w:tab w:val="left" w:pos="567"/>
        </w:tabs>
        <w:ind w:left="567" w:hanging="567"/>
        <w:jc w:val="both"/>
        <w:rPr>
          <w:rFonts w:cs="Arial"/>
        </w:rPr>
      </w:pPr>
    </w:p>
    <w:tbl>
      <w:tblPr>
        <w:tblW w:w="4961" w:type="pct"/>
        <w:tblCellMar>
          <w:top w:w="57" w:type="dxa"/>
          <w:bottom w:w="57" w:type="dxa"/>
        </w:tblCellMar>
        <w:tblLook w:val="04A0" w:firstRow="1" w:lastRow="0" w:firstColumn="1" w:lastColumn="0" w:noHBand="0" w:noVBand="1"/>
      </w:tblPr>
      <w:tblGrid>
        <w:gridCol w:w="2490"/>
        <w:gridCol w:w="6725"/>
      </w:tblGrid>
      <w:tr w:rsidR="00350BB8" w:rsidRPr="004E0048" w14:paraId="33621E12" w14:textId="77777777" w:rsidTr="005F2354">
        <w:trPr>
          <w:cantSplit/>
        </w:trPr>
        <w:tc>
          <w:tcPr>
            <w:tcW w:w="2490" w:type="dxa"/>
            <w:shd w:val="clear" w:color="auto" w:fill="C6D9F1" w:themeFill="text2" w:themeFillTint="33"/>
            <w:vAlign w:val="center"/>
          </w:tcPr>
          <w:p w14:paraId="5CBB5A9F" w14:textId="77777777" w:rsidR="00350BB8" w:rsidRPr="004E0048" w:rsidRDefault="00350BB8" w:rsidP="00350BB8">
            <w:pPr>
              <w:tabs>
                <w:tab w:val="right" w:pos="1134"/>
              </w:tabs>
              <w:rPr>
                <w:b/>
                <w:sz w:val="16"/>
                <w:szCs w:val="16"/>
              </w:rPr>
            </w:pPr>
            <w:r w:rsidRPr="004E0048">
              <w:rPr>
                <w:b/>
                <w:sz w:val="16"/>
                <w:szCs w:val="16"/>
              </w:rPr>
              <w:t>Programme</w:t>
            </w:r>
          </w:p>
        </w:tc>
        <w:tc>
          <w:tcPr>
            <w:tcW w:w="6725" w:type="dxa"/>
            <w:shd w:val="clear" w:color="auto" w:fill="C6D9F1" w:themeFill="text2" w:themeFillTint="33"/>
            <w:vAlign w:val="center"/>
          </w:tcPr>
          <w:p w14:paraId="1A907841" w14:textId="77777777" w:rsidR="00350BB8" w:rsidRPr="004E0048" w:rsidRDefault="00350BB8" w:rsidP="00350BB8">
            <w:pPr>
              <w:tabs>
                <w:tab w:val="right" w:pos="1134"/>
              </w:tabs>
              <w:rPr>
                <w:b/>
                <w:sz w:val="16"/>
                <w:szCs w:val="16"/>
              </w:rPr>
            </w:pPr>
            <w:r w:rsidRPr="004E0048">
              <w:rPr>
                <w:b/>
                <w:sz w:val="16"/>
                <w:szCs w:val="16"/>
              </w:rPr>
              <w:t>Incidences budgétaires</w:t>
            </w:r>
          </w:p>
        </w:tc>
      </w:tr>
      <w:tr w:rsidR="00350BB8" w:rsidRPr="004E0048" w14:paraId="2246711A" w14:textId="77777777" w:rsidTr="005F2354">
        <w:trPr>
          <w:cantSplit/>
        </w:trPr>
        <w:tc>
          <w:tcPr>
            <w:tcW w:w="2490" w:type="dxa"/>
          </w:tcPr>
          <w:p w14:paraId="66B07C51" w14:textId="77777777" w:rsidR="00350BB8" w:rsidRPr="004E0048" w:rsidRDefault="00350BB8" w:rsidP="00350BB8">
            <w:pPr>
              <w:tabs>
                <w:tab w:val="right" w:pos="1134"/>
              </w:tabs>
              <w:rPr>
                <w:sz w:val="16"/>
                <w:szCs w:val="16"/>
              </w:rPr>
            </w:pPr>
            <w:r w:rsidRPr="004E0048">
              <w:rPr>
                <w:sz w:val="16"/>
                <w:szCs w:val="16"/>
              </w:rPr>
              <w:t>Programme 16 (</w:t>
            </w:r>
            <w:r w:rsidRPr="004E0048">
              <w:rPr>
                <w:rFonts w:cs="Arial"/>
                <w:sz w:val="16"/>
                <w:szCs w:val="16"/>
                <w:cs/>
              </w:rPr>
              <w:t>‎</w:t>
            </w:r>
            <w:r w:rsidRPr="004E0048">
              <w:rPr>
                <w:sz w:val="16"/>
                <w:szCs w:val="16"/>
                <w:rtl/>
                <w:cs/>
              </w:rPr>
              <w:t>Économie et statistiques)</w:t>
            </w:r>
          </w:p>
        </w:tc>
        <w:tc>
          <w:tcPr>
            <w:tcW w:w="6725" w:type="dxa"/>
          </w:tcPr>
          <w:p w14:paraId="1B518ACC" w14:textId="77777777" w:rsidR="00350BB8" w:rsidRPr="004E0048" w:rsidRDefault="00350BB8" w:rsidP="00350BB8">
            <w:pPr>
              <w:tabs>
                <w:tab w:val="right" w:pos="1134"/>
              </w:tabs>
              <w:rPr>
                <w:sz w:val="16"/>
                <w:szCs w:val="16"/>
              </w:rPr>
            </w:pPr>
            <w:r w:rsidRPr="004E0048">
              <w:rPr>
                <w:sz w:val="16"/>
                <w:szCs w:val="16"/>
              </w:rPr>
              <w:t>Besoins additionnels en ressources en personnel et autres que les ressources en personnel estimés respectivement à 357 700 francs suisses et à 215 000 francs suisses pour améliorer l’établissement de rapports statistiques ainsi que la recherche et l’analyse économiques à l’aide de technologies de traitement de mégadonnées, et pour enrichir l’Indice mondial de l’innovation</w:t>
            </w:r>
          </w:p>
        </w:tc>
      </w:tr>
      <w:tr w:rsidR="00350BB8" w:rsidRPr="004E0048" w14:paraId="0DF83B49" w14:textId="77777777" w:rsidTr="005F2354">
        <w:trPr>
          <w:cantSplit/>
        </w:trPr>
        <w:tc>
          <w:tcPr>
            <w:tcW w:w="2490" w:type="dxa"/>
            <w:shd w:val="clear" w:color="auto" w:fill="C6D9F1" w:themeFill="text2" w:themeFillTint="33"/>
          </w:tcPr>
          <w:p w14:paraId="036DC6BE" w14:textId="77777777" w:rsidR="00350BB8" w:rsidRPr="004E0048" w:rsidRDefault="00350BB8" w:rsidP="00350BB8">
            <w:pPr>
              <w:tabs>
                <w:tab w:val="right" w:pos="1134"/>
              </w:tabs>
              <w:rPr>
                <w:sz w:val="16"/>
                <w:szCs w:val="16"/>
              </w:rPr>
            </w:pPr>
          </w:p>
        </w:tc>
        <w:tc>
          <w:tcPr>
            <w:tcW w:w="6725" w:type="dxa"/>
            <w:shd w:val="clear" w:color="auto" w:fill="C6D9F1" w:themeFill="text2" w:themeFillTint="33"/>
          </w:tcPr>
          <w:p w14:paraId="256E27C3" w14:textId="77777777" w:rsidR="00350BB8" w:rsidRPr="004E0048" w:rsidRDefault="00350BB8" w:rsidP="00350BB8">
            <w:pPr>
              <w:tabs>
                <w:tab w:val="right" w:pos="1134"/>
              </w:tabs>
              <w:rPr>
                <w:sz w:val="16"/>
                <w:szCs w:val="16"/>
              </w:rPr>
            </w:pPr>
          </w:p>
        </w:tc>
      </w:tr>
    </w:tbl>
    <w:p w14:paraId="117804C8"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354B33FE" w14:textId="77777777" w:rsidR="00350BB8" w:rsidRPr="004E0048" w:rsidRDefault="00350BB8" w:rsidP="00350BB8">
      <w:pPr>
        <w:tabs>
          <w:tab w:val="right" w:pos="1134"/>
        </w:tabs>
        <w:jc w:val="both"/>
      </w:pPr>
    </w:p>
    <w:p w14:paraId="21165983" w14:textId="77777777" w:rsidR="00350BB8" w:rsidRPr="004E0048" w:rsidRDefault="00350BB8" w:rsidP="00350BB8">
      <w:pPr>
        <w:tabs>
          <w:tab w:val="right" w:pos="1134"/>
        </w:tabs>
        <w:jc w:val="both"/>
      </w:pPr>
    </w:p>
    <w:p w14:paraId="7174BFF1" w14:textId="77777777" w:rsidR="00350BB8" w:rsidRPr="004E0048" w:rsidRDefault="00350BB8" w:rsidP="00350BB8">
      <w:pPr>
        <w:widowControl w:val="0"/>
        <w:tabs>
          <w:tab w:val="num" w:pos="690"/>
        </w:tabs>
        <w:jc w:val="both"/>
        <w:rPr>
          <w:b/>
        </w:rPr>
      </w:pPr>
      <w:r w:rsidRPr="004E0048">
        <w:rPr>
          <w:b/>
        </w:rPr>
        <w:t>Promotion du respect de la propriété intellectuelle</w:t>
      </w:r>
    </w:p>
    <w:p w14:paraId="26F47A16" w14:textId="77777777" w:rsidR="00350BB8" w:rsidRPr="004E0048" w:rsidRDefault="00350BB8" w:rsidP="00350BB8">
      <w:pPr>
        <w:pStyle w:val="ListParagraph"/>
        <w:tabs>
          <w:tab w:val="right" w:pos="1134"/>
        </w:tabs>
        <w:ind w:left="2520"/>
        <w:jc w:val="both"/>
        <w:rPr>
          <w:rFonts w:cs="Arial"/>
        </w:rPr>
      </w:pPr>
    </w:p>
    <w:p w14:paraId="0BFC694C" w14:textId="77777777" w:rsidR="00350BB8" w:rsidRPr="004E0048" w:rsidRDefault="00350BB8" w:rsidP="00616FD3">
      <w:pPr>
        <w:pStyle w:val="ListParagraph"/>
        <w:widowControl w:val="0"/>
        <w:numPr>
          <w:ilvl w:val="0"/>
          <w:numId w:val="93"/>
        </w:numPr>
        <w:tabs>
          <w:tab w:val="left" w:pos="567"/>
        </w:tabs>
        <w:ind w:left="567" w:hanging="567"/>
        <w:jc w:val="both"/>
        <w:rPr>
          <w:rFonts w:cs="Arial"/>
        </w:rPr>
      </w:pPr>
      <w:r w:rsidRPr="004E0048">
        <w:rPr>
          <w:rFonts w:cs="Arial"/>
        </w:rPr>
        <w:t xml:space="preserve">Continuer d’encourager le partage de données d’expérience nationales en ce qui concerne les cadres </w:t>
      </w:r>
      <w:r w:rsidRPr="00350BB8">
        <w:rPr>
          <w:rFonts w:cs="Arial"/>
          <w:szCs w:val="20"/>
        </w:rPr>
        <w:t>juridiques</w:t>
      </w:r>
      <w:r w:rsidRPr="004E0048">
        <w:rPr>
          <w:rFonts w:cs="Arial"/>
        </w:rPr>
        <w:t xml:space="preserve"> et réglementaires d’application ainsi que les activités de prévention qui rendent compte de l’intérêt socioéconomique qu’il y a à promouvoir le respect de la propriété intellectuelle.</w:t>
      </w:r>
    </w:p>
    <w:p w14:paraId="6D605123" w14:textId="77777777" w:rsidR="00350BB8" w:rsidRPr="004E0048" w:rsidRDefault="00350BB8" w:rsidP="00350BB8">
      <w:pPr>
        <w:pStyle w:val="ListParagraph"/>
        <w:tabs>
          <w:tab w:val="right" w:pos="1134"/>
        </w:tabs>
        <w:ind w:left="2520"/>
        <w:jc w:val="both"/>
        <w:rPr>
          <w:rFonts w:cs="Arial"/>
        </w:rPr>
      </w:pPr>
    </w:p>
    <w:tbl>
      <w:tblPr>
        <w:tblW w:w="4961" w:type="pct"/>
        <w:tblCellMar>
          <w:top w:w="57" w:type="dxa"/>
          <w:bottom w:w="57" w:type="dxa"/>
        </w:tblCellMar>
        <w:tblLook w:val="04A0" w:firstRow="1" w:lastRow="0" w:firstColumn="1" w:lastColumn="0" w:noHBand="0" w:noVBand="1"/>
      </w:tblPr>
      <w:tblGrid>
        <w:gridCol w:w="1935"/>
        <w:gridCol w:w="3438"/>
        <w:gridCol w:w="3842"/>
      </w:tblGrid>
      <w:tr w:rsidR="00350BB8" w:rsidRPr="004E0048" w14:paraId="76A5073C" w14:textId="77777777" w:rsidTr="005F2354">
        <w:trPr>
          <w:cantSplit/>
        </w:trPr>
        <w:tc>
          <w:tcPr>
            <w:tcW w:w="1935" w:type="dxa"/>
            <w:shd w:val="clear" w:color="auto" w:fill="C6D9F1" w:themeFill="text2" w:themeFillTint="33"/>
            <w:vAlign w:val="center"/>
          </w:tcPr>
          <w:p w14:paraId="2315A553" w14:textId="77777777" w:rsidR="00350BB8" w:rsidRPr="004E0048" w:rsidRDefault="00350BB8" w:rsidP="00350BB8">
            <w:pPr>
              <w:tabs>
                <w:tab w:val="right" w:pos="1134"/>
              </w:tabs>
              <w:rPr>
                <w:b/>
                <w:sz w:val="16"/>
                <w:szCs w:val="16"/>
              </w:rPr>
            </w:pPr>
            <w:r w:rsidRPr="004E0048">
              <w:rPr>
                <w:b/>
                <w:sz w:val="16"/>
                <w:szCs w:val="16"/>
              </w:rPr>
              <w:t>Programme</w:t>
            </w:r>
          </w:p>
        </w:tc>
        <w:tc>
          <w:tcPr>
            <w:tcW w:w="3438" w:type="dxa"/>
            <w:shd w:val="clear" w:color="auto" w:fill="C6D9F1" w:themeFill="text2" w:themeFillTint="33"/>
            <w:vAlign w:val="center"/>
          </w:tcPr>
          <w:p w14:paraId="10743380" w14:textId="77777777" w:rsidR="00350BB8" w:rsidRPr="004E0048" w:rsidRDefault="00350BB8" w:rsidP="00350BB8">
            <w:pPr>
              <w:tabs>
                <w:tab w:val="right" w:pos="1134"/>
              </w:tabs>
              <w:rPr>
                <w:b/>
                <w:sz w:val="16"/>
                <w:szCs w:val="16"/>
              </w:rPr>
            </w:pPr>
            <w:r w:rsidRPr="004E0048">
              <w:rPr>
                <w:b/>
                <w:sz w:val="16"/>
                <w:szCs w:val="16"/>
              </w:rPr>
              <w:t>Hypothèses de planification</w:t>
            </w:r>
          </w:p>
        </w:tc>
        <w:tc>
          <w:tcPr>
            <w:tcW w:w="3842" w:type="dxa"/>
            <w:shd w:val="clear" w:color="auto" w:fill="C6D9F1" w:themeFill="text2" w:themeFillTint="33"/>
            <w:vAlign w:val="center"/>
          </w:tcPr>
          <w:p w14:paraId="54E880E0" w14:textId="77777777" w:rsidR="00350BB8" w:rsidRPr="004E0048" w:rsidRDefault="00350BB8" w:rsidP="00350BB8">
            <w:pPr>
              <w:tabs>
                <w:tab w:val="right" w:pos="1134"/>
              </w:tabs>
              <w:rPr>
                <w:b/>
                <w:sz w:val="16"/>
                <w:szCs w:val="16"/>
              </w:rPr>
            </w:pPr>
            <w:r w:rsidRPr="004E0048">
              <w:rPr>
                <w:b/>
                <w:sz w:val="16"/>
                <w:szCs w:val="16"/>
              </w:rPr>
              <w:t>Incidences budgétaires</w:t>
            </w:r>
          </w:p>
        </w:tc>
      </w:tr>
      <w:tr w:rsidR="00350BB8" w:rsidRPr="004E0048" w14:paraId="0D74133D" w14:textId="77777777" w:rsidTr="005F2354">
        <w:trPr>
          <w:cantSplit/>
        </w:trPr>
        <w:tc>
          <w:tcPr>
            <w:tcW w:w="1935" w:type="dxa"/>
          </w:tcPr>
          <w:p w14:paraId="6AE0892A" w14:textId="77777777" w:rsidR="00350BB8" w:rsidRPr="004E0048" w:rsidRDefault="00350BB8" w:rsidP="00350BB8">
            <w:pPr>
              <w:tabs>
                <w:tab w:val="right" w:pos="1134"/>
              </w:tabs>
              <w:rPr>
                <w:sz w:val="16"/>
                <w:szCs w:val="16"/>
              </w:rPr>
            </w:pPr>
            <w:r w:rsidRPr="004E0048">
              <w:rPr>
                <w:sz w:val="16"/>
                <w:szCs w:val="16"/>
              </w:rPr>
              <w:t>Programme 17 (</w:t>
            </w:r>
            <w:r w:rsidRPr="004E0048">
              <w:rPr>
                <w:rFonts w:cs="Arial"/>
                <w:sz w:val="16"/>
                <w:szCs w:val="16"/>
                <w:cs/>
              </w:rPr>
              <w:t>‎</w:t>
            </w:r>
            <w:r w:rsidRPr="004E0048">
              <w:rPr>
                <w:sz w:val="16"/>
                <w:szCs w:val="16"/>
                <w:rtl/>
                <w:cs/>
              </w:rPr>
              <w:t>Promotion du respect de la propriété intellectuelle)</w:t>
            </w:r>
          </w:p>
        </w:tc>
        <w:tc>
          <w:tcPr>
            <w:tcW w:w="3438" w:type="dxa"/>
          </w:tcPr>
          <w:p w14:paraId="30F61B9B" w14:textId="77777777" w:rsidR="00350BB8" w:rsidRPr="004E0048" w:rsidRDefault="00350BB8" w:rsidP="00350BB8">
            <w:pPr>
              <w:tabs>
                <w:tab w:val="right" w:pos="1134"/>
              </w:tabs>
              <w:rPr>
                <w:sz w:val="16"/>
                <w:szCs w:val="16"/>
              </w:rPr>
            </w:pPr>
            <w:r w:rsidRPr="004E0048">
              <w:rPr>
                <w:sz w:val="16"/>
                <w:szCs w:val="16"/>
              </w:rPr>
              <w:t>Deux sessions du Comité consultatif sur l’application des droits (ACE)</w:t>
            </w:r>
          </w:p>
        </w:tc>
        <w:tc>
          <w:tcPr>
            <w:tcW w:w="3842" w:type="dxa"/>
          </w:tcPr>
          <w:p w14:paraId="18EE6A63" w14:textId="77777777" w:rsidR="00350BB8" w:rsidRPr="004E0048" w:rsidRDefault="00350BB8" w:rsidP="00350BB8">
            <w:pPr>
              <w:tabs>
                <w:tab w:val="right" w:pos="1134"/>
              </w:tabs>
              <w:rPr>
                <w:sz w:val="16"/>
                <w:szCs w:val="16"/>
              </w:rPr>
            </w:pPr>
            <w:r w:rsidRPr="004E0048">
              <w:rPr>
                <w:sz w:val="16"/>
                <w:szCs w:val="16"/>
              </w:rPr>
              <w:t xml:space="preserve">Besoins additionnels en ressources autres que les ressources en personnel estimés à 162 450 francs suisses </w:t>
            </w:r>
          </w:p>
        </w:tc>
      </w:tr>
      <w:tr w:rsidR="00350BB8" w:rsidRPr="004E0048" w14:paraId="3CA39B54" w14:textId="77777777" w:rsidTr="005F2354">
        <w:trPr>
          <w:cantSplit/>
        </w:trPr>
        <w:tc>
          <w:tcPr>
            <w:tcW w:w="1935" w:type="dxa"/>
            <w:shd w:val="clear" w:color="auto" w:fill="C6D9F1" w:themeFill="text2" w:themeFillTint="33"/>
            <w:vAlign w:val="center"/>
          </w:tcPr>
          <w:p w14:paraId="3912B246" w14:textId="77777777" w:rsidR="00350BB8" w:rsidRPr="004E0048" w:rsidRDefault="00350BB8" w:rsidP="00350BB8">
            <w:pPr>
              <w:tabs>
                <w:tab w:val="right" w:pos="1134"/>
              </w:tabs>
              <w:rPr>
                <w:sz w:val="16"/>
                <w:szCs w:val="16"/>
              </w:rPr>
            </w:pPr>
          </w:p>
        </w:tc>
        <w:tc>
          <w:tcPr>
            <w:tcW w:w="3438" w:type="dxa"/>
            <w:shd w:val="clear" w:color="auto" w:fill="C6D9F1" w:themeFill="text2" w:themeFillTint="33"/>
            <w:vAlign w:val="center"/>
          </w:tcPr>
          <w:p w14:paraId="1D4DFA3A" w14:textId="77777777" w:rsidR="00350BB8" w:rsidRPr="004E0048" w:rsidRDefault="00350BB8" w:rsidP="00350BB8">
            <w:pPr>
              <w:tabs>
                <w:tab w:val="right" w:pos="1134"/>
              </w:tabs>
              <w:rPr>
                <w:sz w:val="16"/>
                <w:szCs w:val="16"/>
              </w:rPr>
            </w:pPr>
          </w:p>
        </w:tc>
        <w:tc>
          <w:tcPr>
            <w:tcW w:w="3842" w:type="dxa"/>
            <w:shd w:val="clear" w:color="auto" w:fill="C6D9F1" w:themeFill="text2" w:themeFillTint="33"/>
            <w:vAlign w:val="center"/>
          </w:tcPr>
          <w:p w14:paraId="538551E5" w14:textId="77777777" w:rsidR="00350BB8" w:rsidRPr="004E0048" w:rsidRDefault="00350BB8" w:rsidP="00350BB8">
            <w:pPr>
              <w:tabs>
                <w:tab w:val="right" w:pos="1134"/>
              </w:tabs>
              <w:rPr>
                <w:sz w:val="16"/>
                <w:szCs w:val="16"/>
              </w:rPr>
            </w:pPr>
          </w:p>
        </w:tc>
      </w:tr>
    </w:tbl>
    <w:p w14:paraId="445C2F91"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43970658" w14:textId="77777777" w:rsidR="00350BB8" w:rsidRPr="004E0048" w:rsidRDefault="00350BB8" w:rsidP="00350BB8">
      <w:pPr>
        <w:tabs>
          <w:tab w:val="right" w:pos="1134"/>
        </w:tabs>
        <w:jc w:val="both"/>
      </w:pPr>
    </w:p>
    <w:p w14:paraId="13DB3CC2" w14:textId="77777777" w:rsidR="00350BB8" w:rsidRPr="004E0048" w:rsidRDefault="00350BB8" w:rsidP="00350BB8">
      <w:pPr>
        <w:tabs>
          <w:tab w:val="right" w:pos="1134"/>
        </w:tabs>
        <w:jc w:val="both"/>
      </w:pPr>
    </w:p>
    <w:p w14:paraId="5CB68956" w14:textId="77777777" w:rsidR="00350BB8" w:rsidRPr="004E0048" w:rsidRDefault="00350BB8" w:rsidP="00350BB8">
      <w:pPr>
        <w:widowControl w:val="0"/>
        <w:tabs>
          <w:tab w:val="num" w:pos="690"/>
        </w:tabs>
        <w:jc w:val="both"/>
        <w:rPr>
          <w:b/>
        </w:rPr>
      </w:pPr>
      <w:r w:rsidRPr="004E0048">
        <w:rPr>
          <w:b/>
        </w:rPr>
        <w:t>Interface de communication dynamique</w:t>
      </w:r>
    </w:p>
    <w:p w14:paraId="61BF7E2F" w14:textId="77777777" w:rsidR="00350BB8" w:rsidRPr="004E0048" w:rsidRDefault="00350BB8" w:rsidP="00350BB8">
      <w:pPr>
        <w:tabs>
          <w:tab w:val="right" w:pos="1134"/>
        </w:tabs>
        <w:ind w:left="567" w:hanging="567"/>
        <w:jc w:val="both"/>
      </w:pPr>
    </w:p>
    <w:p w14:paraId="0A58B807" w14:textId="77777777" w:rsidR="00350BB8" w:rsidRPr="004E0048" w:rsidRDefault="00350BB8" w:rsidP="00350BB8">
      <w:pPr>
        <w:pStyle w:val="ListParagraph"/>
        <w:numPr>
          <w:ilvl w:val="0"/>
          <w:numId w:val="7"/>
        </w:numPr>
        <w:jc w:val="both"/>
        <w:rPr>
          <w:rFonts w:cs="Arial"/>
        </w:rPr>
      </w:pPr>
      <w:r w:rsidRPr="004E0048">
        <w:rPr>
          <w:rFonts w:cs="Arial"/>
        </w:rPr>
        <w:t>Mettre en œuvre des stratégies intégrées en ce qui concerne la commercialisation, les communications et la presse;  créer des contenus multimédias et des informations attrayants en vue de les diffuser à l’intention des publics clés (par exemple le site Web de l’OMPI et les réseaux sociaux, WIPO Wire, le magazine de l’OMPI, les bulletins d’information, etc.);  appuyer et promouvoir les publications économiques et statistiques phares de l’OMPI ainsi que les initiatives public-privé;  optimiser et accroître la présence de l’OMPI sur les réseaux sociaux et numériques, y compris en mettant au point une nouvelle application mobile et en créant de nouveaux contenus multiformats et interactifs.</w:t>
      </w:r>
    </w:p>
    <w:p w14:paraId="0898AE0D" w14:textId="77777777" w:rsidR="00350BB8" w:rsidRPr="004E0048" w:rsidRDefault="00350BB8" w:rsidP="00350BB8">
      <w:pPr>
        <w:pStyle w:val="ListParagraph"/>
        <w:ind w:left="567" w:hanging="567"/>
        <w:jc w:val="both"/>
        <w:rPr>
          <w:rFonts w:cs="Arial"/>
        </w:rPr>
      </w:pPr>
    </w:p>
    <w:p w14:paraId="6459E377" w14:textId="2D64566C" w:rsidR="00350BB8" w:rsidRPr="004E0048" w:rsidRDefault="00350BB8" w:rsidP="00350BB8">
      <w:pPr>
        <w:pStyle w:val="ListParagraph"/>
        <w:numPr>
          <w:ilvl w:val="0"/>
          <w:numId w:val="7"/>
        </w:numPr>
        <w:jc w:val="both"/>
        <w:rPr>
          <w:rFonts w:cs="Arial"/>
          <w:szCs w:val="20"/>
        </w:rPr>
      </w:pPr>
      <w:r w:rsidRPr="004E0048">
        <w:rPr>
          <w:rFonts w:cs="Arial"/>
          <w:szCs w:val="20"/>
        </w:rPr>
        <w:t>Renforcer les partenariats avec les organismes des Nations Unies et les organisations intergouvernementales afin d’appuyer la mise en œuvre du Plan d’action pour le développement à l’horizon 2030 et d’autres objectifs communs à l’échelle mondiale;  appuyer la mise en œuvre de la Convention-cadre des Nations Unies sur les changements climatiques (CCNUCC) et notamment le mécanisme technologique de la CCNUCC;  créer de nouvelles perspectives de coopération stratégique avec de nouveaux partenaires ainsi qu’avec les partenaires existants afin d’appuyer la mise en œuvre des programmes de l’OMPI.</w:t>
      </w:r>
    </w:p>
    <w:p w14:paraId="677835A7" w14:textId="77777777" w:rsidR="00350BB8" w:rsidRPr="004E0048" w:rsidRDefault="00350BB8" w:rsidP="00350BB8">
      <w:pPr>
        <w:ind w:left="567" w:hanging="567"/>
        <w:jc w:val="both"/>
      </w:pPr>
    </w:p>
    <w:p w14:paraId="09AF3751" w14:textId="77777777" w:rsidR="00350BB8" w:rsidRPr="004E0048" w:rsidRDefault="00350BB8" w:rsidP="00350BB8">
      <w:pPr>
        <w:pStyle w:val="ListParagraph"/>
        <w:numPr>
          <w:ilvl w:val="0"/>
          <w:numId w:val="7"/>
        </w:numPr>
        <w:jc w:val="both"/>
        <w:rPr>
          <w:rFonts w:cs="Arial"/>
          <w:szCs w:val="20"/>
        </w:rPr>
      </w:pPr>
      <w:r w:rsidRPr="004E0048">
        <w:rPr>
          <w:rFonts w:cs="Arial"/>
          <w:szCs w:val="20"/>
        </w:rPr>
        <w:t>Veiller à ce que les bureaux extérieurs de l’OMPI, y compris les nouveaux bureaux extérieurs en Algérie et au Nigéria, constituent un prolongement à part entière de l’Organisation sur le terrain et soient pleinement intégrés dans le fonctionnement de l’Organisation.</w:t>
      </w:r>
    </w:p>
    <w:p w14:paraId="21E9C444" w14:textId="77777777" w:rsidR="00350BB8" w:rsidRPr="004E0048" w:rsidRDefault="00350BB8" w:rsidP="00350BB8">
      <w:pPr>
        <w:tabs>
          <w:tab w:val="right" w:pos="1134"/>
        </w:tabs>
        <w:jc w:val="both"/>
      </w:pPr>
    </w:p>
    <w:tbl>
      <w:tblPr>
        <w:tblW w:w="4961" w:type="pct"/>
        <w:tblCellMar>
          <w:top w:w="57" w:type="dxa"/>
          <w:bottom w:w="57" w:type="dxa"/>
        </w:tblCellMar>
        <w:tblLook w:val="04A0" w:firstRow="1" w:lastRow="0" w:firstColumn="1" w:lastColumn="0" w:noHBand="0" w:noVBand="1"/>
      </w:tblPr>
      <w:tblGrid>
        <w:gridCol w:w="2490"/>
        <w:gridCol w:w="6725"/>
      </w:tblGrid>
      <w:tr w:rsidR="00350BB8" w:rsidRPr="004E0048" w14:paraId="28DEC836" w14:textId="77777777" w:rsidTr="005F2354">
        <w:trPr>
          <w:cantSplit/>
        </w:trPr>
        <w:tc>
          <w:tcPr>
            <w:tcW w:w="2490" w:type="dxa"/>
            <w:shd w:val="clear" w:color="auto" w:fill="C6D9F1" w:themeFill="text2" w:themeFillTint="33"/>
            <w:vAlign w:val="center"/>
          </w:tcPr>
          <w:p w14:paraId="201B3421" w14:textId="77777777" w:rsidR="00350BB8" w:rsidRPr="004E0048" w:rsidRDefault="00350BB8" w:rsidP="00350BB8">
            <w:pPr>
              <w:keepNext/>
              <w:tabs>
                <w:tab w:val="right" w:pos="1134"/>
              </w:tabs>
              <w:rPr>
                <w:b/>
                <w:sz w:val="16"/>
                <w:szCs w:val="16"/>
              </w:rPr>
            </w:pPr>
            <w:r w:rsidRPr="004E0048">
              <w:rPr>
                <w:b/>
                <w:sz w:val="16"/>
                <w:szCs w:val="16"/>
              </w:rPr>
              <w:lastRenderedPageBreak/>
              <w:t>Programme</w:t>
            </w:r>
          </w:p>
        </w:tc>
        <w:tc>
          <w:tcPr>
            <w:tcW w:w="6725" w:type="dxa"/>
            <w:shd w:val="clear" w:color="auto" w:fill="C6D9F1" w:themeFill="text2" w:themeFillTint="33"/>
            <w:vAlign w:val="center"/>
          </w:tcPr>
          <w:p w14:paraId="4EAB9E25" w14:textId="77777777" w:rsidR="00350BB8" w:rsidRPr="004E0048" w:rsidRDefault="00350BB8" w:rsidP="00350BB8">
            <w:pPr>
              <w:keepNext/>
              <w:tabs>
                <w:tab w:val="right" w:pos="1134"/>
              </w:tabs>
              <w:rPr>
                <w:b/>
                <w:sz w:val="16"/>
                <w:szCs w:val="16"/>
              </w:rPr>
            </w:pPr>
            <w:r w:rsidRPr="004E0048">
              <w:rPr>
                <w:b/>
                <w:sz w:val="16"/>
                <w:szCs w:val="16"/>
              </w:rPr>
              <w:t>Incidences budgétaires</w:t>
            </w:r>
          </w:p>
        </w:tc>
      </w:tr>
      <w:tr w:rsidR="00350BB8" w:rsidRPr="004E0048" w14:paraId="74D49BF1" w14:textId="77777777" w:rsidTr="005F2354">
        <w:trPr>
          <w:cantSplit/>
        </w:trPr>
        <w:tc>
          <w:tcPr>
            <w:tcW w:w="2490" w:type="dxa"/>
          </w:tcPr>
          <w:p w14:paraId="16769BB2" w14:textId="1705E3EA" w:rsidR="00350BB8" w:rsidRPr="004E0048" w:rsidRDefault="00350BB8" w:rsidP="00350BB8">
            <w:pPr>
              <w:keepNext/>
              <w:tabs>
                <w:tab w:val="right" w:pos="1134"/>
              </w:tabs>
              <w:rPr>
                <w:sz w:val="16"/>
                <w:szCs w:val="16"/>
              </w:rPr>
            </w:pPr>
            <w:r w:rsidRPr="004E0048">
              <w:rPr>
                <w:sz w:val="16"/>
                <w:szCs w:val="16"/>
              </w:rPr>
              <w:t xml:space="preserve">Programme 19 </w:t>
            </w:r>
            <w:r w:rsidRPr="004E0048">
              <w:rPr>
                <w:rFonts w:cs="Arial"/>
                <w:sz w:val="16"/>
                <w:szCs w:val="16"/>
                <w:rtl/>
              </w:rPr>
              <w:t>‏</w:t>
            </w:r>
            <w:r w:rsidRPr="004E0048">
              <w:rPr>
                <w:sz w:val="16"/>
                <w:szCs w:val="16"/>
              </w:rPr>
              <w:t>(</w:t>
            </w:r>
            <w:r w:rsidRPr="004E0048">
              <w:rPr>
                <w:sz w:val="16"/>
                <w:szCs w:val="16"/>
                <w:rtl/>
                <w:cs/>
              </w:rPr>
              <w:t>‎Communications)</w:t>
            </w:r>
          </w:p>
        </w:tc>
        <w:tc>
          <w:tcPr>
            <w:tcW w:w="6725" w:type="dxa"/>
          </w:tcPr>
          <w:p w14:paraId="2B764F80" w14:textId="77777777" w:rsidR="00350BB8" w:rsidRPr="004E0048" w:rsidRDefault="00350BB8" w:rsidP="00350BB8">
            <w:pPr>
              <w:keepNext/>
              <w:tabs>
                <w:tab w:val="right" w:pos="1134"/>
              </w:tabs>
              <w:rPr>
                <w:sz w:val="16"/>
                <w:szCs w:val="16"/>
              </w:rPr>
            </w:pPr>
            <w:r w:rsidRPr="004E0048">
              <w:rPr>
                <w:sz w:val="16"/>
                <w:szCs w:val="16"/>
              </w:rPr>
              <w:t>Les ressources connexes sont indiquées dans le programme</w:t>
            </w:r>
          </w:p>
        </w:tc>
      </w:tr>
      <w:tr w:rsidR="00350BB8" w:rsidRPr="004E0048" w14:paraId="2B2DA101" w14:textId="77777777" w:rsidTr="005F2354">
        <w:trPr>
          <w:cantSplit/>
        </w:trPr>
        <w:tc>
          <w:tcPr>
            <w:tcW w:w="2490" w:type="dxa"/>
          </w:tcPr>
          <w:p w14:paraId="1B6F6078" w14:textId="77777777" w:rsidR="00350BB8" w:rsidRPr="004E0048" w:rsidRDefault="00350BB8" w:rsidP="00350BB8">
            <w:pPr>
              <w:tabs>
                <w:tab w:val="right" w:pos="1134"/>
              </w:tabs>
              <w:rPr>
                <w:sz w:val="16"/>
                <w:szCs w:val="16"/>
              </w:rPr>
            </w:pPr>
            <w:r w:rsidRPr="004E0048">
              <w:rPr>
                <w:sz w:val="16"/>
                <w:szCs w:val="16"/>
              </w:rPr>
              <w:t>Programme 20 (</w:t>
            </w:r>
            <w:r w:rsidRPr="004E0048">
              <w:rPr>
                <w:rFonts w:cs="Arial"/>
                <w:sz w:val="16"/>
                <w:szCs w:val="16"/>
                <w:cs/>
              </w:rPr>
              <w:t>‎</w:t>
            </w:r>
            <w:r w:rsidRPr="004E0048">
              <w:rPr>
                <w:sz w:val="16"/>
                <w:szCs w:val="16"/>
                <w:rtl/>
                <w:cs/>
              </w:rPr>
              <w:t>Relations extérieures, partenariats et bureaux extérieurs)</w:t>
            </w:r>
          </w:p>
        </w:tc>
        <w:tc>
          <w:tcPr>
            <w:tcW w:w="6725" w:type="dxa"/>
          </w:tcPr>
          <w:p w14:paraId="1AD48F12" w14:textId="77777777" w:rsidR="00350BB8" w:rsidRPr="004E0048" w:rsidRDefault="00350BB8" w:rsidP="00350BB8">
            <w:pPr>
              <w:tabs>
                <w:tab w:val="right" w:pos="1134"/>
              </w:tabs>
              <w:rPr>
                <w:sz w:val="16"/>
                <w:szCs w:val="16"/>
              </w:rPr>
            </w:pPr>
            <w:r w:rsidRPr="004E0048">
              <w:rPr>
                <w:sz w:val="16"/>
                <w:szCs w:val="16"/>
              </w:rPr>
              <w:t>Une provision de 600 000 francs suisses a été inscrite au budget pour couvrir les besoins additionnels en ressources autres que les ressources en personnel estimés en vue de la création de deux nouveaux bureaux extérieurs en Algérie et au Nigéria</w:t>
            </w:r>
          </w:p>
          <w:p w14:paraId="67817735" w14:textId="77777777" w:rsidR="00350BB8" w:rsidRPr="004E0048" w:rsidRDefault="00350BB8" w:rsidP="00350BB8">
            <w:pPr>
              <w:tabs>
                <w:tab w:val="right" w:pos="1134"/>
              </w:tabs>
              <w:rPr>
                <w:sz w:val="16"/>
                <w:szCs w:val="16"/>
              </w:rPr>
            </w:pPr>
          </w:p>
          <w:p w14:paraId="6CC72C01" w14:textId="77777777" w:rsidR="00350BB8" w:rsidRPr="004E0048" w:rsidRDefault="00350BB8" w:rsidP="00350BB8">
            <w:pPr>
              <w:tabs>
                <w:tab w:val="right" w:pos="1134"/>
              </w:tabs>
              <w:rPr>
                <w:sz w:val="16"/>
                <w:szCs w:val="16"/>
              </w:rPr>
            </w:pPr>
            <w:r w:rsidRPr="004E0048">
              <w:rPr>
                <w:sz w:val="16"/>
                <w:szCs w:val="16"/>
              </w:rPr>
              <w:t>Besoins additionnels en ressources en personnel estimés à 562 700 francs suisses pour le renforcement du Bureau de l’OMPI en Fédération de Russie</w:t>
            </w:r>
          </w:p>
          <w:p w14:paraId="2FF016F4" w14:textId="77777777" w:rsidR="00350BB8" w:rsidRPr="004E0048" w:rsidRDefault="00350BB8" w:rsidP="00350BB8">
            <w:pPr>
              <w:tabs>
                <w:tab w:val="right" w:pos="1134"/>
              </w:tabs>
              <w:rPr>
                <w:sz w:val="16"/>
                <w:szCs w:val="16"/>
              </w:rPr>
            </w:pPr>
          </w:p>
          <w:p w14:paraId="1D71A0AC" w14:textId="156221C0" w:rsidR="00350BB8" w:rsidRPr="004E0048" w:rsidRDefault="00350BB8" w:rsidP="003E3E0F">
            <w:pPr>
              <w:tabs>
                <w:tab w:val="right" w:pos="1134"/>
              </w:tabs>
              <w:rPr>
                <w:sz w:val="16"/>
                <w:szCs w:val="16"/>
              </w:rPr>
            </w:pPr>
            <w:r w:rsidRPr="004E0048">
              <w:rPr>
                <w:sz w:val="16"/>
                <w:szCs w:val="16"/>
              </w:rPr>
              <w:t xml:space="preserve">Une provision </w:t>
            </w:r>
            <w:r w:rsidR="003E3E0F">
              <w:rPr>
                <w:sz w:val="16"/>
                <w:szCs w:val="16"/>
              </w:rPr>
              <w:t>de 1 </w:t>
            </w:r>
            <w:r w:rsidRPr="004E0048">
              <w:rPr>
                <w:sz w:val="16"/>
                <w:szCs w:val="16"/>
              </w:rPr>
              <w:t>million de francs suisses a été inscrite au budget en vue de la création de nouveaux bureaux extérieurs au cours de l’exercice biennal 2018-2019 conformément aux décisions prises par les États membres.  Elle est inscrite dans la catégorie “Crédits non affectés”.</w:t>
            </w:r>
          </w:p>
        </w:tc>
      </w:tr>
      <w:tr w:rsidR="00350BB8" w:rsidRPr="004E0048" w14:paraId="7220E076" w14:textId="77777777" w:rsidTr="005F2354">
        <w:trPr>
          <w:cantSplit/>
        </w:trPr>
        <w:tc>
          <w:tcPr>
            <w:tcW w:w="2490" w:type="dxa"/>
            <w:shd w:val="clear" w:color="auto" w:fill="C6D9F1" w:themeFill="text2" w:themeFillTint="33"/>
          </w:tcPr>
          <w:p w14:paraId="108677E3" w14:textId="77777777" w:rsidR="00350BB8" w:rsidRPr="004E0048" w:rsidRDefault="00350BB8" w:rsidP="00350BB8">
            <w:pPr>
              <w:tabs>
                <w:tab w:val="right" w:pos="1134"/>
              </w:tabs>
              <w:rPr>
                <w:sz w:val="16"/>
                <w:szCs w:val="16"/>
              </w:rPr>
            </w:pPr>
          </w:p>
        </w:tc>
        <w:tc>
          <w:tcPr>
            <w:tcW w:w="6725" w:type="dxa"/>
            <w:shd w:val="clear" w:color="auto" w:fill="C6D9F1" w:themeFill="text2" w:themeFillTint="33"/>
          </w:tcPr>
          <w:p w14:paraId="11B1EEBF" w14:textId="77777777" w:rsidR="00350BB8" w:rsidRPr="004E0048" w:rsidRDefault="00350BB8" w:rsidP="00350BB8">
            <w:pPr>
              <w:tabs>
                <w:tab w:val="right" w:pos="1134"/>
              </w:tabs>
              <w:rPr>
                <w:sz w:val="16"/>
                <w:szCs w:val="16"/>
              </w:rPr>
            </w:pPr>
          </w:p>
        </w:tc>
      </w:tr>
    </w:tbl>
    <w:p w14:paraId="1F99AF62"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0464B708" w14:textId="77777777" w:rsidR="00350BB8" w:rsidRPr="004E0048" w:rsidRDefault="00350BB8" w:rsidP="00350BB8">
      <w:pPr>
        <w:tabs>
          <w:tab w:val="right" w:pos="1134"/>
        </w:tabs>
        <w:jc w:val="both"/>
      </w:pPr>
    </w:p>
    <w:p w14:paraId="26CE5FBC" w14:textId="77777777" w:rsidR="00350BB8" w:rsidRPr="004E0048" w:rsidRDefault="00350BB8" w:rsidP="00350BB8">
      <w:pPr>
        <w:tabs>
          <w:tab w:val="right" w:pos="1134"/>
        </w:tabs>
        <w:jc w:val="both"/>
      </w:pPr>
    </w:p>
    <w:p w14:paraId="47739A4F" w14:textId="7D24F5A5" w:rsidR="0027684D" w:rsidRPr="0027684D" w:rsidRDefault="0027684D" w:rsidP="00986700">
      <w:pPr>
        <w:tabs>
          <w:tab w:val="num" w:pos="690"/>
        </w:tabs>
        <w:jc w:val="both"/>
        <w:rPr>
          <w:rFonts w:cs="Arial"/>
          <w:b/>
          <w:lang w:val="fr-CH"/>
        </w:rPr>
      </w:pPr>
      <w:r w:rsidRPr="0027684D">
        <w:rPr>
          <w:rFonts w:cs="Arial"/>
          <w:b/>
          <w:lang w:val="fr-CH"/>
        </w:rPr>
        <w:t>Structure d’appui administratif et financier efficace</w:t>
      </w:r>
    </w:p>
    <w:p w14:paraId="38F3B199" w14:textId="77777777" w:rsidR="0027684D" w:rsidRPr="0027684D" w:rsidRDefault="0027684D" w:rsidP="00986700">
      <w:pPr>
        <w:tabs>
          <w:tab w:val="right" w:pos="1134"/>
        </w:tabs>
        <w:jc w:val="both"/>
        <w:rPr>
          <w:rFonts w:cs="Arial"/>
          <w:lang w:val="fr-CH"/>
        </w:rPr>
      </w:pPr>
    </w:p>
    <w:p w14:paraId="77F11FCF" w14:textId="77777777" w:rsidR="0027684D" w:rsidRPr="0027684D" w:rsidRDefault="0027684D" w:rsidP="00616FD3">
      <w:pPr>
        <w:pStyle w:val="ListParagraph"/>
        <w:numPr>
          <w:ilvl w:val="0"/>
          <w:numId w:val="91"/>
        </w:numPr>
        <w:ind w:left="567" w:hanging="567"/>
        <w:jc w:val="both"/>
        <w:rPr>
          <w:rFonts w:cs="Arial"/>
          <w:szCs w:val="20"/>
          <w:lang w:val="fr-CH"/>
        </w:rPr>
      </w:pPr>
      <w:r w:rsidRPr="0027684D">
        <w:rPr>
          <w:rFonts w:cs="Arial"/>
          <w:szCs w:val="20"/>
          <w:lang w:val="fr-CH"/>
        </w:rPr>
        <w:t>Renforcer l’engagement de l’Organisation avec les États membres afin de diffuser l’information et de recueillir des commentaires sur la mise en œuvre des programmes;  faciliter la coordination et la coopération dans le cadre du système des Nations Unies par la contribution de l’OMPI au Conseil des chefs de secrétariat (CCS) des organismes des Nations Unies;  coordonner le fonctionnement des bureaux extérieurs de l’OMPI en vue d’assurer que le réseau apporte une valeur ajoutée et accroisse l’efficacité et l’efficience de l’exécution du programme;  fournir des services en rapport avec des manifestations proposées aux États membres et aux parties prenantes.</w:t>
      </w:r>
    </w:p>
    <w:p w14:paraId="785E313F" w14:textId="77777777" w:rsidR="0027684D" w:rsidRPr="0027684D" w:rsidRDefault="0027684D" w:rsidP="00986700">
      <w:pPr>
        <w:rPr>
          <w:lang w:val="fr-CH"/>
        </w:rPr>
      </w:pPr>
    </w:p>
    <w:tbl>
      <w:tblPr>
        <w:tblW w:w="4961" w:type="pct"/>
        <w:tblCellMar>
          <w:top w:w="57" w:type="dxa"/>
          <w:bottom w:w="57" w:type="dxa"/>
        </w:tblCellMar>
        <w:tblLook w:val="04A0" w:firstRow="1" w:lastRow="0" w:firstColumn="1" w:lastColumn="0" w:noHBand="0" w:noVBand="1"/>
      </w:tblPr>
      <w:tblGrid>
        <w:gridCol w:w="2490"/>
        <w:gridCol w:w="6725"/>
      </w:tblGrid>
      <w:tr w:rsidR="0027684D" w:rsidRPr="0027684D" w14:paraId="5E602ED4" w14:textId="77777777" w:rsidTr="005F2354">
        <w:trPr>
          <w:cantSplit/>
        </w:trPr>
        <w:tc>
          <w:tcPr>
            <w:tcW w:w="2490" w:type="dxa"/>
            <w:shd w:val="clear" w:color="auto" w:fill="C6D9F1" w:themeFill="text2" w:themeFillTint="33"/>
            <w:vAlign w:val="center"/>
          </w:tcPr>
          <w:p w14:paraId="5094310D" w14:textId="77777777" w:rsidR="0027684D" w:rsidRPr="0027684D" w:rsidRDefault="0027684D" w:rsidP="00986700">
            <w:pPr>
              <w:tabs>
                <w:tab w:val="right" w:pos="1134"/>
              </w:tabs>
              <w:rPr>
                <w:rFonts w:cs="Arial"/>
                <w:b/>
                <w:sz w:val="16"/>
                <w:szCs w:val="16"/>
              </w:rPr>
            </w:pPr>
            <w:r w:rsidRPr="0027684D">
              <w:rPr>
                <w:rFonts w:cs="Arial"/>
                <w:b/>
                <w:sz w:val="16"/>
                <w:szCs w:val="16"/>
              </w:rPr>
              <w:t>Programme</w:t>
            </w:r>
          </w:p>
        </w:tc>
        <w:tc>
          <w:tcPr>
            <w:tcW w:w="6725" w:type="dxa"/>
            <w:shd w:val="clear" w:color="auto" w:fill="C6D9F1" w:themeFill="text2" w:themeFillTint="33"/>
            <w:vAlign w:val="center"/>
          </w:tcPr>
          <w:p w14:paraId="602AA09A" w14:textId="77777777" w:rsidR="0027684D" w:rsidRPr="0027684D" w:rsidRDefault="0027684D" w:rsidP="00986700">
            <w:pPr>
              <w:tabs>
                <w:tab w:val="right" w:pos="1134"/>
              </w:tabs>
              <w:rPr>
                <w:rFonts w:cs="Arial"/>
                <w:b/>
                <w:sz w:val="16"/>
                <w:szCs w:val="16"/>
              </w:rPr>
            </w:pPr>
            <w:r w:rsidRPr="0027684D">
              <w:rPr>
                <w:rFonts w:cs="Arial"/>
                <w:b/>
                <w:sz w:val="16"/>
                <w:szCs w:val="16"/>
              </w:rPr>
              <w:t>Incidence sur le budget</w:t>
            </w:r>
          </w:p>
        </w:tc>
      </w:tr>
      <w:tr w:rsidR="0027684D" w:rsidRPr="0027684D" w14:paraId="4A93B4FD" w14:textId="77777777" w:rsidTr="005F2354">
        <w:trPr>
          <w:cantSplit/>
        </w:trPr>
        <w:tc>
          <w:tcPr>
            <w:tcW w:w="2490" w:type="dxa"/>
          </w:tcPr>
          <w:p w14:paraId="06B02E7A" w14:textId="77777777" w:rsidR="0027684D" w:rsidRPr="0027684D" w:rsidRDefault="0027684D" w:rsidP="00986700">
            <w:pPr>
              <w:tabs>
                <w:tab w:val="right" w:pos="1134"/>
              </w:tabs>
              <w:rPr>
                <w:rFonts w:cs="Arial"/>
                <w:sz w:val="16"/>
                <w:szCs w:val="16"/>
              </w:rPr>
            </w:pPr>
            <w:r w:rsidRPr="0027684D">
              <w:rPr>
                <w:rFonts w:cs="Arial"/>
                <w:sz w:val="16"/>
                <w:szCs w:val="16"/>
              </w:rPr>
              <w:t>Programme 21 (Direction générale)</w:t>
            </w:r>
          </w:p>
        </w:tc>
        <w:tc>
          <w:tcPr>
            <w:tcW w:w="6725" w:type="dxa"/>
          </w:tcPr>
          <w:p w14:paraId="662F95D3" w14:textId="76BC8300" w:rsidR="0027684D" w:rsidRPr="0027684D" w:rsidRDefault="0027684D" w:rsidP="00986700">
            <w:pPr>
              <w:tabs>
                <w:tab w:val="right" w:pos="1134"/>
              </w:tabs>
              <w:rPr>
                <w:rFonts w:cs="Arial"/>
                <w:sz w:val="16"/>
                <w:szCs w:val="16"/>
                <w:lang w:val="fr-CH"/>
              </w:rPr>
            </w:pPr>
            <w:r w:rsidRPr="0027684D">
              <w:rPr>
                <w:rFonts w:cs="Arial"/>
                <w:sz w:val="16"/>
                <w:szCs w:val="16"/>
                <w:lang w:val="fr-CH"/>
              </w:rPr>
              <w:t>D’autres ressources d’un montant supplémentaire estimé à 1,2 million de francs suisses pour l’organisation de manifestations dans les locaux de l’OMPI, pour les services du protocole et pour l’organisation des assemblées de l’OMPI.</w:t>
            </w:r>
          </w:p>
        </w:tc>
      </w:tr>
      <w:tr w:rsidR="0027684D" w:rsidRPr="0027684D" w14:paraId="403AA57A" w14:textId="77777777" w:rsidTr="005F2354">
        <w:trPr>
          <w:cantSplit/>
        </w:trPr>
        <w:tc>
          <w:tcPr>
            <w:tcW w:w="2490" w:type="dxa"/>
            <w:shd w:val="clear" w:color="auto" w:fill="C6D9F1" w:themeFill="text2" w:themeFillTint="33"/>
          </w:tcPr>
          <w:p w14:paraId="1F9338FC" w14:textId="77777777" w:rsidR="0027684D" w:rsidRPr="0027684D" w:rsidRDefault="0027684D" w:rsidP="00986700">
            <w:pPr>
              <w:tabs>
                <w:tab w:val="right" w:pos="1134"/>
              </w:tabs>
              <w:rPr>
                <w:rFonts w:cs="Arial"/>
                <w:sz w:val="16"/>
                <w:szCs w:val="16"/>
                <w:lang w:val="fr-CH"/>
              </w:rPr>
            </w:pPr>
          </w:p>
        </w:tc>
        <w:tc>
          <w:tcPr>
            <w:tcW w:w="6725" w:type="dxa"/>
            <w:shd w:val="clear" w:color="auto" w:fill="C6D9F1" w:themeFill="text2" w:themeFillTint="33"/>
          </w:tcPr>
          <w:p w14:paraId="6DFDE4AD" w14:textId="77777777" w:rsidR="0027684D" w:rsidRPr="0027684D" w:rsidRDefault="0027684D" w:rsidP="00986700">
            <w:pPr>
              <w:tabs>
                <w:tab w:val="right" w:pos="1134"/>
              </w:tabs>
              <w:rPr>
                <w:rFonts w:cs="Arial"/>
                <w:sz w:val="16"/>
                <w:szCs w:val="16"/>
                <w:lang w:val="fr-CH"/>
              </w:rPr>
            </w:pPr>
          </w:p>
        </w:tc>
      </w:tr>
    </w:tbl>
    <w:p w14:paraId="65EA170B"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68FA612F" w14:textId="77777777" w:rsidR="0027684D" w:rsidRPr="0027684D" w:rsidRDefault="0027684D" w:rsidP="00986700">
      <w:pPr>
        <w:pStyle w:val="ListParagraph"/>
        <w:ind w:left="357"/>
        <w:jc w:val="both"/>
        <w:rPr>
          <w:rFonts w:cs="Arial"/>
          <w:szCs w:val="20"/>
          <w:lang w:val="fr-CH"/>
        </w:rPr>
      </w:pPr>
    </w:p>
    <w:p w14:paraId="686F4820" w14:textId="77777777" w:rsidR="0027684D" w:rsidRPr="0027684D" w:rsidRDefault="0027684D" w:rsidP="00616FD3">
      <w:pPr>
        <w:pStyle w:val="ListParagraph"/>
        <w:numPr>
          <w:ilvl w:val="0"/>
          <w:numId w:val="91"/>
        </w:numPr>
        <w:ind w:left="567" w:hanging="567"/>
        <w:jc w:val="both"/>
        <w:rPr>
          <w:rFonts w:cs="Arial"/>
          <w:szCs w:val="20"/>
          <w:lang w:val="fr-CH"/>
        </w:rPr>
      </w:pPr>
      <w:r w:rsidRPr="0027684D">
        <w:rPr>
          <w:rFonts w:cs="Arial"/>
          <w:szCs w:val="20"/>
          <w:lang w:val="fr-CH"/>
        </w:rPr>
        <w:t>Gérer les placements, sous la supervision du Comité consultatif pour les placements et avec l’assistance de conseillers en matière de placements;  renforcer la gestion des risques de change en élargissant progressivement la structure de compensation applicable aux mouvements de devises entre les offices de propriété intellectuelle et le Bureau international;  mettre en œuvre une plateforme de paiement commune intégrant mieux les activités de l’Organisation, notamment celles qui génèrent des recettes.</w:t>
      </w:r>
    </w:p>
    <w:p w14:paraId="102EDDBA" w14:textId="77777777" w:rsidR="0027684D" w:rsidRPr="0027684D" w:rsidRDefault="0027684D" w:rsidP="00986700">
      <w:pPr>
        <w:pStyle w:val="ListParagraph"/>
        <w:ind w:left="357" w:hanging="357"/>
        <w:jc w:val="both"/>
        <w:rPr>
          <w:rFonts w:cs="Arial"/>
          <w:szCs w:val="20"/>
          <w:lang w:val="fr-CH"/>
        </w:rPr>
      </w:pPr>
    </w:p>
    <w:p w14:paraId="70FCE3D6" w14:textId="77777777" w:rsidR="0027684D" w:rsidRPr="0027684D" w:rsidRDefault="0027684D" w:rsidP="00616FD3">
      <w:pPr>
        <w:pStyle w:val="ListParagraph"/>
        <w:numPr>
          <w:ilvl w:val="0"/>
          <w:numId w:val="91"/>
        </w:numPr>
        <w:ind w:left="567" w:hanging="567"/>
        <w:jc w:val="both"/>
        <w:rPr>
          <w:rFonts w:cs="Arial"/>
          <w:szCs w:val="20"/>
          <w:lang w:val="fr-CH"/>
        </w:rPr>
      </w:pPr>
      <w:r w:rsidRPr="0027684D">
        <w:rPr>
          <w:rFonts w:cs="Arial"/>
          <w:szCs w:val="20"/>
          <w:lang w:val="fr-CH"/>
        </w:rPr>
        <w:t>Mener à bien et clore les projets dans le cadre du portefeuille de projets ERP et intégrer efficacement les systèmes élaborés dans les opérations;  transformer les structures, processus et compétences pertinents et passer à des services coordonnés pour assurer le bon fonctionnement du système ERP et de son évolution constante pour répondre aux besoins opérationnels;  et appuyer le système ERP qui se sera considérablement étendu à la clôture du portefeuille de projets.</w:t>
      </w:r>
    </w:p>
    <w:p w14:paraId="30BD7C95" w14:textId="77777777" w:rsidR="0027684D" w:rsidRPr="0027684D" w:rsidRDefault="0027684D" w:rsidP="00986700">
      <w:pPr>
        <w:tabs>
          <w:tab w:val="right" w:pos="1134"/>
        </w:tabs>
        <w:jc w:val="both"/>
        <w:rPr>
          <w:rFonts w:cs="Arial"/>
          <w:lang w:val="fr-CH"/>
        </w:rPr>
      </w:pPr>
    </w:p>
    <w:tbl>
      <w:tblPr>
        <w:tblW w:w="4961" w:type="pct"/>
        <w:tblCellMar>
          <w:top w:w="57" w:type="dxa"/>
          <w:bottom w:w="57" w:type="dxa"/>
        </w:tblCellMar>
        <w:tblLook w:val="04A0" w:firstRow="1" w:lastRow="0" w:firstColumn="1" w:lastColumn="0" w:noHBand="0" w:noVBand="1"/>
      </w:tblPr>
      <w:tblGrid>
        <w:gridCol w:w="2490"/>
        <w:gridCol w:w="6725"/>
      </w:tblGrid>
      <w:tr w:rsidR="0027684D" w:rsidRPr="0027684D" w14:paraId="742446DE" w14:textId="77777777" w:rsidTr="006D7F13">
        <w:trPr>
          <w:cantSplit/>
        </w:trPr>
        <w:tc>
          <w:tcPr>
            <w:tcW w:w="2490" w:type="dxa"/>
            <w:shd w:val="clear" w:color="auto" w:fill="C6D9F1" w:themeFill="text2" w:themeFillTint="33"/>
            <w:vAlign w:val="center"/>
          </w:tcPr>
          <w:p w14:paraId="706132EC" w14:textId="77777777" w:rsidR="0027684D" w:rsidRPr="0027684D" w:rsidRDefault="0027684D" w:rsidP="00986700">
            <w:pPr>
              <w:tabs>
                <w:tab w:val="right" w:pos="1134"/>
              </w:tabs>
              <w:rPr>
                <w:rFonts w:cs="Arial"/>
                <w:b/>
                <w:sz w:val="16"/>
                <w:szCs w:val="16"/>
              </w:rPr>
            </w:pPr>
            <w:r w:rsidRPr="0027684D">
              <w:rPr>
                <w:rFonts w:cs="Arial"/>
                <w:b/>
                <w:sz w:val="16"/>
                <w:szCs w:val="16"/>
              </w:rPr>
              <w:t>Programme</w:t>
            </w:r>
          </w:p>
        </w:tc>
        <w:tc>
          <w:tcPr>
            <w:tcW w:w="6725" w:type="dxa"/>
            <w:shd w:val="clear" w:color="auto" w:fill="C6D9F1" w:themeFill="text2" w:themeFillTint="33"/>
            <w:vAlign w:val="center"/>
          </w:tcPr>
          <w:p w14:paraId="5BEB7CEC" w14:textId="77777777" w:rsidR="0027684D" w:rsidRPr="0027684D" w:rsidRDefault="0027684D" w:rsidP="00986700">
            <w:pPr>
              <w:tabs>
                <w:tab w:val="right" w:pos="1134"/>
              </w:tabs>
              <w:rPr>
                <w:rFonts w:cs="Arial"/>
                <w:b/>
                <w:sz w:val="16"/>
                <w:szCs w:val="16"/>
              </w:rPr>
            </w:pPr>
            <w:r w:rsidRPr="0027684D">
              <w:rPr>
                <w:rFonts w:cs="Arial"/>
                <w:b/>
                <w:sz w:val="16"/>
                <w:szCs w:val="16"/>
              </w:rPr>
              <w:t>Incidence sur le budget</w:t>
            </w:r>
          </w:p>
        </w:tc>
      </w:tr>
      <w:tr w:rsidR="0027684D" w:rsidRPr="0027684D" w14:paraId="370BF7FB" w14:textId="77777777" w:rsidTr="006D7F13">
        <w:trPr>
          <w:cantSplit/>
        </w:trPr>
        <w:tc>
          <w:tcPr>
            <w:tcW w:w="2490" w:type="dxa"/>
          </w:tcPr>
          <w:p w14:paraId="09F8557C" w14:textId="77777777" w:rsidR="0027684D" w:rsidRPr="0027684D" w:rsidRDefault="0027684D" w:rsidP="00986700">
            <w:pPr>
              <w:tabs>
                <w:tab w:val="right" w:pos="1134"/>
              </w:tabs>
              <w:rPr>
                <w:rFonts w:cs="Arial"/>
                <w:sz w:val="16"/>
                <w:szCs w:val="16"/>
                <w:lang w:val="fr-CH"/>
              </w:rPr>
            </w:pPr>
            <w:r w:rsidRPr="0027684D">
              <w:rPr>
                <w:rFonts w:cs="Arial"/>
                <w:sz w:val="16"/>
                <w:szCs w:val="16"/>
                <w:lang w:val="fr-CH"/>
              </w:rPr>
              <w:t xml:space="preserve">Programme 22 </w:t>
            </w:r>
            <w:r w:rsidRPr="0027684D">
              <w:rPr>
                <w:rFonts w:cs="Arial"/>
                <w:sz w:val="16"/>
                <w:szCs w:val="16"/>
                <w:rtl/>
                <w:lang w:val="fr-CH"/>
              </w:rPr>
              <w:t>‏</w:t>
            </w:r>
            <w:r w:rsidRPr="0027684D">
              <w:rPr>
                <w:rFonts w:cs="Arial"/>
                <w:sz w:val="16"/>
                <w:szCs w:val="16"/>
                <w:lang w:val="fr-CH"/>
              </w:rPr>
              <w:t>(Gestion des programmes et des ressources)</w:t>
            </w:r>
          </w:p>
        </w:tc>
        <w:tc>
          <w:tcPr>
            <w:tcW w:w="6725" w:type="dxa"/>
          </w:tcPr>
          <w:p w14:paraId="30A4A2F2" w14:textId="77777777" w:rsidR="0027684D" w:rsidRPr="0027684D" w:rsidRDefault="0027684D" w:rsidP="00986700">
            <w:pPr>
              <w:tabs>
                <w:tab w:val="right" w:pos="1134"/>
              </w:tabs>
              <w:rPr>
                <w:rFonts w:cs="Arial"/>
                <w:sz w:val="16"/>
                <w:szCs w:val="16"/>
                <w:lang w:val="fr-CH"/>
              </w:rPr>
            </w:pPr>
            <w:r w:rsidRPr="0027684D">
              <w:rPr>
                <w:rFonts w:cs="Arial"/>
                <w:sz w:val="16"/>
                <w:szCs w:val="16"/>
                <w:lang w:val="fr-CH"/>
              </w:rPr>
              <w:t>Des ressources en personnels et d’autres ressources dont les montants supplémentaires estimés s’élèvent à 150 865 francs suisses et à 1,7 million de francs suisses respectivement pour la gestion de la trésorerie et l’intégration des projets ERP.</w:t>
            </w:r>
          </w:p>
        </w:tc>
      </w:tr>
      <w:tr w:rsidR="0027684D" w:rsidRPr="0027684D" w14:paraId="0CEFCAFB" w14:textId="77777777" w:rsidTr="006D7F13">
        <w:trPr>
          <w:cantSplit/>
        </w:trPr>
        <w:tc>
          <w:tcPr>
            <w:tcW w:w="2490" w:type="dxa"/>
            <w:shd w:val="clear" w:color="auto" w:fill="C6D9F1" w:themeFill="text2" w:themeFillTint="33"/>
          </w:tcPr>
          <w:p w14:paraId="61351865" w14:textId="77777777" w:rsidR="0027684D" w:rsidRPr="0027684D" w:rsidRDefault="0027684D" w:rsidP="00986700">
            <w:pPr>
              <w:tabs>
                <w:tab w:val="right" w:pos="1134"/>
              </w:tabs>
              <w:rPr>
                <w:rFonts w:cs="Arial"/>
                <w:sz w:val="16"/>
                <w:szCs w:val="16"/>
                <w:lang w:val="fr-CH"/>
              </w:rPr>
            </w:pPr>
          </w:p>
        </w:tc>
        <w:tc>
          <w:tcPr>
            <w:tcW w:w="6725" w:type="dxa"/>
            <w:shd w:val="clear" w:color="auto" w:fill="C6D9F1" w:themeFill="text2" w:themeFillTint="33"/>
          </w:tcPr>
          <w:p w14:paraId="4CF5CE15" w14:textId="77777777" w:rsidR="0027684D" w:rsidRPr="0027684D" w:rsidRDefault="0027684D" w:rsidP="00986700">
            <w:pPr>
              <w:tabs>
                <w:tab w:val="right" w:pos="1134"/>
              </w:tabs>
              <w:rPr>
                <w:rFonts w:cs="Arial"/>
                <w:sz w:val="16"/>
                <w:szCs w:val="16"/>
                <w:lang w:val="fr-CH"/>
              </w:rPr>
            </w:pPr>
          </w:p>
        </w:tc>
      </w:tr>
    </w:tbl>
    <w:p w14:paraId="6082F608"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5CC2D766" w14:textId="77777777" w:rsidR="0027684D" w:rsidRPr="0027684D" w:rsidRDefault="0027684D" w:rsidP="00986700">
      <w:pPr>
        <w:tabs>
          <w:tab w:val="right" w:pos="1134"/>
        </w:tabs>
        <w:jc w:val="both"/>
        <w:rPr>
          <w:rFonts w:cs="Arial"/>
          <w:lang w:val="fr-CH"/>
        </w:rPr>
      </w:pPr>
    </w:p>
    <w:p w14:paraId="3A0F1602" w14:textId="77777777" w:rsidR="0027684D" w:rsidRPr="0027684D" w:rsidRDefault="0027684D" w:rsidP="00616FD3">
      <w:pPr>
        <w:pStyle w:val="ListParagraph"/>
        <w:numPr>
          <w:ilvl w:val="0"/>
          <w:numId w:val="40"/>
        </w:numPr>
        <w:ind w:left="567" w:hanging="567"/>
        <w:jc w:val="both"/>
        <w:rPr>
          <w:rFonts w:cs="Arial"/>
          <w:szCs w:val="20"/>
          <w:lang w:val="fr-CH"/>
        </w:rPr>
      </w:pPr>
      <w:r w:rsidRPr="0027684D">
        <w:rPr>
          <w:rFonts w:cs="Arial"/>
          <w:szCs w:val="20"/>
          <w:lang w:val="fr-CH"/>
        </w:rPr>
        <w:t>Mettre en œuvre les activités d’approvisionnement de l’OMPI de manière stratégique et proactive afin de garantir l’efficacité, la conformité et l’approche tournée vers la clientèle des procédures et exigences relatives à l’achat de biens et services, le recours à des contractants et l’organisation de voyages et de manifestations, y compris en encourageant le recours aux contrats à long terme et en renforçant la collaboration avec les Nations Unies.</w:t>
      </w:r>
    </w:p>
    <w:p w14:paraId="6FCC1E32" w14:textId="77777777" w:rsidR="0027684D" w:rsidRPr="0027684D" w:rsidRDefault="0027684D" w:rsidP="00986700">
      <w:pPr>
        <w:pStyle w:val="ListParagraph"/>
        <w:jc w:val="both"/>
        <w:rPr>
          <w:rFonts w:cs="Arial"/>
          <w:szCs w:val="20"/>
          <w:lang w:val="fr-CH"/>
        </w:rPr>
      </w:pPr>
    </w:p>
    <w:p w14:paraId="04AF4B58" w14:textId="77777777" w:rsidR="0027684D" w:rsidRPr="0027684D" w:rsidRDefault="0027684D" w:rsidP="00616FD3">
      <w:pPr>
        <w:pStyle w:val="ListParagraph"/>
        <w:numPr>
          <w:ilvl w:val="0"/>
          <w:numId w:val="40"/>
        </w:numPr>
        <w:ind w:left="567" w:hanging="567"/>
        <w:jc w:val="both"/>
        <w:rPr>
          <w:rFonts w:cs="Arial"/>
          <w:szCs w:val="20"/>
          <w:lang w:val="fr-CH"/>
        </w:rPr>
      </w:pPr>
      <w:r w:rsidRPr="0027684D">
        <w:rPr>
          <w:rFonts w:cs="Arial"/>
          <w:szCs w:val="20"/>
          <w:lang w:val="fr-CH"/>
        </w:rPr>
        <w:t>Effectuer régulièrement des travaux d’entretien de la qualité des locaux et des installations techniques sur le site de l’OMPI en vue de maintenir des conditions de travail optimales et de diminuer le recours aux réparations et interventions d’urgence, tardives et coûteuses.</w:t>
      </w:r>
    </w:p>
    <w:p w14:paraId="53EA2717" w14:textId="77777777" w:rsidR="0027684D" w:rsidRPr="0027684D" w:rsidRDefault="0027684D" w:rsidP="00986700">
      <w:pPr>
        <w:jc w:val="both"/>
        <w:rPr>
          <w:rFonts w:cs="Arial"/>
          <w:lang w:val="fr-CH"/>
        </w:rPr>
      </w:pPr>
    </w:p>
    <w:tbl>
      <w:tblPr>
        <w:tblW w:w="4961" w:type="pct"/>
        <w:tblCellMar>
          <w:top w:w="57" w:type="dxa"/>
          <w:bottom w:w="57" w:type="dxa"/>
        </w:tblCellMar>
        <w:tblLook w:val="04A0" w:firstRow="1" w:lastRow="0" w:firstColumn="1" w:lastColumn="0" w:noHBand="0" w:noVBand="1"/>
      </w:tblPr>
      <w:tblGrid>
        <w:gridCol w:w="2490"/>
        <w:gridCol w:w="6725"/>
      </w:tblGrid>
      <w:tr w:rsidR="0027684D" w:rsidRPr="0027684D" w14:paraId="6D1A6465" w14:textId="77777777" w:rsidTr="0027684D">
        <w:trPr>
          <w:cantSplit/>
        </w:trPr>
        <w:tc>
          <w:tcPr>
            <w:tcW w:w="2490" w:type="dxa"/>
            <w:shd w:val="clear" w:color="auto" w:fill="C6D9F1" w:themeFill="text2" w:themeFillTint="33"/>
            <w:vAlign w:val="center"/>
          </w:tcPr>
          <w:p w14:paraId="58EA7911" w14:textId="77777777" w:rsidR="0027684D" w:rsidRPr="0027684D" w:rsidRDefault="0027684D" w:rsidP="00986700">
            <w:pPr>
              <w:tabs>
                <w:tab w:val="right" w:pos="1134"/>
              </w:tabs>
              <w:rPr>
                <w:rFonts w:cs="Arial"/>
                <w:b/>
                <w:sz w:val="16"/>
                <w:szCs w:val="16"/>
              </w:rPr>
            </w:pPr>
            <w:r w:rsidRPr="0027684D">
              <w:rPr>
                <w:rFonts w:cs="Arial"/>
                <w:b/>
                <w:sz w:val="16"/>
                <w:szCs w:val="16"/>
              </w:rPr>
              <w:t>Programme</w:t>
            </w:r>
          </w:p>
        </w:tc>
        <w:tc>
          <w:tcPr>
            <w:tcW w:w="6724" w:type="dxa"/>
            <w:shd w:val="clear" w:color="auto" w:fill="C6D9F1" w:themeFill="text2" w:themeFillTint="33"/>
            <w:vAlign w:val="center"/>
          </w:tcPr>
          <w:p w14:paraId="3633679B" w14:textId="77777777" w:rsidR="0027684D" w:rsidRPr="0027684D" w:rsidRDefault="0027684D" w:rsidP="00986700">
            <w:pPr>
              <w:tabs>
                <w:tab w:val="right" w:pos="1134"/>
              </w:tabs>
              <w:rPr>
                <w:rFonts w:cs="Arial"/>
                <w:b/>
                <w:sz w:val="16"/>
                <w:szCs w:val="16"/>
              </w:rPr>
            </w:pPr>
            <w:r w:rsidRPr="0027684D">
              <w:rPr>
                <w:rFonts w:cs="Arial"/>
                <w:b/>
                <w:sz w:val="16"/>
                <w:szCs w:val="16"/>
              </w:rPr>
              <w:t>Incidence sur budget</w:t>
            </w:r>
          </w:p>
        </w:tc>
      </w:tr>
      <w:tr w:rsidR="0027684D" w:rsidRPr="0027684D" w14:paraId="72C895C9" w14:textId="77777777" w:rsidTr="0027684D">
        <w:trPr>
          <w:cantSplit/>
        </w:trPr>
        <w:tc>
          <w:tcPr>
            <w:tcW w:w="2490" w:type="dxa"/>
          </w:tcPr>
          <w:p w14:paraId="62A9C4D1" w14:textId="77777777" w:rsidR="0027684D" w:rsidRPr="0027684D" w:rsidRDefault="0027684D" w:rsidP="00986700">
            <w:pPr>
              <w:tabs>
                <w:tab w:val="right" w:pos="1134"/>
              </w:tabs>
              <w:rPr>
                <w:rFonts w:cs="Arial"/>
                <w:sz w:val="16"/>
                <w:szCs w:val="16"/>
              </w:rPr>
            </w:pPr>
            <w:r w:rsidRPr="0027684D">
              <w:rPr>
                <w:rFonts w:cs="Arial"/>
                <w:sz w:val="16"/>
                <w:szCs w:val="16"/>
              </w:rPr>
              <w:t>Programme 24 (Services d’appui généraux)</w:t>
            </w:r>
          </w:p>
        </w:tc>
        <w:tc>
          <w:tcPr>
            <w:tcW w:w="6724" w:type="dxa"/>
          </w:tcPr>
          <w:p w14:paraId="13D879E2" w14:textId="44255A40" w:rsidR="0027684D" w:rsidRPr="0027684D" w:rsidRDefault="0027684D" w:rsidP="006D7F13">
            <w:pPr>
              <w:tabs>
                <w:tab w:val="right" w:pos="1134"/>
              </w:tabs>
              <w:rPr>
                <w:rFonts w:cs="Arial"/>
                <w:sz w:val="16"/>
                <w:szCs w:val="16"/>
                <w:lang w:val="fr-CH"/>
              </w:rPr>
            </w:pPr>
            <w:r w:rsidRPr="0027684D">
              <w:rPr>
                <w:rFonts w:cs="Arial"/>
                <w:sz w:val="16"/>
                <w:szCs w:val="16"/>
                <w:lang w:val="fr-CH"/>
              </w:rPr>
              <w:t xml:space="preserve">Les ressources </w:t>
            </w:r>
            <w:r w:rsidR="006D7F13">
              <w:rPr>
                <w:rFonts w:cs="Arial"/>
                <w:sz w:val="16"/>
                <w:szCs w:val="16"/>
                <w:lang w:val="fr-CH"/>
              </w:rPr>
              <w:t>correspondantes</w:t>
            </w:r>
            <w:r w:rsidRPr="0027684D">
              <w:rPr>
                <w:rFonts w:cs="Arial"/>
                <w:sz w:val="16"/>
                <w:szCs w:val="16"/>
                <w:lang w:val="fr-CH"/>
              </w:rPr>
              <w:t xml:space="preserve"> ont été prises en compte dans le programme.</w:t>
            </w:r>
          </w:p>
        </w:tc>
      </w:tr>
      <w:tr w:rsidR="0027684D" w:rsidRPr="0027684D" w14:paraId="36BDF586" w14:textId="77777777" w:rsidTr="0027684D">
        <w:trPr>
          <w:cantSplit/>
        </w:trPr>
        <w:tc>
          <w:tcPr>
            <w:tcW w:w="2490" w:type="dxa"/>
            <w:shd w:val="clear" w:color="auto" w:fill="C6D9F1" w:themeFill="text2" w:themeFillTint="33"/>
          </w:tcPr>
          <w:p w14:paraId="14273330" w14:textId="77777777" w:rsidR="0027684D" w:rsidRPr="0027684D" w:rsidRDefault="0027684D" w:rsidP="00986700">
            <w:pPr>
              <w:tabs>
                <w:tab w:val="right" w:pos="1134"/>
              </w:tabs>
              <w:rPr>
                <w:rFonts w:cs="Arial"/>
                <w:sz w:val="16"/>
                <w:szCs w:val="16"/>
                <w:lang w:val="fr-CH"/>
              </w:rPr>
            </w:pPr>
          </w:p>
        </w:tc>
        <w:tc>
          <w:tcPr>
            <w:tcW w:w="6724" w:type="dxa"/>
            <w:shd w:val="clear" w:color="auto" w:fill="C6D9F1" w:themeFill="text2" w:themeFillTint="33"/>
          </w:tcPr>
          <w:p w14:paraId="3EE372F5" w14:textId="77777777" w:rsidR="0027684D" w:rsidRPr="0027684D" w:rsidRDefault="0027684D" w:rsidP="00986700">
            <w:pPr>
              <w:tabs>
                <w:tab w:val="right" w:pos="1134"/>
              </w:tabs>
              <w:rPr>
                <w:rFonts w:cs="Arial"/>
                <w:sz w:val="16"/>
                <w:szCs w:val="16"/>
                <w:lang w:val="fr-CH"/>
              </w:rPr>
            </w:pPr>
          </w:p>
        </w:tc>
      </w:tr>
    </w:tbl>
    <w:p w14:paraId="3080EB53" w14:textId="77777777" w:rsidR="0027684D" w:rsidRPr="0027684D" w:rsidRDefault="0027684D" w:rsidP="00986700">
      <w:pPr>
        <w:jc w:val="both"/>
        <w:rPr>
          <w:rFonts w:cs="Arial"/>
          <w:sz w:val="16"/>
          <w:szCs w:val="16"/>
          <w:lang w:val="fr-CH"/>
        </w:rPr>
      </w:pPr>
    </w:p>
    <w:p w14:paraId="5CD09A3B" w14:textId="77777777" w:rsidR="0027684D" w:rsidRPr="0027684D" w:rsidRDefault="0027684D" w:rsidP="00616FD3">
      <w:pPr>
        <w:pStyle w:val="ListParagraph"/>
        <w:numPr>
          <w:ilvl w:val="0"/>
          <w:numId w:val="40"/>
        </w:numPr>
        <w:ind w:left="567" w:hanging="567"/>
        <w:jc w:val="both"/>
        <w:rPr>
          <w:rFonts w:cs="Arial"/>
          <w:szCs w:val="20"/>
          <w:lang w:val="fr-CH"/>
        </w:rPr>
      </w:pPr>
      <w:r w:rsidRPr="0027684D">
        <w:rPr>
          <w:rFonts w:cs="Arial"/>
          <w:szCs w:val="20"/>
        </w:rPr>
        <w:t>Fournir des services d’infrastructure de technologies de l’information et de la communication (TIC) fiables, sûrs et d’un bon rapport coût-efficacité aux secteurs d’activité clé de l’OMPI et aux utilisateurs au siège à Genève ainsi que dans les bureaux extérieurs en conformité avec le cadre de l’OMPI en matière de sécurité et de gestion des risques;  examiner et remanier les processus, la structure et les modèles de prestation de services TIC afin de mieux répondre aux besoins des secteurs</w:t>
      </w:r>
      <w:r w:rsidRPr="0027684D">
        <w:rPr>
          <w:rFonts w:cs="Arial"/>
          <w:szCs w:val="20"/>
          <w:lang w:val="fr-CH"/>
        </w:rPr>
        <w:t xml:space="preserve">;  </w:t>
      </w:r>
      <w:r w:rsidRPr="0027684D">
        <w:rPr>
          <w:rFonts w:cs="Arial"/>
          <w:szCs w:val="20"/>
        </w:rPr>
        <w:t>garantir un bon rapport coût-efficacité des opérations</w:t>
      </w:r>
      <w:r w:rsidRPr="0027684D">
        <w:rPr>
          <w:rFonts w:cs="Arial"/>
          <w:szCs w:val="20"/>
          <w:lang w:val="fr-CH"/>
        </w:rPr>
        <w:t xml:space="preserve"> et des services</w:t>
      </w:r>
      <w:r w:rsidRPr="0027684D">
        <w:rPr>
          <w:rFonts w:cs="Arial"/>
          <w:szCs w:val="20"/>
        </w:rPr>
        <w:t xml:space="preserve"> TIC</w:t>
      </w:r>
      <w:r w:rsidRPr="0027684D">
        <w:rPr>
          <w:rFonts w:cs="Arial"/>
          <w:szCs w:val="20"/>
          <w:lang w:val="fr-CH"/>
        </w:rPr>
        <w:t xml:space="preserve"> </w:t>
      </w:r>
      <w:r w:rsidRPr="0027684D">
        <w:rPr>
          <w:rFonts w:cs="Arial"/>
          <w:szCs w:val="20"/>
        </w:rPr>
        <w:t>grâce à l’optimisation de l’infrastructure et des services existants, à la recherche stratégique à une meilleure gestion des fournisseurs et prestataires de services</w:t>
      </w:r>
      <w:r w:rsidRPr="0027684D">
        <w:rPr>
          <w:rFonts w:cs="Arial"/>
          <w:szCs w:val="20"/>
          <w:lang w:val="fr-CH"/>
        </w:rPr>
        <w:t>.</w:t>
      </w:r>
    </w:p>
    <w:p w14:paraId="49B9A36C" w14:textId="77777777" w:rsidR="0027684D" w:rsidRPr="0027684D" w:rsidRDefault="0027684D" w:rsidP="00986700">
      <w:pPr>
        <w:rPr>
          <w:rFonts w:cs="Arial"/>
          <w:lang w:val="fr-CH"/>
        </w:rPr>
      </w:pPr>
    </w:p>
    <w:tbl>
      <w:tblPr>
        <w:tblW w:w="4961" w:type="pct"/>
        <w:tblCellMar>
          <w:top w:w="57" w:type="dxa"/>
          <w:bottom w:w="57" w:type="dxa"/>
        </w:tblCellMar>
        <w:tblLook w:val="04A0" w:firstRow="1" w:lastRow="0" w:firstColumn="1" w:lastColumn="0" w:noHBand="0" w:noVBand="1"/>
      </w:tblPr>
      <w:tblGrid>
        <w:gridCol w:w="1935"/>
        <w:gridCol w:w="3438"/>
        <w:gridCol w:w="3842"/>
      </w:tblGrid>
      <w:tr w:rsidR="0027684D" w:rsidRPr="0027684D" w14:paraId="2A985375" w14:textId="77777777" w:rsidTr="006D7F13">
        <w:trPr>
          <w:cantSplit/>
        </w:trPr>
        <w:tc>
          <w:tcPr>
            <w:tcW w:w="1935" w:type="dxa"/>
            <w:shd w:val="clear" w:color="auto" w:fill="C6D9F1" w:themeFill="text2" w:themeFillTint="33"/>
            <w:vAlign w:val="center"/>
          </w:tcPr>
          <w:p w14:paraId="71BF45D7" w14:textId="77777777" w:rsidR="0027684D" w:rsidRPr="0027684D" w:rsidRDefault="0027684D" w:rsidP="00986700">
            <w:pPr>
              <w:tabs>
                <w:tab w:val="right" w:pos="1134"/>
              </w:tabs>
              <w:rPr>
                <w:rFonts w:cs="Arial"/>
                <w:b/>
                <w:sz w:val="16"/>
                <w:szCs w:val="16"/>
              </w:rPr>
            </w:pPr>
            <w:r w:rsidRPr="0027684D">
              <w:rPr>
                <w:rFonts w:cs="Arial"/>
                <w:b/>
                <w:sz w:val="16"/>
                <w:szCs w:val="16"/>
              </w:rPr>
              <w:t>Programme</w:t>
            </w:r>
          </w:p>
        </w:tc>
        <w:tc>
          <w:tcPr>
            <w:tcW w:w="3438" w:type="dxa"/>
            <w:shd w:val="clear" w:color="auto" w:fill="C6D9F1" w:themeFill="text2" w:themeFillTint="33"/>
            <w:vAlign w:val="center"/>
          </w:tcPr>
          <w:p w14:paraId="51E7409E" w14:textId="77777777" w:rsidR="0027684D" w:rsidRPr="0027684D" w:rsidRDefault="0027684D" w:rsidP="00986700">
            <w:pPr>
              <w:tabs>
                <w:tab w:val="right" w:pos="1134"/>
              </w:tabs>
              <w:rPr>
                <w:rFonts w:cs="Arial"/>
                <w:b/>
                <w:sz w:val="16"/>
                <w:szCs w:val="16"/>
              </w:rPr>
            </w:pPr>
            <w:r w:rsidRPr="0027684D">
              <w:rPr>
                <w:rFonts w:cs="Arial"/>
                <w:b/>
                <w:sz w:val="16"/>
                <w:szCs w:val="16"/>
              </w:rPr>
              <w:t>Hypothèses de planification</w:t>
            </w:r>
          </w:p>
        </w:tc>
        <w:tc>
          <w:tcPr>
            <w:tcW w:w="3842" w:type="dxa"/>
            <w:shd w:val="clear" w:color="auto" w:fill="C6D9F1" w:themeFill="text2" w:themeFillTint="33"/>
            <w:vAlign w:val="center"/>
          </w:tcPr>
          <w:p w14:paraId="2FA6BC73" w14:textId="77777777" w:rsidR="0027684D" w:rsidRPr="0027684D" w:rsidRDefault="0027684D" w:rsidP="00986700">
            <w:pPr>
              <w:tabs>
                <w:tab w:val="right" w:pos="1134"/>
              </w:tabs>
              <w:rPr>
                <w:rFonts w:cs="Arial"/>
                <w:b/>
                <w:sz w:val="16"/>
                <w:szCs w:val="16"/>
              </w:rPr>
            </w:pPr>
            <w:r w:rsidRPr="0027684D">
              <w:rPr>
                <w:rFonts w:cs="Arial"/>
                <w:b/>
                <w:sz w:val="16"/>
                <w:szCs w:val="16"/>
              </w:rPr>
              <w:t>Incidence sur le budget</w:t>
            </w:r>
          </w:p>
        </w:tc>
      </w:tr>
      <w:tr w:rsidR="0027684D" w:rsidRPr="0027684D" w14:paraId="5F95D100" w14:textId="77777777" w:rsidTr="006D7F13">
        <w:trPr>
          <w:cantSplit/>
        </w:trPr>
        <w:tc>
          <w:tcPr>
            <w:tcW w:w="1935" w:type="dxa"/>
          </w:tcPr>
          <w:p w14:paraId="254D5D5D" w14:textId="38FA9C4D" w:rsidR="0027684D" w:rsidRPr="0027684D" w:rsidRDefault="0027684D" w:rsidP="00986700">
            <w:pPr>
              <w:tabs>
                <w:tab w:val="right" w:pos="1134"/>
              </w:tabs>
              <w:rPr>
                <w:rFonts w:cs="Arial"/>
                <w:sz w:val="16"/>
                <w:szCs w:val="16"/>
                <w:lang w:val="fr-CH"/>
              </w:rPr>
            </w:pPr>
            <w:r w:rsidRPr="0027684D">
              <w:rPr>
                <w:rFonts w:cs="Arial"/>
                <w:sz w:val="16"/>
                <w:szCs w:val="16"/>
                <w:lang w:val="fr-CH"/>
              </w:rPr>
              <w:t>Programme 25 (TIC)</w:t>
            </w:r>
          </w:p>
        </w:tc>
        <w:tc>
          <w:tcPr>
            <w:tcW w:w="3438" w:type="dxa"/>
          </w:tcPr>
          <w:p w14:paraId="3802F6F6" w14:textId="77777777" w:rsidR="0027684D" w:rsidRPr="0027684D" w:rsidRDefault="0027684D" w:rsidP="00986700">
            <w:pPr>
              <w:tabs>
                <w:tab w:val="right" w:pos="1134"/>
              </w:tabs>
              <w:rPr>
                <w:rFonts w:cs="Arial"/>
                <w:sz w:val="16"/>
                <w:szCs w:val="16"/>
                <w:lang w:val="fr-CH"/>
              </w:rPr>
            </w:pPr>
            <w:r w:rsidRPr="0027684D">
              <w:rPr>
                <w:rFonts w:cs="Arial"/>
                <w:sz w:val="16"/>
                <w:szCs w:val="16"/>
                <w:lang w:val="fr-CH"/>
              </w:rPr>
              <w:t xml:space="preserve">Rationalisation des serveurs et diminution du coût des unités de stockage </w:t>
            </w:r>
          </w:p>
        </w:tc>
        <w:tc>
          <w:tcPr>
            <w:tcW w:w="3842" w:type="dxa"/>
          </w:tcPr>
          <w:p w14:paraId="10FD46E7" w14:textId="77777777" w:rsidR="0027684D" w:rsidRPr="0027684D" w:rsidRDefault="0027684D" w:rsidP="00986700">
            <w:pPr>
              <w:tabs>
                <w:tab w:val="right" w:pos="1134"/>
              </w:tabs>
              <w:rPr>
                <w:rFonts w:cs="Arial"/>
                <w:sz w:val="16"/>
                <w:szCs w:val="16"/>
                <w:lang w:val="fr-CH"/>
              </w:rPr>
            </w:pPr>
            <w:r w:rsidRPr="0027684D">
              <w:rPr>
                <w:rFonts w:cs="Arial"/>
                <w:sz w:val="16"/>
                <w:szCs w:val="16"/>
                <w:lang w:val="fr-CH"/>
              </w:rPr>
              <w:t>D’autres ressources d’un montant supplémentaire estimé à 603 848 francs suisses pour l’hébergement des principaux systèmes et processus opérationnels de l’OMPI.</w:t>
            </w:r>
          </w:p>
        </w:tc>
      </w:tr>
      <w:tr w:rsidR="0027684D" w:rsidRPr="0027684D" w14:paraId="165CE6F2" w14:textId="77777777" w:rsidTr="006D7F13">
        <w:trPr>
          <w:cantSplit/>
        </w:trPr>
        <w:tc>
          <w:tcPr>
            <w:tcW w:w="1935" w:type="dxa"/>
            <w:shd w:val="clear" w:color="auto" w:fill="C6D9F1" w:themeFill="text2" w:themeFillTint="33"/>
            <w:vAlign w:val="center"/>
          </w:tcPr>
          <w:p w14:paraId="117FD8FA" w14:textId="77777777" w:rsidR="0027684D" w:rsidRPr="0027684D" w:rsidRDefault="0027684D" w:rsidP="00986700">
            <w:pPr>
              <w:tabs>
                <w:tab w:val="right" w:pos="1134"/>
              </w:tabs>
              <w:rPr>
                <w:rFonts w:cs="Arial"/>
                <w:sz w:val="16"/>
                <w:szCs w:val="16"/>
                <w:lang w:val="fr-CH"/>
              </w:rPr>
            </w:pPr>
          </w:p>
        </w:tc>
        <w:tc>
          <w:tcPr>
            <w:tcW w:w="3438" w:type="dxa"/>
            <w:shd w:val="clear" w:color="auto" w:fill="C6D9F1" w:themeFill="text2" w:themeFillTint="33"/>
            <w:vAlign w:val="center"/>
          </w:tcPr>
          <w:p w14:paraId="70B3987A" w14:textId="77777777" w:rsidR="0027684D" w:rsidRPr="0027684D" w:rsidRDefault="0027684D" w:rsidP="00986700">
            <w:pPr>
              <w:tabs>
                <w:tab w:val="right" w:pos="1134"/>
              </w:tabs>
              <w:rPr>
                <w:rFonts w:cs="Arial"/>
                <w:sz w:val="16"/>
                <w:szCs w:val="16"/>
                <w:lang w:val="fr-CH"/>
              </w:rPr>
            </w:pPr>
          </w:p>
        </w:tc>
        <w:tc>
          <w:tcPr>
            <w:tcW w:w="3842" w:type="dxa"/>
            <w:shd w:val="clear" w:color="auto" w:fill="C6D9F1" w:themeFill="text2" w:themeFillTint="33"/>
            <w:vAlign w:val="center"/>
          </w:tcPr>
          <w:p w14:paraId="34ED8039" w14:textId="77777777" w:rsidR="0027684D" w:rsidRPr="0027684D" w:rsidRDefault="0027684D" w:rsidP="00986700">
            <w:pPr>
              <w:tabs>
                <w:tab w:val="right" w:pos="1134"/>
              </w:tabs>
              <w:rPr>
                <w:rFonts w:cs="Arial"/>
                <w:sz w:val="16"/>
                <w:szCs w:val="16"/>
                <w:lang w:val="fr-CH"/>
              </w:rPr>
            </w:pPr>
          </w:p>
        </w:tc>
      </w:tr>
    </w:tbl>
    <w:p w14:paraId="1B258679" w14:textId="77777777" w:rsidR="005F2354" w:rsidRPr="005F3E79" w:rsidRDefault="005F2354" w:rsidP="005F2354">
      <w:pPr>
        <w:tabs>
          <w:tab w:val="right" w:pos="1134"/>
        </w:tabs>
        <w:jc w:val="both"/>
        <w:rPr>
          <w:rFonts w:cs="Arial"/>
          <w:i/>
          <w:sz w:val="16"/>
          <w:szCs w:val="16"/>
        </w:rPr>
      </w:pPr>
      <w:r w:rsidRPr="005F3E79">
        <w:rPr>
          <w:rFonts w:cs="Arial"/>
          <w:i/>
          <w:sz w:val="16"/>
          <w:szCs w:val="16"/>
        </w:rPr>
        <w:t>Note : comparaisons par rapport au budget 2016</w:t>
      </w:r>
      <w:r w:rsidRPr="005F3E79">
        <w:rPr>
          <w:rFonts w:cs="Arial"/>
          <w:i/>
          <w:sz w:val="16"/>
          <w:szCs w:val="16"/>
        </w:rPr>
        <w:noBreakHyphen/>
        <w:t>2017</w:t>
      </w:r>
      <w:r>
        <w:rPr>
          <w:rFonts w:cs="Arial"/>
          <w:i/>
          <w:sz w:val="16"/>
          <w:szCs w:val="16"/>
        </w:rPr>
        <w:t xml:space="preserve"> approuvé.</w:t>
      </w:r>
    </w:p>
    <w:p w14:paraId="02C0974D" w14:textId="77777777" w:rsidR="0027684D" w:rsidRPr="0027684D" w:rsidRDefault="0027684D" w:rsidP="00986700">
      <w:pPr>
        <w:rPr>
          <w:rFonts w:cs="Arial"/>
          <w:sz w:val="16"/>
          <w:szCs w:val="16"/>
          <w:lang w:val="fr-CH"/>
        </w:rPr>
      </w:pPr>
    </w:p>
    <w:p w14:paraId="317918D3" w14:textId="77777777" w:rsidR="0027684D" w:rsidRPr="0027684D" w:rsidRDefault="0027684D" w:rsidP="00616FD3">
      <w:pPr>
        <w:pStyle w:val="ListParagraph"/>
        <w:numPr>
          <w:ilvl w:val="0"/>
          <w:numId w:val="32"/>
        </w:numPr>
        <w:ind w:left="567" w:hanging="567"/>
        <w:jc w:val="both"/>
        <w:rPr>
          <w:rFonts w:cs="Arial"/>
          <w:szCs w:val="20"/>
          <w:lang w:val="fr-CH"/>
        </w:rPr>
      </w:pPr>
      <w:r w:rsidRPr="0027684D">
        <w:rPr>
          <w:rFonts w:cs="Arial"/>
          <w:szCs w:val="20"/>
        </w:rPr>
        <w:t>Fournir des services de traduction et d’interprétation de qualité, en temps utile et avec un bon rapport coût-efficacité, conformément à la politique linguistique de l’OMPI et aux obligations découlant des traités, y compris par l’adoption</w:t>
      </w:r>
      <w:r w:rsidRPr="0027684D">
        <w:rPr>
          <w:rFonts w:cs="Arial"/>
          <w:szCs w:val="20"/>
          <w:lang w:val="fr-CH"/>
        </w:rPr>
        <w:t xml:space="preserve"> de nouvelles technologies de traduction; </w:t>
      </w:r>
      <w:r w:rsidRPr="0027684D">
        <w:rPr>
          <w:rFonts w:cs="Arial"/>
          <w:lang w:val="fr-CH"/>
        </w:rPr>
        <w:t xml:space="preserve"> </w:t>
      </w:r>
      <w:r w:rsidRPr="0027684D">
        <w:rPr>
          <w:rFonts w:cs="Arial"/>
          <w:szCs w:val="20"/>
        </w:rPr>
        <w:t>continuer à promouvoir et à mettre en œuvre la politique de multilinguisme au sein du Secrétariat</w:t>
      </w:r>
      <w:r w:rsidRPr="0027684D">
        <w:rPr>
          <w:rFonts w:cs="Arial"/>
          <w:szCs w:val="20"/>
          <w:lang w:val="fr-CH"/>
        </w:rPr>
        <w:t>.</w:t>
      </w:r>
    </w:p>
    <w:p w14:paraId="0DBA24CF" w14:textId="77777777" w:rsidR="0027684D" w:rsidRPr="0027684D" w:rsidRDefault="0027684D" w:rsidP="00986700">
      <w:pPr>
        <w:jc w:val="both"/>
        <w:rPr>
          <w:rFonts w:cs="Arial"/>
          <w:lang w:val="fr-CH"/>
        </w:rPr>
      </w:pPr>
    </w:p>
    <w:tbl>
      <w:tblPr>
        <w:tblW w:w="4961" w:type="pct"/>
        <w:tblCellMar>
          <w:top w:w="57" w:type="dxa"/>
          <w:bottom w:w="57" w:type="dxa"/>
        </w:tblCellMar>
        <w:tblLook w:val="04A0" w:firstRow="1" w:lastRow="0" w:firstColumn="1" w:lastColumn="0" w:noHBand="0" w:noVBand="1"/>
      </w:tblPr>
      <w:tblGrid>
        <w:gridCol w:w="2490"/>
        <w:gridCol w:w="6725"/>
      </w:tblGrid>
      <w:tr w:rsidR="0027684D" w:rsidRPr="0027684D" w14:paraId="2C7CBADD" w14:textId="77777777" w:rsidTr="00986700">
        <w:trPr>
          <w:cantSplit/>
        </w:trPr>
        <w:tc>
          <w:tcPr>
            <w:tcW w:w="2490" w:type="dxa"/>
            <w:shd w:val="clear" w:color="auto" w:fill="C6D9F1" w:themeFill="text2" w:themeFillTint="33"/>
            <w:vAlign w:val="center"/>
          </w:tcPr>
          <w:p w14:paraId="3922CEA0" w14:textId="77777777" w:rsidR="0027684D" w:rsidRPr="0027684D" w:rsidRDefault="0027684D" w:rsidP="00986700">
            <w:pPr>
              <w:tabs>
                <w:tab w:val="right" w:pos="1134"/>
              </w:tabs>
              <w:rPr>
                <w:rFonts w:cs="Arial"/>
                <w:b/>
                <w:sz w:val="16"/>
                <w:szCs w:val="16"/>
              </w:rPr>
            </w:pPr>
            <w:r w:rsidRPr="0027684D">
              <w:rPr>
                <w:rFonts w:cs="Arial"/>
                <w:b/>
                <w:sz w:val="16"/>
                <w:szCs w:val="16"/>
              </w:rPr>
              <w:t>Programme</w:t>
            </w:r>
          </w:p>
        </w:tc>
        <w:tc>
          <w:tcPr>
            <w:tcW w:w="6724" w:type="dxa"/>
            <w:shd w:val="clear" w:color="auto" w:fill="C6D9F1" w:themeFill="text2" w:themeFillTint="33"/>
            <w:vAlign w:val="center"/>
          </w:tcPr>
          <w:p w14:paraId="075D9729" w14:textId="77777777" w:rsidR="0027684D" w:rsidRPr="0027684D" w:rsidRDefault="0027684D" w:rsidP="00986700">
            <w:pPr>
              <w:tabs>
                <w:tab w:val="right" w:pos="1134"/>
              </w:tabs>
              <w:rPr>
                <w:rFonts w:cs="Arial"/>
                <w:b/>
                <w:sz w:val="16"/>
                <w:szCs w:val="16"/>
              </w:rPr>
            </w:pPr>
            <w:r w:rsidRPr="0027684D">
              <w:rPr>
                <w:rFonts w:cs="Arial"/>
                <w:b/>
                <w:sz w:val="16"/>
                <w:szCs w:val="16"/>
              </w:rPr>
              <w:t>Incidence sur le budget</w:t>
            </w:r>
          </w:p>
        </w:tc>
      </w:tr>
      <w:tr w:rsidR="0027684D" w:rsidRPr="0027684D" w14:paraId="720BEA98" w14:textId="77777777" w:rsidTr="00986700">
        <w:trPr>
          <w:cantSplit/>
        </w:trPr>
        <w:tc>
          <w:tcPr>
            <w:tcW w:w="2490" w:type="dxa"/>
          </w:tcPr>
          <w:p w14:paraId="168CE288" w14:textId="77777777" w:rsidR="0027684D" w:rsidRPr="0027684D" w:rsidRDefault="0027684D" w:rsidP="00986700">
            <w:pPr>
              <w:tabs>
                <w:tab w:val="right" w:pos="1134"/>
              </w:tabs>
              <w:rPr>
                <w:rFonts w:cs="Arial"/>
                <w:sz w:val="16"/>
                <w:szCs w:val="16"/>
                <w:lang w:val="fr-CH"/>
              </w:rPr>
            </w:pPr>
            <w:r w:rsidRPr="0027684D">
              <w:rPr>
                <w:rFonts w:cs="Arial"/>
                <w:sz w:val="16"/>
                <w:szCs w:val="16"/>
                <w:lang w:val="fr-CH"/>
              </w:rPr>
              <w:t>Programme 27 (Services de conférence et services linguistiques)</w:t>
            </w:r>
          </w:p>
        </w:tc>
        <w:tc>
          <w:tcPr>
            <w:tcW w:w="6724" w:type="dxa"/>
          </w:tcPr>
          <w:p w14:paraId="38821928" w14:textId="26FD5C9A" w:rsidR="0027684D" w:rsidRPr="0027684D" w:rsidRDefault="0027684D" w:rsidP="006D7F13">
            <w:pPr>
              <w:tabs>
                <w:tab w:val="right" w:pos="1134"/>
              </w:tabs>
              <w:rPr>
                <w:rFonts w:cs="Arial"/>
                <w:sz w:val="16"/>
                <w:szCs w:val="16"/>
                <w:lang w:val="fr-CH"/>
              </w:rPr>
            </w:pPr>
            <w:r w:rsidRPr="0027684D">
              <w:rPr>
                <w:rFonts w:cs="Arial"/>
                <w:sz w:val="16"/>
                <w:szCs w:val="16"/>
                <w:lang w:val="fr-CH"/>
              </w:rPr>
              <w:t xml:space="preserve">Les ressources </w:t>
            </w:r>
            <w:r w:rsidR="006D7F13">
              <w:rPr>
                <w:rFonts w:cs="Arial"/>
                <w:sz w:val="16"/>
                <w:szCs w:val="16"/>
                <w:lang w:val="fr-CH"/>
              </w:rPr>
              <w:t>correspondantes</w:t>
            </w:r>
            <w:r w:rsidRPr="0027684D">
              <w:rPr>
                <w:rFonts w:cs="Arial"/>
                <w:sz w:val="16"/>
                <w:szCs w:val="16"/>
                <w:lang w:val="fr-CH"/>
              </w:rPr>
              <w:t xml:space="preserve"> ont été prises en compte dans le programme.</w:t>
            </w:r>
          </w:p>
        </w:tc>
      </w:tr>
      <w:tr w:rsidR="0027684D" w:rsidRPr="0027684D" w14:paraId="01235ED4" w14:textId="77777777" w:rsidTr="00986700">
        <w:trPr>
          <w:cantSplit/>
        </w:trPr>
        <w:tc>
          <w:tcPr>
            <w:tcW w:w="2490" w:type="dxa"/>
            <w:shd w:val="clear" w:color="auto" w:fill="C6D9F1" w:themeFill="text2" w:themeFillTint="33"/>
          </w:tcPr>
          <w:p w14:paraId="4E33CBF8" w14:textId="77777777" w:rsidR="0027684D" w:rsidRPr="0027684D" w:rsidRDefault="0027684D" w:rsidP="00986700">
            <w:pPr>
              <w:tabs>
                <w:tab w:val="right" w:pos="1134"/>
              </w:tabs>
              <w:rPr>
                <w:rFonts w:cs="Arial"/>
                <w:sz w:val="16"/>
                <w:szCs w:val="16"/>
                <w:lang w:val="fr-CH"/>
              </w:rPr>
            </w:pPr>
          </w:p>
        </w:tc>
        <w:tc>
          <w:tcPr>
            <w:tcW w:w="6724" w:type="dxa"/>
            <w:shd w:val="clear" w:color="auto" w:fill="C6D9F1" w:themeFill="text2" w:themeFillTint="33"/>
          </w:tcPr>
          <w:p w14:paraId="3424C196" w14:textId="77777777" w:rsidR="0027684D" w:rsidRPr="0027684D" w:rsidRDefault="0027684D" w:rsidP="00986700">
            <w:pPr>
              <w:tabs>
                <w:tab w:val="right" w:pos="1134"/>
              </w:tabs>
              <w:rPr>
                <w:rFonts w:cs="Arial"/>
                <w:sz w:val="16"/>
                <w:szCs w:val="16"/>
                <w:lang w:val="fr-CH"/>
              </w:rPr>
            </w:pPr>
          </w:p>
        </w:tc>
      </w:tr>
    </w:tbl>
    <w:p w14:paraId="44F99B7F" w14:textId="77777777" w:rsidR="0027684D" w:rsidRPr="0027684D" w:rsidRDefault="0027684D" w:rsidP="00986700">
      <w:pPr>
        <w:pStyle w:val="ListParagraph"/>
        <w:ind w:left="357" w:hanging="357"/>
        <w:jc w:val="both"/>
        <w:rPr>
          <w:rFonts w:cs="Arial"/>
          <w:sz w:val="16"/>
          <w:szCs w:val="16"/>
          <w:lang w:val="fr-CH"/>
        </w:rPr>
      </w:pPr>
    </w:p>
    <w:p w14:paraId="36CF1E9F" w14:textId="77777777" w:rsidR="0027684D" w:rsidRPr="0027684D" w:rsidRDefault="0027684D" w:rsidP="00616FD3">
      <w:pPr>
        <w:pStyle w:val="ListParagraph"/>
        <w:numPr>
          <w:ilvl w:val="0"/>
          <w:numId w:val="36"/>
        </w:numPr>
        <w:ind w:left="567" w:hanging="567"/>
        <w:jc w:val="both"/>
        <w:rPr>
          <w:rFonts w:cs="Arial"/>
          <w:szCs w:val="20"/>
          <w:lang w:val="fr-CH"/>
        </w:rPr>
      </w:pPr>
      <w:r w:rsidRPr="0027684D">
        <w:rPr>
          <w:rFonts w:cs="Arial"/>
          <w:szCs w:val="20"/>
          <w:lang w:val="fr-CH"/>
        </w:rPr>
        <w:t xml:space="preserve">Poursuivre la mise en œuvre de la stratégie en matière d’assurance informatique </w:t>
      </w:r>
      <w:r w:rsidRPr="0027684D">
        <w:rPr>
          <w:rFonts w:cs="Arial"/>
          <w:szCs w:val="20"/>
        </w:rPr>
        <w:t>en mettant l’accent sur le renforcement des moyens actuellement déployés</w:t>
      </w:r>
      <w:r w:rsidRPr="0027684D">
        <w:rPr>
          <w:rFonts w:cs="Arial"/>
          <w:szCs w:val="20"/>
          <w:lang w:val="fr-CH"/>
        </w:rPr>
        <w:t>;  l</w:t>
      </w:r>
      <w:r w:rsidRPr="0027684D">
        <w:rPr>
          <w:rFonts w:cs="Arial"/>
          <w:szCs w:val="20"/>
        </w:rPr>
        <w:t>imiter l’exposition et assurer la protection des domaines à haut risque pour les activités de l’OMPI</w:t>
      </w:r>
      <w:r w:rsidRPr="0027684D">
        <w:rPr>
          <w:rFonts w:cs="Arial"/>
          <w:szCs w:val="20"/>
          <w:lang w:val="fr-CH"/>
        </w:rPr>
        <w:t xml:space="preserve">;  </w:t>
      </w:r>
      <w:r w:rsidRPr="0027684D">
        <w:rPr>
          <w:rFonts w:cs="Arial"/>
          <w:szCs w:val="20"/>
        </w:rPr>
        <w:t>protéger les données sensibles de l’OMPI par l’application de la politique relative au classement et au maniement des informations</w:t>
      </w:r>
      <w:r w:rsidRPr="0027684D">
        <w:rPr>
          <w:rFonts w:cs="Arial"/>
          <w:szCs w:val="20"/>
          <w:lang w:val="fr-CH"/>
        </w:rPr>
        <w:t xml:space="preserve">;  </w:t>
      </w:r>
      <w:r w:rsidRPr="0027684D">
        <w:rPr>
          <w:rFonts w:cs="Arial"/>
          <w:szCs w:val="20"/>
        </w:rPr>
        <w:t>mettre en œuvre les mécanismes de protection fondés sur le risque en renforçant la résilience du PCT et des autres systèmes opérationnels sensibles</w:t>
      </w:r>
      <w:r w:rsidRPr="0027684D">
        <w:rPr>
          <w:rFonts w:cs="Arial"/>
          <w:szCs w:val="20"/>
          <w:lang w:val="fr-CH"/>
        </w:rPr>
        <w:t xml:space="preserve">;  </w:t>
      </w:r>
      <w:r w:rsidRPr="0027684D">
        <w:rPr>
          <w:rFonts w:cs="Arial"/>
          <w:szCs w:val="20"/>
        </w:rPr>
        <w:t>améliorer les opérations de cybersécurité de l’OMPI en diffusant les connaissances en matière de veille contre les menaces internes et externes et en assurant une surveillance 24 heures sur 24</w:t>
      </w:r>
      <w:r w:rsidRPr="0027684D">
        <w:rPr>
          <w:rFonts w:cs="Arial"/>
          <w:szCs w:val="20"/>
          <w:lang w:val="fr-CH"/>
        </w:rPr>
        <w:t>.</w:t>
      </w:r>
    </w:p>
    <w:p w14:paraId="42D683A4" w14:textId="77777777" w:rsidR="0027684D" w:rsidRPr="0027684D" w:rsidRDefault="0027684D" w:rsidP="00986700">
      <w:pPr>
        <w:pStyle w:val="ListParagraph"/>
        <w:ind w:left="357"/>
        <w:jc w:val="both"/>
        <w:rPr>
          <w:rFonts w:cs="Arial"/>
          <w:szCs w:val="20"/>
          <w:lang w:val="fr-CH"/>
        </w:rPr>
      </w:pPr>
    </w:p>
    <w:p w14:paraId="3A85082A" w14:textId="2199DF38" w:rsidR="0027684D" w:rsidRPr="0027684D" w:rsidRDefault="0027684D" w:rsidP="00616FD3">
      <w:pPr>
        <w:pStyle w:val="ListParagraph"/>
        <w:numPr>
          <w:ilvl w:val="0"/>
          <w:numId w:val="36"/>
        </w:numPr>
        <w:ind w:left="567" w:hanging="567"/>
        <w:jc w:val="both"/>
        <w:rPr>
          <w:rFonts w:cs="Arial"/>
          <w:szCs w:val="20"/>
          <w:lang w:val="fr-CH"/>
        </w:rPr>
      </w:pPr>
      <w:r w:rsidRPr="0027684D">
        <w:rPr>
          <w:rFonts w:cs="Arial"/>
          <w:szCs w:val="20"/>
        </w:rPr>
        <w:t>Poursuivre la mise en œuvre du plan de sécurité stratégique en vue d’optimiser les investissements existants effectués dans les systèmes de sécurité et de sûreté physiques et en créant de nouvelles capacités axées sur la prévention, la préparation et la résilience</w:t>
      </w:r>
      <w:r w:rsidRPr="0027684D">
        <w:rPr>
          <w:rFonts w:cs="Arial"/>
          <w:szCs w:val="20"/>
          <w:lang w:val="fr-CH"/>
        </w:rPr>
        <w:t>;  re</w:t>
      </w:r>
      <w:r w:rsidRPr="0027684D">
        <w:rPr>
          <w:rFonts w:cs="Arial"/>
          <w:szCs w:val="20"/>
        </w:rPr>
        <w:t>nforcer la protection du personnel, des visiteurs et des délégués contre les scénarios de menace potentiels en augmentant les capacités en matière de sécurité tels que la surveillance antimenace en continu, l’analyse du risque et les mécanismes de protection fondés sur le risque (verrouillage des portes, contrôle de sûreté, dissuasion, etc.)</w:t>
      </w:r>
      <w:r w:rsidRPr="0027684D">
        <w:rPr>
          <w:rFonts w:cs="Arial"/>
          <w:szCs w:val="20"/>
          <w:lang w:val="fr-CH"/>
        </w:rPr>
        <w:t>.</w:t>
      </w:r>
    </w:p>
    <w:p w14:paraId="1C970814" w14:textId="77777777" w:rsidR="0027684D" w:rsidRPr="0027684D" w:rsidRDefault="0027684D" w:rsidP="00986700">
      <w:pPr>
        <w:tabs>
          <w:tab w:val="right" w:pos="1134"/>
        </w:tabs>
        <w:jc w:val="both"/>
        <w:rPr>
          <w:rFonts w:cs="Arial"/>
          <w:lang w:val="fr-CH"/>
        </w:rPr>
      </w:pPr>
    </w:p>
    <w:tbl>
      <w:tblPr>
        <w:tblW w:w="4961" w:type="pct"/>
        <w:tblCellMar>
          <w:top w:w="57" w:type="dxa"/>
          <w:bottom w:w="57" w:type="dxa"/>
        </w:tblCellMar>
        <w:tblLook w:val="04A0" w:firstRow="1" w:lastRow="0" w:firstColumn="1" w:lastColumn="0" w:noHBand="0" w:noVBand="1"/>
      </w:tblPr>
      <w:tblGrid>
        <w:gridCol w:w="2490"/>
        <w:gridCol w:w="6725"/>
      </w:tblGrid>
      <w:tr w:rsidR="0027684D" w:rsidRPr="0027684D" w14:paraId="01FE0782" w14:textId="77777777" w:rsidTr="00986700">
        <w:trPr>
          <w:cantSplit/>
        </w:trPr>
        <w:tc>
          <w:tcPr>
            <w:tcW w:w="2490" w:type="dxa"/>
            <w:shd w:val="clear" w:color="auto" w:fill="C6D9F1" w:themeFill="text2" w:themeFillTint="33"/>
            <w:vAlign w:val="center"/>
          </w:tcPr>
          <w:p w14:paraId="691DB26B" w14:textId="77777777" w:rsidR="0027684D" w:rsidRPr="0027684D" w:rsidRDefault="0027684D" w:rsidP="005F2354">
            <w:pPr>
              <w:keepNext/>
              <w:tabs>
                <w:tab w:val="right" w:pos="1134"/>
              </w:tabs>
              <w:rPr>
                <w:rFonts w:cs="Arial"/>
                <w:b/>
                <w:sz w:val="16"/>
                <w:szCs w:val="16"/>
              </w:rPr>
            </w:pPr>
            <w:r w:rsidRPr="0027684D">
              <w:rPr>
                <w:rFonts w:cs="Arial"/>
                <w:b/>
                <w:sz w:val="16"/>
                <w:szCs w:val="16"/>
              </w:rPr>
              <w:lastRenderedPageBreak/>
              <w:t>Programme</w:t>
            </w:r>
          </w:p>
        </w:tc>
        <w:tc>
          <w:tcPr>
            <w:tcW w:w="6724" w:type="dxa"/>
            <w:shd w:val="clear" w:color="auto" w:fill="C6D9F1" w:themeFill="text2" w:themeFillTint="33"/>
            <w:vAlign w:val="center"/>
          </w:tcPr>
          <w:p w14:paraId="335293D4" w14:textId="77777777" w:rsidR="0027684D" w:rsidRPr="0027684D" w:rsidRDefault="0027684D" w:rsidP="005F2354">
            <w:pPr>
              <w:keepNext/>
              <w:tabs>
                <w:tab w:val="right" w:pos="1134"/>
              </w:tabs>
              <w:rPr>
                <w:rFonts w:cs="Arial"/>
                <w:b/>
                <w:sz w:val="16"/>
                <w:szCs w:val="16"/>
              </w:rPr>
            </w:pPr>
            <w:r w:rsidRPr="0027684D">
              <w:rPr>
                <w:rFonts w:cs="Arial"/>
                <w:b/>
                <w:sz w:val="16"/>
                <w:szCs w:val="16"/>
              </w:rPr>
              <w:t>Incidence sur le budget</w:t>
            </w:r>
          </w:p>
        </w:tc>
      </w:tr>
      <w:tr w:rsidR="0027684D" w:rsidRPr="0027684D" w14:paraId="16D67F88" w14:textId="77777777" w:rsidTr="00986700">
        <w:trPr>
          <w:cantSplit/>
        </w:trPr>
        <w:tc>
          <w:tcPr>
            <w:tcW w:w="2490" w:type="dxa"/>
          </w:tcPr>
          <w:p w14:paraId="34C66C55" w14:textId="268F17A7" w:rsidR="0027684D" w:rsidRPr="0027684D" w:rsidRDefault="0027684D" w:rsidP="005F2354">
            <w:pPr>
              <w:keepNext/>
              <w:tabs>
                <w:tab w:val="right" w:pos="1134"/>
              </w:tabs>
              <w:rPr>
                <w:rFonts w:cs="Arial"/>
                <w:sz w:val="16"/>
                <w:szCs w:val="16"/>
                <w:lang w:val="fr-CH"/>
              </w:rPr>
            </w:pPr>
            <w:r w:rsidRPr="0027684D">
              <w:rPr>
                <w:rFonts w:cs="Arial"/>
                <w:sz w:val="16"/>
                <w:szCs w:val="16"/>
                <w:lang w:val="fr-CH"/>
              </w:rPr>
              <w:t>Programme 28 (Sécurité de l’information, des biens et des personnes)</w:t>
            </w:r>
          </w:p>
        </w:tc>
        <w:tc>
          <w:tcPr>
            <w:tcW w:w="6724" w:type="dxa"/>
          </w:tcPr>
          <w:p w14:paraId="41207FE0" w14:textId="77777777" w:rsidR="0027684D" w:rsidRPr="0027684D" w:rsidRDefault="0027684D" w:rsidP="005F2354">
            <w:pPr>
              <w:keepNext/>
              <w:tabs>
                <w:tab w:val="right" w:pos="1134"/>
              </w:tabs>
              <w:rPr>
                <w:rFonts w:cs="Arial"/>
                <w:sz w:val="16"/>
                <w:szCs w:val="16"/>
                <w:lang w:val="fr-CH"/>
              </w:rPr>
            </w:pPr>
            <w:r w:rsidRPr="0027684D">
              <w:rPr>
                <w:rFonts w:cs="Arial"/>
                <w:sz w:val="16"/>
                <w:szCs w:val="16"/>
                <w:lang w:val="fr-CH"/>
              </w:rPr>
              <w:t>Des ressources en personnels et d’autres ressources dont les montants supplémentaires estimés s’élèvent à 3,9 millions et à 1,4 million de francs suisses respectivement pour le renforcement de la sûreté et de la sécurité informatiques et physiques.</w:t>
            </w:r>
          </w:p>
        </w:tc>
      </w:tr>
      <w:tr w:rsidR="0027684D" w:rsidRPr="0027684D" w14:paraId="2C6092EF" w14:textId="77777777" w:rsidTr="00986700">
        <w:trPr>
          <w:cantSplit/>
        </w:trPr>
        <w:tc>
          <w:tcPr>
            <w:tcW w:w="2490" w:type="dxa"/>
            <w:shd w:val="clear" w:color="auto" w:fill="C6D9F1" w:themeFill="text2" w:themeFillTint="33"/>
          </w:tcPr>
          <w:p w14:paraId="3DE73F00" w14:textId="77777777" w:rsidR="0027684D" w:rsidRPr="0027684D" w:rsidRDefault="0027684D" w:rsidP="00986700">
            <w:pPr>
              <w:tabs>
                <w:tab w:val="right" w:pos="1134"/>
              </w:tabs>
              <w:rPr>
                <w:rFonts w:cs="Arial"/>
                <w:sz w:val="16"/>
                <w:szCs w:val="16"/>
                <w:lang w:val="fr-CH"/>
              </w:rPr>
            </w:pPr>
          </w:p>
        </w:tc>
        <w:tc>
          <w:tcPr>
            <w:tcW w:w="6724" w:type="dxa"/>
            <w:shd w:val="clear" w:color="auto" w:fill="C6D9F1" w:themeFill="text2" w:themeFillTint="33"/>
          </w:tcPr>
          <w:p w14:paraId="6B68BE7C" w14:textId="77777777" w:rsidR="0027684D" w:rsidRPr="0027684D" w:rsidRDefault="0027684D" w:rsidP="00986700">
            <w:pPr>
              <w:tabs>
                <w:tab w:val="right" w:pos="1134"/>
              </w:tabs>
              <w:rPr>
                <w:rFonts w:cs="Arial"/>
                <w:sz w:val="16"/>
                <w:szCs w:val="16"/>
                <w:lang w:val="fr-CH"/>
              </w:rPr>
            </w:pPr>
          </w:p>
        </w:tc>
      </w:tr>
    </w:tbl>
    <w:p w14:paraId="0FF1A648" w14:textId="77777777" w:rsidR="0027684D" w:rsidRDefault="0027684D" w:rsidP="00986700">
      <w:pPr>
        <w:tabs>
          <w:tab w:val="left" w:pos="567"/>
        </w:tabs>
        <w:jc w:val="both"/>
        <w:rPr>
          <w:rFonts w:cs="Arial"/>
          <w:bCs/>
          <w:lang w:val="fr-CH"/>
        </w:rPr>
      </w:pPr>
    </w:p>
    <w:p w14:paraId="614EA7D7" w14:textId="77777777" w:rsidR="00986700" w:rsidRPr="0027684D" w:rsidRDefault="00986700" w:rsidP="00986700">
      <w:pPr>
        <w:tabs>
          <w:tab w:val="left" w:pos="567"/>
        </w:tabs>
        <w:jc w:val="both"/>
        <w:rPr>
          <w:rFonts w:cs="Arial"/>
          <w:bCs/>
          <w:lang w:val="fr-CH"/>
        </w:rPr>
      </w:pPr>
    </w:p>
    <w:p w14:paraId="4484C843" w14:textId="6AB8EFCF" w:rsidR="0027684D" w:rsidRPr="00986700" w:rsidRDefault="00986700" w:rsidP="00986700">
      <w:pPr>
        <w:rPr>
          <w:b/>
          <w:caps/>
          <w:sz w:val="22"/>
          <w:lang w:val="fr-CH"/>
        </w:rPr>
      </w:pPr>
      <w:r w:rsidRPr="00986700">
        <w:rPr>
          <w:b/>
          <w:caps/>
          <w:sz w:val="22"/>
          <w:lang w:val="fr-CH"/>
        </w:rPr>
        <w:t xml:space="preserve">Budget 2018-2019 par </w:t>
      </w:r>
      <w:r w:rsidR="006D7F13">
        <w:rPr>
          <w:b/>
          <w:caps/>
          <w:sz w:val="22"/>
          <w:lang w:val="fr-CH"/>
        </w:rPr>
        <w:t>objet</w:t>
      </w:r>
      <w:r w:rsidRPr="00986700">
        <w:rPr>
          <w:b/>
          <w:caps/>
          <w:sz w:val="22"/>
          <w:lang w:val="fr-CH"/>
        </w:rPr>
        <w:t xml:space="preserve"> de dépenses</w:t>
      </w:r>
    </w:p>
    <w:p w14:paraId="35037D58" w14:textId="77777777" w:rsidR="0027684D" w:rsidRPr="0027684D" w:rsidRDefault="0027684D" w:rsidP="00986700">
      <w:pPr>
        <w:rPr>
          <w:rFonts w:cs="Arial"/>
          <w:lang w:val="fr-CH"/>
        </w:rPr>
      </w:pPr>
    </w:p>
    <w:p w14:paraId="61EC6BFD" w14:textId="297E9C5D" w:rsidR="0027684D" w:rsidRPr="006D7F13" w:rsidRDefault="0027684D" w:rsidP="00616FD3">
      <w:pPr>
        <w:pStyle w:val="ListParagraph"/>
        <w:numPr>
          <w:ilvl w:val="0"/>
          <w:numId w:val="59"/>
        </w:numPr>
        <w:tabs>
          <w:tab w:val="left" w:pos="567"/>
        </w:tabs>
        <w:ind w:left="0" w:firstLine="0"/>
        <w:jc w:val="both"/>
        <w:rPr>
          <w:rFonts w:cs="Arial"/>
          <w:lang w:val="fr-CH"/>
        </w:rPr>
      </w:pPr>
      <w:r w:rsidRPr="006D7F13">
        <w:rPr>
          <w:rFonts w:cs="Arial"/>
          <w:lang w:val="fr-CH"/>
        </w:rPr>
        <w:t>Le coût estimé de la catégorie “Postes”</w:t>
      </w:r>
      <w:r w:rsidRPr="006D7F13">
        <w:rPr>
          <w:rStyle w:val="FootnoteReference"/>
          <w:rFonts w:cs="Arial"/>
          <w:lang w:val="en-CA"/>
        </w:rPr>
        <w:footnoteReference w:id="9"/>
      </w:r>
      <w:r w:rsidRPr="006D7F13">
        <w:rPr>
          <w:rFonts w:cs="Arial"/>
          <w:lang w:val="fr-CH"/>
        </w:rPr>
        <w:t xml:space="preserve"> pour l’exercice biennal 2018-2019 a augmenté d’un montant de 11,1 millions de francs suisses, soit une augmentation de 3%, par rapport au budget </w:t>
      </w:r>
      <w:r w:rsidR="006D7F13" w:rsidRPr="006D7F13">
        <w:rPr>
          <w:rFonts w:cs="Arial"/>
          <w:lang w:val="fr-CH"/>
        </w:rPr>
        <w:t>2016</w:t>
      </w:r>
      <w:r w:rsidR="006D7F13" w:rsidRPr="006D7F13">
        <w:rPr>
          <w:rFonts w:cs="Arial"/>
          <w:lang w:val="fr-CH"/>
        </w:rPr>
        <w:noBreakHyphen/>
        <w:t>2017</w:t>
      </w:r>
      <w:r w:rsidR="005F2354">
        <w:rPr>
          <w:rFonts w:cs="Arial"/>
          <w:lang w:val="fr-CH"/>
        </w:rPr>
        <w:t xml:space="preserve"> approuvé</w:t>
      </w:r>
      <w:r w:rsidRPr="006D7F13">
        <w:rPr>
          <w:rFonts w:cs="Arial"/>
          <w:lang w:val="fr-CH"/>
        </w:rPr>
        <w:t xml:space="preserve">.  Cette augmentation </w:t>
      </w:r>
      <w:r w:rsidR="00B604D7">
        <w:rPr>
          <w:rFonts w:cs="Arial"/>
          <w:lang w:val="fr-CH"/>
        </w:rPr>
        <w:t>est</w:t>
      </w:r>
      <w:r w:rsidRPr="006D7F13">
        <w:rPr>
          <w:rFonts w:cs="Arial"/>
          <w:lang w:val="fr-CH"/>
        </w:rPr>
        <w:t xml:space="preserve"> en partie compensée par une diminution générale des coûts de la catégorie “Fonctionnaires temporaires” d’un montant de 8,7 millions de francs suisses, soit une diminution de 29%.  Ce transfert des ressources passant de “Fonctionnaires temporaires”</w:t>
      </w:r>
      <w:r w:rsidRPr="006D7F13">
        <w:rPr>
          <w:rStyle w:val="FootnoteReference"/>
          <w:rFonts w:cs="Arial"/>
          <w:lang w:val="fr-CH"/>
        </w:rPr>
        <w:footnoteReference w:id="10"/>
      </w:r>
      <w:r w:rsidRPr="006D7F13">
        <w:rPr>
          <w:rFonts w:cs="Arial"/>
          <w:lang w:val="fr-CH"/>
        </w:rPr>
        <w:t xml:space="preserve"> à </w:t>
      </w:r>
      <w:r w:rsidRPr="005F2354">
        <w:rPr>
          <w:rFonts w:cs="Arial"/>
          <w:lang w:val="fr-CH"/>
        </w:rPr>
        <w:t xml:space="preserve">“Postes” est principalement dû </w:t>
      </w:r>
      <w:r w:rsidR="006D7F13" w:rsidRPr="005F2354">
        <w:rPr>
          <w:rFonts w:cs="Arial"/>
          <w:lang w:val="fr-CH"/>
        </w:rPr>
        <w:t>à la</w:t>
      </w:r>
      <w:r w:rsidRPr="005F2354">
        <w:rPr>
          <w:rFonts w:cs="Arial"/>
          <w:lang w:val="fr-CH"/>
        </w:rPr>
        <w:t xml:space="preserve"> régularisa</w:t>
      </w:r>
      <w:r w:rsidR="006D7F13" w:rsidRPr="005F2354">
        <w:rPr>
          <w:rFonts w:cs="Arial"/>
          <w:lang w:val="fr-CH"/>
        </w:rPr>
        <w:t>tion</w:t>
      </w:r>
      <w:r w:rsidRPr="005F2354">
        <w:rPr>
          <w:rFonts w:cs="Arial"/>
          <w:lang w:val="fr-CH"/>
        </w:rPr>
        <w:t xml:space="preserve"> de </w:t>
      </w:r>
      <w:r w:rsidR="006D7F13" w:rsidRPr="005F2354">
        <w:rPr>
          <w:rFonts w:cs="Arial"/>
          <w:lang w:val="fr-CH"/>
        </w:rPr>
        <w:t>temporaires exerçant des fonctions de nature</w:t>
      </w:r>
      <w:r w:rsidR="006D7F13" w:rsidRPr="006D7F13">
        <w:rPr>
          <w:rFonts w:cs="Arial"/>
          <w:lang w:val="fr-CH"/>
        </w:rPr>
        <w:t xml:space="preserve"> continue</w:t>
      </w:r>
      <w:r w:rsidRPr="006D7F13">
        <w:rPr>
          <w:rFonts w:cs="Arial"/>
          <w:lang w:val="fr-CH"/>
        </w:rPr>
        <w:t>.</w:t>
      </w:r>
    </w:p>
    <w:p w14:paraId="45F7ACA4" w14:textId="77777777" w:rsidR="0027684D" w:rsidRPr="0027684D" w:rsidRDefault="0027684D" w:rsidP="00986700">
      <w:pPr>
        <w:jc w:val="both"/>
        <w:rPr>
          <w:rFonts w:cs="Arial"/>
          <w:lang w:val="fr-CH"/>
        </w:rPr>
      </w:pPr>
    </w:p>
    <w:tbl>
      <w:tblPr>
        <w:tblW w:w="5000" w:type="pct"/>
        <w:jc w:val="center"/>
        <w:tblCellMar>
          <w:top w:w="57" w:type="dxa"/>
          <w:bottom w:w="57" w:type="dxa"/>
        </w:tblCellMar>
        <w:tblLook w:val="04A0" w:firstRow="1" w:lastRow="0" w:firstColumn="1" w:lastColumn="0" w:noHBand="0" w:noVBand="1"/>
      </w:tblPr>
      <w:tblGrid>
        <w:gridCol w:w="9287"/>
      </w:tblGrid>
      <w:tr w:rsidR="0027684D" w:rsidRPr="0027684D" w14:paraId="02C2C41F" w14:textId="77777777" w:rsidTr="00986700">
        <w:trPr>
          <w:cantSplit/>
          <w:jc w:val="center"/>
        </w:trPr>
        <w:tc>
          <w:tcPr>
            <w:tcW w:w="8223" w:type="dxa"/>
            <w:tcBorders>
              <w:top w:val="nil"/>
              <w:left w:val="nil"/>
              <w:bottom w:val="nil"/>
              <w:right w:val="nil"/>
            </w:tcBorders>
            <w:shd w:val="clear" w:color="auto" w:fill="C6D9F1" w:themeFill="text2" w:themeFillTint="33"/>
            <w:vAlign w:val="center"/>
          </w:tcPr>
          <w:p w14:paraId="49A6E05A" w14:textId="1F4DD6EB" w:rsidR="0027684D" w:rsidRPr="0027684D" w:rsidRDefault="0027684D" w:rsidP="005F2354">
            <w:pPr>
              <w:keepNext/>
              <w:tabs>
                <w:tab w:val="num" w:pos="690"/>
              </w:tabs>
              <w:jc w:val="center"/>
              <w:rPr>
                <w:rFonts w:cs="Arial"/>
                <w:b/>
                <w:szCs w:val="16"/>
                <w:lang w:val="fr-CH"/>
              </w:rPr>
            </w:pPr>
            <w:r w:rsidRPr="0027684D">
              <w:rPr>
                <w:rFonts w:cs="Arial"/>
                <w:b/>
                <w:szCs w:val="16"/>
                <w:lang w:val="fr-CH"/>
              </w:rPr>
              <w:lastRenderedPageBreak/>
              <w:t xml:space="preserve">Tableau 5.  Budget </w:t>
            </w:r>
            <w:r w:rsidR="006D7F13" w:rsidRPr="0027684D">
              <w:rPr>
                <w:rFonts w:cs="Arial"/>
                <w:b/>
                <w:szCs w:val="16"/>
                <w:lang w:val="fr-CH"/>
              </w:rPr>
              <w:t xml:space="preserve">2018-2019 </w:t>
            </w:r>
            <w:r w:rsidRPr="0027684D">
              <w:rPr>
                <w:rFonts w:cs="Arial"/>
                <w:b/>
                <w:szCs w:val="16"/>
                <w:lang w:val="fr-CH"/>
              </w:rPr>
              <w:t xml:space="preserve">proposé par </w:t>
            </w:r>
            <w:r w:rsidR="006D7F13">
              <w:rPr>
                <w:rFonts w:cs="Arial"/>
                <w:b/>
                <w:szCs w:val="16"/>
                <w:lang w:val="fr-CH"/>
              </w:rPr>
              <w:t>objet</w:t>
            </w:r>
            <w:r w:rsidRPr="0027684D">
              <w:rPr>
                <w:rFonts w:cs="Arial"/>
                <w:b/>
                <w:szCs w:val="16"/>
                <w:lang w:val="fr-CH"/>
              </w:rPr>
              <w:t xml:space="preserve"> de dépenses</w:t>
            </w:r>
          </w:p>
          <w:p w14:paraId="21F9AF32" w14:textId="77777777" w:rsidR="0027684D" w:rsidRPr="0027684D" w:rsidRDefault="0027684D" w:rsidP="005F2354">
            <w:pPr>
              <w:keepNext/>
              <w:tabs>
                <w:tab w:val="num" w:pos="690"/>
              </w:tabs>
              <w:jc w:val="center"/>
              <w:rPr>
                <w:rFonts w:cs="Arial"/>
                <w:i/>
                <w:szCs w:val="16"/>
                <w:lang w:val="fr-CH"/>
              </w:rPr>
            </w:pPr>
            <w:r w:rsidRPr="0027684D">
              <w:rPr>
                <w:rFonts w:cs="Arial"/>
                <w:i/>
                <w:szCs w:val="16"/>
                <w:lang w:val="fr-CH"/>
              </w:rPr>
              <w:t>(en milliers de francs suisses)</w:t>
            </w:r>
          </w:p>
        </w:tc>
      </w:tr>
    </w:tbl>
    <w:p w14:paraId="04EA7A29" w14:textId="77777777" w:rsidR="0027684D" w:rsidRPr="0027684D" w:rsidRDefault="0027684D" w:rsidP="005F2354">
      <w:pPr>
        <w:keepNext/>
        <w:rPr>
          <w:lang w:val="fr-CH"/>
        </w:rPr>
      </w:pPr>
    </w:p>
    <w:p w14:paraId="325D2069" w14:textId="3AE8F39F" w:rsidR="0027684D" w:rsidRPr="0027684D" w:rsidRDefault="00986700" w:rsidP="00986700">
      <w:pPr>
        <w:keepNext/>
        <w:keepLines/>
        <w:jc w:val="center"/>
        <w:rPr>
          <w:rFonts w:cs="Arial"/>
          <w:lang w:val="en-CA"/>
        </w:rPr>
      </w:pPr>
      <w:r w:rsidRPr="00986700">
        <w:rPr>
          <w:noProof/>
          <w:lang w:val="en-US" w:eastAsia="en-US"/>
        </w:rPr>
        <w:drawing>
          <wp:inline distT="0" distB="0" distL="0" distR="0" wp14:anchorId="3ED8AD13" wp14:editId="605628E1">
            <wp:extent cx="5400000" cy="6534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6534826"/>
                    </a:xfrm>
                    <a:prstGeom prst="rect">
                      <a:avLst/>
                    </a:prstGeom>
                    <a:noFill/>
                    <a:ln>
                      <a:noFill/>
                    </a:ln>
                  </pic:spPr>
                </pic:pic>
              </a:graphicData>
            </a:graphic>
          </wp:inline>
        </w:drawing>
      </w:r>
    </w:p>
    <w:p w14:paraId="7C4CA853" w14:textId="77777777" w:rsidR="0027684D" w:rsidRPr="0027684D" w:rsidRDefault="0027684D" w:rsidP="00986700">
      <w:pPr>
        <w:pStyle w:val="ListParagraph"/>
        <w:tabs>
          <w:tab w:val="left" w:pos="567"/>
        </w:tabs>
        <w:ind w:left="0"/>
        <w:jc w:val="both"/>
        <w:rPr>
          <w:rFonts w:cs="Arial"/>
          <w:lang w:val="en-CA"/>
        </w:rPr>
      </w:pPr>
    </w:p>
    <w:p w14:paraId="23E27090" w14:textId="1B34BD91"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coût estimé de la catégorie “Bourses de l’OMPI” </w:t>
      </w:r>
      <w:r w:rsidR="006D7F13">
        <w:rPr>
          <w:rFonts w:cs="Arial"/>
          <w:lang w:val="fr-CH"/>
        </w:rPr>
        <w:t>en</w:t>
      </w:r>
      <w:r w:rsidRPr="0027684D">
        <w:rPr>
          <w:rFonts w:cs="Arial"/>
          <w:lang w:val="fr-CH"/>
        </w:rPr>
        <w:t xml:space="preserve"> 2018-2019 a augmenté d’un montant de 1,3 million de francs suisses, soit une augmentation de 23%, par rapport au budget </w:t>
      </w:r>
      <w:r w:rsidR="006D7F13" w:rsidRPr="0027684D">
        <w:rPr>
          <w:rFonts w:cs="Arial"/>
          <w:lang w:val="fr-CH"/>
        </w:rPr>
        <w:t>2016-2017</w:t>
      </w:r>
      <w:r w:rsidR="006D7F13">
        <w:rPr>
          <w:rFonts w:cs="Arial"/>
          <w:lang w:val="fr-CH"/>
        </w:rPr>
        <w:t xml:space="preserve"> </w:t>
      </w:r>
      <w:r w:rsidRPr="0027684D">
        <w:rPr>
          <w:rFonts w:cs="Arial"/>
          <w:lang w:val="fr-CH"/>
        </w:rPr>
        <w:t>approuvé.  Cette augmentation est principalement due, d’une part, à une hausse d’un montant de 0,9 million de francs suisses, soit une hausse de 60%, pour renforcer le programme des boursiers du système de Madrid dans le cadre du programme 6 (Système de Madrid), ainsi que, d’autre part, à une hausse d’un montant de 0,3 million de francs suisses, soit une hausse de 15%, pour pallier la charge de travail due à l’augmentation du nombre d’affaires relatives aux noms de domaines et au règlement extrajudiciaire des litiges dans le cadre du programme 7 (Centre d’arbitrage et de médiation).</w:t>
      </w:r>
    </w:p>
    <w:p w14:paraId="41051A41" w14:textId="77777777" w:rsidR="0027684D" w:rsidRPr="0027684D" w:rsidRDefault="0027684D" w:rsidP="00986700">
      <w:pPr>
        <w:pStyle w:val="ListParagraph"/>
        <w:rPr>
          <w:rFonts w:cs="Arial"/>
          <w:lang w:val="fr-CH"/>
        </w:rPr>
      </w:pPr>
    </w:p>
    <w:p w14:paraId="7BCD1690" w14:textId="59F85C63"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Une augmentation de 0,8 million, soit 6,2%, par rapport au budget </w:t>
      </w:r>
      <w:r w:rsidR="006D7F13" w:rsidRPr="0027684D">
        <w:rPr>
          <w:rFonts w:cs="Arial"/>
          <w:lang w:val="fr-CH"/>
        </w:rPr>
        <w:t xml:space="preserve">2016-2017 </w:t>
      </w:r>
      <w:r w:rsidRPr="0027684D">
        <w:rPr>
          <w:rFonts w:cs="Arial"/>
          <w:lang w:val="fr-CH"/>
        </w:rPr>
        <w:t xml:space="preserve">approuvé peut être observée dans la catégorie “Missions de personnel” incluse dans la catégorie “Voyages, formations et indemnités”.  Cette augmentation est principalement due à une hausse des coûts au titre </w:t>
      </w:r>
      <w:r w:rsidRPr="0027684D">
        <w:rPr>
          <w:rFonts w:cs="Arial"/>
          <w:lang w:val="fr-CH"/>
        </w:rPr>
        <w:lastRenderedPageBreak/>
        <w:t>du programme 3 (Droit d’auteur et droits connexes), du programme 9 (Afrique, pays arabes, Asie et Pacifique, pays d’Amérique latine et des Caraïbes, pays les moins avancés), du programme 6 (Système de Madrid) et du programme 31 (Système de La Haye).</w:t>
      </w:r>
    </w:p>
    <w:p w14:paraId="05E7822F" w14:textId="77777777" w:rsidR="0027684D" w:rsidRPr="0027684D" w:rsidRDefault="0027684D" w:rsidP="00986700">
      <w:pPr>
        <w:rPr>
          <w:rFonts w:cs="Arial"/>
          <w:lang w:val="fr-CH"/>
        </w:rPr>
      </w:pPr>
    </w:p>
    <w:p w14:paraId="1D79FFE5" w14:textId="5B92F69C"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coût estimé de la catégorie “Services contractuels de personnes” </w:t>
      </w:r>
      <w:r w:rsidR="006D7F13">
        <w:rPr>
          <w:rFonts w:cs="Arial"/>
          <w:lang w:val="fr-CH"/>
        </w:rPr>
        <w:t>en </w:t>
      </w:r>
      <w:r w:rsidRPr="0027684D">
        <w:rPr>
          <w:rFonts w:cs="Arial"/>
          <w:lang w:val="fr-CH"/>
        </w:rPr>
        <w:t xml:space="preserve">2018-2019 a relativement augmenté d’un montant de 1,5 million de francs suisses, soit une augmentation de 5,8%, par rapport au budget </w:t>
      </w:r>
      <w:r w:rsidR="006D7F13" w:rsidRPr="0027684D">
        <w:rPr>
          <w:rFonts w:cs="Arial"/>
          <w:lang w:val="fr-CH"/>
        </w:rPr>
        <w:t>2016-2017</w:t>
      </w:r>
      <w:r w:rsidR="006D7F13">
        <w:rPr>
          <w:rFonts w:cs="Arial"/>
          <w:lang w:val="fr-CH"/>
        </w:rPr>
        <w:t xml:space="preserve"> </w:t>
      </w:r>
      <w:r w:rsidRPr="0027684D">
        <w:rPr>
          <w:rFonts w:cs="Arial"/>
          <w:lang w:val="fr-CH"/>
        </w:rPr>
        <w:t xml:space="preserve">approuvé.  Cette augmentation générale observée par rapport au budget </w:t>
      </w:r>
      <w:r w:rsidR="006D7F13" w:rsidRPr="0027684D">
        <w:rPr>
          <w:rFonts w:cs="Arial"/>
          <w:lang w:val="fr-CH"/>
        </w:rPr>
        <w:t xml:space="preserve">2016-2017 </w:t>
      </w:r>
      <w:r w:rsidRPr="0027684D">
        <w:rPr>
          <w:rFonts w:cs="Arial"/>
          <w:lang w:val="fr-CH"/>
        </w:rPr>
        <w:t xml:space="preserve">approuvé est principalement due à une hausse des coûts de 1 million et de 1,9 million de francs pour la sous-traitance des services de traduction dans le cadre du programme 27 (Services de conférence et services linguistiques) et le recours à des spécialistes de la sécurité informatique dans le cadre du programme 28 (Sécurité informatique, des biens et des personnes).  Ces augmentations </w:t>
      </w:r>
      <w:r w:rsidR="00B604D7">
        <w:rPr>
          <w:rFonts w:cs="Arial"/>
          <w:lang w:val="fr-CH"/>
        </w:rPr>
        <w:t>s</w:t>
      </w:r>
      <w:r w:rsidRPr="0027684D">
        <w:rPr>
          <w:rFonts w:cs="Arial"/>
          <w:lang w:val="fr-CH"/>
        </w:rPr>
        <w:t>ont en partie compensées par une baisse des coûts liés au programme 5 (Système du PCT) et au programme 9 (Afrique, pays arabes, Asie et Pacifique, pays d’Amérique latine et des Caraïbes, pays les moins avancés) s’élevant à 1,9 million et à 0,9 million de francs suisses respectivement.</w:t>
      </w:r>
    </w:p>
    <w:p w14:paraId="6C5ABE38" w14:textId="77777777" w:rsidR="0027684D" w:rsidRPr="0027684D" w:rsidRDefault="0027684D" w:rsidP="00986700">
      <w:pPr>
        <w:pStyle w:val="ListParagraph"/>
        <w:tabs>
          <w:tab w:val="left" w:pos="567"/>
        </w:tabs>
        <w:ind w:left="0"/>
        <w:jc w:val="both"/>
        <w:rPr>
          <w:rFonts w:cs="Arial"/>
          <w:lang w:val="fr-CH"/>
        </w:rPr>
      </w:pPr>
    </w:p>
    <w:p w14:paraId="704055DD" w14:textId="32C51A7F"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budget de la catégorie “Autres services contractuels” a considérablement augmenté pour passer de 120,5 millions de francs suisses dans le budget </w:t>
      </w:r>
      <w:r w:rsidR="006D7F13" w:rsidRPr="0027684D">
        <w:rPr>
          <w:rFonts w:cs="Arial"/>
          <w:lang w:val="fr-CH"/>
        </w:rPr>
        <w:t xml:space="preserve">2016-2017 </w:t>
      </w:r>
      <w:r w:rsidRPr="0027684D">
        <w:rPr>
          <w:rFonts w:cs="Arial"/>
          <w:lang w:val="fr-CH"/>
        </w:rPr>
        <w:t xml:space="preserve">approuvé à 145,9 millions </w:t>
      </w:r>
      <w:r w:rsidR="006D7F13">
        <w:rPr>
          <w:rFonts w:cs="Arial"/>
          <w:lang w:val="fr-CH"/>
        </w:rPr>
        <w:t>en</w:t>
      </w:r>
      <w:r w:rsidRPr="0027684D">
        <w:rPr>
          <w:rFonts w:cs="Arial"/>
          <w:lang w:val="fr-CH"/>
        </w:rPr>
        <w:t xml:space="preserve"> 2018-2019, ce qui représente une hausse de 25,4 millions de francs suisses, soit 21,1%.  Cette hausse est principalement due à : i) une augmentation de 9,7 millions de francs suisses au titre du programme 28 (Sécurité informatique, des biens et des personnes) pour une capacité de mobilisation </w:t>
      </w:r>
      <w:r w:rsidR="006D7F13">
        <w:rPr>
          <w:rFonts w:cs="Arial"/>
          <w:lang w:val="fr-CH"/>
        </w:rPr>
        <w:t>d’</w:t>
      </w:r>
      <w:r w:rsidRPr="0027684D">
        <w:rPr>
          <w:rFonts w:cs="Arial"/>
          <w:lang w:val="fr-CH"/>
        </w:rPr>
        <w:t>agents de sécurité</w:t>
      </w:r>
      <w:r w:rsidR="006D7F13">
        <w:rPr>
          <w:rFonts w:cs="Arial"/>
          <w:lang w:val="fr-CH"/>
        </w:rPr>
        <w:t xml:space="preserve"> supplémentaires</w:t>
      </w:r>
      <w:r w:rsidRPr="0027684D">
        <w:rPr>
          <w:rFonts w:cs="Arial"/>
          <w:lang w:val="fr-CH"/>
        </w:rPr>
        <w:t xml:space="preserve">, l’ajout </w:t>
      </w:r>
      <w:r w:rsidR="00B604D7">
        <w:rPr>
          <w:rFonts w:cs="Arial"/>
          <w:lang w:val="fr-CH"/>
        </w:rPr>
        <w:t xml:space="preserve">de clauses supplémentaires </w:t>
      </w:r>
      <w:r w:rsidRPr="0027684D">
        <w:rPr>
          <w:rFonts w:cs="Arial"/>
          <w:lang w:val="fr-CH"/>
        </w:rPr>
        <w:t xml:space="preserve">dans le contrat </w:t>
      </w:r>
      <w:r w:rsidR="006D7F13">
        <w:rPr>
          <w:rFonts w:cs="Arial"/>
          <w:lang w:val="fr-CH"/>
        </w:rPr>
        <w:t>relatif aux</w:t>
      </w:r>
      <w:r w:rsidRPr="0027684D">
        <w:rPr>
          <w:rFonts w:cs="Arial"/>
          <w:lang w:val="fr-CH"/>
        </w:rPr>
        <w:t xml:space="preserve"> agents de sécurité et le transfert des coûts liés à la sécurité physique passant de la catégorie “Locaux et entretien” à la catégorie “Autres services contractuels”;  ii) une augmentation de 7,7 millions de francs suisses pour les traductions du PCT au titre du programme 5 (Système du PCT);  et iii) une augmentation de 4,2 millions de francs suisses au titre du programme 22 (Gestion des programmes et des ressources).</w:t>
      </w:r>
    </w:p>
    <w:p w14:paraId="6F2AF24C" w14:textId="77777777" w:rsidR="0027684D" w:rsidRPr="0027684D" w:rsidRDefault="0027684D" w:rsidP="00986700">
      <w:pPr>
        <w:pStyle w:val="ListParagraph"/>
        <w:rPr>
          <w:rFonts w:cs="Arial"/>
          <w:lang w:val="fr-CH"/>
        </w:rPr>
      </w:pPr>
    </w:p>
    <w:p w14:paraId="5D9E46EB" w14:textId="7A7D5F06"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coût estimé de la catégorie “Coûts financiers” </w:t>
      </w:r>
      <w:r w:rsidR="006D7F13">
        <w:rPr>
          <w:rFonts w:cs="Arial"/>
          <w:lang w:val="fr-CH"/>
        </w:rPr>
        <w:t>en</w:t>
      </w:r>
      <w:r w:rsidRPr="0027684D">
        <w:rPr>
          <w:rFonts w:cs="Arial"/>
          <w:lang w:val="fr-CH"/>
        </w:rPr>
        <w:t xml:space="preserve"> 2018-2019 a diminué d’un montant de 5,6 millions de francs suisses, soit une diminution de 76,8%, par rapport au budget </w:t>
      </w:r>
      <w:r w:rsidR="006D7F13" w:rsidRPr="0027684D">
        <w:rPr>
          <w:rFonts w:cs="Arial"/>
          <w:lang w:val="fr-CH"/>
        </w:rPr>
        <w:t>2016-2017</w:t>
      </w:r>
      <w:r w:rsidR="006D7F13">
        <w:rPr>
          <w:rFonts w:cs="Arial"/>
          <w:lang w:val="fr-CH"/>
        </w:rPr>
        <w:t xml:space="preserve"> </w:t>
      </w:r>
      <w:r w:rsidRPr="0027684D">
        <w:rPr>
          <w:rFonts w:cs="Arial"/>
          <w:lang w:val="fr-CH"/>
        </w:rPr>
        <w:t xml:space="preserve">approuvé.  Cette diminution est principalement due au remboursement des </w:t>
      </w:r>
      <w:r w:rsidR="006D7F13">
        <w:rPr>
          <w:rFonts w:cs="Arial"/>
          <w:lang w:val="fr-CH"/>
        </w:rPr>
        <w:t>emprunts</w:t>
      </w:r>
      <w:r w:rsidRPr="0027684D">
        <w:rPr>
          <w:rFonts w:cs="Arial"/>
          <w:lang w:val="fr-CH"/>
        </w:rPr>
        <w:t xml:space="preserve"> relatifs au </w:t>
      </w:r>
      <w:r w:rsidR="006D7F13" w:rsidRPr="0027684D">
        <w:rPr>
          <w:rFonts w:cs="Arial"/>
          <w:lang w:val="fr-CH"/>
        </w:rPr>
        <w:t xml:space="preserve">nouveau bâtiment </w:t>
      </w:r>
      <w:r w:rsidRPr="0027684D">
        <w:rPr>
          <w:rFonts w:cs="Arial"/>
          <w:lang w:val="fr-CH"/>
        </w:rPr>
        <w:t xml:space="preserve">en 2017.  La provision </w:t>
      </w:r>
      <w:r w:rsidR="006D7F13">
        <w:rPr>
          <w:rFonts w:cs="Arial"/>
          <w:lang w:val="fr-CH"/>
        </w:rPr>
        <w:t xml:space="preserve">correspondante pour le </w:t>
      </w:r>
      <w:r w:rsidRPr="0027684D">
        <w:rPr>
          <w:rFonts w:cs="Arial"/>
          <w:lang w:val="fr-CH"/>
        </w:rPr>
        <w:t>paiement des intérêts s’élevant à 4,2 millions en 2016-2017 a par la suite été retirée du programme 24 (Services d’appui généraux).</w:t>
      </w:r>
    </w:p>
    <w:p w14:paraId="1C138236" w14:textId="77777777" w:rsidR="0027684D" w:rsidRPr="0027684D" w:rsidRDefault="0027684D" w:rsidP="00986700">
      <w:pPr>
        <w:pStyle w:val="ListParagraph"/>
        <w:rPr>
          <w:rFonts w:cs="Arial"/>
          <w:lang w:val="fr-CH"/>
        </w:rPr>
      </w:pPr>
    </w:p>
    <w:p w14:paraId="3377071E" w14:textId="5F2E433B"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coût estimé de la catégorie “Locaux et entretien” </w:t>
      </w:r>
      <w:r w:rsidR="006D7F13">
        <w:rPr>
          <w:rFonts w:cs="Arial"/>
          <w:lang w:val="fr-CH"/>
        </w:rPr>
        <w:t>en</w:t>
      </w:r>
      <w:r w:rsidRPr="0027684D">
        <w:rPr>
          <w:rFonts w:cs="Arial"/>
          <w:lang w:val="fr-CH"/>
        </w:rPr>
        <w:t xml:space="preserve"> 2018-2019 a diminué d’un montant de 6,3 millions de francs suisses, soit une diminution de 18,5%, par rapport au budget </w:t>
      </w:r>
      <w:r w:rsidR="006D7F13" w:rsidRPr="0027684D">
        <w:rPr>
          <w:rFonts w:cs="Arial"/>
          <w:lang w:val="fr-CH"/>
        </w:rPr>
        <w:t>2016-2017</w:t>
      </w:r>
      <w:r w:rsidR="006D7F13">
        <w:rPr>
          <w:rFonts w:cs="Arial"/>
          <w:lang w:val="fr-CH"/>
        </w:rPr>
        <w:t xml:space="preserve"> </w:t>
      </w:r>
      <w:r w:rsidRPr="0027684D">
        <w:rPr>
          <w:rFonts w:cs="Arial"/>
          <w:lang w:val="fr-CH"/>
        </w:rPr>
        <w:t>approuvé.  Cela est principalement dû, d’une part, à une diminution de 6,5 millions de francs suisses au titre du programme 28 (Sécurité informatique, des biens et des personnes), qui comprend, en outre, les coûts relatifs aux agents de sécurité transférés dans la catégorie “Autres services contractuels”, et, d’autre part, à une augmentation des montants au titre du programme 5 (Système du PCT) et du programme 20 (Relations extérieures, partenariats et bureaux extérieurs).</w:t>
      </w:r>
    </w:p>
    <w:p w14:paraId="7858D7E5" w14:textId="77777777" w:rsidR="0027684D" w:rsidRPr="0027684D" w:rsidRDefault="0027684D" w:rsidP="00986700">
      <w:pPr>
        <w:jc w:val="both"/>
        <w:rPr>
          <w:rFonts w:cs="Arial"/>
          <w:lang w:val="fr-CH"/>
        </w:rPr>
      </w:pPr>
    </w:p>
    <w:p w14:paraId="035F6FC5" w14:textId="5DE35116"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 budget de la catégorie “Frais de représentation et autres dépenses de fonctionnement” </w:t>
      </w:r>
      <w:r w:rsidR="00553946">
        <w:rPr>
          <w:rFonts w:cs="Arial"/>
          <w:lang w:val="fr-CH"/>
        </w:rPr>
        <w:t>en </w:t>
      </w:r>
      <w:r w:rsidRPr="0027684D">
        <w:rPr>
          <w:rFonts w:cs="Arial"/>
          <w:lang w:val="fr-CH"/>
        </w:rPr>
        <w:t xml:space="preserve">2018-2019 a augmenté d’un montant de 0,6 million de francs suisses, soit une augmentation de 59,6%, par rapport au budget </w:t>
      </w:r>
      <w:r w:rsidR="00553946" w:rsidRPr="0027684D">
        <w:rPr>
          <w:rFonts w:cs="Arial"/>
          <w:lang w:val="fr-CH"/>
        </w:rPr>
        <w:t>2016-2017</w:t>
      </w:r>
      <w:r w:rsidR="00553946">
        <w:rPr>
          <w:rFonts w:cs="Arial"/>
          <w:lang w:val="fr-CH"/>
        </w:rPr>
        <w:t xml:space="preserve"> </w:t>
      </w:r>
      <w:r w:rsidRPr="0027684D">
        <w:rPr>
          <w:rFonts w:cs="Arial"/>
          <w:lang w:val="fr-CH"/>
        </w:rPr>
        <w:t>approuvé.  Cette augmentation est principalement due à un transfert de 0,4 million de francs suisses passant de la catégorie “Coûts financiers” à la catégorie “Frais de représentation et autres dépenses de fonctionnement” dans le cadre du programme 22 (Gestion des programmes et des ressources),</w:t>
      </w:r>
      <w:r w:rsidR="00553946">
        <w:rPr>
          <w:rFonts w:cs="Arial"/>
          <w:lang w:val="fr-CH"/>
        </w:rPr>
        <w:t xml:space="preserve"> qui procède d’un classement plus précis des coûts liés aux vérificateurs externes des comptes</w:t>
      </w:r>
      <w:r w:rsidRPr="0027684D">
        <w:rPr>
          <w:rFonts w:cs="Arial"/>
          <w:lang w:val="fr-CH"/>
        </w:rPr>
        <w:t>, ainsi qu’à une augmentation de 0,2 million de francs suisses au titre du programme 21 (Direction générale) pour l’organisation de manifestations dans les locaux de l’OMPI.</w:t>
      </w:r>
    </w:p>
    <w:p w14:paraId="7F4F8A8A" w14:textId="77777777" w:rsidR="0027684D" w:rsidRDefault="0027684D" w:rsidP="00986700">
      <w:pPr>
        <w:jc w:val="both"/>
        <w:rPr>
          <w:rFonts w:cs="Arial"/>
          <w:lang w:val="fr-CH"/>
        </w:rPr>
      </w:pPr>
    </w:p>
    <w:p w14:paraId="1E9ACBFB" w14:textId="77777777" w:rsidR="00986700" w:rsidRPr="0027684D" w:rsidRDefault="00986700" w:rsidP="00986700">
      <w:pPr>
        <w:jc w:val="both"/>
        <w:rPr>
          <w:rFonts w:cs="Arial"/>
          <w:lang w:val="fr-CH"/>
        </w:rPr>
      </w:pPr>
    </w:p>
    <w:p w14:paraId="33FBB3C9" w14:textId="77777777" w:rsidR="00986700" w:rsidRPr="00986700" w:rsidRDefault="00986700" w:rsidP="000108C1">
      <w:pPr>
        <w:keepNext/>
        <w:rPr>
          <w:b/>
          <w:caps/>
          <w:sz w:val="22"/>
        </w:rPr>
      </w:pPr>
      <w:bookmarkStart w:id="21" w:name="_Toc427154391"/>
      <w:r w:rsidRPr="00986700">
        <w:rPr>
          <w:b/>
          <w:caps/>
          <w:sz w:val="22"/>
        </w:rPr>
        <w:t>Dépenses de personnel</w:t>
      </w:r>
      <w:bookmarkEnd w:id="21"/>
    </w:p>
    <w:p w14:paraId="5A2CECAD" w14:textId="77777777" w:rsidR="00986700" w:rsidRPr="00966AE5" w:rsidRDefault="00986700" w:rsidP="000108C1">
      <w:pPr>
        <w:pStyle w:val="NormalWeb"/>
        <w:keepNext/>
        <w:shd w:val="clear" w:color="auto" w:fill="FFFFFF"/>
        <w:jc w:val="both"/>
        <w:rPr>
          <w:rFonts w:asciiTheme="minorBidi" w:hAnsiTheme="minorBidi" w:cstheme="minorBidi"/>
          <w:bCs/>
          <w:color w:val="000000"/>
          <w:sz w:val="20"/>
          <w:szCs w:val="20"/>
        </w:rPr>
      </w:pPr>
    </w:p>
    <w:p w14:paraId="08808DB4" w14:textId="77777777" w:rsidR="00986700" w:rsidRPr="00966AE5" w:rsidRDefault="00986700" w:rsidP="000108C1">
      <w:pPr>
        <w:keepNext/>
        <w:shd w:val="clear" w:color="auto" w:fill="FFFFFF"/>
        <w:jc w:val="both"/>
        <w:rPr>
          <w:rFonts w:eastAsiaTheme="minorHAnsi" w:cs="Arial"/>
          <w:b/>
          <w:color w:val="000000"/>
          <w:szCs w:val="20"/>
          <w:lang w:eastAsia="en-US"/>
        </w:rPr>
      </w:pPr>
      <w:r w:rsidRPr="00966AE5">
        <w:rPr>
          <w:rFonts w:eastAsiaTheme="minorHAnsi" w:cs="Arial"/>
          <w:b/>
          <w:color w:val="000000"/>
          <w:szCs w:val="20"/>
          <w:lang w:eastAsia="en-US"/>
        </w:rPr>
        <w:t>Méthode</w:t>
      </w:r>
    </w:p>
    <w:p w14:paraId="46C8F899" w14:textId="77777777" w:rsidR="00986700" w:rsidRPr="00966AE5" w:rsidRDefault="00986700" w:rsidP="000108C1">
      <w:pPr>
        <w:pStyle w:val="NormalWeb"/>
        <w:keepNext/>
        <w:shd w:val="clear" w:color="auto" w:fill="FFFFFF"/>
        <w:jc w:val="both"/>
        <w:rPr>
          <w:rFonts w:asciiTheme="minorBidi" w:hAnsiTheme="minorBidi" w:cstheme="minorBidi"/>
          <w:bCs/>
          <w:sz w:val="20"/>
          <w:szCs w:val="20"/>
        </w:rPr>
      </w:pPr>
    </w:p>
    <w:p w14:paraId="26F5E6FE" w14:textId="77777777" w:rsidR="00986700" w:rsidRPr="00966AE5" w:rsidRDefault="00986700" w:rsidP="00616FD3">
      <w:pPr>
        <w:pStyle w:val="ListParagraph"/>
        <w:numPr>
          <w:ilvl w:val="0"/>
          <w:numId w:val="59"/>
        </w:numPr>
        <w:tabs>
          <w:tab w:val="left" w:pos="567"/>
        </w:tabs>
        <w:ind w:left="0" w:firstLine="0"/>
        <w:jc w:val="both"/>
        <w:rPr>
          <w:rFonts w:cs="Arial"/>
          <w:color w:val="000000"/>
          <w:szCs w:val="20"/>
        </w:rPr>
      </w:pPr>
      <w:r w:rsidRPr="00966AE5">
        <w:rPr>
          <w:rFonts w:cs="Arial"/>
          <w:color w:val="000000"/>
          <w:szCs w:val="20"/>
        </w:rPr>
        <w:t>Le budget alloué aux dépenses de personnel pour l</w:t>
      </w:r>
      <w:r>
        <w:rPr>
          <w:rFonts w:cs="Arial"/>
          <w:color w:val="000000"/>
          <w:szCs w:val="20"/>
        </w:rPr>
        <w:t>’</w:t>
      </w:r>
      <w:r w:rsidRPr="00966AE5">
        <w:rPr>
          <w:rFonts w:cs="Arial"/>
          <w:color w:val="000000"/>
          <w:szCs w:val="20"/>
        </w:rPr>
        <w:t>exercice biennal</w:t>
      </w:r>
      <w:r>
        <w:rPr>
          <w:rFonts w:cs="Arial"/>
          <w:color w:val="000000"/>
          <w:szCs w:val="20"/>
        </w:rPr>
        <w:t> </w:t>
      </w:r>
      <w:r w:rsidRPr="00966AE5">
        <w:rPr>
          <w:rFonts w:cs="Arial"/>
          <w:color w:val="000000"/>
          <w:szCs w:val="20"/>
        </w:rPr>
        <w:t>2018</w:t>
      </w:r>
      <w:r>
        <w:rPr>
          <w:rFonts w:cs="Arial"/>
          <w:color w:val="000000"/>
          <w:szCs w:val="20"/>
        </w:rPr>
        <w:noBreakHyphen/>
      </w:r>
      <w:r w:rsidRPr="00966AE5">
        <w:rPr>
          <w:rFonts w:cs="Arial"/>
          <w:color w:val="000000"/>
          <w:szCs w:val="20"/>
        </w:rPr>
        <w:t>2019 continue d</w:t>
      </w:r>
      <w:r>
        <w:rPr>
          <w:rFonts w:cs="Arial"/>
          <w:color w:val="000000"/>
          <w:szCs w:val="20"/>
        </w:rPr>
        <w:t>’</w:t>
      </w:r>
      <w:r w:rsidRPr="00966AE5">
        <w:rPr>
          <w:rFonts w:cs="Arial"/>
          <w:color w:val="000000"/>
          <w:szCs w:val="20"/>
        </w:rPr>
        <w:t>être calculé sur la base des montants réels, à la suite de la modification apportée en</w:t>
      </w:r>
      <w:r>
        <w:rPr>
          <w:rFonts w:cs="Arial"/>
          <w:color w:val="000000"/>
          <w:szCs w:val="20"/>
        </w:rPr>
        <w:t> </w:t>
      </w:r>
      <w:r w:rsidRPr="00966AE5">
        <w:rPr>
          <w:rFonts w:cs="Arial"/>
          <w:color w:val="000000"/>
          <w:szCs w:val="20"/>
        </w:rPr>
        <w:t>2016</w:t>
      </w:r>
      <w:r>
        <w:rPr>
          <w:rFonts w:cs="Arial"/>
          <w:color w:val="000000"/>
          <w:szCs w:val="20"/>
        </w:rPr>
        <w:noBreakHyphen/>
      </w:r>
      <w:r w:rsidRPr="00966AE5">
        <w:rPr>
          <w:rFonts w:cs="Arial"/>
          <w:color w:val="000000"/>
          <w:szCs w:val="20"/>
        </w:rPr>
        <w:t>2017 à la méthode utilisée pour le calcul des dépenses de personnel.</w:t>
      </w:r>
    </w:p>
    <w:p w14:paraId="42AB56D8" w14:textId="77777777" w:rsidR="00986700" w:rsidRPr="00966AE5" w:rsidRDefault="00986700" w:rsidP="000108C1">
      <w:pPr>
        <w:pStyle w:val="ListParagraph"/>
        <w:tabs>
          <w:tab w:val="left" w:pos="567"/>
        </w:tabs>
        <w:ind w:left="0"/>
        <w:jc w:val="both"/>
        <w:rPr>
          <w:rFonts w:cs="Arial"/>
          <w:color w:val="000000"/>
          <w:szCs w:val="20"/>
        </w:rPr>
      </w:pPr>
    </w:p>
    <w:p w14:paraId="422F7BA1" w14:textId="445593F0" w:rsidR="00986700" w:rsidRPr="00966AE5" w:rsidRDefault="00986700" w:rsidP="00616FD3">
      <w:pPr>
        <w:pStyle w:val="ListParagraph"/>
        <w:numPr>
          <w:ilvl w:val="0"/>
          <w:numId w:val="59"/>
        </w:numPr>
        <w:tabs>
          <w:tab w:val="left" w:pos="567"/>
        </w:tabs>
        <w:ind w:left="0" w:firstLine="0"/>
        <w:jc w:val="both"/>
        <w:rPr>
          <w:rFonts w:asciiTheme="minorBidi" w:hAnsiTheme="minorBidi"/>
          <w:szCs w:val="20"/>
        </w:rPr>
      </w:pPr>
      <w:r w:rsidRPr="00966AE5">
        <w:rPr>
          <w:rFonts w:asciiTheme="minorBidi" w:hAnsiTheme="minorBidi"/>
          <w:szCs w:val="20"/>
        </w:rPr>
        <w:lastRenderedPageBreak/>
        <w:t>Le budget alloué aux dépenses de personnel pour l</w:t>
      </w:r>
      <w:r>
        <w:rPr>
          <w:rFonts w:asciiTheme="minorBidi" w:hAnsiTheme="minorBidi"/>
          <w:szCs w:val="20"/>
        </w:rPr>
        <w:t>’</w:t>
      </w:r>
      <w:r w:rsidRPr="00966AE5">
        <w:rPr>
          <w:rFonts w:asciiTheme="minorBidi" w:hAnsiTheme="minorBidi"/>
          <w:szCs w:val="20"/>
        </w:rPr>
        <w:t xml:space="preserve">exercice biennal </w:t>
      </w:r>
      <w:r>
        <w:rPr>
          <w:rFonts w:asciiTheme="minorBidi" w:hAnsiTheme="minorBidi"/>
          <w:szCs w:val="20"/>
        </w:rPr>
        <w:t>2018</w:t>
      </w:r>
      <w:r>
        <w:rPr>
          <w:rFonts w:asciiTheme="minorBidi" w:hAnsiTheme="minorBidi"/>
          <w:szCs w:val="20"/>
        </w:rPr>
        <w:noBreakHyphen/>
        <w:t xml:space="preserve">2019 </w:t>
      </w:r>
      <w:r w:rsidRPr="00966AE5">
        <w:rPr>
          <w:rFonts w:asciiTheme="minorBidi" w:hAnsiTheme="minorBidi"/>
          <w:szCs w:val="20"/>
        </w:rPr>
        <w:t>tient compte des changements découlant de l</w:t>
      </w:r>
      <w:r>
        <w:rPr>
          <w:rFonts w:asciiTheme="minorBidi" w:hAnsiTheme="minorBidi"/>
          <w:szCs w:val="20"/>
        </w:rPr>
        <w:t>’entrée en vigueur</w:t>
      </w:r>
      <w:r w:rsidRPr="00966AE5">
        <w:rPr>
          <w:rFonts w:asciiTheme="minorBidi" w:hAnsiTheme="minorBidi"/>
          <w:szCs w:val="20"/>
        </w:rPr>
        <w:t xml:space="preserve"> du barème unifié des traitements à compter du</w:t>
      </w:r>
      <w:r>
        <w:rPr>
          <w:rFonts w:asciiTheme="minorBidi" w:hAnsiTheme="minorBidi"/>
          <w:szCs w:val="20"/>
        </w:rPr>
        <w:t xml:space="preserve"> 1</w:t>
      </w:r>
      <w:r w:rsidRPr="003E353D">
        <w:rPr>
          <w:rFonts w:asciiTheme="minorBidi" w:hAnsiTheme="minorBidi"/>
          <w:szCs w:val="20"/>
          <w:vertAlign w:val="superscript"/>
        </w:rPr>
        <w:t>er</w:t>
      </w:r>
      <w:r>
        <w:rPr>
          <w:rFonts w:asciiTheme="minorBidi" w:hAnsiTheme="minorBidi"/>
          <w:szCs w:val="20"/>
        </w:rPr>
        <w:t> </w:t>
      </w:r>
      <w:r w:rsidRPr="00966AE5">
        <w:rPr>
          <w:rFonts w:asciiTheme="minorBidi" w:hAnsiTheme="minorBidi"/>
          <w:szCs w:val="20"/>
        </w:rPr>
        <w:t>janvier</w:t>
      </w:r>
      <w:r>
        <w:rPr>
          <w:rFonts w:asciiTheme="minorBidi" w:hAnsiTheme="minorBidi"/>
          <w:szCs w:val="20"/>
        </w:rPr>
        <w:t> </w:t>
      </w:r>
      <w:r w:rsidRPr="00966AE5">
        <w:rPr>
          <w:rFonts w:asciiTheme="minorBidi" w:hAnsiTheme="minorBidi"/>
          <w:szCs w:val="20"/>
        </w:rPr>
        <w:t xml:space="preserve">2017 et de la mise en œuvre du nouveau régime commun de prestations versées aux administrateurs et aux fonctionnaires de rang supérieur, établi </w:t>
      </w:r>
      <w:r>
        <w:rPr>
          <w:rFonts w:asciiTheme="minorBidi" w:hAnsiTheme="minorBidi"/>
          <w:szCs w:val="20"/>
        </w:rPr>
        <w:t>sur la base des recommandations de</w:t>
      </w:r>
      <w:r w:rsidRPr="00966AE5">
        <w:rPr>
          <w:rFonts w:asciiTheme="minorBidi" w:hAnsiTheme="minorBidi"/>
          <w:szCs w:val="20"/>
        </w:rPr>
        <w:t xml:space="preserve"> la Commission de la fonction publique internationale</w:t>
      </w:r>
      <w:r w:rsidR="008771A6">
        <w:rPr>
          <w:rFonts w:asciiTheme="minorBidi" w:hAnsiTheme="minorBidi"/>
          <w:szCs w:val="20"/>
        </w:rPr>
        <w:t xml:space="preserve"> (CFPI)</w:t>
      </w:r>
      <w:r w:rsidRPr="00291622">
        <w:rPr>
          <w:rFonts w:asciiTheme="minorBidi" w:hAnsiTheme="minorBidi"/>
          <w:szCs w:val="20"/>
          <w:vertAlign w:val="superscript"/>
        </w:rPr>
        <w:footnoteReference w:id="11"/>
      </w:r>
      <w:r w:rsidRPr="00966AE5">
        <w:rPr>
          <w:rFonts w:asciiTheme="minorBidi" w:hAnsiTheme="minorBidi"/>
          <w:szCs w:val="20"/>
        </w:rPr>
        <w:t>, ainsi que des amendements apportés au Statut et Règlement du personnel.</w:t>
      </w:r>
    </w:p>
    <w:p w14:paraId="32A69D31" w14:textId="77777777" w:rsidR="00986700" w:rsidRPr="00966AE5" w:rsidRDefault="00986700" w:rsidP="000108C1">
      <w:pPr>
        <w:pStyle w:val="ListParagraph"/>
        <w:tabs>
          <w:tab w:val="left" w:pos="567"/>
        </w:tabs>
        <w:ind w:left="0"/>
        <w:jc w:val="both"/>
        <w:rPr>
          <w:rFonts w:asciiTheme="minorBidi" w:hAnsiTheme="minorBidi"/>
          <w:szCs w:val="20"/>
        </w:rPr>
      </w:pPr>
    </w:p>
    <w:p w14:paraId="3CE92224" w14:textId="77777777" w:rsidR="00986700" w:rsidRDefault="00986700" w:rsidP="00616FD3">
      <w:pPr>
        <w:pStyle w:val="ListParagraph"/>
        <w:numPr>
          <w:ilvl w:val="0"/>
          <w:numId w:val="59"/>
        </w:numPr>
        <w:tabs>
          <w:tab w:val="left" w:pos="567"/>
        </w:tabs>
        <w:ind w:left="0" w:firstLine="0"/>
        <w:jc w:val="both"/>
        <w:rPr>
          <w:rFonts w:asciiTheme="minorBidi" w:hAnsiTheme="minorBidi"/>
          <w:szCs w:val="20"/>
        </w:rPr>
      </w:pPr>
      <w:r w:rsidRPr="00966AE5">
        <w:rPr>
          <w:rFonts w:asciiTheme="minorBidi" w:hAnsiTheme="minorBidi"/>
          <w:szCs w:val="20"/>
        </w:rPr>
        <w:t>Si les dépenses relatives aux postes occupés sont fondées sur les derniers barèmes de l</w:t>
      </w:r>
      <w:r>
        <w:rPr>
          <w:rFonts w:asciiTheme="minorBidi" w:hAnsiTheme="minorBidi"/>
          <w:szCs w:val="20"/>
        </w:rPr>
        <w:t>’</w:t>
      </w:r>
      <w:r w:rsidRPr="00966AE5">
        <w:rPr>
          <w:rFonts w:asciiTheme="minorBidi" w:hAnsiTheme="minorBidi"/>
          <w:szCs w:val="20"/>
        </w:rPr>
        <w:t>ONU disponibles en matière de traitement et de rémunération considérée aux fins de la pension et les politiques applicables en matière d</w:t>
      </w:r>
      <w:r>
        <w:rPr>
          <w:rFonts w:asciiTheme="minorBidi" w:hAnsiTheme="minorBidi"/>
          <w:szCs w:val="20"/>
        </w:rPr>
        <w:t>’</w:t>
      </w:r>
      <w:r w:rsidRPr="00966AE5">
        <w:rPr>
          <w:rFonts w:asciiTheme="minorBidi" w:hAnsiTheme="minorBidi"/>
          <w:szCs w:val="20"/>
        </w:rPr>
        <w:t>avantages et de prestations, les dépenses relatives aux postes à pourvoir sont fondées sur les dépenses moyennes standard.</w:t>
      </w:r>
    </w:p>
    <w:p w14:paraId="56CF818A" w14:textId="77777777" w:rsidR="00986700" w:rsidRPr="00966AE5" w:rsidRDefault="00986700" w:rsidP="00986700">
      <w:pPr>
        <w:pStyle w:val="NormalWeb"/>
        <w:keepNext/>
        <w:keepLines/>
        <w:shd w:val="clear" w:color="auto" w:fill="FFFFFF"/>
        <w:jc w:val="both"/>
        <w:rPr>
          <w:rFonts w:asciiTheme="minorBidi" w:hAnsiTheme="minorBidi" w:cstheme="minorBidi"/>
          <w:bCs/>
          <w:color w:val="000000"/>
          <w:sz w:val="20"/>
          <w:szCs w:val="20"/>
        </w:rPr>
      </w:pPr>
    </w:p>
    <w:p w14:paraId="71A96964" w14:textId="77777777" w:rsidR="00986700" w:rsidRPr="00966AE5" w:rsidRDefault="00986700" w:rsidP="00986700">
      <w:pPr>
        <w:pStyle w:val="NormalWeb"/>
        <w:keepNext/>
        <w:keepLines/>
        <w:shd w:val="clear" w:color="auto" w:fill="FFFFFF"/>
        <w:jc w:val="both"/>
        <w:rPr>
          <w:rFonts w:asciiTheme="minorBidi" w:hAnsiTheme="minorBidi" w:cstheme="minorBidi"/>
          <w:b/>
          <w:color w:val="000000"/>
          <w:sz w:val="20"/>
          <w:szCs w:val="20"/>
        </w:rPr>
      </w:pPr>
      <w:r w:rsidRPr="00966AE5">
        <w:rPr>
          <w:rFonts w:asciiTheme="minorBidi" w:hAnsiTheme="minorBidi" w:cstheme="minorBidi"/>
          <w:b/>
          <w:color w:val="000000"/>
          <w:sz w:val="20"/>
          <w:szCs w:val="20"/>
        </w:rPr>
        <w:t>Hypothèses de planification</w:t>
      </w:r>
    </w:p>
    <w:p w14:paraId="0B3D0E81" w14:textId="77777777" w:rsidR="00986700" w:rsidRPr="00966AE5" w:rsidRDefault="00986700" w:rsidP="00986700">
      <w:pPr>
        <w:pStyle w:val="NormalWeb"/>
        <w:keepNext/>
        <w:keepLines/>
        <w:shd w:val="clear" w:color="auto" w:fill="FFFFFF"/>
        <w:jc w:val="both"/>
        <w:rPr>
          <w:rFonts w:asciiTheme="minorBidi" w:hAnsiTheme="minorBidi" w:cstheme="minorBidi"/>
          <w:bCs/>
          <w:color w:val="000000"/>
          <w:sz w:val="20"/>
          <w:szCs w:val="20"/>
        </w:rPr>
      </w:pPr>
    </w:p>
    <w:p w14:paraId="40621101" w14:textId="5D3858C5" w:rsidR="00986700" w:rsidRDefault="00986700" w:rsidP="00616FD3">
      <w:pPr>
        <w:keepNext/>
        <w:keepLines/>
        <w:numPr>
          <w:ilvl w:val="0"/>
          <w:numId w:val="92"/>
        </w:numPr>
        <w:shd w:val="clear" w:color="auto" w:fill="FFFFFF"/>
        <w:tabs>
          <w:tab w:val="clear" w:pos="720"/>
          <w:tab w:val="num" w:pos="1134"/>
        </w:tabs>
        <w:ind w:left="1134" w:hanging="567"/>
        <w:jc w:val="both"/>
        <w:rPr>
          <w:rFonts w:cs="Arial"/>
          <w:color w:val="000000"/>
        </w:rPr>
      </w:pPr>
      <w:r w:rsidRPr="00966AE5">
        <w:rPr>
          <w:rFonts w:cs="Arial"/>
          <w:color w:val="000000"/>
        </w:rPr>
        <w:t>En ce qui concerne les postes occupés, le calcul des traitements pour</w:t>
      </w:r>
      <w:r>
        <w:rPr>
          <w:rFonts w:cs="Arial"/>
          <w:color w:val="000000"/>
        </w:rPr>
        <w:t> </w:t>
      </w:r>
      <w:r w:rsidRPr="00966AE5">
        <w:rPr>
          <w:rFonts w:cs="Arial"/>
          <w:color w:val="000000"/>
        </w:rPr>
        <w:t>2018</w:t>
      </w:r>
      <w:r>
        <w:rPr>
          <w:rFonts w:cs="Arial"/>
          <w:color w:val="000000"/>
        </w:rPr>
        <w:noBreakHyphen/>
      </w:r>
      <w:r w:rsidRPr="00966AE5">
        <w:rPr>
          <w:rFonts w:cs="Arial"/>
          <w:color w:val="000000"/>
        </w:rPr>
        <w:t>2019 tient compte des barèmes les plus récents (pour la catégorie de services généraux) et du barème unifié des traitements et des avancements d</w:t>
      </w:r>
      <w:r>
        <w:rPr>
          <w:rFonts w:cs="Arial"/>
          <w:color w:val="000000"/>
        </w:rPr>
        <w:t>’</w:t>
      </w:r>
      <w:r w:rsidRPr="00966AE5">
        <w:rPr>
          <w:rFonts w:cs="Arial"/>
          <w:color w:val="000000"/>
        </w:rPr>
        <w:t>échelon en vigueur à compter du</w:t>
      </w:r>
      <w:r>
        <w:rPr>
          <w:rFonts w:cs="Arial"/>
          <w:color w:val="000000"/>
        </w:rPr>
        <w:t xml:space="preserve"> 1</w:t>
      </w:r>
      <w:r w:rsidRPr="003E353D">
        <w:rPr>
          <w:rFonts w:cs="Arial"/>
          <w:color w:val="000000"/>
          <w:vertAlign w:val="superscript"/>
        </w:rPr>
        <w:t>er</w:t>
      </w:r>
      <w:r>
        <w:rPr>
          <w:rFonts w:cs="Arial"/>
          <w:color w:val="000000"/>
        </w:rPr>
        <w:t> </w:t>
      </w:r>
      <w:r w:rsidRPr="00966AE5">
        <w:rPr>
          <w:rFonts w:cs="Arial"/>
          <w:color w:val="000000"/>
        </w:rPr>
        <w:t>janvier</w:t>
      </w:r>
      <w:r>
        <w:rPr>
          <w:rFonts w:cs="Arial"/>
          <w:color w:val="000000"/>
        </w:rPr>
        <w:t> </w:t>
      </w:r>
      <w:r w:rsidRPr="00966AE5">
        <w:rPr>
          <w:rFonts w:cs="Arial"/>
          <w:color w:val="000000"/>
        </w:rPr>
        <w:t>2017 (</w:t>
      </w:r>
      <w:r w:rsidR="00B604D7">
        <w:rPr>
          <w:rFonts w:cs="Arial"/>
          <w:color w:val="000000"/>
        </w:rPr>
        <w:t>pour les catégories professionnelle et supérieures</w:t>
      </w:r>
      <w:r w:rsidRPr="00966AE5">
        <w:rPr>
          <w:rFonts w:cs="Arial"/>
          <w:color w:val="000000"/>
        </w:rPr>
        <w:t>), au prorata pour</w:t>
      </w:r>
      <w:r>
        <w:rPr>
          <w:rFonts w:cs="Arial"/>
          <w:color w:val="000000"/>
        </w:rPr>
        <w:t> </w:t>
      </w:r>
      <w:r w:rsidRPr="00966AE5">
        <w:rPr>
          <w:rFonts w:cs="Arial"/>
          <w:color w:val="000000"/>
        </w:rPr>
        <w:t>2018</w:t>
      </w:r>
      <w:r>
        <w:rPr>
          <w:rFonts w:cs="Arial"/>
          <w:color w:val="000000"/>
        </w:rPr>
        <w:noBreakHyphen/>
      </w:r>
      <w:r w:rsidRPr="00966AE5">
        <w:rPr>
          <w:rFonts w:cs="Arial"/>
          <w:color w:val="000000"/>
        </w:rPr>
        <w:t>2019.  Il tient également compte du nouveau régime commun de prestations versées aux administrateurs et aux fonctionnaires de rang supérieur et des amendements apportés au Statut et Règlement du personnel</w:t>
      </w:r>
      <w:r>
        <w:rPr>
          <w:rFonts w:cs="Arial"/>
          <w:color w:val="000000"/>
        </w:rPr>
        <w:t xml:space="preserve">.  </w:t>
      </w:r>
      <w:r w:rsidRPr="00966AE5">
        <w:rPr>
          <w:rFonts w:cs="Arial"/>
          <w:color w:val="000000"/>
        </w:rPr>
        <w:t xml:space="preserve">En ce qui concerne les postes </w:t>
      </w:r>
      <w:r>
        <w:rPr>
          <w:rFonts w:cs="Arial"/>
          <w:color w:val="000000"/>
        </w:rPr>
        <w:t>à pourvoir</w:t>
      </w:r>
      <w:r w:rsidRPr="00966AE5">
        <w:rPr>
          <w:rFonts w:cs="Arial"/>
          <w:color w:val="000000"/>
        </w:rPr>
        <w:t>, les dépenses standard sont calculées sur la base du premier échelon du grade.</w:t>
      </w:r>
    </w:p>
    <w:p w14:paraId="0D33184D"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7C37F9A4"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hAnsiTheme="minorBidi"/>
          <w:color w:val="000000"/>
          <w:szCs w:val="20"/>
        </w:rPr>
        <w:t>Le taux de change et le coefficient d</w:t>
      </w:r>
      <w:r>
        <w:rPr>
          <w:rFonts w:asciiTheme="minorBidi" w:hAnsiTheme="minorBidi"/>
          <w:color w:val="000000"/>
          <w:szCs w:val="20"/>
        </w:rPr>
        <w:t>’</w:t>
      </w:r>
      <w:r w:rsidRPr="00966AE5">
        <w:rPr>
          <w:rFonts w:asciiTheme="minorBidi" w:hAnsiTheme="minorBidi"/>
          <w:color w:val="000000"/>
          <w:szCs w:val="20"/>
        </w:rPr>
        <w:t>ajustement de poste sont appliqués à compter de mars</w:t>
      </w:r>
      <w:r>
        <w:rPr>
          <w:rFonts w:asciiTheme="minorBidi" w:hAnsiTheme="minorBidi"/>
          <w:color w:val="000000"/>
          <w:szCs w:val="20"/>
        </w:rPr>
        <w:t> </w:t>
      </w:r>
      <w:r w:rsidRPr="00966AE5">
        <w:rPr>
          <w:rFonts w:asciiTheme="minorBidi" w:hAnsiTheme="minorBidi"/>
          <w:color w:val="000000"/>
          <w:szCs w:val="20"/>
        </w:rPr>
        <w:t xml:space="preserve">2017, le cas échéant (pour les traitements </w:t>
      </w:r>
      <w:r>
        <w:rPr>
          <w:rFonts w:asciiTheme="minorBidi" w:hAnsiTheme="minorBidi"/>
          <w:color w:val="000000"/>
          <w:szCs w:val="20"/>
        </w:rPr>
        <w:t xml:space="preserve">de la catégorie </w:t>
      </w:r>
      <w:r w:rsidRPr="00966AE5">
        <w:rPr>
          <w:rFonts w:asciiTheme="minorBidi" w:hAnsiTheme="minorBidi"/>
          <w:color w:val="000000"/>
          <w:szCs w:val="20"/>
        </w:rPr>
        <w:t xml:space="preserve">des administrateurs et des </w:t>
      </w:r>
      <w:r>
        <w:rPr>
          <w:rFonts w:asciiTheme="minorBidi" w:hAnsiTheme="minorBidi"/>
          <w:color w:val="000000"/>
          <w:szCs w:val="20"/>
        </w:rPr>
        <w:t>catégories</w:t>
      </w:r>
      <w:r w:rsidRPr="00966AE5">
        <w:rPr>
          <w:rFonts w:asciiTheme="minorBidi" w:hAnsiTheme="minorBidi"/>
          <w:color w:val="000000"/>
          <w:szCs w:val="20"/>
        </w:rPr>
        <w:t xml:space="preserve"> supérieur</w:t>
      </w:r>
      <w:r>
        <w:rPr>
          <w:rFonts w:asciiTheme="minorBidi" w:hAnsiTheme="minorBidi"/>
          <w:color w:val="000000"/>
          <w:szCs w:val="20"/>
        </w:rPr>
        <w:t>es</w:t>
      </w:r>
      <w:r w:rsidRPr="00966AE5">
        <w:rPr>
          <w:rFonts w:asciiTheme="minorBidi" w:hAnsiTheme="minorBidi"/>
          <w:color w:val="000000"/>
          <w:szCs w:val="20"/>
        </w:rPr>
        <w:t>).</w:t>
      </w:r>
    </w:p>
    <w:p w14:paraId="0A710736" w14:textId="77777777" w:rsidR="00986700" w:rsidRPr="00966AE5" w:rsidRDefault="00986700" w:rsidP="00986700">
      <w:pPr>
        <w:pStyle w:val="ListParagraph"/>
        <w:tabs>
          <w:tab w:val="num" w:pos="1134"/>
        </w:tabs>
        <w:ind w:left="1134" w:hanging="567"/>
        <w:rPr>
          <w:rFonts w:asciiTheme="minorBidi" w:hAnsiTheme="minorBidi"/>
          <w:color w:val="000000"/>
          <w:szCs w:val="20"/>
        </w:rPr>
      </w:pPr>
    </w:p>
    <w:p w14:paraId="2D2E550C" w14:textId="71BD7121" w:rsidR="00986700" w:rsidRPr="00966AE5" w:rsidRDefault="00B604D7"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Pr>
          <w:rFonts w:asciiTheme="minorBidi" w:hAnsiTheme="minorBidi"/>
          <w:color w:val="000000"/>
          <w:szCs w:val="20"/>
        </w:rPr>
        <w:t>Le taux de change</w:t>
      </w:r>
      <w:r w:rsidR="00986700" w:rsidRPr="00966AE5">
        <w:rPr>
          <w:rFonts w:asciiTheme="minorBidi" w:hAnsiTheme="minorBidi"/>
          <w:color w:val="000000"/>
          <w:szCs w:val="20"/>
        </w:rPr>
        <w:t xml:space="preserve"> </w:t>
      </w:r>
      <w:r>
        <w:rPr>
          <w:rFonts w:asciiTheme="minorBidi" w:hAnsiTheme="minorBidi"/>
          <w:color w:val="000000"/>
          <w:szCs w:val="20"/>
        </w:rPr>
        <w:t xml:space="preserve">dollar É.-U./franc suisse </w:t>
      </w:r>
      <w:r w:rsidR="00986700" w:rsidRPr="00966AE5">
        <w:rPr>
          <w:rFonts w:asciiTheme="minorBidi" w:hAnsiTheme="minorBidi"/>
          <w:color w:val="000000"/>
          <w:szCs w:val="20"/>
        </w:rPr>
        <w:t>s</w:t>
      </w:r>
      <w:r w:rsidR="00986700">
        <w:rPr>
          <w:rFonts w:asciiTheme="minorBidi" w:hAnsiTheme="minorBidi"/>
          <w:color w:val="000000"/>
          <w:szCs w:val="20"/>
        </w:rPr>
        <w:t>’</w:t>
      </w:r>
      <w:r w:rsidR="00986700" w:rsidRPr="00966AE5">
        <w:rPr>
          <w:rFonts w:asciiTheme="minorBidi" w:hAnsiTheme="minorBidi"/>
          <w:color w:val="000000"/>
          <w:szCs w:val="20"/>
        </w:rPr>
        <w:t>effectue selon un rapport 1:1 pour les rémunérations considérées aux fins de la pension selon le barème des traitements de</w:t>
      </w:r>
      <w:r w:rsidR="00986700" w:rsidRPr="003E353D">
        <w:rPr>
          <w:rFonts w:asciiTheme="minorBidi" w:hAnsiTheme="minorBidi"/>
          <w:color w:val="000000"/>
          <w:szCs w:val="20"/>
        </w:rPr>
        <w:t xml:space="preserve"> la CFP</w:t>
      </w:r>
      <w:r w:rsidR="00986700" w:rsidRPr="00966AE5">
        <w:rPr>
          <w:rFonts w:asciiTheme="minorBidi" w:hAnsiTheme="minorBidi"/>
          <w:color w:val="000000"/>
          <w:szCs w:val="20"/>
        </w:rPr>
        <w:t>I applicable à compter de février</w:t>
      </w:r>
      <w:r w:rsidR="00986700">
        <w:rPr>
          <w:rFonts w:asciiTheme="minorBidi" w:hAnsiTheme="minorBidi"/>
          <w:color w:val="000000"/>
          <w:szCs w:val="20"/>
        </w:rPr>
        <w:t> </w:t>
      </w:r>
      <w:r w:rsidR="00986700" w:rsidRPr="00966AE5">
        <w:rPr>
          <w:rFonts w:asciiTheme="minorBidi" w:hAnsiTheme="minorBidi"/>
          <w:color w:val="000000"/>
          <w:szCs w:val="20"/>
        </w:rPr>
        <w:t>2017.</w:t>
      </w:r>
    </w:p>
    <w:p w14:paraId="65816A33" w14:textId="77777777" w:rsidR="00986700" w:rsidRPr="00966AE5" w:rsidRDefault="00986700" w:rsidP="00986700">
      <w:pPr>
        <w:pStyle w:val="ListParagraph"/>
        <w:tabs>
          <w:tab w:val="num" w:pos="1134"/>
        </w:tabs>
        <w:ind w:left="1134" w:hanging="567"/>
        <w:rPr>
          <w:rFonts w:asciiTheme="minorBidi" w:hAnsiTheme="minorBidi"/>
          <w:color w:val="000000"/>
          <w:szCs w:val="20"/>
        </w:rPr>
      </w:pPr>
    </w:p>
    <w:p w14:paraId="30D41340"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hAnsiTheme="minorBidi"/>
          <w:color w:val="000000"/>
          <w:szCs w:val="20"/>
        </w:rPr>
        <w:t>L</w:t>
      </w:r>
      <w:r>
        <w:rPr>
          <w:rFonts w:asciiTheme="minorBidi" w:hAnsiTheme="minorBidi"/>
          <w:color w:val="000000"/>
          <w:szCs w:val="20"/>
        </w:rPr>
        <w:t>’</w:t>
      </w:r>
      <w:r w:rsidRPr="00966AE5">
        <w:rPr>
          <w:rFonts w:asciiTheme="minorBidi" w:hAnsiTheme="minorBidi"/>
          <w:color w:val="000000"/>
          <w:szCs w:val="20"/>
        </w:rPr>
        <w:t>ensemble des avantages et prestations applicables en ce qui concerne les postes occupés sont estimés par niveau de poste compte tenu à la fois de la révision du montant des allocations familiales par</w:t>
      </w:r>
      <w:r w:rsidRPr="003E353D">
        <w:rPr>
          <w:rFonts w:asciiTheme="minorBidi" w:hAnsiTheme="minorBidi"/>
          <w:color w:val="000000"/>
          <w:szCs w:val="20"/>
        </w:rPr>
        <w:t xml:space="preserve"> la CFP</w:t>
      </w:r>
      <w:r w:rsidRPr="00966AE5">
        <w:rPr>
          <w:rFonts w:asciiTheme="minorBidi" w:hAnsiTheme="minorBidi"/>
          <w:color w:val="000000"/>
          <w:szCs w:val="20"/>
        </w:rPr>
        <w:t>I et des dernières informations provenant du système de paie</w:t>
      </w:r>
      <w:r>
        <w:rPr>
          <w:rFonts w:asciiTheme="minorBidi" w:hAnsiTheme="minorBidi"/>
          <w:color w:val="000000"/>
          <w:szCs w:val="20"/>
        </w:rPr>
        <w:t xml:space="preserve">.  </w:t>
      </w:r>
      <w:r w:rsidRPr="00966AE5">
        <w:rPr>
          <w:rFonts w:asciiTheme="minorBidi" w:hAnsiTheme="minorBidi"/>
          <w:color w:val="000000"/>
          <w:szCs w:val="20"/>
        </w:rPr>
        <w:t xml:space="preserve">Un coût moyen a été estimé pour les postes </w:t>
      </w:r>
      <w:r>
        <w:rPr>
          <w:rFonts w:asciiTheme="minorBidi" w:hAnsiTheme="minorBidi"/>
          <w:color w:val="000000"/>
          <w:szCs w:val="20"/>
        </w:rPr>
        <w:t>à pourvoir</w:t>
      </w:r>
      <w:r w:rsidRPr="00966AE5">
        <w:rPr>
          <w:rFonts w:asciiTheme="minorBidi" w:hAnsiTheme="minorBidi"/>
          <w:color w:val="000000"/>
          <w:szCs w:val="20"/>
        </w:rPr>
        <w:t>.</w:t>
      </w:r>
    </w:p>
    <w:p w14:paraId="52F3473B" w14:textId="77777777" w:rsidR="00986700" w:rsidRPr="00966AE5" w:rsidRDefault="00986700" w:rsidP="00986700">
      <w:pPr>
        <w:pStyle w:val="ListParagraph"/>
        <w:tabs>
          <w:tab w:val="num" w:pos="1134"/>
        </w:tabs>
        <w:ind w:left="1134" w:hanging="567"/>
        <w:rPr>
          <w:rFonts w:asciiTheme="minorBidi" w:hAnsiTheme="minorBidi"/>
          <w:szCs w:val="20"/>
        </w:rPr>
      </w:pPr>
    </w:p>
    <w:p w14:paraId="5A007920"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szCs w:val="20"/>
        </w:rPr>
      </w:pPr>
      <w:r w:rsidRPr="00966AE5">
        <w:rPr>
          <w:rFonts w:asciiTheme="minorBidi" w:hAnsiTheme="minorBidi"/>
          <w:szCs w:val="20"/>
        </w:rPr>
        <w:t>Les provisions relatives au congé dans les foyers ont été révisées afin de tenir compte de la pleine mise en œuvre de la nouvelle politique relative au congé dans les foyers adoptée en</w:t>
      </w:r>
      <w:r>
        <w:rPr>
          <w:rFonts w:asciiTheme="minorBidi" w:hAnsiTheme="minorBidi"/>
          <w:szCs w:val="20"/>
        </w:rPr>
        <w:t> </w:t>
      </w:r>
      <w:r w:rsidRPr="00966AE5">
        <w:rPr>
          <w:rFonts w:asciiTheme="minorBidi" w:hAnsiTheme="minorBidi"/>
          <w:szCs w:val="20"/>
        </w:rPr>
        <w:t>2014.</w:t>
      </w:r>
    </w:p>
    <w:p w14:paraId="5F33A088" w14:textId="77777777" w:rsidR="00986700" w:rsidRPr="00291622" w:rsidRDefault="00986700" w:rsidP="00986700">
      <w:pPr>
        <w:pStyle w:val="ListParagraph"/>
        <w:tabs>
          <w:tab w:val="num" w:pos="1134"/>
        </w:tabs>
        <w:ind w:left="1134" w:hanging="567"/>
        <w:rPr>
          <w:rFonts w:asciiTheme="minorBidi" w:hAnsiTheme="minorBidi"/>
          <w:szCs w:val="20"/>
        </w:rPr>
      </w:pPr>
    </w:p>
    <w:p w14:paraId="5AA26E6D"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hAnsiTheme="minorBidi"/>
          <w:color w:val="000000"/>
          <w:szCs w:val="20"/>
        </w:rPr>
        <w:t>Les provisions relatives à l</w:t>
      </w:r>
      <w:r>
        <w:rPr>
          <w:rFonts w:asciiTheme="minorBidi" w:hAnsiTheme="minorBidi"/>
          <w:color w:val="000000"/>
          <w:szCs w:val="20"/>
        </w:rPr>
        <w:t>’</w:t>
      </w:r>
      <w:r w:rsidRPr="00966AE5">
        <w:rPr>
          <w:rFonts w:asciiTheme="minorBidi" w:hAnsiTheme="minorBidi"/>
          <w:color w:val="000000"/>
          <w:szCs w:val="20"/>
        </w:rPr>
        <w:t>indemnité pour frais d</w:t>
      </w:r>
      <w:r>
        <w:rPr>
          <w:rFonts w:asciiTheme="minorBidi" w:hAnsiTheme="minorBidi"/>
          <w:color w:val="000000"/>
          <w:szCs w:val="20"/>
        </w:rPr>
        <w:t>’</w:t>
      </w:r>
      <w:r w:rsidRPr="00966AE5">
        <w:rPr>
          <w:rFonts w:asciiTheme="minorBidi" w:hAnsiTheme="minorBidi"/>
          <w:color w:val="000000"/>
          <w:szCs w:val="20"/>
        </w:rPr>
        <w:t>études tiennent compte du système révisé d</w:t>
      </w:r>
      <w:r>
        <w:rPr>
          <w:rFonts w:asciiTheme="minorBidi" w:hAnsiTheme="minorBidi"/>
          <w:color w:val="000000"/>
          <w:szCs w:val="20"/>
        </w:rPr>
        <w:t>’</w:t>
      </w:r>
      <w:r w:rsidRPr="00966AE5">
        <w:rPr>
          <w:rFonts w:asciiTheme="minorBidi" w:hAnsiTheme="minorBidi"/>
          <w:color w:val="000000"/>
          <w:szCs w:val="20"/>
        </w:rPr>
        <w:t>indemnité pour frais d</w:t>
      </w:r>
      <w:r>
        <w:rPr>
          <w:rFonts w:asciiTheme="minorBidi" w:hAnsiTheme="minorBidi"/>
          <w:color w:val="000000"/>
          <w:szCs w:val="20"/>
        </w:rPr>
        <w:t>’</w:t>
      </w:r>
      <w:r w:rsidRPr="00966AE5">
        <w:rPr>
          <w:rFonts w:asciiTheme="minorBidi" w:hAnsiTheme="minorBidi"/>
          <w:color w:val="000000"/>
          <w:szCs w:val="20"/>
        </w:rPr>
        <w:t>études fondé sur un barème dégressif universel pour le remboursement des frais de scolarité.</w:t>
      </w:r>
    </w:p>
    <w:p w14:paraId="24733074"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72169859"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hAnsiTheme="minorBidi"/>
          <w:color w:val="000000"/>
          <w:szCs w:val="20"/>
        </w:rPr>
        <w:t>Aucun nouveau poste n</w:t>
      </w:r>
      <w:r>
        <w:rPr>
          <w:rFonts w:asciiTheme="minorBidi" w:hAnsiTheme="minorBidi"/>
          <w:color w:val="000000"/>
          <w:szCs w:val="20"/>
        </w:rPr>
        <w:t>’</w:t>
      </w:r>
      <w:r w:rsidRPr="00966AE5">
        <w:rPr>
          <w:rFonts w:asciiTheme="minorBidi" w:hAnsiTheme="minorBidi"/>
          <w:color w:val="000000"/>
          <w:szCs w:val="20"/>
        </w:rPr>
        <w:t>est prévu en</w:t>
      </w:r>
      <w:r>
        <w:rPr>
          <w:rFonts w:asciiTheme="minorBidi" w:hAnsiTheme="minorBidi"/>
          <w:color w:val="000000"/>
          <w:szCs w:val="20"/>
        </w:rPr>
        <w:t> </w:t>
      </w:r>
      <w:r w:rsidRPr="00966AE5">
        <w:rPr>
          <w:rFonts w:asciiTheme="minorBidi" w:hAnsiTheme="minorBidi"/>
          <w:color w:val="000000"/>
          <w:szCs w:val="20"/>
        </w:rPr>
        <w:t>2018</w:t>
      </w:r>
      <w:r>
        <w:rPr>
          <w:rFonts w:asciiTheme="minorBidi" w:hAnsiTheme="minorBidi"/>
          <w:color w:val="000000"/>
          <w:szCs w:val="20"/>
        </w:rPr>
        <w:noBreakHyphen/>
      </w:r>
      <w:r w:rsidRPr="00966AE5">
        <w:rPr>
          <w:rFonts w:asciiTheme="minorBidi" w:hAnsiTheme="minorBidi"/>
          <w:color w:val="000000"/>
          <w:szCs w:val="20"/>
        </w:rPr>
        <w:t>2019.  Un taux de vacance global de 4% a été appliqué au calcul global des postes afin de tenir compte des retards dans les recrutements.</w:t>
      </w:r>
    </w:p>
    <w:p w14:paraId="67DF6FBD"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01CE8499" w14:textId="77777777" w:rsidR="00986700"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hAnsiTheme="minorBidi"/>
          <w:color w:val="000000"/>
          <w:szCs w:val="20"/>
        </w:rPr>
        <w:t>Les provisions au titre de l</w:t>
      </w:r>
      <w:r>
        <w:rPr>
          <w:rFonts w:asciiTheme="minorBidi" w:hAnsiTheme="minorBidi"/>
          <w:color w:val="000000"/>
          <w:szCs w:val="20"/>
        </w:rPr>
        <w:t>’</w:t>
      </w:r>
      <w:r w:rsidRPr="00966AE5">
        <w:rPr>
          <w:rFonts w:asciiTheme="minorBidi" w:hAnsiTheme="minorBidi"/>
          <w:color w:val="000000"/>
          <w:szCs w:val="20"/>
        </w:rPr>
        <w:t>assurance maladie après la cessation de service ont été maintenues à 6% pour les postes;  une provision pour cessation de service de 1% a été appliquée pour les agents temporaires;</w:t>
      </w:r>
    </w:p>
    <w:p w14:paraId="6AC19A60"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204C48F2"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eastAsia="SimSun" w:hAnsiTheme="minorBidi"/>
          <w:color w:val="000000"/>
          <w:szCs w:val="20"/>
          <w:lang w:eastAsia="zh-CN"/>
        </w:rPr>
        <w:t>Les autres dépenses de personnel incluent les provisions budgétaires biennales pour l</w:t>
      </w:r>
      <w:r>
        <w:rPr>
          <w:rFonts w:asciiTheme="minorBidi" w:eastAsia="SimSun" w:hAnsiTheme="minorBidi"/>
          <w:color w:val="000000"/>
          <w:szCs w:val="20"/>
          <w:lang w:eastAsia="zh-CN"/>
        </w:rPr>
        <w:t>’</w:t>
      </w:r>
      <w:r w:rsidRPr="00966AE5">
        <w:rPr>
          <w:rFonts w:asciiTheme="minorBidi" w:eastAsia="SimSun" w:hAnsiTheme="minorBidi"/>
          <w:color w:val="000000"/>
          <w:szCs w:val="20"/>
          <w:lang w:eastAsia="zh-CN"/>
        </w:rPr>
        <w:t>assurance accidents professionnels (900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000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francs suisses), les contributions à la caisse de retraite fermée (700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000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francs suisses), les frais de justice (400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000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 xml:space="preserve">francs </w:t>
      </w:r>
      <w:r w:rsidRPr="00966AE5">
        <w:rPr>
          <w:rFonts w:asciiTheme="minorBidi" w:eastAsia="SimSun" w:hAnsiTheme="minorBidi"/>
          <w:color w:val="000000"/>
          <w:szCs w:val="20"/>
          <w:lang w:eastAsia="zh-CN"/>
        </w:rPr>
        <w:lastRenderedPageBreak/>
        <w:t>suisses) et le programme de récompenses et de reconnaissance de l</w:t>
      </w:r>
      <w:r>
        <w:rPr>
          <w:rFonts w:asciiTheme="minorBidi" w:eastAsia="SimSun" w:hAnsiTheme="minorBidi"/>
          <w:color w:val="000000"/>
          <w:szCs w:val="20"/>
          <w:lang w:eastAsia="zh-CN"/>
        </w:rPr>
        <w:t>’</w:t>
      </w:r>
      <w:r w:rsidRPr="00966AE5">
        <w:rPr>
          <w:rFonts w:asciiTheme="minorBidi" w:eastAsia="SimSun" w:hAnsiTheme="minorBidi"/>
          <w:color w:val="000000"/>
          <w:szCs w:val="20"/>
          <w:lang w:eastAsia="zh-CN"/>
        </w:rPr>
        <w:t>OMPI (120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000</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francs suisses) introduit en</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2014.</w:t>
      </w:r>
    </w:p>
    <w:p w14:paraId="29971DE5"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25629397"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eastAsia="SimSun" w:hAnsiTheme="minorBidi"/>
          <w:color w:val="000000"/>
          <w:szCs w:val="20"/>
          <w:lang w:eastAsia="zh-CN"/>
        </w:rPr>
      </w:pPr>
      <w:r w:rsidRPr="00966AE5">
        <w:rPr>
          <w:rFonts w:asciiTheme="minorBidi" w:hAnsiTheme="minorBidi"/>
          <w:color w:val="000000"/>
          <w:szCs w:val="20"/>
        </w:rPr>
        <w:t>Les provisions pour les reclassements s</w:t>
      </w:r>
      <w:r>
        <w:rPr>
          <w:rFonts w:asciiTheme="minorBidi" w:hAnsiTheme="minorBidi"/>
          <w:color w:val="000000"/>
          <w:szCs w:val="20"/>
        </w:rPr>
        <w:t>’</w:t>
      </w:r>
      <w:r w:rsidRPr="00966AE5">
        <w:rPr>
          <w:rFonts w:asciiTheme="minorBidi" w:hAnsiTheme="minorBidi"/>
          <w:color w:val="000000"/>
          <w:szCs w:val="20"/>
        </w:rPr>
        <w:t>élèvent à 2,9</w:t>
      </w:r>
      <w:r>
        <w:rPr>
          <w:rFonts w:asciiTheme="minorBidi" w:hAnsiTheme="minorBidi"/>
          <w:color w:val="000000"/>
          <w:szCs w:val="20"/>
        </w:rPr>
        <w:t> </w:t>
      </w:r>
      <w:r w:rsidRPr="00966AE5">
        <w:rPr>
          <w:rFonts w:asciiTheme="minorBidi" w:hAnsiTheme="minorBidi"/>
          <w:color w:val="000000"/>
          <w:szCs w:val="20"/>
        </w:rPr>
        <w:t>millions de francs suisses dans les</w:t>
      </w:r>
      <w:r w:rsidRPr="00966AE5">
        <w:rPr>
          <w:rFonts w:asciiTheme="minorBidi" w:eastAsia="SimSun" w:hAnsiTheme="minorBidi"/>
          <w:color w:val="000000"/>
          <w:szCs w:val="20"/>
          <w:lang w:eastAsia="zh-CN"/>
        </w:rPr>
        <w:t xml:space="preserve"> “Crédits non affectés (Personnel)”</w:t>
      </w:r>
      <w:r w:rsidRPr="00966AE5">
        <w:rPr>
          <w:rFonts w:asciiTheme="minorBidi" w:hAnsiTheme="minorBidi"/>
          <w:color w:val="000000"/>
          <w:szCs w:val="20"/>
        </w:rPr>
        <w:t xml:space="preserve"> sur la base des coûts des reclassements en</w:t>
      </w:r>
      <w:r>
        <w:rPr>
          <w:rFonts w:asciiTheme="minorBidi" w:hAnsiTheme="minorBidi"/>
          <w:color w:val="000000"/>
          <w:szCs w:val="20"/>
        </w:rPr>
        <w:t> </w:t>
      </w:r>
      <w:r w:rsidRPr="00966AE5">
        <w:rPr>
          <w:rFonts w:asciiTheme="minorBidi" w:hAnsiTheme="minorBidi"/>
          <w:color w:val="000000"/>
          <w:szCs w:val="20"/>
        </w:rPr>
        <w:t>2016</w:t>
      </w:r>
      <w:r>
        <w:rPr>
          <w:rFonts w:asciiTheme="minorBidi" w:hAnsiTheme="minorBidi"/>
          <w:color w:val="000000"/>
          <w:szCs w:val="20"/>
        </w:rPr>
        <w:noBreakHyphen/>
      </w:r>
      <w:r w:rsidRPr="00966AE5">
        <w:rPr>
          <w:rFonts w:asciiTheme="minorBidi" w:hAnsiTheme="minorBidi"/>
          <w:color w:val="000000"/>
          <w:szCs w:val="20"/>
        </w:rPr>
        <w:t>2017;</w:t>
      </w:r>
    </w:p>
    <w:p w14:paraId="51C4C093" w14:textId="77777777" w:rsidR="00986700" w:rsidRPr="00966AE5" w:rsidRDefault="00986700" w:rsidP="00986700">
      <w:pPr>
        <w:shd w:val="clear" w:color="auto" w:fill="FFFFFF"/>
        <w:tabs>
          <w:tab w:val="num" w:pos="1134"/>
        </w:tabs>
        <w:ind w:left="1134" w:hanging="567"/>
        <w:jc w:val="both"/>
        <w:rPr>
          <w:rFonts w:asciiTheme="minorBidi" w:eastAsia="SimSun" w:hAnsiTheme="minorBidi"/>
          <w:color w:val="000000"/>
          <w:szCs w:val="20"/>
          <w:lang w:eastAsia="zh-CN"/>
        </w:rPr>
      </w:pPr>
    </w:p>
    <w:p w14:paraId="041CB480" w14:textId="77777777" w:rsidR="00986700" w:rsidRPr="00966AE5" w:rsidRDefault="00986700" w:rsidP="00616FD3">
      <w:pPr>
        <w:numPr>
          <w:ilvl w:val="0"/>
          <w:numId w:val="92"/>
        </w:numPr>
        <w:tabs>
          <w:tab w:val="clear" w:pos="720"/>
          <w:tab w:val="num" w:pos="1134"/>
        </w:tabs>
        <w:ind w:left="1134" w:hanging="567"/>
        <w:jc w:val="both"/>
        <w:rPr>
          <w:rFonts w:asciiTheme="minorBidi" w:eastAsia="SimSun" w:hAnsiTheme="minorBidi"/>
          <w:color w:val="000000"/>
          <w:szCs w:val="20"/>
          <w:lang w:eastAsia="zh-CN"/>
        </w:rPr>
      </w:pPr>
      <w:r w:rsidRPr="00966AE5">
        <w:rPr>
          <w:rFonts w:asciiTheme="minorBidi" w:hAnsiTheme="minorBidi"/>
          <w:color w:val="000000"/>
          <w:szCs w:val="20"/>
        </w:rPr>
        <w:t>Un montant de 0,4</w:t>
      </w:r>
      <w:r>
        <w:rPr>
          <w:rFonts w:asciiTheme="minorBidi" w:hAnsiTheme="minorBidi"/>
          <w:color w:val="000000"/>
          <w:szCs w:val="20"/>
        </w:rPr>
        <w:t> </w:t>
      </w:r>
      <w:r w:rsidRPr="00966AE5">
        <w:rPr>
          <w:rFonts w:asciiTheme="minorBidi" w:hAnsiTheme="minorBidi"/>
          <w:color w:val="000000"/>
          <w:szCs w:val="20"/>
        </w:rPr>
        <w:t xml:space="preserve">million de francs suisses a été alloué aux “Crédits non affectés (Personnel)” pour la régularisation des derniers </w:t>
      </w:r>
      <w:r>
        <w:rPr>
          <w:rFonts w:asciiTheme="minorBidi" w:hAnsiTheme="minorBidi"/>
          <w:color w:val="000000"/>
          <w:szCs w:val="20"/>
        </w:rPr>
        <w:t>fonctionnaires</w:t>
      </w:r>
      <w:r w:rsidRPr="00966AE5">
        <w:rPr>
          <w:rFonts w:asciiTheme="minorBidi" w:hAnsiTheme="minorBidi"/>
          <w:color w:val="000000"/>
          <w:szCs w:val="20"/>
        </w:rPr>
        <w:t xml:space="preserve"> temporaires exerçant des fonctions continues, dans le cadre des 156</w:t>
      </w:r>
      <w:r>
        <w:rPr>
          <w:rFonts w:asciiTheme="minorBidi" w:hAnsiTheme="minorBidi"/>
          <w:color w:val="000000"/>
          <w:szCs w:val="20"/>
        </w:rPr>
        <w:t> </w:t>
      </w:r>
      <w:r w:rsidRPr="00966AE5">
        <w:rPr>
          <w:rFonts w:asciiTheme="minorBidi" w:hAnsiTheme="minorBidi"/>
          <w:color w:val="000000"/>
          <w:szCs w:val="20"/>
        </w:rPr>
        <w:t>postes dont la création a été approuvée par les États membres durant les assemblées de</w:t>
      </w:r>
      <w:r>
        <w:rPr>
          <w:rFonts w:asciiTheme="minorBidi" w:hAnsiTheme="minorBidi"/>
          <w:color w:val="000000"/>
          <w:szCs w:val="20"/>
        </w:rPr>
        <w:t> </w:t>
      </w:r>
      <w:r w:rsidRPr="00966AE5">
        <w:rPr>
          <w:rFonts w:asciiTheme="minorBidi" w:hAnsiTheme="minorBidi"/>
          <w:color w:val="000000"/>
          <w:szCs w:val="20"/>
        </w:rPr>
        <w:t>2010 (document de référence WO/CC/63/5).  Au total, 26</w:t>
      </w:r>
      <w:r>
        <w:rPr>
          <w:rFonts w:asciiTheme="minorBidi" w:hAnsiTheme="minorBidi"/>
          <w:color w:val="000000"/>
          <w:szCs w:val="20"/>
        </w:rPr>
        <w:t> </w:t>
      </w:r>
      <w:r w:rsidRPr="00966AE5">
        <w:rPr>
          <w:rFonts w:asciiTheme="minorBidi" w:hAnsiTheme="minorBidi"/>
          <w:color w:val="000000"/>
          <w:szCs w:val="20"/>
        </w:rPr>
        <w:t>régularisations sont actuellement en suspens.</w:t>
      </w:r>
    </w:p>
    <w:p w14:paraId="5C4557F5" w14:textId="77777777" w:rsidR="00986700" w:rsidRPr="00966AE5" w:rsidRDefault="00986700" w:rsidP="00986700">
      <w:pPr>
        <w:shd w:val="clear" w:color="auto" w:fill="FFFFFF"/>
        <w:tabs>
          <w:tab w:val="num" w:pos="1134"/>
        </w:tabs>
        <w:ind w:left="1134" w:hanging="567"/>
        <w:jc w:val="both"/>
        <w:rPr>
          <w:rFonts w:asciiTheme="minorBidi" w:hAnsiTheme="minorBidi"/>
          <w:color w:val="000000"/>
          <w:szCs w:val="20"/>
        </w:rPr>
      </w:pPr>
    </w:p>
    <w:p w14:paraId="6B4C3A74" w14:textId="77777777" w:rsidR="00986700" w:rsidRPr="00966AE5" w:rsidRDefault="00986700" w:rsidP="00616FD3">
      <w:pPr>
        <w:numPr>
          <w:ilvl w:val="0"/>
          <w:numId w:val="92"/>
        </w:numPr>
        <w:shd w:val="clear" w:color="auto" w:fill="FFFFFF"/>
        <w:tabs>
          <w:tab w:val="clear" w:pos="720"/>
          <w:tab w:val="num" w:pos="1134"/>
        </w:tabs>
        <w:ind w:left="1134" w:hanging="567"/>
        <w:jc w:val="both"/>
        <w:rPr>
          <w:rFonts w:asciiTheme="minorBidi" w:hAnsiTheme="minorBidi"/>
          <w:color w:val="000000"/>
          <w:szCs w:val="20"/>
        </w:rPr>
      </w:pPr>
      <w:r w:rsidRPr="00966AE5">
        <w:rPr>
          <w:rFonts w:asciiTheme="minorBidi" w:eastAsia="SimSun" w:hAnsiTheme="minorBidi"/>
          <w:color w:val="000000"/>
          <w:szCs w:val="20"/>
          <w:lang w:eastAsia="zh-CN"/>
        </w:rPr>
        <w:t>Afin de permettre au Secrétariat de mieux gérer et contrôler les dépenses relatives aux heures supplémentaires, les coûts estimés dans ce domaine continuent de faire l</w:t>
      </w:r>
      <w:r>
        <w:rPr>
          <w:rFonts w:asciiTheme="minorBidi" w:eastAsia="SimSun" w:hAnsiTheme="minorBidi"/>
          <w:color w:val="000000"/>
          <w:szCs w:val="20"/>
          <w:lang w:eastAsia="zh-CN"/>
        </w:rPr>
        <w:t>’</w:t>
      </w:r>
      <w:r w:rsidRPr="00966AE5">
        <w:rPr>
          <w:rFonts w:asciiTheme="minorBidi" w:eastAsia="SimSun" w:hAnsiTheme="minorBidi"/>
          <w:color w:val="000000"/>
          <w:szCs w:val="20"/>
          <w:lang w:eastAsia="zh-CN"/>
        </w:rPr>
        <w:t>objet d</w:t>
      </w:r>
      <w:r>
        <w:rPr>
          <w:rFonts w:asciiTheme="minorBidi" w:eastAsia="SimSun" w:hAnsiTheme="minorBidi"/>
          <w:color w:val="000000"/>
          <w:szCs w:val="20"/>
          <w:lang w:eastAsia="zh-CN"/>
        </w:rPr>
        <w:t>’</w:t>
      </w:r>
      <w:r w:rsidRPr="00966AE5">
        <w:rPr>
          <w:rFonts w:asciiTheme="minorBidi" w:eastAsia="SimSun" w:hAnsiTheme="minorBidi"/>
          <w:color w:val="000000"/>
          <w:szCs w:val="20"/>
          <w:lang w:eastAsia="zh-CN"/>
        </w:rPr>
        <w:t>une provision budgétaire distincte dans les “Crédits non affectés (Personnel)”.  Cette provision est maintenue au niveau de</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2016</w:t>
      </w:r>
      <w:r>
        <w:rPr>
          <w:rFonts w:asciiTheme="minorBidi" w:eastAsia="SimSun" w:hAnsiTheme="minorBidi"/>
          <w:color w:val="000000"/>
          <w:szCs w:val="20"/>
          <w:lang w:eastAsia="zh-CN"/>
        </w:rPr>
        <w:noBreakHyphen/>
      </w:r>
      <w:r w:rsidRPr="00966AE5">
        <w:rPr>
          <w:rFonts w:asciiTheme="minorBidi" w:eastAsia="SimSun" w:hAnsiTheme="minorBidi"/>
          <w:color w:val="000000"/>
          <w:szCs w:val="20"/>
          <w:lang w:eastAsia="zh-CN"/>
        </w:rPr>
        <w:t>2017, à 2</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millions de francs suisses</w:t>
      </w:r>
      <w:r>
        <w:rPr>
          <w:rFonts w:asciiTheme="minorBidi" w:eastAsia="SimSun" w:hAnsiTheme="minorBidi"/>
          <w:color w:val="000000"/>
          <w:szCs w:val="20"/>
          <w:lang w:eastAsia="zh-CN"/>
        </w:rPr>
        <w:t xml:space="preserve">.  </w:t>
      </w:r>
      <w:r w:rsidRPr="00966AE5">
        <w:rPr>
          <w:rFonts w:asciiTheme="minorBidi" w:eastAsia="SimSun" w:hAnsiTheme="minorBidi"/>
          <w:color w:val="000000"/>
          <w:szCs w:val="20"/>
          <w:lang w:eastAsia="zh-CN"/>
        </w:rPr>
        <w:t>Ces dépenses continueront d</w:t>
      </w:r>
      <w:r>
        <w:rPr>
          <w:rFonts w:asciiTheme="minorBidi" w:eastAsia="SimSun" w:hAnsiTheme="minorBidi"/>
          <w:color w:val="000000"/>
          <w:szCs w:val="20"/>
          <w:lang w:eastAsia="zh-CN"/>
        </w:rPr>
        <w:t>’</w:t>
      </w:r>
      <w:r w:rsidRPr="00966AE5">
        <w:rPr>
          <w:rFonts w:asciiTheme="minorBidi" w:eastAsia="SimSun" w:hAnsiTheme="minorBidi"/>
          <w:color w:val="000000"/>
          <w:szCs w:val="20"/>
          <w:lang w:eastAsia="zh-CN"/>
        </w:rPr>
        <w:t>être suivies de près, en coordination avec le programme</w:t>
      </w:r>
      <w:r>
        <w:rPr>
          <w:rFonts w:asciiTheme="minorBidi" w:eastAsia="SimSun" w:hAnsiTheme="minorBidi"/>
          <w:color w:val="000000"/>
          <w:szCs w:val="20"/>
          <w:lang w:eastAsia="zh-CN"/>
        </w:rPr>
        <w:t> </w:t>
      </w:r>
      <w:r w:rsidRPr="00966AE5">
        <w:rPr>
          <w:rFonts w:asciiTheme="minorBidi" w:eastAsia="SimSun" w:hAnsiTheme="minorBidi"/>
          <w:color w:val="000000"/>
          <w:szCs w:val="20"/>
          <w:lang w:eastAsia="zh-CN"/>
        </w:rPr>
        <w:t>23 (Gestion et mise en valeur des ressources humaines) et les autres programmes concernés.</w:t>
      </w:r>
    </w:p>
    <w:p w14:paraId="666B55EC" w14:textId="77777777" w:rsidR="00986700" w:rsidRPr="00966AE5" w:rsidRDefault="00986700" w:rsidP="00986700">
      <w:pPr>
        <w:tabs>
          <w:tab w:val="num" w:pos="690"/>
        </w:tabs>
        <w:jc w:val="both"/>
        <w:rPr>
          <w:rFonts w:asciiTheme="minorBidi" w:hAnsiTheme="minorBidi"/>
          <w:color w:val="000000"/>
          <w:szCs w:val="20"/>
        </w:rPr>
      </w:pPr>
    </w:p>
    <w:p w14:paraId="3ECC1A39" w14:textId="3716AC91" w:rsidR="00986700" w:rsidRDefault="00986700" w:rsidP="00616FD3">
      <w:pPr>
        <w:pStyle w:val="ListParagraph"/>
        <w:numPr>
          <w:ilvl w:val="0"/>
          <w:numId w:val="59"/>
        </w:numPr>
        <w:tabs>
          <w:tab w:val="left" w:pos="567"/>
        </w:tabs>
        <w:ind w:left="0" w:firstLine="0"/>
        <w:jc w:val="both"/>
        <w:rPr>
          <w:rFonts w:asciiTheme="minorBidi" w:hAnsiTheme="minorBidi"/>
          <w:szCs w:val="20"/>
        </w:rPr>
      </w:pPr>
      <w:r>
        <w:rPr>
          <w:rFonts w:asciiTheme="minorBidi" w:hAnsiTheme="minorBidi"/>
          <w:szCs w:val="20"/>
        </w:rPr>
        <w:t>Compte tenu des</w:t>
      </w:r>
      <w:r w:rsidRPr="00966AE5">
        <w:rPr>
          <w:rFonts w:asciiTheme="minorBidi" w:hAnsiTheme="minorBidi"/>
          <w:szCs w:val="20"/>
        </w:rPr>
        <w:t xml:space="preserve"> hypothèses de planification présentées ci</w:t>
      </w:r>
      <w:r>
        <w:rPr>
          <w:rFonts w:asciiTheme="minorBidi" w:hAnsiTheme="minorBidi"/>
          <w:szCs w:val="20"/>
        </w:rPr>
        <w:noBreakHyphen/>
      </w:r>
      <w:r w:rsidRPr="00966AE5">
        <w:rPr>
          <w:rFonts w:asciiTheme="minorBidi" w:hAnsiTheme="minorBidi"/>
          <w:szCs w:val="20"/>
        </w:rPr>
        <w:t>dessus, l</w:t>
      </w:r>
      <w:r>
        <w:rPr>
          <w:rFonts w:asciiTheme="minorBidi" w:hAnsiTheme="minorBidi"/>
          <w:szCs w:val="20"/>
        </w:rPr>
        <w:t>’</w:t>
      </w:r>
      <w:r w:rsidRPr="00966AE5">
        <w:rPr>
          <w:rFonts w:asciiTheme="minorBidi" w:hAnsiTheme="minorBidi"/>
          <w:szCs w:val="20"/>
        </w:rPr>
        <w:t>augmentation des dépenses de personnel en</w:t>
      </w:r>
      <w:r>
        <w:rPr>
          <w:rFonts w:asciiTheme="minorBidi" w:hAnsiTheme="minorBidi"/>
          <w:szCs w:val="20"/>
        </w:rPr>
        <w:t> </w:t>
      </w:r>
      <w:r w:rsidRPr="00966AE5">
        <w:rPr>
          <w:rFonts w:asciiTheme="minorBidi" w:hAnsiTheme="minorBidi"/>
          <w:szCs w:val="20"/>
        </w:rPr>
        <w:t>201</w:t>
      </w:r>
      <w:r>
        <w:rPr>
          <w:rFonts w:asciiTheme="minorBidi" w:hAnsiTheme="minorBidi"/>
          <w:szCs w:val="20"/>
        </w:rPr>
        <w:t>8</w:t>
      </w:r>
      <w:r>
        <w:rPr>
          <w:rFonts w:asciiTheme="minorBidi" w:hAnsiTheme="minorBidi"/>
          <w:szCs w:val="20"/>
        </w:rPr>
        <w:noBreakHyphen/>
      </w:r>
      <w:r w:rsidRPr="00966AE5">
        <w:rPr>
          <w:rFonts w:asciiTheme="minorBidi" w:hAnsiTheme="minorBidi"/>
          <w:szCs w:val="20"/>
        </w:rPr>
        <w:t>201</w:t>
      </w:r>
      <w:r>
        <w:rPr>
          <w:rFonts w:asciiTheme="minorBidi" w:hAnsiTheme="minorBidi"/>
          <w:szCs w:val="20"/>
        </w:rPr>
        <w:t>9</w:t>
      </w:r>
      <w:r w:rsidRPr="00966AE5">
        <w:rPr>
          <w:rFonts w:asciiTheme="minorBidi" w:hAnsiTheme="minorBidi"/>
          <w:szCs w:val="20"/>
        </w:rPr>
        <w:t xml:space="preserve"> a été limitée à </w:t>
      </w:r>
      <w:r>
        <w:rPr>
          <w:rFonts w:asciiTheme="minorBidi" w:hAnsiTheme="minorBidi"/>
          <w:szCs w:val="20"/>
        </w:rPr>
        <w:t>3</w:t>
      </w:r>
      <w:r w:rsidRPr="00966AE5">
        <w:rPr>
          <w:rFonts w:asciiTheme="minorBidi" w:hAnsiTheme="minorBidi"/>
          <w:szCs w:val="20"/>
        </w:rPr>
        <w:t>,</w:t>
      </w:r>
      <w:r>
        <w:rPr>
          <w:rFonts w:asciiTheme="minorBidi" w:hAnsiTheme="minorBidi"/>
          <w:szCs w:val="20"/>
        </w:rPr>
        <w:t>4 </w:t>
      </w:r>
      <w:r w:rsidRPr="00966AE5">
        <w:rPr>
          <w:rFonts w:asciiTheme="minorBidi" w:hAnsiTheme="minorBidi"/>
          <w:szCs w:val="20"/>
        </w:rPr>
        <w:t xml:space="preserve">millions de francs suisses, soit </w:t>
      </w:r>
      <w:r w:rsidR="008771A6">
        <w:rPr>
          <w:rFonts w:asciiTheme="minorBidi" w:hAnsiTheme="minorBidi"/>
          <w:szCs w:val="20"/>
        </w:rPr>
        <w:t>0,8</w:t>
      </w:r>
      <w:r w:rsidRPr="00966AE5">
        <w:rPr>
          <w:rFonts w:asciiTheme="minorBidi" w:hAnsiTheme="minorBidi"/>
          <w:szCs w:val="20"/>
        </w:rPr>
        <w:t>%, par rapport au budget 201</w:t>
      </w:r>
      <w:r>
        <w:rPr>
          <w:rFonts w:asciiTheme="minorBidi" w:hAnsiTheme="minorBidi"/>
          <w:szCs w:val="20"/>
        </w:rPr>
        <w:t>6</w:t>
      </w:r>
      <w:r>
        <w:rPr>
          <w:rFonts w:asciiTheme="minorBidi" w:hAnsiTheme="minorBidi"/>
          <w:szCs w:val="20"/>
        </w:rPr>
        <w:noBreakHyphen/>
      </w:r>
      <w:r w:rsidRPr="00966AE5">
        <w:rPr>
          <w:rFonts w:asciiTheme="minorBidi" w:hAnsiTheme="minorBidi"/>
          <w:szCs w:val="20"/>
        </w:rPr>
        <w:t>201</w:t>
      </w:r>
      <w:r>
        <w:rPr>
          <w:rFonts w:asciiTheme="minorBidi" w:hAnsiTheme="minorBidi"/>
          <w:szCs w:val="20"/>
        </w:rPr>
        <w:t>7</w:t>
      </w:r>
      <w:r w:rsidRPr="00966AE5">
        <w:rPr>
          <w:rFonts w:asciiTheme="minorBidi" w:hAnsiTheme="minorBidi"/>
          <w:szCs w:val="20"/>
        </w:rPr>
        <w:t xml:space="preserve"> approuvé</w:t>
      </w:r>
      <w:r>
        <w:rPr>
          <w:rFonts w:asciiTheme="minorBidi" w:hAnsiTheme="minorBidi"/>
          <w:szCs w:val="20"/>
        </w:rPr>
        <w:t xml:space="preserve">.  </w:t>
      </w:r>
      <w:r w:rsidRPr="00966AE5">
        <w:rPr>
          <w:rFonts w:asciiTheme="minorBidi" w:hAnsiTheme="minorBidi"/>
          <w:szCs w:val="20"/>
        </w:rPr>
        <w:t>La part des dépenses de personnel prévues dans le budget total est passée de 6</w:t>
      </w:r>
      <w:r>
        <w:rPr>
          <w:rFonts w:asciiTheme="minorBidi" w:hAnsiTheme="minorBidi"/>
          <w:szCs w:val="20"/>
        </w:rPr>
        <w:t>4</w:t>
      </w:r>
      <w:r w:rsidRPr="00966AE5">
        <w:rPr>
          <w:rFonts w:asciiTheme="minorBidi" w:hAnsiTheme="minorBidi"/>
          <w:szCs w:val="20"/>
        </w:rPr>
        <w:t>,</w:t>
      </w:r>
      <w:r>
        <w:rPr>
          <w:rFonts w:asciiTheme="minorBidi" w:hAnsiTheme="minorBidi"/>
          <w:szCs w:val="20"/>
        </w:rPr>
        <w:t>6</w:t>
      </w:r>
      <w:r w:rsidRPr="00966AE5">
        <w:rPr>
          <w:rFonts w:asciiTheme="minorBidi" w:hAnsiTheme="minorBidi"/>
          <w:szCs w:val="20"/>
        </w:rPr>
        <w:t>% en</w:t>
      </w:r>
      <w:r>
        <w:rPr>
          <w:rFonts w:asciiTheme="minorBidi" w:hAnsiTheme="minorBidi"/>
          <w:szCs w:val="20"/>
        </w:rPr>
        <w:t> </w:t>
      </w:r>
      <w:r w:rsidRPr="00966AE5">
        <w:rPr>
          <w:rFonts w:asciiTheme="minorBidi" w:hAnsiTheme="minorBidi"/>
          <w:szCs w:val="20"/>
        </w:rPr>
        <w:t>201</w:t>
      </w:r>
      <w:r>
        <w:rPr>
          <w:rFonts w:asciiTheme="minorBidi" w:hAnsiTheme="minorBidi"/>
          <w:szCs w:val="20"/>
        </w:rPr>
        <w:t>6</w:t>
      </w:r>
      <w:r>
        <w:rPr>
          <w:rFonts w:asciiTheme="minorBidi" w:hAnsiTheme="minorBidi"/>
          <w:szCs w:val="20"/>
        </w:rPr>
        <w:noBreakHyphen/>
      </w:r>
      <w:r w:rsidRPr="00966AE5">
        <w:rPr>
          <w:rFonts w:asciiTheme="minorBidi" w:hAnsiTheme="minorBidi"/>
          <w:szCs w:val="20"/>
        </w:rPr>
        <w:t>201</w:t>
      </w:r>
      <w:r>
        <w:rPr>
          <w:rFonts w:asciiTheme="minorBidi" w:hAnsiTheme="minorBidi"/>
          <w:szCs w:val="20"/>
        </w:rPr>
        <w:t>7</w:t>
      </w:r>
      <w:r w:rsidRPr="00966AE5">
        <w:rPr>
          <w:rFonts w:asciiTheme="minorBidi" w:hAnsiTheme="minorBidi"/>
          <w:szCs w:val="20"/>
        </w:rPr>
        <w:t xml:space="preserve"> à 6</w:t>
      </w:r>
      <w:r>
        <w:rPr>
          <w:rFonts w:asciiTheme="minorBidi" w:hAnsiTheme="minorBidi"/>
          <w:szCs w:val="20"/>
        </w:rPr>
        <w:t>2</w:t>
      </w:r>
      <w:r w:rsidRPr="00966AE5">
        <w:rPr>
          <w:rFonts w:asciiTheme="minorBidi" w:hAnsiTheme="minorBidi"/>
          <w:szCs w:val="20"/>
        </w:rPr>
        <w:t>,</w:t>
      </w:r>
      <w:r>
        <w:rPr>
          <w:rFonts w:asciiTheme="minorBidi" w:hAnsiTheme="minorBidi"/>
          <w:szCs w:val="20"/>
        </w:rPr>
        <w:t>4</w:t>
      </w:r>
      <w:r w:rsidRPr="00966AE5">
        <w:rPr>
          <w:rFonts w:asciiTheme="minorBidi" w:hAnsiTheme="minorBidi"/>
          <w:szCs w:val="20"/>
        </w:rPr>
        <w:t>% en</w:t>
      </w:r>
      <w:r>
        <w:rPr>
          <w:rFonts w:asciiTheme="minorBidi" w:hAnsiTheme="minorBidi"/>
          <w:szCs w:val="20"/>
        </w:rPr>
        <w:t> </w:t>
      </w:r>
      <w:r w:rsidRPr="00966AE5">
        <w:rPr>
          <w:rFonts w:asciiTheme="minorBidi" w:hAnsiTheme="minorBidi"/>
          <w:szCs w:val="20"/>
        </w:rPr>
        <w:t>201</w:t>
      </w:r>
      <w:r>
        <w:rPr>
          <w:rFonts w:asciiTheme="minorBidi" w:hAnsiTheme="minorBidi"/>
          <w:szCs w:val="20"/>
        </w:rPr>
        <w:t>8</w:t>
      </w:r>
      <w:r>
        <w:rPr>
          <w:rFonts w:asciiTheme="minorBidi" w:hAnsiTheme="minorBidi"/>
          <w:szCs w:val="20"/>
        </w:rPr>
        <w:noBreakHyphen/>
      </w:r>
      <w:r w:rsidRPr="00966AE5">
        <w:rPr>
          <w:rFonts w:asciiTheme="minorBidi" w:hAnsiTheme="minorBidi"/>
          <w:szCs w:val="20"/>
        </w:rPr>
        <w:t>201</w:t>
      </w:r>
      <w:r>
        <w:rPr>
          <w:rFonts w:asciiTheme="minorBidi" w:hAnsiTheme="minorBidi"/>
          <w:szCs w:val="20"/>
        </w:rPr>
        <w:t>9</w:t>
      </w:r>
      <w:r w:rsidRPr="00966AE5">
        <w:rPr>
          <w:rFonts w:asciiTheme="minorBidi" w:hAnsiTheme="minorBidi"/>
          <w:szCs w:val="20"/>
        </w:rPr>
        <w:t xml:space="preserve">. </w:t>
      </w:r>
      <w:r>
        <w:rPr>
          <w:rFonts w:asciiTheme="minorBidi" w:hAnsiTheme="minorBidi"/>
          <w:szCs w:val="20"/>
        </w:rPr>
        <w:t xml:space="preserve"> </w:t>
      </w:r>
      <w:r w:rsidRPr="00966AE5">
        <w:rPr>
          <w:rFonts w:asciiTheme="minorBidi" w:hAnsiTheme="minorBidi"/>
          <w:szCs w:val="20"/>
        </w:rPr>
        <w:t xml:space="preserve">Cette baisse est le résultat </w:t>
      </w:r>
      <w:r>
        <w:rPr>
          <w:rFonts w:asciiTheme="minorBidi" w:hAnsiTheme="minorBidi"/>
          <w:szCs w:val="20"/>
        </w:rPr>
        <w:t>des efforts continus déployés pour maîtriser les</w:t>
      </w:r>
      <w:r w:rsidRPr="00966AE5">
        <w:rPr>
          <w:rFonts w:asciiTheme="minorBidi" w:hAnsiTheme="minorBidi"/>
          <w:szCs w:val="20"/>
        </w:rPr>
        <w:t xml:space="preserve"> dépenses de personnel</w:t>
      </w:r>
      <w:r>
        <w:rPr>
          <w:rFonts w:asciiTheme="minorBidi" w:hAnsiTheme="minorBidi"/>
          <w:szCs w:val="20"/>
        </w:rPr>
        <w:t xml:space="preserve"> et pour disposer d’</w:t>
      </w:r>
      <w:r w:rsidRPr="00966AE5">
        <w:rPr>
          <w:rFonts w:asciiTheme="minorBidi" w:hAnsiTheme="minorBidi"/>
          <w:szCs w:val="20"/>
        </w:rPr>
        <w:t>un personnel plus réactif et flexible</w:t>
      </w:r>
      <w:r>
        <w:rPr>
          <w:rFonts w:asciiTheme="minorBidi" w:hAnsiTheme="minorBidi"/>
          <w:szCs w:val="20"/>
        </w:rPr>
        <w:t xml:space="preserve"> capable de gérer des projets et des initiatives assortis de délais</w:t>
      </w:r>
      <w:r w:rsidRPr="00966AE5">
        <w:rPr>
          <w:rFonts w:asciiTheme="minorBidi" w:hAnsiTheme="minorBidi"/>
          <w:szCs w:val="20"/>
        </w:rPr>
        <w:t>.</w:t>
      </w:r>
    </w:p>
    <w:p w14:paraId="3716CE3B" w14:textId="77777777" w:rsidR="00986700" w:rsidRDefault="00986700" w:rsidP="00986700">
      <w:pPr>
        <w:tabs>
          <w:tab w:val="num" w:pos="690"/>
        </w:tabs>
        <w:jc w:val="both"/>
        <w:rPr>
          <w:rFonts w:asciiTheme="minorBidi" w:eastAsia="SimSun" w:hAnsiTheme="minorBidi"/>
          <w:color w:val="000000"/>
          <w:szCs w:val="20"/>
          <w:lang w:eastAsia="zh-CN"/>
        </w:rPr>
      </w:pPr>
    </w:p>
    <w:tbl>
      <w:tblPr>
        <w:tblW w:w="4300" w:type="pct"/>
        <w:jc w:val="center"/>
        <w:tblCellMar>
          <w:top w:w="57" w:type="dxa"/>
          <w:bottom w:w="57" w:type="dxa"/>
        </w:tblCellMar>
        <w:tblLook w:val="04A0" w:firstRow="1" w:lastRow="0" w:firstColumn="1" w:lastColumn="0" w:noHBand="0" w:noVBand="1"/>
      </w:tblPr>
      <w:tblGrid>
        <w:gridCol w:w="7987"/>
      </w:tblGrid>
      <w:tr w:rsidR="000108C1" w:rsidRPr="0027684D" w14:paraId="0107FCC2" w14:textId="77777777" w:rsidTr="000108C1">
        <w:trPr>
          <w:cantSplit/>
          <w:jc w:val="center"/>
        </w:trPr>
        <w:tc>
          <w:tcPr>
            <w:tcW w:w="8223" w:type="dxa"/>
            <w:tcBorders>
              <w:top w:val="nil"/>
              <w:left w:val="nil"/>
              <w:bottom w:val="nil"/>
              <w:right w:val="nil"/>
            </w:tcBorders>
            <w:shd w:val="clear" w:color="auto" w:fill="C6D9F1" w:themeFill="text2" w:themeFillTint="33"/>
            <w:vAlign w:val="center"/>
          </w:tcPr>
          <w:p w14:paraId="4F5B6A40" w14:textId="58DFCF8C" w:rsidR="000108C1" w:rsidRPr="0027684D" w:rsidRDefault="000108C1" w:rsidP="000108C1">
            <w:pPr>
              <w:tabs>
                <w:tab w:val="num" w:pos="690"/>
              </w:tabs>
              <w:jc w:val="center"/>
              <w:rPr>
                <w:rFonts w:cs="Arial"/>
                <w:i/>
                <w:szCs w:val="16"/>
                <w:lang w:val="fr-CH"/>
              </w:rPr>
            </w:pPr>
            <w:r>
              <w:rPr>
                <w:rFonts w:cs="Arial"/>
                <w:b/>
                <w:szCs w:val="16"/>
                <w:lang w:val="fr-CH"/>
              </w:rPr>
              <w:t>Figure III</w:t>
            </w:r>
            <w:r w:rsidRPr="0027684D">
              <w:rPr>
                <w:rFonts w:cs="Arial"/>
                <w:b/>
                <w:szCs w:val="16"/>
                <w:lang w:val="fr-CH"/>
              </w:rPr>
              <w:t xml:space="preserve">.  </w:t>
            </w:r>
            <w:r>
              <w:rPr>
                <w:rFonts w:cs="Arial"/>
                <w:b/>
                <w:szCs w:val="16"/>
                <w:lang w:val="fr-CH"/>
              </w:rPr>
              <w:t xml:space="preserve">Part des dépenses de personnel </w:t>
            </w:r>
            <w:r w:rsidR="00E61AC7">
              <w:rPr>
                <w:rFonts w:cs="Arial"/>
                <w:b/>
                <w:szCs w:val="16"/>
                <w:lang w:val="fr-CH"/>
              </w:rPr>
              <w:br/>
            </w:r>
            <w:r>
              <w:rPr>
                <w:rFonts w:cs="Arial"/>
                <w:b/>
                <w:szCs w:val="16"/>
                <w:lang w:val="fr-CH"/>
              </w:rPr>
              <w:t>et autres dépenses en 2018-2019</w:t>
            </w:r>
          </w:p>
        </w:tc>
      </w:tr>
    </w:tbl>
    <w:p w14:paraId="00F278E4" w14:textId="59F06CBF" w:rsidR="00986700" w:rsidRDefault="002A4E58" w:rsidP="00986700">
      <w:pPr>
        <w:tabs>
          <w:tab w:val="num" w:pos="690"/>
        </w:tabs>
        <w:jc w:val="center"/>
        <w:rPr>
          <w:rFonts w:asciiTheme="minorBidi" w:eastAsia="SimSun" w:hAnsiTheme="minorBidi"/>
          <w:color w:val="000000"/>
          <w:szCs w:val="20"/>
          <w:lang w:eastAsia="zh-CN"/>
        </w:rPr>
      </w:pPr>
      <w:r w:rsidRPr="002A4E58">
        <w:rPr>
          <w:noProof/>
          <w:lang w:val="en-US" w:eastAsia="en-US"/>
        </w:rPr>
        <w:drawing>
          <wp:inline distT="0" distB="0" distL="0" distR="0" wp14:anchorId="05EFC524" wp14:editId="107E5786">
            <wp:extent cx="3993515" cy="2397760"/>
            <wp:effectExtent l="0" t="0" r="0" b="254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3515" cy="2397760"/>
                    </a:xfrm>
                    <a:prstGeom prst="rect">
                      <a:avLst/>
                    </a:prstGeom>
                    <a:noFill/>
                    <a:ln>
                      <a:noFill/>
                    </a:ln>
                  </pic:spPr>
                </pic:pic>
              </a:graphicData>
            </a:graphic>
          </wp:inline>
        </w:drawing>
      </w:r>
    </w:p>
    <w:p w14:paraId="711472EE" w14:textId="77777777" w:rsidR="00986700" w:rsidRPr="00966AE5" w:rsidRDefault="00986700" w:rsidP="00986700">
      <w:pPr>
        <w:tabs>
          <w:tab w:val="num" w:pos="690"/>
        </w:tabs>
        <w:rPr>
          <w:rFonts w:asciiTheme="minorBidi" w:eastAsia="SimSun" w:hAnsiTheme="minorBidi"/>
          <w:color w:val="000000"/>
          <w:szCs w:val="20"/>
          <w:lang w:eastAsia="zh-CN"/>
        </w:rPr>
      </w:pPr>
    </w:p>
    <w:p w14:paraId="388A05D4" w14:textId="3E7327B4" w:rsidR="00986700" w:rsidRDefault="00986700" w:rsidP="00616FD3">
      <w:pPr>
        <w:pStyle w:val="ListParagraph"/>
        <w:numPr>
          <w:ilvl w:val="0"/>
          <w:numId w:val="59"/>
        </w:numPr>
        <w:tabs>
          <w:tab w:val="left" w:pos="567"/>
        </w:tabs>
        <w:ind w:left="0" w:firstLine="0"/>
        <w:jc w:val="both"/>
        <w:rPr>
          <w:rFonts w:asciiTheme="minorBidi" w:hAnsiTheme="minorBidi"/>
          <w:szCs w:val="20"/>
        </w:rPr>
      </w:pPr>
      <w:r w:rsidRPr="00966AE5">
        <w:rPr>
          <w:rFonts w:asciiTheme="minorBidi" w:hAnsiTheme="minorBidi"/>
          <w:szCs w:val="20"/>
        </w:rPr>
        <w:t>L</w:t>
      </w:r>
      <w:r>
        <w:rPr>
          <w:rFonts w:asciiTheme="minorBidi" w:hAnsiTheme="minorBidi"/>
          <w:szCs w:val="20"/>
        </w:rPr>
        <w:t>’</w:t>
      </w:r>
      <w:r w:rsidRPr="00966AE5">
        <w:rPr>
          <w:rFonts w:asciiTheme="minorBidi" w:hAnsiTheme="minorBidi"/>
          <w:szCs w:val="20"/>
        </w:rPr>
        <w:t>augmentation globale des dotations pour</w:t>
      </w:r>
      <w:r>
        <w:rPr>
          <w:rFonts w:asciiTheme="minorBidi" w:hAnsiTheme="minorBidi"/>
          <w:szCs w:val="20"/>
        </w:rPr>
        <w:t> </w:t>
      </w:r>
      <w:r w:rsidRPr="00966AE5">
        <w:rPr>
          <w:rFonts w:asciiTheme="minorBidi" w:hAnsiTheme="minorBidi"/>
          <w:szCs w:val="20"/>
        </w:rPr>
        <w:t>2018</w:t>
      </w:r>
      <w:r>
        <w:rPr>
          <w:rFonts w:asciiTheme="minorBidi" w:hAnsiTheme="minorBidi"/>
          <w:szCs w:val="20"/>
        </w:rPr>
        <w:noBreakHyphen/>
      </w:r>
      <w:r w:rsidRPr="00966AE5">
        <w:rPr>
          <w:rFonts w:asciiTheme="minorBidi" w:hAnsiTheme="minorBidi"/>
          <w:szCs w:val="20"/>
        </w:rPr>
        <w:t>2019 dans la rubrique “Postes” par rapport au budget 2016</w:t>
      </w:r>
      <w:r>
        <w:rPr>
          <w:rFonts w:asciiTheme="minorBidi" w:hAnsiTheme="minorBidi"/>
          <w:szCs w:val="20"/>
        </w:rPr>
        <w:noBreakHyphen/>
      </w:r>
      <w:r w:rsidRPr="00966AE5">
        <w:rPr>
          <w:rFonts w:asciiTheme="minorBidi" w:hAnsiTheme="minorBidi"/>
          <w:szCs w:val="20"/>
        </w:rPr>
        <w:t>2017 approuvé résulte principalement d</w:t>
      </w:r>
      <w:r>
        <w:rPr>
          <w:rFonts w:asciiTheme="minorBidi" w:hAnsiTheme="minorBidi"/>
          <w:szCs w:val="20"/>
        </w:rPr>
        <w:t>’</w:t>
      </w:r>
      <w:r w:rsidRPr="00966AE5">
        <w:rPr>
          <w:rFonts w:asciiTheme="minorBidi" w:hAnsiTheme="minorBidi"/>
          <w:szCs w:val="20"/>
        </w:rPr>
        <w:t>augmentations statutaires</w:t>
      </w:r>
      <w:r>
        <w:rPr>
          <w:rFonts w:asciiTheme="minorBidi" w:hAnsiTheme="minorBidi"/>
          <w:szCs w:val="20"/>
        </w:rPr>
        <w:t xml:space="preserve">.  </w:t>
      </w:r>
      <w:r w:rsidRPr="00966AE5">
        <w:rPr>
          <w:rFonts w:asciiTheme="minorBidi" w:hAnsiTheme="minorBidi"/>
          <w:szCs w:val="20"/>
        </w:rPr>
        <w:t>Elle tient également compte des régularisations, compensées par une diminution du nombre de “fonctionnaires temporaires”.</w:t>
      </w:r>
    </w:p>
    <w:p w14:paraId="220E7481" w14:textId="77777777" w:rsidR="00986700" w:rsidRPr="00966AE5" w:rsidRDefault="00986700" w:rsidP="000108C1">
      <w:pPr>
        <w:pStyle w:val="ListParagraph"/>
        <w:tabs>
          <w:tab w:val="left" w:pos="567"/>
        </w:tabs>
        <w:ind w:left="0"/>
        <w:jc w:val="both"/>
        <w:rPr>
          <w:rFonts w:asciiTheme="minorBidi" w:hAnsiTheme="minorBidi"/>
          <w:szCs w:val="20"/>
        </w:rPr>
      </w:pPr>
    </w:p>
    <w:p w14:paraId="1F982E37" w14:textId="77777777" w:rsidR="00986700" w:rsidRDefault="00986700" w:rsidP="00616FD3">
      <w:pPr>
        <w:pStyle w:val="ListParagraph"/>
        <w:numPr>
          <w:ilvl w:val="0"/>
          <w:numId w:val="59"/>
        </w:numPr>
        <w:tabs>
          <w:tab w:val="left" w:pos="567"/>
        </w:tabs>
        <w:ind w:left="0" w:firstLine="0"/>
        <w:jc w:val="both"/>
        <w:rPr>
          <w:rFonts w:asciiTheme="minorBidi" w:hAnsiTheme="minorBidi"/>
          <w:szCs w:val="20"/>
        </w:rPr>
      </w:pPr>
      <w:r>
        <w:rPr>
          <w:rFonts w:asciiTheme="minorBidi" w:hAnsiTheme="minorBidi"/>
          <w:szCs w:val="20"/>
        </w:rPr>
        <w:t xml:space="preserve">Les provisions au titre des </w:t>
      </w:r>
      <w:r w:rsidRPr="00966AE5">
        <w:rPr>
          <w:rFonts w:asciiTheme="minorBidi" w:hAnsiTheme="minorBidi"/>
          <w:szCs w:val="20"/>
        </w:rPr>
        <w:t>“</w:t>
      </w:r>
      <w:r>
        <w:rPr>
          <w:rFonts w:asciiTheme="minorBidi" w:hAnsiTheme="minorBidi"/>
          <w:szCs w:val="20"/>
        </w:rPr>
        <w:t>Autres dépenses de personnel</w:t>
      </w:r>
      <w:r w:rsidRPr="00966AE5">
        <w:rPr>
          <w:rFonts w:asciiTheme="minorBidi" w:hAnsiTheme="minorBidi"/>
          <w:szCs w:val="20"/>
        </w:rPr>
        <w:t xml:space="preserve">” </w:t>
      </w:r>
      <w:r>
        <w:rPr>
          <w:rFonts w:asciiTheme="minorBidi" w:hAnsiTheme="minorBidi"/>
          <w:szCs w:val="20"/>
        </w:rPr>
        <w:t>ont été maintenues au niveau de 2016</w:t>
      </w:r>
      <w:r>
        <w:rPr>
          <w:rFonts w:asciiTheme="minorBidi" w:hAnsiTheme="minorBidi"/>
          <w:szCs w:val="20"/>
        </w:rPr>
        <w:noBreakHyphen/>
        <w:t>2017</w:t>
      </w:r>
      <w:r w:rsidRPr="00966AE5">
        <w:rPr>
          <w:rFonts w:asciiTheme="minorBidi" w:hAnsiTheme="minorBidi"/>
          <w:szCs w:val="20"/>
        </w:rPr>
        <w:t>.</w:t>
      </w:r>
    </w:p>
    <w:p w14:paraId="2C31B40C" w14:textId="77777777" w:rsidR="00986700" w:rsidRPr="00966AE5" w:rsidRDefault="00986700" w:rsidP="000108C1">
      <w:pPr>
        <w:pStyle w:val="ListParagraph"/>
        <w:tabs>
          <w:tab w:val="left" w:pos="567"/>
        </w:tabs>
        <w:ind w:left="0"/>
        <w:jc w:val="both"/>
        <w:rPr>
          <w:rFonts w:asciiTheme="minorBidi" w:hAnsiTheme="minorBidi"/>
          <w:szCs w:val="20"/>
        </w:rPr>
      </w:pPr>
    </w:p>
    <w:p w14:paraId="09D4EF74" w14:textId="77777777" w:rsidR="00986700" w:rsidRDefault="00986700" w:rsidP="00616FD3">
      <w:pPr>
        <w:pStyle w:val="ListParagraph"/>
        <w:numPr>
          <w:ilvl w:val="0"/>
          <w:numId w:val="59"/>
        </w:numPr>
        <w:tabs>
          <w:tab w:val="left" w:pos="567"/>
        </w:tabs>
        <w:ind w:left="0" w:firstLine="0"/>
        <w:jc w:val="both"/>
        <w:rPr>
          <w:rFonts w:asciiTheme="minorBidi" w:hAnsiTheme="minorBidi"/>
          <w:szCs w:val="20"/>
        </w:rPr>
      </w:pPr>
      <w:r>
        <w:rPr>
          <w:rFonts w:asciiTheme="minorBidi" w:hAnsiTheme="minorBidi"/>
          <w:szCs w:val="20"/>
        </w:rPr>
        <w:t>L’augmentation nette de 1 million de francs suisses des “Crédits non affectés (Personnel)</w:t>
      </w:r>
      <w:r w:rsidRPr="00966AE5">
        <w:rPr>
          <w:rFonts w:asciiTheme="minorBidi" w:hAnsiTheme="minorBidi"/>
          <w:szCs w:val="20"/>
        </w:rPr>
        <w:t xml:space="preserve">” </w:t>
      </w:r>
      <w:r>
        <w:rPr>
          <w:rFonts w:asciiTheme="minorBidi" w:hAnsiTheme="minorBidi"/>
          <w:szCs w:val="20"/>
        </w:rPr>
        <w:t>découle de l’augmentation de 1,4 million de francs suisses des provisions pour les reclassements, compensées par une réduction de 400 000 francs suisses pour les régularisations.</w:t>
      </w:r>
    </w:p>
    <w:p w14:paraId="48F2E65E" w14:textId="77777777" w:rsidR="00986700" w:rsidRDefault="00986700" w:rsidP="00986700">
      <w:pPr>
        <w:pStyle w:val="ListParagraph"/>
        <w:tabs>
          <w:tab w:val="left" w:pos="567"/>
        </w:tabs>
        <w:ind w:left="0"/>
        <w:jc w:val="both"/>
        <w:rPr>
          <w:rFonts w:asciiTheme="minorBidi" w:hAnsiTheme="minorBidi"/>
          <w:szCs w:val="20"/>
        </w:rPr>
      </w:pPr>
    </w:p>
    <w:p w14:paraId="297C8AF4" w14:textId="77777777" w:rsidR="00986700" w:rsidRDefault="00986700" w:rsidP="00986700">
      <w:pPr>
        <w:pStyle w:val="ListParagraph"/>
        <w:tabs>
          <w:tab w:val="left" w:pos="567"/>
        </w:tabs>
        <w:ind w:left="0"/>
        <w:jc w:val="both"/>
        <w:rPr>
          <w:rFonts w:asciiTheme="minorBidi" w:hAnsiTheme="minorBidi"/>
          <w:szCs w:val="20"/>
        </w:rPr>
      </w:pPr>
    </w:p>
    <w:p w14:paraId="7755750E" w14:textId="77777777" w:rsidR="0027684D" w:rsidRPr="00764EE8" w:rsidRDefault="0027684D" w:rsidP="008771A6">
      <w:pPr>
        <w:keepNext/>
        <w:rPr>
          <w:b/>
          <w:sz w:val="22"/>
          <w:lang w:val="fr-CH"/>
        </w:rPr>
      </w:pPr>
      <w:r w:rsidRPr="00764EE8">
        <w:rPr>
          <w:b/>
          <w:sz w:val="22"/>
          <w:lang w:val="fr-CH"/>
        </w:rPr>
        <w:lastRenderedPageBreak/>
        <w:t>RESSOURCES ALLOUÉES AUX ACTIVITÉS EN FAVEUR DU DÉVELOPPEMENT ET DU PLAN D’ACTION POUR LE DÉVELOPPEMENT</w:t>
      </w:r>
    </w:p>
    <w:p w14:paraId="2478A23C" w14:textId="77777777" w:rsidR="0027684D" w:rsidRPr="0027684D" w:rsidRDefault="0027684D" w:rsidP="008771A6">
      <w:pPr>
        <w:keepNext/>
        <w:jc w:val="both"/>
        <w:rPr>
          <w:rFonts w:cs="Arial"/>
          <w:bCs/>
          <w:lang w:val="fr-CH"/>
        </w:rPr>
      </w:pPr>
    </w:p>
    <w:p w14:paraId="42F48CEC" w14:textId="77777777"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Durant l’exercice biennal 2018-2019, l’Organisation continuera de renforcer la mise en œuvre des activités axées sur le développement en suivant les principes inscrits dans le Programme de développement durable à l’horizon 2030 et les recommandations du Plan d’action pour le développement.</w:t>
      </w:r>
    </w:p>
    <w:p w14:paraId="3ACF0B42" w14:textId="77777777" w:rsidR="0027684D" w:rsidRPr="0027684D" w:rsidRDefault="0027684D" w:rsidP="00986700">
      <w:pPr>
        <w:pStyle w:val="ListParagraph"/>
        <w:tabs>
          <w:tab w:val="left" w:pos="567"/>
        </w:tabs>
        <w:ind w:left="0"/>
        <w:jc w:val="both"/>
        <w:rPr>
          <w:rFonts w:cs="Arial"/>
          <w:lang w:val="fr-CH"/>
        </w:rPr>
      </w:pPr>
    </w:p>
    <w:p w14:paraId="33EFAE6E" w14:textId="0DE2F67F" w:rsidR="0027684D" w:rsidRPr="0027684D" w:rsidRDefault="0027684D" w:rsidP="00616FD3">
      <w:pPr>
        <w:pStyle w:val="ListParagraph"/>
        <w:numPr>
          <w:ilvl w:val="0"/>
          <w:numId w:val="59"/>
        </w:numPr>
        <w:tabs>
          <w:tab w:val="left" w:pos="567"/>
        </w:tabs>
        <w:ind w:left="0" w:firstLine="0"/>
        <w:jc w:val="both"/>
        <w:rPr>
          <w:rFonts w:cs="Arial"/>
          <w:lang w:val="fr-CH"/>
        </w:rPr>
      </w:pPr>
      <w:r w:rsidRPr="0027684D">
        <w:rPr>
          <w:rFonts w:cs="Arial"/>
          <w:lang w:val="fr-CH"/>
        </w:rPr>
        <w:t xml:space="preserve">Les dépenses de développement </w:t>
      </w:r>
      <w:r w:rsidR="00553946">
        <w:rPr>
          <w:rFonts w:cs="Arial"/>
          <w:lang w:val="fr-CH"/>
        </w:rPr>
        <w:t>en</w:t>
      </w:r>
      <w:r w:rsidRPr="0027684D">
        <w:rPr>
          <w:rFonts w:cs="Arial"/>
          <w:lang w:val="fr-CH"/>
        </w:rPr>
        <w:t> 2018-2019 se fondent sur la définition révisée relative aux dépenses de développement approuvée par les États membres à la cinquante-cinquième session de l’Assemblée générale de l’OMPI</w:t>
      </w:r>
      <w:r w:rsidRPr="0027684D">
        <w:rPr>
          <w:rStyle w:val="FootnoteReference"/>
          <w:rFonts w:cs="Arial"/>
          <w:lang w:val="en-CA"/>
        </w:rPr>
        <w:footnoteReference w:id="12"/>
      </w:r>
      <w:r w:rsidRPr="0027684D">
        <w:rPr>
          <w:rFonts w:cs="Arial"/>
          <w:lang w:val="fr-CH"/>
        </w:rPr>
        <w:t>.  Les ressources sont qualifiées de “dépenses de développement” lorsqu’elles sont utilisées pour financer les activités axées sur le développement fournies par l’OMPI aux pays en développement et aux pays les moins avancés (PMA) sans que des ressources équivalentes soient mises à la disposition des pays développés.  Conformément à la pratique établie, les pays en transition sont pris en considération aux fins du programme et budget.</w:t>
      </w:r>
    </w:p>
    <w:p w14:paraId="0D03886E" w14:textId="77777777" w:rsidR="0027684D" w:rsidRPr="0027684D" w:rsidRDefault="0027684D" w:rsidP="00986700">
      <w:pPr>
        <w:pStyle w:val="ListParagraph"/>
        <w:tabs>
          <w:tab w:val="left" w:pos="567"/>
        </w:tabs>
        <w:ind w:left="0"/>
        <w:jc w:val="both"/>
        <w:rPr>
          <w:rFonts w:cs="Arial"/>
          <w:lang w:val="fr-CH"/>
        </w:rPr>
      </w:pPr>
    </w:p>
    <w:p w14:paraId="5B95AEF6" w14:textId="0D22868A" w:rsidR="0027684D" w:rsidRDefault="00553946" w:rsidP="00616FD3">
      <w:pPr>
        <w:pStyle w:val="ListParagraph"/>
        <w:numPr>
          <w:ilvl w:val="0"/>
          <w:numId w:val="59"/>
        </w:numPr>
        <w:tabs>
          <w:tab w:val="left" w:pos="567"/>
        </w:tabs>
        <w:ind w:left="0" w:firstLine="0"/>
        <w:jc w:val="both"/>
        <w:rPr>
          <w:rFonts w:cs="Arial"/>
          <w:lang w:val="fr-CH"/>
        </w:rPr>
      </w:pPr>
      <w:r>
        <w:rPr>
          <w:rFonts w:cs="Arial"/>
          <w:lang w:val="fr-CH"/>
        </w:rPr>
        <w:t>En vertu de la définition révisée, la part totale du budget proposé de l’Organisation en 2018</w:t>
      </w:r>
      <w:r>
        <w:rPr>
          <w:rFonts w:cs="Arial"/>
          <w:lang w:val="fr-CH"/>
        </w:rPr>
        <w:noBreakHyphen/>
        <w:t xml:space="preserve">2019 consacrée au développement </w:t>
      </w:r>
      <w:r w:rsidR="0027684D" w:rsidRPr="0027684D">
        <w:rPr>
          <w:rFonts w:cs="Arial"/>
          <w:lang w:val="fr-CH"/>
        </w:rPr>
        <w:t xml:space="preserve">s’élève à 132,8 millions de francs suisses, soit 18,3%.  Les renseignements détaillés concernant les dépenses de développement par programme </w:t>
      </w:r>
      <w:r w:rsidR="005F2354">
        <w:rPr>
          <w:rFonts w:cs="Arial"/>
          <w:lang w:val="fr-CH"/>
        </w:rPr>
        <w:t>en </w:t>
      </w:r>
      <w:r w:rsidR="0027684D" w:rsidRPr="0027684D">
        <w:rPr>
          <w:rFonts w:cs="Arial"/>
          <w:lang w:val="fr-CH"/>
        </w:rPr>
        <w:t>2018-2019 figurent dans le tableau 6 ci-après.</w:t>
      </w:r>
    </w:p>
    <w:p w14:paraId="53E770C8" w14:textId="77777777" w:rsidR="00073F3E" w:rsidRDefault="00073F3E" w:rsidP="00073F3E">
      <w:pPr>
        <w:pStyle w:val="ListParagraph"/>
        <w:tabs>
          <w:tab w:val="left" w:pos="567"/>
        </w:tabs>
        <w:ind w:left="0"/>
        <w:jc w:val="both"/>
        <w:rPr>
          <w:rFonts w:cs="Arial"/>
          <w:lang w:val="fr-CH"/>
        </w:rPr>
      </w:pPr>
    </w:p>
    <w:p w14:paraId="40032677" w14:textId="6A57D5AA" w:rsidR="00073F3E" w:rsidRPr="0027684D" w:rsidRDefault="00073F3E" w:rsidP="00073F3E">
      <w:pPr>
        <w:pStyle w:val="ListParagraph"/>
        <w:numPr>
          <w:ilvl w:val="0"/>
          <w:numId w:val="59"/>
        </w:numPr>
        <w:tabs>
          <w:tab w:val="left" w:pos="567"/>
        </w:tabs>
        <w:ind w:left="0" w:firstLine="0"/>
        <w:jc w:val="both"/>
        <w:rPr>
          <w:rFonts w:cs="Arial"/>
          <w:lang w:val="fr-CH"/>
        </w:rPr>
      </w:pPr>
      <w:r w:rsidRPr="0027684D">
        <w:rPr>
          <w:rFonts w:cs="Arial"/>
          <w:lang w:val="fr-CH"/>
        </w:rPr>
        <w:t>Un montant total de 1,35 million de francs suisses a été spécialement affecté à la mise en œuvre des projets du Plan d’action pour le développement dans le budget 2018-2019</w:t>
      </w:r>
      <w:r>
        <w:rPr>
          <w:rFonts w:cs="Arial"/>
          <w:lang w:val="fr-CH"/>
        </w:rPr>
        <w:t xml:space="preserve"> (voir le tableau 7 ci</w:t>
      </w:r>
      <w:r>
        <w:rPr>
          <w:rFonts w:cs="Arial"/>
          <w:lang w:val="fr-CH"/>
        </w:rPr>
        <w:noBreakHyphen/>
        <w:t>dessous)</w:t>
      </w:r>
      <w:r w:rsidRPr="0027684D">
        <w:rPr>
          <w:rFonts w:cs="Arial"/>
          <w:lang w:val="fr-CH"/>
        </w:rPr>
        <w:t>.</w:t>
      </w:r>
    </w:p>
    <w:p w14:paraId="18660CC1" w14:textId="77777777" w:rsidR="0027684D" w:rsidRPr="0027684D" w:rsidRDefault="0027684D" w:rsidP="00986700">
      <w:pPr>
        <w:pStyle w:val="ListParagraph"/>
        <w:tabs>
          <w:tab w:val="left" w:pos="567"/>
        </w:tabs>
        <w:ind w:left="0"/>
        <w:jc w:val="both"/>
        <w:rPr>
          <w:rFonts w:cs="Arial"/>
          <w:szCs w:val="20"/>
          <w:lang w:val="fr-CH"/>
        </w:rPr>
      </w:pPr>
    </w:p>
    <w:tbl>
      <w:tblPr>
        <w:tblW w:w="9214" w:type="dxa"/>
        <w:jc w:val="center"/>
        <w:tblLayout w:type="fixed"/>
        <w:tblCellMar>
          <w:top w:w="57" w:type="dxa"/>
          <w:bottom w:w="57" w:type="dxa"/>
        </w:tblCellMar>
        <w:tblLook w:val="04A0" w:firstRow="1" w:lastRow="0" w:firstColumn="1" w:lastColumn="0" w:noHBand="0" w:noVBand="1"/>
      </w:tblPr>
      <w:tblGrid>
        <w:gridCol w:w="9214"/>
      </w:tblGrid>
      <w:tr w:rsidR="0027684D" w:rsidRPr="0027684D" w14:paraId="5CAB2B00" w14:textId="77777777" w:rsidTr="001C6DF3">
        <w:trPr>
          <w:cantSplit/>
          <w:jc w:val="center"/>
        </w:trPr>
        <w:tc>
          <w:tcPr>
            <w:tcW w:w="9214" w:type="dxa"/>
            <w:tcBorders>
              <w:top w:val="nil"/>
              <w:left w:val="nil"/>
              <w:bottom w:val="nil"/>
              <w:right w:val="nil"/>
            </w:tcBorders>
            <w:shd w:val="clear" w:color="auto" w:fill="C6D9F1" w:themeFill="text2" w:themeFillTint="33"/>
            <w:vAlign w:val="center"/>
          </w:tcPr>
          <w:p w14:paraId="1E04057B" w14:textId="656B48F5" w:rsidR="0027684D" w:rsidRPr="0027684D" w:rsidRDefault="0027684D" w:rsidP="00764EE8">
            <w:pPr>
              <w:keepNext/>
              <w:keepLines/>
              <w:jc w:val="center"/>
              <w:rPr>
                <w:rFonts w:cs="Arial"/>
                <w:i/>
                <w:sz w:val="18"/>
                <w:szCs w:val="18"/>
                <w:lang w:val="fr-CH"/>
              </w:rPr>
            </w:pPr>
            <w:r w:rsidRPr="0027684D">
              <w:rPr>
                <w:rFonts w:cs="Arial"/>
                <w:b/>
                <w:sz w:val="18"/>
                <w:lang w:val="fr-CH"/>
              </w:rPr>
              <w:t xml:space="preserve">Tableau 6.  Dépenses de développement </w:t>
            </w:r>
            <w:r w:rsidR="00553946">
              <w:rPr>
                <w:rFonts w:cs="Arial"/>
                <w:b/>
                <w:sz w:val="18"/>
                <w:lang w:val="fr-CH"/>
              </w:rPr>
              <w:t>en</w:t>
            </w:r>
            <w:r w:rsidRPr="0027684D">
              <w:rPr>
                <w:rFonts w:cs="Arial"/>
                <w:b/>
                <w:sz w:val="18"/>
                <w:lang w:val="fr-CH"/>
              </w:rPr>
              <w:t> 2018-2019</w:t>
            </w:r>
            <w:r w:rsidR="00764EE8">
              <w:rPr>
                <w:rFonts w:cs="Arial"/>
                <w:b/>
                <w:sz w:val="18"/>
                <w:lang w:val="fr-CH"/>
              </w:rPr>
              <w:br/>
            </w:r>
            <w:r w:rsidRPr="0027684D">
              <w:rPr>
                <w:rFonts w:cs="Arial"/>
                <w:b/>
                <w:sz w:val="18"/>
                <w:lang w:val="fr-CH"/>
              </w:rPr>
              <w:t xml:space="preserve">(parts correspondantes des ressources </w:t>
            </w:r>
            <w:r w:rsidR="00553946">
              <w:rPr>
                <w:rFonts w:cs="Arial"/>
                <w:b/>
                <w:sz w:val="18"/>
                <w:lang w:val="fr-CH"/>
              </w:rPr>
              <w:t>par</w:t>
            </w:r>
            <w:r w:rsidRPr="0027684D">
              <w:rPr>
                <w:rFonts w:cs="Arial"/>
                <w:b/>
                <w:sz w:val="18"/>
                <w:lang w:val="fr-CH"/>
              </w:rPr>
              <w:t xml:space="preserve"> programme)</w:t>
            </w:r>
          </w:p>
          <w:p w14:paraId="1B531075" w14:textId="77777777" w:rsidR="0027684D" w:rsidRPr="0027684D" w:rsidRDefault="0027684D" w:rsidP="00764EE8">
            <w:pPr>
              <w:keepNext/>
              <w:keepLines/>
              <w:jc w:val="center"/>
              <w:rPr>
                <w:rFonts w:cs="Arial"/>
                <w:i/>
                <w:sz w:val="18"/>
                <w:szCs w:val="18"/>
                <w:lang w:val="fr-CH"/>
              </w:rPr>
            </w:pPr>
            <w:r w:rsidRPr="0027684D">
              <w:rPr>
                <w:rFonts w:cs="Arial"/>
                <w:i/>
                <w:sz w:val="18"/>
                <w:szCs w:val="18"/>
                <w:lang w:val="fr-CH"/>
              </w:rPr>
              <w:t>(en millions de francs suisses)</w:t>
            </w:r>
          </w:p>
        </w:tc>
      </w:tr>
    </w:tbl>
    <w:p w14:paraId="2D9D7851" w14:textId="77777777" w:rsidR="0027684D" w:rsidRDefault="0027684D" w:rsidP="00986700">
      <w:pPr>
        <w:keepNext/>
        <w:keepLines/>
        <w:rPr>
          <w:rFonts w:cs="Arial"/>
          <w:lang w:val="fr-CH"/>
        </w:rPr>
      </w:pPr>
    </w:p>
    <w:p w14:paraId="73B8F536" w14:textId="5B3E0460" w:rsidR="00764EE8" w:rsidRPr="0027684D" w:rsidRDefault="00764EE8" w:rsidP="001C6DF3">
      <w:pPr>
        <w:jc w:val="center"/>
        <w:rPr>
          <w:lang w:val="fr-CH"/>
        </w:rPr>
      </w:pPr>
      <w:r w:rsidRPr="00764EE8">
        <w:rPr>
          <w:noProof/>
          <w:lang w:val="en-US" w:eastAsia="en-US"/>
        </w:rPr>
        <w:drawing>
          <wp:inline distT="0" distB="0" distL="0" distR="0" wp14:anchorId="494CE1F1" wp14:editId="0D651589">
            <wp:extent cx="5850000" cy="4035150"/>
            <wp:effectExtent l="0" t="0" r="0" b="381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0000" cy="4035150"/>
                    </a:xfrm>
                    <a:prstGeom prst="rect">
                      <a:avLst/>
                    </a:prstGeom>
                    <a:noFill/>
                    <a:ln>
                      <a:noFill/>
                    </a:ln>
                  </pic:spPr>
                </pic:pic>
              </a:graphicData>
            </a:graphic>
          </wp:inline>
        </w:drawing>
      </w:r>
    </w:p>
    <w:p w14:paraId="402B4373" w14:textId="77777777" w:rsidR="0027684D" w:rsidRPr="0027684D" w:rsidRDefault="0027684D" w:rsidP="00764EE8"/>
    <w:p w14:paraId="397C93A5" w14:textId="77777777" w:rsidR="0027684D" w:rsidRPr="0027684D" w:rsidRDefault="0027684D" w:rsidP="00986700">
      <w:pPr>
        <w:pStyle w:val="ListParagraph"/>
        <w:tabs>
          <w:tab w:val="left" w:pos="567"/>
        </w:tabs>
        <w:ind w:left="0"/>
        <w:jc w:val="both"/>
        <w:rPr>
          <w:rFonts w:cs="Arial"/>
          <w:szCs w:val="20"/>
          <w:lang w:val="fr-CH"/>
        </w:rPr>
      </w:pPr>
    </w:p>
    <w:tbl>
      <w:tblPr>
        <w:tblW w:w="4961" w:type="pct"/>
        <w:tblCellMar>
          <w:top w:w="57" w:type="dxa"/>
          <w:bottom w:w="57" w:type="dxa"/>
        </w:tblCellMar>
        <w:tblLook w:val="04A0" w:firstRow="1" w:lastRow="0" w:firstColumn="1" w:lastColumn="0" w:noHBand="0" w:noVBand="1"/>
      </w:tblPr>
      <w:tblGrid>
        <w:gridCol w:w="9215"/>
      </w:tblGrid>
      <w:tr w:rsidR="0027684D" w:rsidRPr="0027684D" w14:paraId="7D37B594" w14:textId="77777777" w:rsidTr="00457074">
        <w:trPr>
          <w:cantSplit/>
        </w:trPr>
        <w:tc>
          <w:tcPr>
            <w:tcW w:w="9214" w:type="dxa"/>
            <w:tcBorders>
              <w:top w:val="nil"/>
              <w:left w:val="nil"/>
              <w:bottom w:val="nil"/>
              <w:right w:val="nil"/>
            </w:tcBorders>
            <w:shd w:val="clear" w:color="auto" w:fill="C6D9F1" w:themeFill="text2" w:themeFillTint="33"/>
            <w:vAlign w:val="center"/>
          </w:tcPr>
          <w:p w14:paraId="7B38E3B3" w14:textId="77777777" w:rsidR="0027684D" w:rsidRPr="00457074" w:rsidRDefault="0027684D" w:rsidP="00073F3E">
            <w:pPr>
              <w:keepNext/>
              <w:jc w:val="center"/>
              <w:rPr>
                <w:rFonts w:cs="Arial"/>
                <w:b/>
                <w:sz w:val="18"/>
                <w:szCs w:val="18"/>
                <w:lang w:val="fr-CH"/>
              </w:rPr>
            </w:pPr>
            <w:r w:rsidRPr="00457074">
              <w:rPr>
                <w:rFonts w:cs="Arial"/>
                <w:b/>
                <w:sz w:val="18"/>
                <w:szCs w:val="18"/>
                <w:lang w:val="fr-CH"/>
              </w:rPr>
              <w:t>Tableau 7.  Projets relevant du Plan d’action pour le développement en 2018-2019</w:t>
            </w:r>
          </w:p>
          <w:p w14:paraId="50844429" w14:textId="77777777" w:rsidR="0027684D" w:rsidRPr="0027684D" w:rsidRDefault="0027684D" w:rsidP="00073F3E">
            <w:pPr>
              <w:keepNext/>
              <w:jc w:val="center"/>
              <w:rPr>
                <w:rFonts w:cs="Arial"/>
                <w:i/>
                <w:sz w:val="18"/>
                <w:szCs w:val="18"/>
                <w:lang w:val="fr-CH"/>
              </w:rPr>
            </w:pPr>
            <w:r w:rsidRPr="0027684D">
              <w:rPr>
                <w:rFonts w:cs="Arial"/>
                <w:i/>
                <w:sz w:val="18"/>
                <w:szCs w:val="18"/>
                <w:lang w:val="fr-CH"/>
              </w:rPr>
              <w:t>(en millions de francs suisses)</w:t>
            </w:r>
          </w:p>
        </w:tc>
      </w:tr>
    </w:tbl>
    <w:p w14:paraId="5D3DE30E" w14:textId="77777777" w:rsidR="0027684D" w:rsidRPr="0027684D" w:rsidRDefault="0027684D" w:rsidP="00073F3E">
      <w:pPr>
        <w:keepNext/>
        <w:tabs>
          <w:tab w:val="left" w:pos="1105"/>
        </w:tabs>
        <w:rPr>
          <w:rFonts w:cs="Arial"/>
          <w:lang w:val="fr-CH"/>
        </w:rPr>
      </w:pPr>
    </w:p>
    <w:p w14:paraId="2A3C6654" w14:textId="547A7FED" w:rsidR="0027684D" w:rsidRPr="0027684D" w:rsidRDefault="00457074" w:rsidP="00986700">
      <w:pPr>
        <w:pStyle w:val="ListParagraph"/>
        <w:tabs>
          <w:tab w:val="left" w:pos="567"/>
        </w:tabs>
        <w:ind w:left="0"/>
        <w:jc w:val="both"/>
        <w:rPr>
          <w:rFonts w:cs="Arial"/>
          <w:szCs w:val="20"/>
        </w:rPr>
      </w:pPr>
      <w:r w:rsidRPr="00457074">
        <w:rPr>
          <w:noProof/>
          <w:lang w:val="en-US" w:eastAsia="en-US"/>
        </w:rPr>
        <w:drawing>
          <wp:inline distT="0" distB="0" distL="0" distR="0" wp14:anchorId="37B182CC" wp14:editId="7D14E2FA">
            <wp:extent cx="5760085" cy="2550716"/>
            <wp:effectExtent l="0" t="0" r="0" b="254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550716"/>
                    </a:xfrm>
                    <a:prstGeom prst="rect">
                      <a:avLst/>
                    </a:prstGeom>
                    <a:noFill/>
                    <a:ln>
                      <a:noFill/>
                    </a:ln>
                  </pic:spPr>
                </pic:pic>
              </a:graphicData>
            </a:graphic>
          </wp:inline>
        </w:drawing>
      </w:r>
    </w:p>
    <w:p w14:paraId="6A2E80FA" w14:textId="77777777" w:rsidR="0027684D" w:rsidRPr="0027684D" w:rsidRDefault="0027684D" w:rsidP="00986700">
      <w:pPr>
        <w:pStyle w:val="ListParagraph"/>
        <w:tabs>
          <w:tab w:val="left" w:pos="567"/>
        </w:tabs>
        <w:ind w:left="0"/>
        <w:jc w:val="both"/>
        <w:rPr>
          <w:rFonts w:cs="Arial"/>
          <w:bCs/>
          <w:szCs w:val="20"/>
        </w:rPr>
      </w:pPr>
    </w:p>
    <w:p w14:paraId="199E0156" w14:textId="46BC6F08" w:rsidR="0027684D" w:rsidRDefault="0027684D" w:rsidP="00986700">
      <w:r>
        <w:br w:type="page"/>
      </w:r>
    </w:p>
    <w:p w14:paraId="33DF94E2" w14:textId="62315530" w:rsidR="00DF040C" w:rsidRPr="005277AE" w:rsidRDefault="00DF040C" w:rsidP="00986700">
      <w:pPr>
        <w:pStyle w:val="Heading1"/>
        <w:rPr>
          <w:rFonts w:hint="eastAsia"/>
        </w:rPr>
      </w:pPr>
      <w:bookmarkStart w:id="22" w:name="_Toc482979470"/>
      <w:r w:rsidRPr="005277AE">
        <w:lastRenderedPageBreak/>
        <w:t>II.</w:t>
      </w:r>
      <w:r w:rsidRPr="005277AE">
        <w:tab/>
      </w:r>
      <w:bookmarkEnd w:id="16"/>
      <w:bookmarkEnd w:id="17"/>
      <w:r w:rsidRPr="005277AE">
        <w:t>Exposé des programmes par objectif stratégique</w:t>
      </w:r>
      <w:bookmarkEnd w:id="22"/>
    </w:p>
    <w:p w14:paraId="235F7C64" w14:textId="77777777" w:rsidR="00DF040C" w:rsidRPr="005277AE" w:rsidRDefault="00DF040C" w:rsidP="00986700"/>
    <w:p w14:paraId="2133DD73" w14:textId="77777777" w:rsidR="00DF040C" w:rsidRPr="005277AE" w:rsidRDefault="00DF040C" w:rsidP="00986700"/>
    <w:p w14:paraId="5DC34570" w14:textId="77777777" w:rsidR="00DF040C" w:rsidRPr="00DF040C" w:rsidRDefault="00DF040C" w:rsidP="00986700">
      <w:pPr>
        <w:pStyle w:val="Heading4"/>
      </w:pPr>
      <w:bookmarkStart w:id="23" w:name="_Toc482979471"/>
      <w:r w:rsidRPr="00DF040C">
        <w:t>Objectif stratégique I</w:t>
      </w:r>
      <w:r w:rsidRPr="00DF040C">
        <w:tab/>
        <w:t>Évolution équilibrée du cadre normatif international de la propriété intellectuelle</w:t>
      </w:r>
      <w:bookmarkEnd w:id="23"/>
    </w:p>
    <w:p w14:paraId="274BD087" w14:textId="77777777" w:rsidR="00DF040C" w:rsidRPr="00102AA6" w:rsidRDefault="00DF040C" w:rsidP="00986700">
      <w:pPr>
        <w:autoSpaceDE w:val="0"/>
        <w:autoSpaceDN w:val="0"/>
        <w:adjustRightInd w:val="0"/>
        <w:jc w:val="both"/>
      </w:pPr>
    </w:p>
    <w:p w14:paraId="228B81AB" w14:textId="77777777" w:rsidR="00DF040C" w:rsidRPr="00102AA6" w:rsidRDefault="00DF040C" w:rsidP="00986700"/>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858"/>
        <w:gridCol w:w="3887"/>
        <w:gridCol w:w="2455"/>
      </w:tblGrid>
      <w:tr w:rsidR="00DF040C" w:rsidRPr="00102AA6" w14:paraId="15A171C8" w14:textId="77777777" w:rsidTr="00DF040C">
        <w:trPr>
          <w:cantSplit/>
          <w:tblHeader/>
        </w:trPr>
        <w:tc>
          <w:tcPr>
            <w:tcW w:w="2861" w:type="dxa"/>
            <w:shd w:val="clear" w:color="auto" w:fill="B8CCE4" w:themeFill="accent1" w:themeFillTint="66"/>
            <w:vAlign w:val="center"/>
            <w:hideMark/>
          </w:tcPr>
          <w:p w14:paraId="5CFA408E" w14:textId="77777777" w:rsidR="00DF040C" w:rsidRPr="00102AA6" w:rsidRDefault="00DF040C" w:rsidP="00986700">
            <w:pPr>
              <w:jc w:val="center"/>
              <w:rPr>
                <w:b/>
                <w:bCs/>
                <w:sz w:val="18"/>
                <w:szCs w:val="18"/>
              </w:rPr>
            </w:pPr>
            <w:r w:rsidRPr="00102AA6">
              <w:rPr>
                <w:b/>
                <w:bCs/>
                <w:sz w:val="18"/>
                <w:szCs w:val="18"/>
              </w:rPr>
              <w:t>Résultats escomptés</w:t>
            </w:r>
          </w:p>
        </w:tc>
        <w:tc>
          <w:tcPr>
            <w:tcW w:w="3895" w:type="dxa"/>
            <w:shd w:val="clear" w:color="auto" w:fill="B8CCE4" w:themeFill="accent1" w:themeFillTint="66"/>
            <w:vAlign w:val="center"/>
            <w:hideMark/>
          </w:tcPr>
          <w:p w14:paraId="078B73B6" w14:textId="77777777" w:rsidR="00DF040C" w:rsidRPr="00102AA6" w:rsidRDefault="00DF040C" w:rsidP="00986700">
            <w:pPr>
              <w:jc w:val="center"/>
              <w:rPr>
                <w:b/>
                <w:bCs/>
                <w:sz w:val="18"/>
                <w:szCs w:val="18"/>
              </w:rPr>
            </w:pPr>
            <w:r w:rsidRPr="00102AA6">
              <w:rPr>
                <w:b/>
                <w:sz w:val="18"/>
                <w:szCs w:val="18"/>
              </w:rPr>
              <w:t>Indicateurs d</w:t>
            </w:r>
            <w:r>
              <w:rPr>
                <w:b/>
                <w:sz w:val="18"/>
                <w:szCs w:val="18"/>
              </w:rPr>
              <w:t>’</w:t>
            </w:r>
            <w:r w:rsidRPr="00102AA6">
              <w:rPr>
                <w:b/>
                <w:sz w:val="18"/>
                <w:szCs w:val="18"/>
              </w:rPr>
              <w:t>exécution</w:t>
            </w:r>
          </w:p>
        </w:tc>
        <w:tc>
          <w:tcPr>
            <w:tcW w:w="2458" w:type="dxa"/>
            <w:shd w:val="clear" w:color="auto" w:fill="B8CCE4" w:themeFill="accent1" w:themeFillTint="66"/>
            <w:vAlign w:val="center"/>
            <w:hideMark/>
          </w:tcPr>
          <w:p w14:paraId="0BE2C4B8" w14:textId="77777777" w:rsidR="00DF040C" w:rsidRPr="00102AA6" w:rsidRDefault="00DF040C" w:rsidP="00986700">
            <w:pPr>
              <w:jc w:val="center"/>
              <w:rPr>
                <w:b/>
                <w:bCs/>
                <w:sz w:val="18"/>
                <w:szCs w:val="18"/>
              </w:rPr>
            </w:pPr>
            <w:r w:rsidRPr="00102AA6">
              <w:rPr>
                <w:b/>
                <w:sz w:val="18"/>
                <w:szCs w:val="18"/>
              </w:rPr>
              <w:t>Programme(s) concerné(s)</w:t>
            </w:r>
          </w:p>
        </w:tc>
      </w:tr>
      <w:tr w:rsidR="00DF040C" w:rsidRPr="00102AA6" w14:paraId="2027097A" w14:textId="77777777" w:rsidTr="00DF040C">
        <w:trPr>
          <w:cantSplit/>
        </w:trPr>
        <w:tc>
          <w:tcPr>
            <w:tcW w:w="2861" w:type="dxa"/>
            <w:vMerge w:val="restart"/>
            <w:hideMark/>
          </w:tcPr>
          <w:p w14:paraId="6D96BC34" w14:textId="77777777" w:rsidR="00DF040C" w:rsidRDefault="00DF040C" w:rsidP="00986700">
            <w:pPr>
              <w:rPr>
                <w:sz w:val="16"/>
                <w:szCs w:val="16"/>
              </w:rPr>
            </w:pPr>
            <w:r w:rsidRPr="00102AA6">
              <w:rPr>
                <w:sz w:val="16"/>
                <w:szCs w:val="16"/>
              </w:rPr>
              <w:t>I.1 Renforcement de la coopération entre les États membres en ce qui concerne l</w:t>
            </w:r>
            <w:r>
              <w:rPr>
                <w:sz w:val="16"/>
                <w:szCs w:val="16"/>
              </w:rPr>
              <w:t>’</w:t>
            </w:r>
            <w:r w:rsidRPr="00102AA6">
              <w:rPr>
                <w:sz w:val="16"/>
                <w:szCs w:val="16"/>
              </w:rPr>
              <w:t>élaboration de cadres normatifs internationaux équilibrés dans le domaine de la propriété intellectuelle</w:t>
            </w:r>
          </w:p>
          <w:p w14:paraId="4ABEF9B9" w14:textId="77777777" w:rsidR="00DF040C" w:rsidRPr="00102AA6" w:rsidRDefault="00DF040C" w:rsidP="00986700">
            <w:pPr>
              <w:rPr>
                <w:sz w:val="16"/>
                <w:szCs w:val="16"/>
              </w:rPr>
            </w:pPr>
          </w:p>
        </w:tc>
        <w:tc>
          <w:tcPr>
            <w:tcW w:w="3895" w:type="dxa"/>
            <w:hideMark/>
          </w:tcPr>
          <w:p w14:paraId="1B7EF82A" w14:textId="77777777" w:rsidR="00DF040C" w:rsidRPr="00102AA6" w:rsidRDefault="00DF040C" w:rsidP="00986700">
            <w:pPr>
              <w:rPr>
                <w:sz w:val="16"/>
                <w:szCs w:val="16"/>
              </w:rPr>
            </w:pPr>
            <w:r w:rsidRPr="00102AA6">
              <w:rPr>
                <w:sz w:val="16"/>
                <w:szCs w:val="16"/>
              </w:rPr>
              <w:t>État d</w:t>
            </w:r>
            <w:r>
              <w:rPr>
                <w:sz w:val="16"/>
                <w:szCs w:val="16"/>
              </w:rPr>
              <w:t>’</w:t>
            </w:r>
            <w:r w:rsidRPr="00102AA6">
              <w:rPr>
                <w:sz w:val="16"/>
                <w:szCs w:val="16"/>
              </w:rPr>
              <w:t>avancement de la mise en œuvre des travaux convenus selon l</w:t>
            </w:r>
            <w:r>
              <w:rPr>
                <w:sz w:val="16"/>
                <w:szCs w:val="16"/>
              </w:rPr>
              <w:t>’</w:t>
            </w:r>
            <w:r w:rsidRPr="00102AA6">
              <w:rPr>
                <w:sz w:val="16"/>
                <w:szCs w:val="16"/>
              </w:rPr>
              <w:t>ordre du jour du SCP</w:t>
            </w:r>
          </w:p>
        </w:tc>
        <w:tc>
          <w:tcPr>
            <w:tcW w:w="2458" w:type="dxa"/>
            <w:hideMark/>
          </w:tcPr>
          <w:p w14:paraId="71032172" w14:textId="77777777" w:rsidR="00DF040C" w:rsidRPr="00102AA6" w:rsidRDefault="00DF040C" w:rsidP="00986700">
            <w:pPr>
              <w:jc w:val="center"/>
              <w:rPr>
                <w:sz w:val="16"/>
                <w:szCs w:val="16"/>
              </w:rPr>
            </w:pPr>
            <w:r w:rsidRPr="00102AA6">
              <w:rPr>
                <w:sz w:val="16"/>
                <w:szCs w:val="16"/>
                <w:lang w:bidi="th-TH"/>
              </w:rPr>
              <w:t>Programme</w:t>
            </w:r>
            <w:r>
              <w:rPr>
                <w:sz w:val="16"/>
                <w:szCs w:val="16"/>
                <w:lang w:bidi="th-TH"/>
              </w:rPr>
              <w:t> </w:t>
            </w:r>
            <w:r w:rsidRPr="00102AA6">
              <w:rPr>
                <w:sz w:val="16"/>
                <w:szCs w:val="16"/>
                <w:lang w:bidi="th-TH"/>
              </w:rPr>
              <w:t>1</w:t>
            </w:r>
          </w:p>
        </w:tc>
      </w:tr>
      <w:tr w:rsidR="00DF040C" w:rsidRPr="00102AA6" w14:paraId="661DC0E0" w14:textId="77777777" w:rsidTr="00DF040C">
        <w:trPr>
          <w:cantSplit/>
        </w:trPr>
        <w:tc>
          <w:tcPr>
            <w:tcW w:w="2861" w:type="dxa"/>
            <w:vMerge/>
            <w:hideMark/>
          </w:tcPr>
          <w:p w14:paraId="14A358ED" w14:textId="77777777" w:rsidR="00DF040C" w:rsidRPr="00102AA6" w:rsidRDefault="00DF040C" w:rsidP="00986700">
            <w:pPr>
              <w:rPr>
                <w:sz w:val="16"/>
                <w:szCs w:val="16"/>
              </w:rPr>
            </w:pPr>
          </w:p>
        </w:tc>
        <w:tc>
          <w:tcPr>
            <w:tcW w:w="3895" w:type="dxa"/>
            <w:hideMark/>
          </w:tcPr>
          <w:p w14:paraId="59973A23" w14:textId="77777777" w:rsidR="00DF040C" w:rsidRPr="00102AA6" w:rsidRDefault="00DF040C" w:rsidP="00986700">
            <w:pPr>
              <w:rPr>
                <w:sz w:val="16"/>
                <w:szCs w:val="16"/>
              </w:rPr>
            </w:pPr>
            <w:r w:rsidRPr="00102AA6">
              <w:rPr>
                <w:sz w:val="16"/>
                <w:szCs w:val="16"/>
              </w:rPr>
              <w:t>Niveau de satisfaction des participants aux activités de sensibilisation et de promotion sur des questions relatives aux brevets et des questions connexes</w:t>
            </w:r>
          </w:p>
        </w:tc>
        <w:tc>
          <w:tcPr>
            <w:tcW w:w="2458" w:type="dxa"/>
            <w:hideMark/>
          </w:tcPr>
          <w:p w14:paraId="199E39D8" w14:textId="77777777" w:rsidR="00DF040C" w:rsidRPr="00102AA6" w:rsidRDefault="00DF040C" w:rsidP="00986700">
            <w:pPr>
              <w:jc w:val="center"/>
              <w:rPr>
                <w:sz w:val="16"/>
                <w:szCs w:val="16"/>
              </w:rPr>
            </w:pPr>
            <w:r w:rsidRPr="00102AA6">
              <w:rPr>
                <w:sz w:val="16"/>
                <w:szCs w:val="16"/>
              </w:rPr>
              <w:t>Programme</w:t>
            </w:r>
            <w:r>
              <w:rPr>
                <w:sz w:val="16"/>
                <w:szCs w:val="16"/>
              </w:rPr>
              <w:t> </w:t>
            </w:r>
            <w:r w:rsidRPr="00102AA6">
              <w:rPr>
                <w:sz w:val="16"/>
                <w:szCs w:val="16"/>
              </w:rPr>
              <w:t>1</w:t>
            </w:r>
          </w:p>
        </w:tc>
      </w:tr>
      <w:tr w:rsidR="00DF040C" w:rsidRPr="00102AA6" w14:paraId="680AF361" w14:textId="77777777" w:rsidTr="00DF040C">
        <w:trPr>
          <w:cantSplit/>
        </w:trPr>
        <w:tc>
          <w:tcPr>
            <w:tcW w:w="2861" w:type="dxa"/>
            <w:hideMark/>
          </w:tcPr>
          <w:p w14:paraId="1E7D2E10" w14:textId="77777777" w:rsidR="00DF040C" w:rsidRPr="00102AA6" w:rsidRDefault="00DF040C" w:rsidP="00986700">
            <w:pPr>
              <w:rPr>
                <w:sz w:val="16"/>
                <w:szCs w:val="16"/>
              </w:rPr>
            </w:pPr>
          </w:p>
        </w:tc>
        <w:tc>
          <w:tcPr>
            <w:tcW w:w="3895" w:type="dxa"/>
            <w:hideMark/>
          </w:tcPr>
          <w:p w14:paraId="435CE9BD" w14:textId="77777777" w:rsidR="00DF040C" w:rsidRPr="00102AA6" w:rsidRDefault="00DF040C" w:rsidP="00986700">
            <w:pPr>
              <w:rPr>
                <w:i/>
                <w:sz w:val="16"/>
                <w:szCs w:val="16"/>
              </w:rPr>
            </w:pPr>
            <w:r w:rsidRPr="00102AA6">
              <w:rPr>
                <w:sz w:val="16"/>
                <w:szCs w:val="16"/>
              </w:rPr>
              <w:t>État d</w:t>
            </w:r>
            <w:r>
              <w:rPr>
                <w:sz w:val="16"/>
                <w:szCs w:val="16"/>
              </w:rPr>
              <w:t>’</w:t>
            </w:r>
            <w:r w:rsidRPr="00102AA6">
              <w:rPr>
                <w:sz w:val="16"/>
                <w:szCs w:val="16"/>
              </w:rPr>
              <w:t xml:space="preserve">avancement </w:t>
            </w:r>
            <w:r w:rsidRPr="00102AA6">
              <w:rPr>
                <w:sz w:val="16"/>
                <w:szCs w:val="16"/>
                <w:lang w:bidi="th-TH"/>
              </w:rPr>
              <w:t>des travaux en vue d</w:t>
            </w:r>
            <w:r>
              <w:rPr>
                <w:sz w:val="16"/>
                <w:szCs w:val="16"/>
                <w:lang w:bidi="th-TH"/>
              </w:rPr>
              <w:t>’</w:t>
            </w:r>
            <w:r w:rsidRPr="00102AA6">
              <w:rPr>
                <w:sz w:val="16"/>
                <w:szCs w:val="16"/>
                <w:lang w:bidi="th-TH"/>
              </w:rPr>
              <w:t>un accord sur les questions actuellement à l</w:t>
            </w:r>
            <w:r>
              <w:rPr>
                <w:sz w:val="16"/>
                <w:szCs w:val="16"/>
                <w:lang w:bidi="th-TH"/>
              </w:rPr>
              <w:t>’</w:t>
            </w:r>
            <w:r w:rsidRPr="00102AA6">
              <w:rPr>
                <w:sz w:val="16"/>
                <w:szCs w:val="16"/>
                <w:lang w:bidi="th-TH"/>
              </w:rPr>
              <w:t>ordre du jour du SCT</w:t>
            </w:r>
          </w:p>
        </w:tc>
        <w:tc>
          <w:tcPr>
            <w:tcW w:w="2458" w:type="dxa"/>
            <w:hideMark/>
          </w:tcPr>
          <w:p w14:paraId="5E7FCDE7" w14:textId="77777777" w:rsidR="00DF040C" w:rsidRPr="00102AA6" w:rsidRDefault="00DF040C" w:rsidP="00986700">
            <w:pPr>
              <w:jc w:val="center"/>
              <w:rPr>
                <w:sz w:val="16"/>
                <w:szCs w:val="16"/>
              </w:rPr>
            </w:pPr>
            <w:r w:rsidRPr="00102AA6">
              <w:rPr>
                <w:sz w:val="16"/>
                <w:szCs w:val="16"/>
                <w:lang w:bidi="th-TH"/>
              </w:rPr>
              <w:t>Programme</w:t>
            </w:r>
            <w:r>
              <w:rPr>
                <w:sz w:val="16"/>
                <w:szCs w:val="16"/>
                <w:lang w:bidi="th-TH"/>
              </w:rPr>
              <w:t> </w:t>
            </w:r>
            <w:r w:rsidRPr="00102AA6">
              <w:rPr>
                <w:sz w:val="16"/>
                <w:szCs w:val="16"/>
                <w:lang w:bidi="th-TH"/>
              </w:rPr>
              <w:t>2</w:t>
            </w:r>
          </w:p>
        </w:tc>
      </w:tr>
      <w:tr w:rsidR="00DF040C" w:rsidRPr="00102AA6" w14:paraId="095E5D00" w14:textId="77777777" w:rsidTr="00DF040C">
        <w:trPr>
          <w:cantSplit/>
        </w:trPr>
        <w:tc>
          <w:tcPr>
            <w:tcW w:w="2861" w:type="dxa"/>
            <w:hideMark/>
          </w:tcPr>
          <w:p w14:paraId="0727AFA0" w14:textId="77777777" w:rsidR="00DF040C" w:rsidRPr="00102AA6" w:rsidRDefault="00DF040C" w:rsidP="00986700">
            <w:pPr>
              <w:rPr>
                <w:sz w:val="16"/>
                <w:szCs w:val="16"/>
              </w:rPr>
            </w:pPr>
          </w:p>
        </w:tc>
        <w:tc>
          <w:tcPr>
            <w:tcW w:w="3895" w:type="dxa"/>
            <w:hideMark/>
          </w:tcPr>
          <w:p w14:paraId="1889495F" w14:textId="77777777" w:rsidR="00DF040C" w:rsidRPr="00102AA6" w:rsidRDefault="00DF040C" w:rsidP="00986700">
            <w:pPr>
              <w:rPr>
                <w:sz w:val="16"/>
                <w:szCs w:val="16"/>
              </w:rPr>
            </w:pPr>
            <w:r w:rsidRPr="00102AA6">
              <w:rPr>
                <w:sz w:val="16"/>
                <w:szCs w:val="16"/>
              </w:rPr>
              <w:t>État d</w:t>
            </w:r>
            <w:r>
              <w:rPr>
                <w:sz w:val="16"/>
                <w:szCs w:val="16"/>
              </w:rPr>
              <w:t>’</w:t>
            </w:r>
            <w:r w:rsidRPr="00102AA6">
              <w:rPr>
                <w:sz w:val="16"/>
                <w:szCs w:val="16"/>
              </w:rPr>
              <w:t>avancement de la mise en œuvre des travaux convenus selon l</w:t>
            </w:r>
            <w:r>
              <w:rPr>
                <w:sz w:val="16"/>
                <w:szCs w:val="16"/>
              </w:rPr>
              <w:t>’</w:t>
            </w:r>
            <w:r w:rsidRPr="00102AA6">
              <w:rPr>
                <w:sz w:val="16"/>
                <w:szCs w:val="16"/>
              </w:rPr>
              <w:t>ordre du jour du SCCR</w:t>
            </w:r>
          </w:p>
        </w:tc>
        <w:tc>
          <w:tcPr>
            <w:tcW w:w="2458" w:type="dxa"/>
            <w:hideMark/>
          </w:tcPr>
          <w:p w14:paraId="65D0767C"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3</w:t>
            </w:r>
          </w:p>
        </w:tc>
      </w:tr>
      <w:tr w:rsidR="00DF040C" w:rsidRPr="00102AA6" w14:paraId="1E35495C" w14:textId="77777777" w:rsidTr="00DF040C">
        <w:trPr>
          <w:cantSplit/>
        </w:trPr>
        <w:tc>
          <w:tcPr>
            <w:tcW w:w="2861" w:type="dxa"/>
            <w:hideMark/>
          </w:tcPr>
          <w:p w14:paraId="04227656" w14:textId="77777777" w:rsidR="00DF040C" w:rsidRPr="00102AA6" w:rsidRDefault="00DF040C" w:rsidP="00986700">
            <w:pPr>
              <w:rPr>
                <w:sz w:val="16"/>
                <w:szCs w:val="16"/>
              </w:rPr>
            </w:pPr>
          </w:p>
        </w:tc>
        <w:tc>
          <w:tcPr>
            <w:tcW w:w="3895" w:type="dxa"/>
            <w:hideMark/>
          </w:tcPr>
          <w:p w14:paraId="39227099" w14:textId="77777777" w:rsidR="00DF040C" w:rsidRPr="00102AA6" w:rsidRDefault="00DF040C" w:rsidP="00986700">
            <w:pPr>
              <w:rPr>
                <w:sz w:val="16"/>
                <w:szCs w:val="16"/>
              </w:rPr>
            </w:pPr>
            <w:r w:rsidRPr="00102AA6">
              <w:rPr>
                <w:sz w:val="16"/>
                <w:szCs w:val="16"/>
              </w:rPr>
              <w:t>Progrès accomplis en vue de la mise en œuvre des activités d</w:t>
            </w:r>
            <w:r>
              <w:rPr>
                <w:sz w:val="16"/>
                <w:szCs w:val="16"/>
              </w:rPr>
              <w:t>’</w:t>
            </w:r>
            <w:r w:rsidRPr="00102AA6">
              <w:rPr>
                <w:sz w:val="16"/>
                <w:szCs w:val="16"/>
              </w:rPr>
              <w:t>établissement de normes sur la propriété intellectuelle relative aux ressources génétiques, aux savoirs traditionnels et aux expressions culturelles traditionnelles, conformément à la décision des États membres</w:t>
            </w:r>
          </w:p>
        </w:tc>
        <w:tc>
          <w:tcPr>
            <w:tcW w:w="2458" w:type="dxa"/>
            <w:hideMark/>
          </w:tcPr>
          <w:p w14:paraId="79466FA0"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4</w:t>
            </w:r>
          </w:p>
        </w:tc>
      </w:tr>
      <w:tr w:rsidR="00DF040C" w:rsidRPr="00102AA6" w14:paraId="1128A5B9" w14:textId="77777777" w:rsidTr="00DF040C">
        <w:trPr>
          <w:cantSplit/>
        </w:trPr>
        <w:tc>
          <w:tcPr>
            <w:tcW w:w="2861" w:type="dxa"/>
          </w:tcPr>
          <w:p w14:paraId="7D4C080A" w14:textId="77777777" w:rsidR="00DF040C" w:rsidRPr="00102AA6" w:rsidRDefault="00DF040C" w:rsidP="00986700">
            <w:pPr>
              <w:rPr>
                <w:sz w:val="16"/>
                <w:szCs w:val="16"/>
              </w:rPr>
            </w:pPr>
          </w:p>
        </w:tc>
        <w:tc>
          <w:tcPr>
            <w:tcW w:w="3895" w:type="dxa"/>
          </w:tcPr>
          <w:p w14:paraId="68DD5B9F" w14:textId="77777777" w:rsidR="00DF040C" w:rsidRPr="00102AA6" w:rsidRDefault="00DF040C" w:rsidP="00986700">
            <w:pPr>
              <w:rPr>
                <w:sz w:val="16"/>
                <w:szCs w:val="16"/>
              </w:rPr>
            </w:pPr>
            <w:r w:rsidRPr="00102AA6">
              <w:rPr>
                <w:sz w:val="16"/>
                <w:szCs w:val="16"/>
              </w:rPr>
              <w:t xml:space="preserve">Pourcentage de notifications concernant les traités </w:t>
            </w:r>
            <w:r>
              <w:rPr>
                <w:sz w:val="16"/>
                <w:szCs w:val="16"/>
              </w:rPr>
              <w:t>traitées rapidement par le</w:t>
            </w:r>
            <w:r w:rsidRPr="00102AA6">
              <w:rPr>
                <w:sz w:val="16"/>
                <w:szCs w:val="16"/>
              </w:rPr>
              <w:t xml:space="preserve"> Bureau du conseiller juridique</w:t>
            </w:r>
          </w:p>
        </w:tc>
        <w:tc>
          <w:tcPr>
            <w:tcW w:w="2458" w:type="dxa"/>
          </w:tcPr>
          <w:p w14:paraId="0F10C37F"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21</w:t>
            </w:r>
          </w:p>
        </w:tc>
      </w:tr>
      <w:tr w:rsidR="00DF040C" w:rsidRPr="00102AA6" w14:paraId="69C7B2F7" w14:textId="77777777" w:rsidTr="00DF040C">
        <w:trPr>
          <w:cantSplit/>
        </w:trPr>
        <w:tc>
          <w:tcPr>
            <w:tcW w:w="2861" w:type="dxa"/>
          </w:tcPr>
          <w:p w14:paraId="5F6A61BA" w14:textId="77777777" w:rsidR="00DF040C" w:rsidRPr="00102AA6" w:rsidRDefault="00DF040C" w:rsidP="00986700">
            <w:pPr>
              <w:rPr>
                <w:sz w:val="16"/>
                <w:szCs w:val="16"/>
              </w:rPr>
            </w:pPr>
          </w:p>
        </w:tc>
        <w:tc>
          <w:tcPr>
            <w:tcW w:w="3895" w:type="dxa"/>
          </w:tcPr>
          <w:p w14:paraId="0F340D44" w14:textId="77777777" w:rsidR="00DF040C" w:rsidRPr="00102AA6" w:rsidRDefault="00DF040C" w:rsidP="00986700">
            <w:pPr>
              <w:rPr>
                <w:sz w:val="16"/>
                <w:szCs w:val="16"/>
              </w:rPr>
            </w:pPr>
            <w:r w:rsidRPr="00102AA6">
              <w:rPr>
                <w:sz w:val="16"/>
                <w:szCs w:val="16"/>
              </w:rPr>
              <w:t>Niveau de satisfaction des participants aux activités de renforcement des capacités et de formation de l</w:t>
            </w:r>
            <w:r>
              <w:rPr>
                <w:sz w:val="16"/>
                <w:szCs w:val="16"/>
              </w:rPr>
              <w:t>’</w:t>
            </w:r>
            <w:r w:rsidRPr="00102AA6">
              <w:rPr>
                <w:sz w:val="16"/>
                <w:szCs w:val="16"/>
              </w:rPr>
              <w:t xml:space="preserve">OMPI sur des thèmes relatifs aux brevets </w:t>
            </w:r>
          </w:p>
        </w:tc>
        <w:tc>
          <w:tcPr>
            <w:tcW w:w="2458" w:type="dxa"/>
          </w:tcPr>
          <w:p w14:paraId="5AEDA45F"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w:t>
            </w:r>
          </w:p>
        </w:tc>
      </w:tr>
      <w:tr w:rsidR="00DF040C" w:rsidRPr="00102AA6" w14:paraId="3461579C" w14:textId="77777777" w:rsidTr="00DF040C">
        <w:trPr>
          <w:cantSplit/>
        </w:trPr>
        <w:tc>
          <w:tcPr>
            <w:tcW w:w="2861" w:type="dxa"/>
          </w:tcPr>
          <w:p w14:paraId="2D29A17F" w14:textId="77777777" w:rsidR="00DF040C" w:rsidRPr="00102AA6" w:rsidRDefault="00DF040C" w:rsidP="00986700">
            <w:pPr>
              <w:rPr>
                <w:sz w:val="16"/>
                <w:szCs w:val="16"/>
              </w:rPr>
            </w:pPr>
          </w:p>
        </w:tc>
        <w:tc>
          <w:tcPr>
            <w:tcW w:w="3895" w:type="dxa"/>
          </w:tcPr>
          <w:p w14:paraId="312550F7" w14:textId="77777777" w:rsidR="00DF040C" w:rsidRPr="00102AA6" w:rsidRDefault="00DF040C" w:rsidP="00986700">
            <w:pPr>
              <w:rPr>
                <w:sz w:val="16"/>
                <w:szCs w:val="16"/>
              </w:rPr>
            </w:pPr>
            <w:r w:rsidRPr="00102AA6">
              <w:rPr>
                <w:sz w:val="16"/>
                <w:szCs w:val="16"/>
              </w:rPr>
              <w:t>Pourcentage de participants aux activités de renforcement des capacités et de formation de l</w:t>
            </w:r>
            <w:r>
              <w:rPr>
                <w:sz w:val="16"/>
                <w:szCs w:val="16"/>
              </w:rPr>
              <w:t>’</w:t>
            </w:r>
            <w:r w:rsidRPr="00102AA6">
              <w:rPr>
                <w:sz w:val="16"/>
                <w:szCs w:val="16"/>
              </w:rPr>
              <w:t>OMPI sur des thèmes relatifs aux brevets dont les connaissances se sont nettement améliorées</w:t>
            </w:r>
          </w:p>
        </w:tc>
        <w:tc>
          <w:tcPr>
            <w:tcW w:w="2458" w:type="dxa"/>
          </w:tcPr>
          <w:p w14:paraId="7F9FE6AC"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w:t>
            </w:r>
          </w:p>
        </w:tc>
      </w:tr>
      <w:tr w:rsidR="00DF040C" w:rsidRPr="00102AA6" w14:paraId="7D5E11C6" w14:textId="77777777" w:rsidTr="00DF040C">
        <w:trPr>
          <w:cantSplit/>
        </w:trPr>
        <w:tc>
          <w:tcPr>
            <w:tcW w:w="2861" w:type="dxa"/>
            <w:hideMark/>
          </w:tcPr>
          <w:p w14:paraId="156AD092" w14:textId="77777777" w:rsidR="00DF040C" w:rsidRPr="00102AA6" w:rsidRDefault="00DF040C" w:rsidP="00986700">
            <w:pPr>
              <w:rPr>
                <w:sz w:val="16"/>
                <w:szCs w:val="16"/>
              </w:rPr>
            </w:pPr>
            <w:r w:rsidRPr="00102AA6">
              <w:rPr>
                <w:sz w:val="16"/>
                <w:szCs w:val="16"/>
              </w:rPr>
              <w:t>I.2 Cadres législatifs, réglementaires et politiques de propriété intellectuelle adaptés et équilibrés</w:t>
            </w:r>
          </w:p>
        </w:tc>
        <w:tc>
          <w:tcPr>
            <w:tcW w:w="3895" w:type="dxa"/>
            <w:hideMark/>
          </w:tcPr>
          <w:p w14:paraId="3DD01CCC" w14:textId="77777777" w:rsidR="00DF040C" w:rsidRPr="00102AA6" w:rsidRDefault="00DF040C" w:rsidP="00986700">
            <w:pPr>
              <w:rPr>
                <w:sz w:val="16"/>
                <w:szCs w:val="16"/>
              </w:rPr>
            </w:pPr>
            <w:r w:rsidRPr="00102AA6">
              <w:rPr>
                <w:sz w:val="16"/>
                <w:szCs w:val="16"/>
              </w:rPr>
              <w:t>Pourcentage de bénéficiaires ayant trouvé utiles les informations fournies concernant les principes et les pratiques juridiques des systèmes des brevets, des modèles d</w:t>
            </w:r>
            <w:r>
              <w:rPr>
                <w:sz w:val="16"/>
                <w:szCs w:val="16"/>
              </w:rPr>
              <w:t>’</w:t>
            </w:r>
            <w:r w:rsidRPr="00102AA6">
              <w:rPr>
                <w:sz w:val="16"/>
                <w:szCs w:val="16"/>
              </w:rPr>
              <w:t xml:space="preserve">utilité et des circuits intégrés, </w:t>
            </w:r>
            <w:r>
              <w:rPr>
                <w:sz w:val="16"/>
                <w:szCs w:val="16"/>
              </w:rPr>
              <w:t>y compris</w:t>
            </w:r>
            <w:r w:rsidRPr="00102AA6">
              <w:rPr>
                <w:sz w:val="16"/>
                <w:szCs w:val="16"/>
              </w:rPr>
              <w:t xml:space="preserve"> les éléments de flexibilité</w:t>
            </w:r>
          </w:p>
        </w:tc>
        <w:tc>
          <w:tcPr>
            <w:tcW w:w="2458" w:type="dxa"/>
            <w:hideMark/>
          </w:tcPr>
          <w:p w14:paraId="73ED9AF1"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w:t>
            </w:r>
          </w:p>
        </w:tc>
      </w:tr>
      <w:tr w:rsidR="00DF040C" w:rsidRPr="00102AA6" w14:paraId="6452F31E" w14:textId="77777777" w:rsidTr="00DF040C">
        <w:trPr>
          <w:cantSplit/>
        </w:trPr>
        <w:tc>
          <w:tcPr>
            <w:tcW w:w="2861" w:type="dxa"/>
            <w:hideMark/>
          </w:tcPr>
          <w:p w14:paraId="1CDCCD4C" w14:textId="77777777" w:rsidR="00DF040C" w:rsidRPr="00102AA6" w:rsidRDefault="00DF040C" w:rsidP="00986700">
            <w:pPr>
              <w:rPr>
                <w:sz w:val="16"/>
                <w:szCs w:val="16"/>
              </w:rPr>
            </w:pPr>
          </w:p>
        </w:tc>
        <w:tc>
          <w:tcPr>
            <w:tcW w:w="3895" w:type="dxa"/>
            <w:hideMark/>
          </w:tcPr>
          <w:p w14:paraId="5DBC9388" w14:textId="77777777" w:rsidR="00DF040C" w:rsidRPr="00102AA6" w:rsidRDefault="00DF040C" w:rsidP="00986700">
            <w:pPr>
              <w:rPr>
                <w:sz w:val="16"/>
                <w:szCs w:val="16"/>
              </w:rPr>
            </w:pPr>
            <w:r w:rsidRPr="00102AA6">
              <w:rPr>
                <w:sz w:val="16"/>
                <w:szCs w:val="16"/>
              </w:rPr>
              <w:t>Nombre et pourcentage d</w:t>
            </w:r>
            <w:r>
              <w:rPr>
                <w:sz w:val="16"/>
                <w:szCs w:val="16"/>
              </w:rPr>
              <w:t>’</w:t>
            </w:r>
            <w:r w:rsidRPr="00102AA6">
              <w:rPr>
                <w:sz w:val="16"/>
                <w:szCs w:val="16"/>
              </w:rPr>
              <w:t>États membres satisfaits des conseils juridiques et pratiques fournis</w:t>
            </w:r>
          </w:p>
        </w:tc>
        <w:tc>
          <w:tcPr>
            <w:tcW w:w="2458" w:type="dxa"/>
            <w:hideMark/>
          </w:tcPr>
          <w:p w14:paraId="2674A7B8"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w:t>
            </w:r>
          </w:p>
        </w:tc>
      </w:tr>
      <w:tr w:rsidR="00DF040C" w:rsidRPr="00102AA6" w14:paraId="09778181" w14:textId="77777777" w:rsidTr="00DF040C">
        <w:trPr>
          <w:cantSplit/>
        </w:trPr>
        <w:tc>
          <w:tcPr>
            <w:tcW w:w="2861" w:type="dxa"/>
            <w:hideMark/>
          </w:tcPr>
          <w:p w14:paraId="5D45A55B" w14:textId="77777777" w:rsidR="00DF040C" w:rsidRPr="00102AA6" w:rsidRDefault="00DF040C" w:rsidP="00986700">
            <w:pPr>
              <w:rPr>
                <w:sz w:val="16"/>
                <w:szCs w:val="16"/>
              </w:rPr>
            </w:pPr>
          </w:p>
        </w:tc>
        <w:tc>
          <w:tcPr>
            <w:tcW w:w="3895" w:type="dxa"/>
            <w:hideMark/>
          </w:tcPr>
          <w:p w14:paraId="53E57DA2" w14:textId="77777777" w:rsidR="00DF040C" w:rsidRPr="00102AA6" w:rsidRDefault="00DF040C" w:rsidP="00986700">
            <w:pPr>
              <w:rPr>
                <w:sz w:val="16"/>
                <w:szCs w:val="16"/>
              </w:rPr>
            </w:pPr>
            <w:r w:rsidRPr="00102AA6">
              <w:rPr>
                <w:sz w:val="16"/>
                <w:szCs w:val="16"/>
              </w:rPr>
              <w:t>Nombre et pourcentage d</w:t>
            </w:r>
            <w:r>
              <w:rPr>
                <w:sz w:val="16"/>
                <w:szCs w:val="16"/>
              </w:rPr>
              <w:t>’</w:t>
            </w:r>
            <w:r w:rsidRPr="00102AA6">
              <w:rPr>
                <w:sz w:val="16"/>
                <w:szCs w:val="16"/>
              </w:rPr>
              <w:t>États membres et d</w:t>
            </w:r>
            <w:r>
              <w:rPr>
                <w:sz w:val="16"/>
                <w:szCs w:val="16"/>
              </w:rPr>
              <w:t>’</w:t>
            </w:r>
            <w:r w:rsidRPr="00102AA6">
              <w:rPr>
                <w:sz w:val="16"/>
                <w:szCs w:val="16"/>
              </w:rPr>
              <w:t>organisations régionales ayant donné un retour d</w:t>
            </w:r>
            <w:r>
              <w:rPr>
                <w:sz w:val="16"/>
                <w:szCs w:val="16"/>
              </w:rPr>
              <w:t>’</w:t>
            </w:r>
            <w:r w:rsidRPr="00102AA6">
              <w:rPr>
                <w:sz w:val="16"/>
                <w:szCs w:val="16"/>
              </w:rPr>
              <w:t xml:space="preserve">information positif sur les conseils législatifs fournis dans le domaine des marques, des dessins et modèles industriels et des indications géographiques </w:t>
            </w:r>
          </w:p>
        </w:tc>
        <w:tc>
          <w:tcPr>
            <w:tcW w:w="2458" w:type="dxa"/>
            <w:hideMark/>
          </w:tcPr>
          <w:p w14:paraId="26118712"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2</w:t>
            </w:r>
          </w:p>
        </w:tc>
      </w:tr>
      <w:tr w:rsidR="00DF040C" w:rsidRPr="00102AA6" w14:paraId="1E094425" w14:textId="77777777" w:rsidTr="00DF040C">
        <w:trPr>
          <w:cantSplit/>
        </w:trPr>
        <w:tc>
          <w:tcPr>
            <w:tcW w:w="2861" w:type="dxa"/>
            <w:hideMark/>
          </w:tcPr>
          <w:p w14:paraId="48AFDBAC" w14:textId="77777777" w:rsidR="00DF040C" w:rsidRPr="00102AA6" w:rsidRDefault="00DF040C" w:rsidP="00986700">
            <w:pPr>
              <w:rPr>
                <w:sz w:val="16"/>
                <w:szCs w:val="16"/>
              </w:rPr>
            </w:pPr>
          </w:p>
        </w:tc>
        <w:tc>
          <w:tcPr>
            <w:tcW w:w="3895" w:type="dxa"/>
            <w:hideMark/>
          </w:tcPr>
          <w:p w14:paraId="1D8B3CF6" w14:textId="77777777" w:rsidR="00DF040C" w:rsidRPr="00102AA6" w:rsidRDefault="00DF040C" w:rsidP="00986700">
            <w:pPr>
              <w:rPr>
                <w:sz w:val="16"/>
                <w:szCs w:val="16"/>
              </w:rPr>
            </w:pPr>
            <w:r w:rsidRPr="00102AA6">
              <w:rPr>
                <w:sz w:val="16"/>
                <w:szCs w:val="16"/>
              </w:rPr>
              <w:t>Pourcentage de pays ayant donné un retour d</w:t>
            </w:r>
            <w:r>
              <w:rPr>
                <w:sz w:val="16"/>
                <w:szCs w:val="16"/>
              </w:rPr>
              <w:t>’</w:t>
            </w:r>
            <w:r w:rsidRPr="00102AA6">
              <w:rPr>
                <w:sz w:val="16"/>
                <w:szCs w:val="16"/>
              </w:rPr>
              <w:t>information positif sur les conseils législatifs fournis par l</w:t>
            </w:r>
            <w:r>
              <w:rPr>
                <w:sz w:val="16"/>
                <w:szCs w:val="16"/>
              </w:rPr>
              <w:t>’</w:t>
            </w:r>
            <w:r w:rsidRPr="00102AA6">
              <w:rPr>
                <w:sz w:val="16"/>
                <w:szCs w:val="16"/>
              </w:rPr>
              <w:t xml:space="preserve">OMPI </w:t>
            </w:r>
          </w:p>
        </w:tc>
        <w:tc>
          <w:tcPr>
            <w:tcW w:w="2458" w:type="dxa"/>
            <w:hideMark/>
          </w:tcPr>
          <w:p w14:paraId="01AE7D4A"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3</w:t>
            </w:r>
          </w:p>
        </w:tc>
      </w:tr>
      <w:tr w:rsidR="00DF040C" w:rsidRPr="00102AA6" w14:paraId="1E2EAFE6" w14:textId="77777777" w:rsidTr="00DF040C">
        <w:trPr>
          <w:cantSplit/>
        </w:trPr>
        <w:tc>
          <w:tcPr>
            <w:tcW w:w="2861" w:type="dxa"/>
            <w:hideMark/>
          </w:tcPr>
          <w:p w14:paraId="64880520" w14:textId="77777777" w:rsidR="00DF040C" w:rsidRPr="00102AA6" w:rsidRDefault="00DF040C" w:rsidP="00986700">
            <w:pPr>
              <w:rPr>
                <w:sz w:val="16"/>
                <w:szCs w:val="16"/>
              </w:rPr>
            </w:pPr>
          </w:p>
        </w:tc>
        <w:tc>
          <w:tcPr>
            <w:tcW w:w="3895" w:type="dxa"/>
            <w:hideMark/>
          </w:tcPr>
          <w:p w14:paraId="51398A9E" w14:textId="77777777" w:rsidR="00DF040C" w:rsidRPr="00102AA6" w:rsidRDefault="00DF040C" w:rsidP="00986700">
            <w:pPr>
              <w:rPr>
                <w:sz w:val="16"/>
                <w:szCs w:val="16"/>
              </w:rPr>
            </w:pPr>
            <w:r w:rsidRPr="00102AA6">
              <w:rPr>
                <w:sz w:val="16"/>
                <w:szCs w:val="16"/>
              </w:rPr>
              <w:t>Nombre de pays ayant ratifié le Traité de l</w:t>
            </w:r>
            <w:r>
              <w:rPr>
                <w:sz w:val="16"/>
                <w:szCs w:val="16"/>
              </w:rPr>
              <w:t>’</w:t>
            </w:r>
            <w:r w:rsidRPr="00102AA6">
              <w:rPr>
                <w:sz w:val="16"/>
                <w:szCs w:val="16"/>
              </w:rPr>
              <w:t>OMPI sur le droit d</w:t>
            </w:r>
            <w:r>
              <w:rPr>
                <w:sz w:val="16"/>
                <w:szCs w:val="16"/>
              </w:rPr>
              <w:t>’</w:t>
            </w:r>
            <w:r w:rsidRPr="00102AA6">
              <w:rPr>
                <w:sz w:val="16"/>
                <w:szCs w:val="16"/>
              </w:rPr>
              <w:t>auteur (WCT), le Traité de l</w:t>
            </w:r>
            <w:r>
              <w:rPr>
                <w:sz w:val="16"/>
                <w:szCs w:val="16"/>
              </w:rPr>
              <w:t>’</w:t>
            </w:r>
            <w:r w:rsidRPr="00102AA6">
              <w:rPr>
                <w:sz w:val="16"/>
                <w:szCs w:val="16"/>
              </w:rPr>
              <w:t>OMPI sur les interprétations et exécutions et les phonogrammes (WPPT), le Traité de Beijing et le Traité de Marrakech ou y ayant adhéré</w:t>
            </w:r>
          </w:p>
        </w:tc>
        <w:tc>
          <w:tcPr>
            <w:tcW w:w="2458" w:type="dxa"/>
            <w:hideMark/>
          </w:tcPr>
          <w:p w14:paraId="5FFA222C" w14:textId="77777777" w:rsidR="00DF040C"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3</w:t>
            </w:r>
          </w:p>
          <w:p w14:paraId="2787C21E" w14:textId="50F1A0CF" w:rsidR="008771A6" w:rsidRPr="00102AA6" w:rsidRDefault="008771A6" w:rsidP="00986700">
            <w:pPr>
              <w:jc w:val="center"/>
              <w:rPr>
                <w:sz w:val="16"/>
                <w:szCs w:val="16"/>
                <w:lang w:bidi="th-TH"/>
              </w:rPr>
            </w:pPr>
            <w:r>
              <w:rPr>
                <w:sz w:val="16"/>
                <w:szCs w:val="16"/>
                <w:lang w:bidi="th-TH"/>
              </w:rPr>
              <w:t>Programme 20</w:t>
            </w:r>
          </w:p>
        </w:tc>
      </w:tr>
      <w:tr w:rsidR="00DF040C" w:rsidRPr="00102AA6" w14:paraId="7F5141CC" w14:textId="77777777" w:rsidTr="00DF040C">
        <w:trPr>
          <w:cantSplit/>
        </w:trPr>
        <w:tc>
          <w:tcPr>
            <w:tcW w:w="2861" w:type="dxa"/>
            <w:hideMark/>
          </w:tcPr>
          <w:p w14:paraId="001ECA79" w14:textId="77777777" w:rsidR="00DF040C" w:rsidRPr="00102AA6" w:rsidRDefault="00DF040C" w:rsidP="00986700">
            <w:pPr>
              <w:rPr>
                <w:sz w:val="16"/>
                <w:szCs w:val="16"/>
              </w:rPr>
            </w:pPr>
          </w:p>
        </w:tc>
        <w:tc>
          <w:tcPr>
            <w:tcW w:w="3895" w:type="dxa"/>
            <w:hideMark/>
          </w:tcPr>
          <w:p w14:paraId="384A351C" w14:textId="77777777" w:rsidR="00DF040C" w:rsidRPr="00102AA6" w:rsidRDefault="00DF040C" w:rsidP="00986700">
            <w:pPr>
              <w:rPr>
                <w:sz w:val="16"/>
                <w:szCs w:val="16"/>
              </w:rPr>
            </w:pPr>
            <w:r w:rsidRPr="00102AA6">
              <w:rPr>
                <w:sz w:val="16"/>
                <w:szCs w:val="16"/>
              </w:rPr>
              <w:t>Nombre ou pourcentage de pays ayant donné un retour d</w:t>
            </w:r>
            <w:r>
              <w:rPr>
                <w:sz w:val="16"/>
                <w:szCs w:val="16"/>
              </w:rPr>
              <w:t>’</w:t>
            </w:r>
            <w:r w:rsidRPr="00102AA6">
              <w:rPr>
                <w:sz w:val="16"/>
                <w:szCs w:val="16"/>
              </w:rPr>
              <w:t>information positif sur les conseils fournis par l</w:t>
            </w:r>
            <w:r>
              <w:rPr>
                <w:sz w:val="16"/>
                <w:szCs w:val="16"/>
              </w:rPr>
              <w:t>’</w:t>
            </w:r>
            <w:r w:rsidRPr="00102AA6">
              <w:rPr>
                <w:sz w:val="16"/>
                <w:szCs w:val="16"/>
              </w:rPr>
              <w:t>OMPI dans le domaine législatif</w:t>
            </w:r>
          </w:p>
        </w:tc>
        <w:tc>
          <w:tcPr>
            <w:tcW w:w="2458" w:type="dxa"/>
            <w:hideMark/>
          </w:tcPr>
          <w:p w14:paraId="11E45302"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9</w:t>
            </w:r>
          </w:p>
        </w:tc>
      </w:tr>
      <w:tr w:rsidR="00DF040C" w:rsidRPr="00102AA6" w14:paraId="382F2DE8" w14:textId="77777777" w:rsidTr="00DF040C">
        <w:trPr>
          <w:cantSplit/>
        </w:trPr>
        <w:tc>
          <w:tcPr>
            <w:tcW w:w="2861" w:type="dxa"/>
            <w:hideMark/>
          </w:tcPr>
          <w:p w14:paraId="6B5639A6" w14:textId="77777777" w:rsidR="00DF040C" w:rsidRPr="00102AA6" w:rsidRDefault="00DF040C" w:rsidP="00986700">
            <w:pPr>
              <w:rPr>
                <w:sz w:val="16"/>
                <w:szCs w:val="16"/>
              </w:rPr>
            </w:pPr>
          </w:p>
        </w:tc>
        <w:tc>
          <w:tcPr>
            <w:tcW w:w="3895" w:type="dxa"/>
            <w:hideMark/>
          </w:tcPr>
          <w:p w14:paraId="65EE8FF6" w14:textId="77777777" w:rsidR="00DF040C" w:rsidRPr="00102AA6" w:rsidRDefault="00DF040C" w:rsidP="00986700">
            <w:pPr>
              <w:rPr>
                <w:sz w:val="16"/>
                <w:szCs w:val="16"/>
              </w:rPr>
            </w:pPr>
            <w:r w:rsidRPr="00102AA6">
              <w:rPr>
                <w:sz w:val="16"/>
                <w:szCs w:val="16"/>
              </w:rPr>
              <w:t>Nombre de pays en transition ayant actualisé leurs lois et réglementations</w:t>
            </w:r>
          </w:p>
        </w:tc>
        <w:tc>
          <w:tcPr>
            <w:tcW w:w="2458" w:type="dxa"/>
            <w:hideMark/>
          </w:tcPr>
          <w:p w14:paraId="0C15B78C"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10</w:t>
            </w:r>
          </w:p>
        </w:tc>
      </w:tr>
      <w:tr w:rsidR="00DF040C" w:rsidRPr="00102AA6" w14:paraId="7289F96A" w14:textId="77777777" w:rsidTr="00DF040C">
        <w:trPr>
          <w:cantSplit/>
        </w:trPr>
        <w:tc>
          <w:tcPr>
            <w:tcW w:w="2861" w:type="dxa"/>
            <w:hideMark/>
          </w:tcPr>
          <w:p w14:paraId="0500F207" w14:textId="77777777" w:rsidR="00DF040C" w:rsidRPr="00102AA6" w:rsidRDefault="00DF040C" w:rsidP="00986700">
            <w:pPr>
              <w:rPr>
                <w:sz w:val="16"/>
                <w:szCs w:val="16"/>
              </w:rPr>
            </w:pPr>
          </w:p>
        </w:tc>
        <w:tc>
          <w:tcPr>
            <w:tcW w:w="3895" w:type="dxa"/>
            <w:hideMark/>
          </w:tcPr>
          <w:p w14:paraId="1051BABB" w14:textId="77777777" w:rsidR="00DF040C" w:rsidRPr="00102AA6" w:rsidRDefault="00DF040C" w:rsidP="00986700">
            <w:pPr>
              <w:rPr>
                <w:sz w:val="16"/>
                <w:szCs w:val="16"/>
              </w:rPr>
            </w:pPr>
            <w:r w:rsidRPr="00102AA6">
              <w:rPr>
                <w:sz w:val="16"/>
                <w:szCs w:val="16"/>
              </w:rPr>
              <w:t>Nombre de pays ou d</w:t>
            </w:r>
            <w:r>
              <w:rPr>
                <w:sz w:val="16"/>
                <w:szCs w:val="16"/>
              </w:rPr>
              <w:t>’</w:t>
            </w:r>
            <w:r w:rsidRPr="00102AA6">
              <w:rPr>
                <w:sz w:val="16"/>
                <w:szCs w:val="16"/>
              </w:rPr>
              <w:t>organisations régionales ayant adopté ou modifié leurs cadres de référence aux fins de l</w:t>
            </w:r>
            <w:r>
              <w:rPr>
                <w:sz w:val="16"/>
                <w:szCs w:val="16"/>
              </w:rPr>
              <w:t>’</w:t>
            </w:r>
            <w:r w:rsidRPr="00102AA6">
              <w:rPr>
                <w:sz w:val="16"/>
                <w:szCs w:val="16"/>
              </w:rPr>
              <w:t>application effective des droits de propriété intellectuelle au regard du titre III de l</w:t>
            </w:r>
            <w:r>
              <w:rPr>
                <w:sz w:val="16"/>
                <w:szCs w:val="16"/>
              </w:rPr>
              <w:t>’</w:t>
            </w:r>
            <w:r w:rsidRPr="00102AA6">
              <w:rPr>
                <w:sz w:val="16"/>
                <w:szCs w:val="16"/>
              </w:rPr>
              <w:t>Accord sur les ADPIC et de la recommandation n° 45 du Plan d</w:t>
            </w:r>
            <w:r>
              <w:rPr>
                <w:sz w:val="16"/>
                <w:szCs w:val="16"/>
              </w:rPr>
              <w:t>’</w:t>
            </w:r>
            <w:r w:rsidRPr="00102AA6">
              <w:rPr>
                <w:sz w:val="16"/>
                <w:szCs w:val="16"/>
              </w:rPr>
              <w:t>action pour le développement, ou s</w:t>
            </w:r>
            <w:r>
              <w:rPr>
                <w:sz w:val="16"/>
                <w:szCs w:val="16"/>
              </w:rPr>
              <w:t>’</w:t>
            </w:r>
            <w:r w:rsidRPr="00102AA6">
              <w:rPr>
                <w:sz w:val="16"/>
                <w:szCs w:val="16"/>
              </w:rPr>
              <w:t>apprêtant à le faire, suite à l</w:t>
            </w:r>
            <w:r>
              <w:rPr>
                <w:sz w:val="16"/>
                <w:szCs w:val="16"/>
              </w:rPr>
              <w:t>’</w:t>
            </w:r>
            <w:r w:rsidRPr="00102AA6">
              <w:rPr>
                <w:sz w:val="16"/>
                <w:szCs w:val="16"/>
              </w:rPr>
              <w:t>assistance fournie par l</w:t>
            </w:r>
            <w:r>
              <w:rPr>
                <w:sz w:val="16"/>
                <w:szCs w:val="16"/>
              </w:rPr>
              <w:t>’</w:t>
            </w:r>
            <w:r w:rsidRPr="00102AA6">
              <w:rPr>
                <w:sz w:val="16"/>
                <w:szCs w:val="16"/>
              </w:rPr>
              <w:t>OMPI</w:t>
            </w:r>
          </w:p>
        </w:tc>
        <w:tc>
          <w:tcPr>
            <w:tcW w:w="2458" w:type="dxa"/>
            <w:hideMark/>
          </w:tcPr>
          <w:p w14:paraId="2A7556A6" w14:textId="77777777" w:rsidR="00DF040C" w:rsidRPr="00102AA6" w:rsidRDefault="00DF040C" w:rsidP="00986700">
            <w:pPr>
              <w:jc w:val="center"/>
              <w:rPr>
                <w:sz w:val="16"/>
                <w:szCs w:val="16"/>
                <w:lang w:bidi="th-TH"/>
              </w:rPr>
            </w:pPr>
            <w:r w:rsidRPr="00102AA6">
              <w:rPr>
                <w:sz w:val="16"/>
                <w:szCs w:val="16"/>
                <w:lang w:bidi="th-TH"/>
              </w:rPr>
              <w:t>Programme 17</w:t>
            </w:r>
          </w:p>
        </w:tc>
      </w:tr>
      <w:tr w:rsidR="00DF040C" w:rsidRPr="00102AA6" w14:paraId="13E37F12" w14:textId="77777777" w:rsidTr="00DF040C">
        <w:trPr>
          <w:cantSplit/>
        </w:trPr>
        <w:tc>
          <w:tcPr>
            <w:tcW w:w="2861" w:type="dxa"/>
            <w:hideMark/>
          </w:tcPr>
          <w:p w14:paraId="323252EA" w14:textId="77777777" w:rsidR="00DF040C" w:rsidRPr="00102AA6" w:rsidRDefault="00DF040C" w:rsidP="00986700">
            <w:pPr>
              <w:rPr>
                <w:sz w:val="16"/>
                <w:szCs w:val="16"/>
              </w:rPr>
            </w:pPr>
          </w:p>
        </w:tc>
        <w:tc>
          <w:tcPr>
            <w:tcW w:w="3895" w:type="dxa"/>
            <w:hideMark/>
          </w:tcPr>
          <w:p w14:paraId="4FA3BB24" w14:textId="77777777" w:rsidR="00DF040C" w:rsidRPr="00102AA6" w:rsidRDefault="00DF040C" w:rsidP="00986700">
            <w:pPr>
              <w:rPr>
                <w:sz w:val="16"/>
                <w:szCs w:val="16"/>
              </w:rPr>
            </w:pPr>
            <w:r w:rsidRPr="00102AA6">
              <w:rPr>
                <w:sz w:val="16"/>
                <w:szCs w:val="16"/>
              </w:rPr>
              <w:t>Nombre de pays demandant à l</w:t>
            </w:r>
            <w:r>
              <w:rPr>
                <w:sz w:val="16"/>
                <w:szCs w:val="16"/>
              </w:rPr>
              <w:t>’</w:t>
            </w:r>
            <w:r w:rsidRPr="00102AA6">
              <w:rPr>
                <w:sz w:val="16"/>
                <w:szCs w:val="16"/>
              </w:rPr>
              <w:t>OMPI une contribution dans le domaine de la propriété intellectuelle en rapport avec des questions relatives à la politique en matière de concurrence</w:t>
            </w:r>
          </w:p>
        </w:tc>
        <w:tc>
          <w:tcPr>
            <w:tcW w:w="2458" w:type="dxa"/>
            <w:hideMark/>
          </w:tcPr>
          <w:p w14:paraId="574F2FA4"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18</w:t>
            </w:r>
          </w:p>
        </w:tc>
      </w:tr>
      <w:tr w:rsidR="00DF040C" w:rsidRPr="00102AA6" w14:paraId="394C0E69" w14:textId="77777777" w:rsidTr="00DF040C">
        <w:trPr>
          <w:cantSplit/>
        </w:trPr>
        <w:tc>
          <w:tcPr>
            <w:tcW w:w="2861" w:type="dxa"/>
            <w:hideMark/>
          </w:tcPr>
          <w:p w14:paraId="198E9CE0" w14:textId="77777777" w:rsidR="00DF040C" w:rsidRPr="00102AA6" w:rsidRDefault="00DF040C" w:rsidP="00986700">
            <w:pPr>
              <w:rPr>
                <w:sz w:val="16"/>
                <w:szCs w:val="16"/>
              </w:rPr>
            </w:pPr>
          </w:p>
        </w:tc>
        <w:tc>
          <w:tcPr>
            <w:tcW w:w="3895" w:type="dxa"/>
            <w:hideMark/>
          </w:tcPr>
          <w:p w14:paraId="0F24EDDB" w14:textId="77777777" w:rsidR="00DF040C" w:rsidRPr="00102AA6" w:rsidRDefault="00DF040C" w:rsidP="00986700">
            <w:pPr>
              <w:rPr>
                <w:sz w:val="16"/>
                <w:szCs w:val="16"/>
              </w:rPr>
            </w:pPr>
            <w:r w:rsidRPr="00102AA6">
              <w:rPr>
                <w:sz w:val="16"/>
                <w:szCs w:val="16"/>
              </w:rPr>
              <w:t>Nombre de ratifications du Traité de Singapour ou d</w:t>
            </w:r>
            <w:r>
              <w:rPr>
                <w:sz w:val="16"/>
                <w:szCs w:val="16"/>
              </w:rPr>
              <w:t>’</w:t>
            </w:r>
            <w:r w:rsidRPr="00102AA6">
              <w:rPr>
                <w:sz w:val="16"/>
                <w:szCs w:val="16"/>
              </w:rPr>
              <w:t>adhésions à ce traité</w:t>
            </w:r>
          </w:p>
        </w:tc>
        <w:tc>
          <w:tcPr>
            <w:tcW w:w="2458" w:type="dxa"/>
            <w:hideMark/>
          </w:tcPr>
          <w:p w14:paraId="149D4509" w14:textId="77777777" w:rsidR="00DF040C"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2</w:t>
            </w:r>
          </w:p>
          <w:p w14:paraId="16C5B20B" w14:textId="56C63E38" w:rsidR="008771A6" w:rsidRPr="00102AA6" w:rsidRDefault="008771A6" w:rsidP="00986700">
            <w:pPr>
              <w:jc w:val="center"/>
              <w:rPr>
                <w:sz w:val="16"/>
                <w:szCs w:val="16"/>
                <w:lang w:bidi="th-TH"/>
              </w:rPr>
            </w:pPr>
            <w:r>
              <w:rPr>
                <w:sz w:val="16"/>
                <w:szCs w:val="16"/>
                <w:lang w:bidi="th-TH"/>
              </w:rPr>
              <w:t>Programme 20</w:t>
            </w:r>
          </w:p>
        </w:tc>
      </w:tr>
      <w:tr w:rsidR="00DF040C" w:rsidRPr="00102AA6" w14:paraId="4823A75B" w14:textId="77777777" w:rsidTr="00DF040C">
        <w:trPr>
          <w:cantSplit/>
        </w:trPr>
        <w:tc>
          <w:tcPr>
            <w:tcW w:w="2861" w:type="dxa"/>
          </w:tcPr>
          <w:p w14:paraId="35D1B7C0" w14:textId="77777777" w:rsidR="00DF040C" w:rsidRPr="00102AA6" w:rsidRDefault="00DF040C" w:rsidP="00986700">
            <w:pPr>
              <w:rPr>
                <w:sz w:val="16"/>
                <w:szCs w:val="16"/>
              </w:rPr>
            </w:pPr>
          </w:p>
        </w:tc>
        <w:tc>
          <w:tcPr>
            <w:tcW w:w="3895" w:type="dxa"/>
          </w:tcPr>
          <w:p w14:paraId="4982FFEA" w14:textId="77777777" w:rsidR="00DF040C" w:rsidRPr="00102AA6" w:rsidRDefault="00DF040C" w:rsidP="00986700">
            <w:pPr>
              <w:rPr>
                <w:sz w:val="16"/>
                <w:szCs w:val="16"/>
              </w:rPr>
            </w:pPr>
            <w:r w:rsidRPr="00102AA6">
              <w:rPr>
                <w:sz w:val="16"/>
                <w:szCs w:val="16"/>
              </w:rPr>
              <w:t>Nombre de ratifications de traités administrés par l</w:t>
            </w:r>
            <w:r>
              <w:rPr>
                <w:sz w:val="16"/>
                <w:szCs w:val="16"/>
              </w:rPr>
              <w:t>’</w:t>
            </w:r>
            <w:r w:rsidRPr="00102AA6">
              <w:rPr>
                <w:sz w:val="16"/>
                <w:szCs w:val="16"/>
              </w:rPr>
              <w:t>OMPI</w:t>
            </w:r>
          </w:p>
        </w:tc>
        <w:tc>
          <w:tcPr>
            <w:tcW w:w="2458" w:type="dxa"/>
          </w:tcPr>
          <w:p w14:paraId="41A09291"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10</w:t>
            </w:r>
          </w:p>
        </w:tc>
      </w:tr>
      <w:tr w:rsidR="00DF040C" w:rsidRPr="00102AA6" w14:paraId="5AD31A01" w14:textId="77777777" w:rsidTr="00DF040C">
        <w:trPr>
          <w:cantSplit/>
        </w:trPr>
        <w:tc>
          <w:tcPr>
            <w:tcW w:w="2861" w:type="dxa"/>
          </w:tcPr>
          <w:p w14:paraId="1AD8305E" w14:textId="77777777" w:rsidR="00DF040C" w:rsidRPr="00102AA6" w:rsidRDefault="00DF040C" w:rsidP="00986700">
            <w:pPr>
              <w:rPr>
                <w:sz w:val="16"/>
                <w:szCs w:val="16"/>
              </w:rPr>
            </w:pPr>
          </w:p>
        </w:tc>
        <w:tc>
          <w:tcPr>
            <w:tcW w:w="3895" w:type="dxa"/>
          </w:tcPr>
          <w:p w14:paraId="72C4459C" w14:textId="77777777" w:rsidR="00DF040C" w:rsidRPr="00102AA6" w:rsidRDefault="00DF040C" w:rsidP="00986700">
            <w:pPr>
              <w:rPr>
                <w:rFonts w:eastAsia="MS Mincho" w:cs="Courier New"/>
                <w:sz w:val="16"/>
                <w:szCs w:val="16"/>
                <w:lang w:bidi="th-TH"/>
              </w:rPr>
            </w:pPr>
            <w:r w:rsidRPr="00102AA6">
              <w:rPr>
                <w:rFonts w:eastAsia="MS Mincho" w:cs="Courier New"/>
                <w:sz w:val="16"/>
                <w:szCs w:val="16"/>
                <w:lang w:bidi="th-TH"/>
              </w:rPr>
              <w:t>Pourcentage des participants à des activités de formation et de renforcement des capacités relatives à la propriété intellectuelle et à la politique en matière de concurrence qui mettent en application leurs nouvelles connaissances et leurs compétences améliorées dans le cadre de leurs activités professionnelles</w:t>
            </w:r>
          </w:p>
        </w:tc>
        <w:tc>
          <w:tcPr>
            <w:tcW w:w="2458" w:type="dxa"/>
          </w:tcPr>
          <w:p w14:paraId="6EAF6C1A"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18</w:t>
            </w:r>
          </w:p>
        </w:tc>
      </w:tr>
      <w:tr w:rsidR="00DF040C" w:rsidRPr="00102AA6" w14:paraId="303311DD" w14:textId="77777777" w:rsidTr="00DF040C">
        <w:trPr>
          <w:cantSplit/>
        </w:trPr>
        <w:tc>
          <w:tcPr>
            <w:tcW w:w="2861" w:type="dxa"/>
            <w:hideMark/>
          </w:tcPr>
          <w:p w14:paraId="6F997C3D" w14:textId="77777777" w:rsidR="00DF040C" w:rsidRPr="00102AA6" w:rsidRDefault="00DF040C" w:rsidP="00986700">
            <w:pPr>
              <w:rPr>
                <w:sz w:val="16"/>
                <w:szCs w:val="16"/>
              </w:rPr>
            </w:pPr>
            <w:r w:rsidRPr="00102AA6">
              <w:rPr>
                <w:sz w:val="16"/>
                <w:szCs w:val="16"/>
              </w:rPr>
              <w:t>I.3 Renforcement de la sécurité et de la sûreté concernant la protection des emblèmes d</w:t>
            </w:r>
            <w:r>
              <w:rPr>
                <w:sz w:val="16"/>
                <w:szCs w:val="16"/>
              </w:rPr>
              <w:t>’</w:t>
            </w:r>
            <w:r w:rsidRPr="00102AA6">
              <w:rPr>
                <w:sz w:val="16"/>
                <w:szCs w:val="16"/>
              </w:rPr>
              <w:t>États et des noms et emblèmes d</w:t>
            </w:r>
            <w:r>
              <w:rPr>
                <w:sz w:val="16"/>
                <w:szCs w:val="16"/>
              </w:rPr>
              <w:t>’</w:t>
            </w:r>
            <w:r w:rsidRPr="00102AA6">
              <w:rPr>
                <w:sz w:val="16"/>
                <w:szCs w:val="16"/>
              </w:rPr>
              <w:t>organisations internationales intergouvernementales</w:t>
            </w:r>
          </w:p>
        </w:tc>
        <w:tc>
          <w:tcPr>
            <w:tcW w:w="3895" w:type="dxa"/>
            <w:hideMark/>
          </w:tcPr>
          <w:p w14:paraId="6E40353B" w14:textId="77777777" w:rsidR="00DF040C" w:rsidRPr="00102AA6" w:rsidRDefault="00DF040C" w:rsidP="00986700">
            <w:pPr>
              <w:rPr>
                <w:sz w:val="16"/>
                <w:szCs w:val="16"/>
              </w:rPr>
            </w:pPr>
            <w:r w:rsidRPr="00102AA6">
              <w:rPr>
                <w:sz w:val="16"/>
                <w:szCs w:val="16"/>
              </w:rPr>
              <w:t>Nombre de signes contenus dans la base de données sur l</w:t>
            </w:r>
            <w:r>
              <w:rPr>
                <w:sz w:val="16"/>
                <w:szCs w:val="16"/>
              </w:rPr>
              <w:t>’</w:t>
            </w:r>
            <w:r w:rsidRPr="00102AA6">
              <w:rPr>
                <w:sz w:val="16"/>
                <w:szCs w:val="16"/>
              </w:rPr>
              <w:t>article 6</w:t>
            </w:r>
            <w:r w:rsidRPr="00102AA6">
              <w:rPr>
                <w:i/>
                <w:sz w:val="16"/>
                <w:szCs w:val="16"/>
              </w:rPr>
              <w:t>ter</w:t>
            </w:r>
          </w:p>
        </w:tc>
        <w:tc>
          <w:tcPr>
            <w:tcW w:w="2458" w:type="dxa"/>
            <w:hideMark/>
          </w:tcPr>
          <w:p w14:paraId="3047090D"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2</w:t>
            </w:r>
          </w:p>
        </w:tc>
      </w:tr>
      <w:tr w:rsidR="00DF040C" w:rsidRPr="00102AA6" w14:paraId="1A99F2BD" w14:textId="77777777" w:rsidTr="00DF040C">
        <w:trPr>
          <w:cantSplit/>
        </w:trPr>
        <w:tc>
          <w:tcPr>
            <w:tcW w:w="2861" w:type="dxa"/>
          </w:tcPr>
          <w:p w14:paraId="32411278" w14:textId="77777777" w:rsidR="00DF040C" w:rsidRPr="00102AA6" w:rsidRDefault="00DF040C" w:rsidP="00986700">
            <w:pPr>
              <w:rPr>
                <w:sz w:val="16"/>
                <w:szCs w:val="16"/>
              </w:rPr>
            </w:pPr>
            <w:r w:rsidRPr="00102AA6">
              <w:rPr>
                <w:sz w:val="16"/>
                <w:szCs w:val="16"/>
              </w:rPr>
              <w:t>I.4 Intérêt croissant pour l</w:t>
            </w:r>
            <w:r>
              <w:rPr>
                <w:sz w:val="16"/>
                <w:szCs w:val="16"/>
              </w:rPr>
              <w:t>’</w:t>
            </w:r>
            <w:r w:rsidRPr="00102AA6">
              <w:rPr>
                <w:sz w:val="16"/>
                <w:szCs w:val="16"/>
              </w:rPr>
              <w:t>OMPI en tant qu</w:t>
            </w:r>
            <w:r>
              <w:rPr>
                <w:sz w:val="16"/>
                <w:szCs w:val="16"/>
              </w:rPr>
              <w:t>’</w:t>
            </w:r>
            <w:r w:rsidRPr="00102AA6">
              <w:rPr>
                <w:sz w:val="16"/>
                <w:szCs w:val="16"/>
              </w:rPr>
              <w:t>instance d</w:t>
            </w:r>
            <w:r>
              <w:rPr>
                <w:sz w:val="16"/>
                <w:szCs w:val="16"/>
              </w:rPr>
              <w:t>’</w:t>
            </w:r>
            <w:r w:rsidRPr="00102AA6">
              <w:rPr>
                <w:sz w:val="16"/>
                <w:szCs w:val="16"/>
              </w:rPr>
              <w:t>analyse des questions relatives à la protection internationale des brevets, modèles d</w:t>
            </w:r>
            <w:r>
              <w:rPr>
                <w:sz w:val="16"/>
                <w:szCs w:val="16"/>
              </w:rPr>
              <w:t>’</w:t>
            </w:r>
            <w:r w:rsidRPr="00102AA6">
              <w:rPr>
                <w:sz w:val="16"/>
                <w:szCs w:val="16"/>
              </w:rPr>
              <w:t>utilité, schémas de configuration (topographies) de circuits intégrés et informations confidentielles</w:t>
            </w:r>
          </w:p>
        </w:tc>
        <w:tc>
          <w:tcPr>
            <w:tcW w:w="3895" w:type="dxa"/>
          </w:tcPr>
          <w:p w14:paraId="056E4E81" w14:textId="77777777" w:rsidR="00DF040C" w:rsidRPr="00102AA6" w:rsidRDefault="00DF040C" w:rsidP="00986700">
            <w:pPr>
              <w:rPr>
                <w:sz w:val="16"/>
                <w:szCs w:val="16"/>
              </w:rPr>
            </w:pPr>
            <w:r w:rsidRPr="00102AA6">
              <w:rPr>
                <w:sz w:val="16"/>
                <w:szCs w:val="16"/>
              </w:rPr>
              <w:t>Pourcentage de bénéficiaires ayant trouvé utiles les informations fournies concernant les principes et les pratiques juridiques relatifs à la protection des brevets, modèles d</w:t>
            </w:r>
            <w:r>
              <w:rPr>
                <w:sz w:val="16"/>
                <w:szCs w:val="16"/>
              </w:rPr>
              <w:t>’</w:t>
            </w:r>
            <w:r w:rsidRPr="00102AA6">
              <w:rPr>
                <w:sz w:val="16"/>
                <w:szCs w:val="16"/>
              </w:rPr>
              <w:t>utilité, schémas de configuration (topographies) de circuits intégrés et renseignements confidentiels</w:t>
            </w:r>
          </w:p>
        </w:tc>
        <w:tc>
          <w:tcPr>
            <w:tcW w:w="2458" w:type="dxa"/>
          </w:tcPr>
          <w:p w14:paraId="73C65439" w14:textId="77777777" w:rsidR="00DF040C" w:rsidRPr="00102AA6" w:rsidRDefault="00DF040C" w:rsidP="00986700">
            <w:pPr>
              <w:jc w:val="center"/>
              <w:rPr>
                <w:sz w:val="16"/>
                <w:szCs w:val="16"/>
                <w:lang w:bidi="th-TH"/>
              </w:rPr>
            </w:pPr>
            <w:r w:rsidRPr="00102AA6">
              <w:rPr>
                <w:sz w:val="16"/>
                <w:szCs w:val="16"/>
                <w:lang w:bidi="th-TH"/>
              </w:rPr>
              <w:t>Programme</w:t>
            </w:r>
            <w:r>
              <w:rPr>
                <w:sz w:val="16"/>
                <w:szCs w:val="16"/>
                <w:lang w:bidi="th-TH"/>
              </w:rPr>
              <w:t> </w:t>
            </w:r>
            <w:r w:rsidRPr="00102AA6">
              <w:rPr>
                <w:sz w:val="16"/>
                <w:szCs w:val="16"/>
                <w:lang w:bidi="th-TH"/>
              </w:rPr>
              <w:t>1</w:t>
            </w:r>
          </w:p>
        </w:tc>
      </w:tr>
    </w:tbl>
    <w:p w14:paraId="1F020305" w14:textId="77777777" w:rsidR="00DF040C" w:rsidRPr="00102AA6" w:rsidRDefault="00DF040C" w:rsidP="00986700">
      <w:pPr>
        <w:rPr>
          <w:sz w:val="16"/>
          <w:szCs w:val="16"/>
        </w:rPr>
      </w:pPr>
    </w:p>
    <w:p w14:paraId="7D151951" w14:textId="77777777" w:rsidR="00DF040C" w:rsidRDefault="00DF040C" w:rsidP="00986700">
      <w:pPr>
        <w:rPr>
          <w:b/>
          <w:caps/>
          <w:sz w:val="22"/>
        </w:rPr>
      </w:pPr>
      <w:r>
        <w:br w:type="page"/>
      </w:r>
    </w:p>
    <w:p w14:paraId="09E4B32F" w14:textId="5946681D" w:rsidR="00F32CE7" w:rsidRPr="0060494B" w:rsidRDefault="0060494B" w:rsidP="00986700">
      <w:pPr>
        <w:pStyle w:val="Heading2"/>
      </w:pPr>
      <w:bookmarkStart w:id="24" w:name="_Toc482979472"/>
      <w:r w:rsidRPr="0060494B">
        <w:rPr>
          <w:rFonts w:hint="eastAsia"/>
        </w:rPr>
        <w:lastRenderedPageBreak/>
        <w:t xml:space="preserve">Programme </w:t>
      </w:r>
      <w:r w:rsidR="00D31B6A" w:rsidRPr="0060494B">
        <w:t>1</w:t>
      </w:r>
      <w:r w:rsidR="00B3195F" w:rsidRPr="0060494B">
        <w:tab/>
      </w:r>
      <w:r w:rsidRPr="0060494B">
        <w:rPr>
          <w:rFonts w:hint="eastAsia"/>
        </w:rPr>
        <w:t>Droit des brevets</w:t>
      </w:r>
      <w:bookmarkEnd w:id="0"/>
      <w:bookmarkEnd w:id="1"/>
      <w:bookmarkEnd w:id="24"/>
    </w:p>
    <w:p w14:paraId="25BADAD5" w14:textId="77777777" w:rsidR="00F32CE7" w:rsidRPr="00A970C5" w:rsidRDefault="00F32CE7" w:rsidP="00986700"/>
    <w:p w14:paraId="556E5F13" w14:textId="77777777" w:rsidR="00293332" w:rsidRPr="00A970C5" w:rsidRDefault="00293332" w:rsidP="00986700"/>
    <w:tbl>
      <w:tblPr>
        <w:tblW w:w="5000" w:type="pct"/>
        <w:tblCellMar>
          <w:top w:w="57" w:type="dxa"/>
          <w:bottom w:w="57" w:type="dxa"/>
        </w:tblCellMar>
        <w:tblLook w:val="01E0" w:firstRow="1" w:lastRow="1" w:firstColumn="1" w:lastColumn="1" w:noHBand="0" w:noVBand="0"/>
      </w:tblPr>
      <w:tblGrid>
        <w:gridCol w:w="9287"/>
      </w:tblGrid>
      <w:tr w:rsidR="00A970C5" w:rsidRPr="00A970C5" w14:paraId="3ADD55AD" w14:textId="77777777" w:rsidTr="007C2B42">
        <w:trPr>
          <w:cantSplit/>
        </w:trPr>
        <w:tc>
          <w:tcPr>
            <w:tcW w:w="9287" w:type="dxa"/>
            <w:shd w:val="clear" w:color="auto" w:fill="C6D9F1" w:themeFill="text2" w:themeFillTint="33"/>
            <w:vAlign w:val="center"/>
          </w:tcPr>
          <w:p w14:paraId="797FE767" w14:textId="20E96DF9" w:rsidR="005E5844" w:rsidRPr="00A970C5" w:rsidRDefault="007914A0" w:rsidP="00986700">
            <w:pPr>
              <w:jc w:val="center"/>
              <w:rPr>
                <w:b/>
              </w:rPr>
            </w:pPr>
            <w:r w:rsidRPr="00A970C5">
              <w:rPr>
                <w:b/>
              </w:rPr>
              <w:t>Stratégies de mise en œuvre</w:t>
            </w:r>
          </w:p>
        </w:tc>
      </w:tr>
    </w:tbl>
    <w:p w14:paraId="0C69DF2B" w14:textId="698C2D16" w:rsidR="00F32CE7" w:rsidRPr="00A970C5" w:rsidRDefault="00F32CE7" w:rsidP="00986700">
      <w:pPr>
        <w:jc w:val="both"/>
        <w:rPr>
          <w:rFonts w:cs="Arial"/>
          <w:szCs w:val="20"/>
        </w:rPr>
      </w:pPr>
    </w:p>
    <w:p w14:paraId="150938F1" w14:textId="3AC31B3B" w:rsidR="00F32CE7" w:rsidRPr="00A970C5" w:rsidRDefault="00BA432B"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Fournir en temps voulu des informations fiables aux fins du processus d</w:t>
      </w:r>
      <w:r w:rsidR="007914A0" w:rsidRPr="00A970C5">
        <w:rPr>
          <w:rFonts w:eastAsia="Times New Roman" w:cs="Arial"/>
          <w:bCs/>
          <w:szCs w:val="20"/>
          <w:lang w:eastAsia="en-US"/>
        </w:rPr>
        <w:t>’</w:t>
      </w:r>
      <w:r w:rsidRPr="00A970C5">
        <w:rPr>
          <w:rFonts w:eastAsia="Times New Roman" w:cs="Arial"/>
          <w:bCs/>
          <w:szCs w:val="20"/>
          <w:lang w:eastAsia="en-US"/>
        </w:rPr>
        <w:t>établissement de normes régi par les États membres, de manière à créer un environnement favorable à la participation et au dialogue entre les États membres dans les domaines d</w:t>
      </w:r>
      <w:r w:rsidR="007914A0" w:rsidRPr="00A970C5">
        <w:rPr>
          <w:rFonts w:eastAsia="Times New Roman" w:cs="Arial"/>
          <w:bCs/>
          <w:szCs w:val="20"/>
          <w:lang w:eastAsia="en-US"/>
        </w:rPr>
        <w:t>’</w:t>
      </w:r>
      <w:r w:rsidRPr="00A970C5">
        <w:rPr>
          <w:rFonts w:eastAsia="Times New Roman" w:cs="Arial"/>
          <w:bCs/>
          <w:szCs w:val="20"/>
          <w:lang w:eastAsia="en-US"/>
        </w:rPr>
        <w:t>intérêt commun</w:t>
      </w:r>
      <w:r w:rsidR="0076793D" w:rsidRPr="00A970C5">
        <w:rPr>
          <w:rFonts w:eastAsia="Times New Roman" w:cs="Arial"/>
          <w:bCs/>
          <w:szCs w:val="20"/>
          <w:lang w:eastAsia="en-US"/>
        </w:rPr>
        <w:t>;</w:t>
      </w:r>
    </w:p>
    <w:p w14:paraId="1DDA3E9C" w14:textId="0EE75A7F" w:rsidR="00F32CE7" w:rsidRPr="00A970C5" w:rsidRDefault="000C48E0" w:rsidP="00986700">
      <w:pPr>
        <w:jc w:val="both"/>
        <w:rPr>
          <w:rFonts w:cs="Arial"/>
          <w:szCs w:val="20"/>
        </w:rPr>
      </w:pPr>
      <w:r w:rsidRPr="007C2B42">
        <w:rPr>
          <w:noProof/>
          <w:lang w:val="en-US" w:eastAsia="en-US"/>
        </w:rPr>
        <w:drawing>
          <wp:anchor distT="0" distB="0" distL="114300" distR="114300" simplePos="0" relativeHeight="251658240" behindDoc="1" locked="0" layoutInCell="1" allowOverlap="1" wp14:anchorId="7B466503" wp14:editId="25797DDF">
            <wp:simplePos x="0" y="0"/>
            <wp:positionH relativeFrom="column">
              <wp:posOffset>4479925</wp:posOffset>
            </wp:positionH>
            <wp:positionV relativeFrom="paragraph">
              <wp:posOffset>139065</wp:posOffset>
            </wp:positionV>
            <wp:extent cx="1436370" cy="2987675"/>
            <wp:effectExtent l="0" t="0" r="0" b="3175"/>
            <wp:wrapTight wrapText="bothSides">
              <wp:wrapPolygon edited="0">
                <wp:start x="10599" y="0"/>
                <wp:lineTo x="8021" y="551"/>
                <wp:lineTo x="5156" y="1790"/>
                <wp:lineTo x="4584" y="3719"/>
                <wp:lineTo x="7735" y="4407"/>
                <wp:lineTo x="286" y="5371"/>
                <wp:lineTo x="0" y="7575"/>
                <wp:lineTo x="0" y="9641"/>
                <wp:lineTo x="2005" y="11018"/>
                <wp:lineTo x="2005" y="11294"/>
                <wp:lineTo x="8881" y="13222"/>
                <wp:lineTo x="10027" y="13222"/>
                <wp:lineTo x="5443" y="14186"/>
                <wp:lineTo x="1432" y="15150"/>
                <wp:lineTo x="0" y="16665"/>
                <wp:lineTo x="0" y="18731"/>
                <wp:lineTo x="859" y="20246"/>
                <wp:lineTo x="5156" y="21485"/>
                <wp:lineTo x="6302" y="21485"/>
                <wp:lineTo x="9740" y="21485"/>
                <wp:lineTo x="11172" y="21485"/>
                <wp:lineTo x="15469" y="20246"/>
                <wp:lineTo x="15469" y="19833"/>
                <wp:lineTo x="16902" y="18042"/>
                <wp:lineTo x="16329" y="17629"/>
                <wp:lineTo x="14037" y="17629"/>
                <wp:lineTo x="20053" y="15425"/>
                <wp:lineTo x="21199" y="14186"/>
                <wp:lineTo x="21199" y="11982"/>
                <wp:lineTo x="20626" y="10743"/>
                <wp:lineTo x="17761" y="9916"/>
                <wp:lineTo x="12891" y="8814"/>
                <wp:lineTo x="18907" y="6611"/>
                <wp:lineTo x="21199" y="4820"/>
                <wp:lineTo x="21199" y="1790"/>
                <wp:lineTo x="18334" y="551"/>
                <wp:lineTo x="15756" y="0"/>
                <wp:lineTo x="10599" y="0"/>
              </wp:wrapPolygon>
            </wp:wrapTight>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6370" cy="298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90EE2" w14:textId="3626F08E" w:rsidR="00F32CE7" w:rsidRPr="00A970C5" w:rsidRDefault="00BA432B"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 xml:space="preserve">Faciliter le dialogue entre les États membres sur la définition de nouvelles questions appelant une attention et des actions multilatérales, en vue de rester en phase avec les environnements technologiques, économiques et sociaux </w:t>
      </w:r>
      <w:r w:rsidR="00FA49DB" w:rsidRPr="00A970C5">
        <w:rPr>
          <w:rFonts w:eastAsia="Times New Roman" w:cs="Arial"/>
          <w:bCs/>
          <w:szCs w:val="20"/>
          <w:lang w:eastAsia="en-US"/>
        </w:rPr>
        <w:t xml:space="preserve">qui évoluent </w:t>
      </w:r>
      <w:r w:rsidRPr="00A970C5">
        <w:rPr>
          <w:rFonts w:eastAsia="Times New Roman" w:cs="Arial"/>
          <w:bCs/>
          <w:szCs w:val="20"/>
          <w:lang w:eastAsia="en-US"/>
        </w:rPr>
        <w:t>rapide</w:t>
      </w:r>
      <w:r w:rsidR="00FA49DB" w:rsidRPr="00A970C5">
        <w:rPr>
          <w:rFonts w:eastAsia="Times New Roman" w:cs="Arial"/>
          <w:bCs/>
          <w:szCs w:val="20"/>
          <w:lang w:eastAsia="en-US"/>
        </w:rPr>
        <w:t>ment</w:t>
      </w:r>
      <w:r w:rsidRPr="00A970C5">
        <w:rPr>
          <w:rFonts w:eastAsia="Times New Roman" w:cs="Arial"/>
          <w:bCs/>
          <w:szCs w:val="20"/>
          <w:lang w:eastAsia="en-US"/>
        </w:rPr>
        <w:t>;</w:t>
      </w:r>
    </w:p>
    <w:p w14:paraId="361CBB22" w14:textId="16EA0CF9" w:rsidR="00F32CE7" w:rsidRPr="00A970C5" w:rsidRDefault="00F32CE7" w:rsidP="00986700">
      <w:pPr>
        <w:jc w:val="both"/>
        <w:rPr>
          <w:rFonts w:cs="Arial"/>
          <w:szCs w:val="20"/>
        </w:rPr>
      </w:pPr>
    </w:p>
    <w:p w14:paraId="25858964" w14:textId="4BD74055" w:rsidR="00F32CE7" w:rsidRPr="00A970C5" w:rsidRDefault="0014197A"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Encourager la ratification et la mise en œuvre intégrale de la Convention de Paris, du Traité de Budapest et du Traité sur le droit des brevets en fournissant aux États membres intéressés des informations juridiques et pratiques ciblées;</w:t>
      </w:r>
    </w:p>
    <w:p w14:paraId="0EF48C7C" w14:textId="25EA7AB6" w:rsidR="00F32CE7" w:rsidRPr="00A970C5" w:rsidRDefault="00F32CE7" w:rsidP="00986700">
      <w:pPr>
        <w:jc w:val="both"/>
        <w:rPr>
          <w:rFonts w:cs="Arial"/>
          <w:szCs w:val="20"/>
        </w:rPr>
      </w:pPr>
    </w:p>
    <w:p w14:paraId="589D0E10" w14:textId="4D021E80" w:rsidR="00F32CE7" w:rsidRPr="00A970C5" w:rsidRDefault="0014197A"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 xml:space="preserve">Fournir des conseils législatifs et de politique générale en tenant dûment compte des priorités </w:t>
      </w:r>
      <w:r w:rsidR="00FA49DB" w:rsidRPr="00A970C5">
        <w:rPr>
          <w:rFonts w:eastAsia="Times New Roman" w:cs="Arial"/>
          <w:bCs/>
          <w:szCs w:val="20"/>
          <w:lang w:eastAsia="en-US"/>
        </w:rPr>
        <w:t xml:space="preserve">et </w:t>
      </w:r>
      <w:r w:rsidRPr="00A970C5">
        <w:rPr>
          <w:rFonts w:eastAsia="Times New Roman" w:cs="Arial"/>
          <w:bCs/>
          <w:szCs w:val="20"/>
          <w:lang w:eastAsia="en-US"/>
        </w:rPr>
        <w:t xml:space="preserve">des besoins particuliers des pays bénéficiaires, des </w:t>
      </w:r>
      <w:r w:rsidR="00FA49DB" w:rsidRPr="00A970C5">
        <w:rPr>
          <w:rFonts w:eastAsia="Times New Roman" w:cs="Arial"/>
          <w:bCs/>
          <w:szCs w:val="20"/>
          <w:lang w:eastAsia="en-US"/>
        </w:rPr>
        <w:t>droits et obligations équilibré</w:t>
      </w:r>
      <w:r w:rsidRPr="00A970C5">
        <w:rPr>
          <w:rFonts w:eastAsia="Times New Roman" w:cs="Arial"/>
          <w:bCs/>
          <w:szCs w:val="20"/>
          <w:lang w:eastAsia="en-US"/>
        </w:rPr>
        <w:t xml:space="preserve">s inhérents au système de propriété intellectuelle et des niveaux de développement </w:t>
      </w:r>
      <w:r w:rsidR="00BF239C" w:rsidRPr="00A970C5">
        <w:rPr>
          <w:rFonts w:eastAsia="Times New Roman" w:cs="Arial"/>
          <w:bCs/>
          <w:szCs w:val="20"/>
          <w:lang w:eastAsia="en-US"/>
        </w:rPr>
        <w:t xml:space="preserve">différents </w:t>
      </w:r>
      <w:r w:rsidRPr="00A970C5">
        <w:rPr>
          <w:rFonts w:eastAsia="Times New Roman" w:cs="Arial"/>
          <w:bCs/>
          <w:szCs w:val="20"/>
          <w:lang w:eastAsia="en-US"/>
        </w:rPr>
        <w:t>des États membres;</w:t>
      </w:r>
    </w:p>
    <w:p w14:paraId="1C3173B3" w14:textId="77777777" w:rsidR="00F32CE7" w:rsidRPr="00A970C5" w:rsidRDefault="00F32CE7" w:rsidP="00986700">
      <w:pPr>
        <w:jc w:val="both"/>
        <w:rPr>
          <w:rFonts w:cs="Arial"/>
          <w:szCs w:val="20"/>
        </w:rPr>
      </w:pPr>
    </w:p>
    <w:p w14:paraId="4BB1F627" w14:textId="6D9582D8" w:rsidR="00F32CE7" w:rsidRPr="00A970C5" w:rsidRDefault="003421CE"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 xml:space="preserve">Appuyer les États membres </w:t>
      </w:r>
      <w:r w:rsidR="00FA49DB" w:rsidRPr="00A970C5">
        <w:rPr>
          <w:rFonts w:eastAsia="Times New Roman" w:cs="Arial"/>
          <w:bCs/>
          <w:szCs w:val="20"/>
          <w:lang w:eastAsia="en-US"/>
        </w:rPr>
        <w:t xml:space="preserve">et </w:t>
      </w:r>
      <w:r w:rsidRPr="00A970C5">
        <w:rPr>
          <w:rFonts w:eastAsia="Times New Roman" w:cs="Arial"/>
          <w:bCs/>
          <w:szCs w:val="20"/>
          <w:lang w:eastAsia="en-US"/>
        </w:rPr>
        <w:t>leur fournir une assistance en vue de renforcer leurs capacités en matière de conception et d</w:t>
      </w:r>
      <w:r w:rsidR="007914A0" w:rsidRPr="00A970C5">
        <w:rPr>
          <w:rFonts w:eastAsia="Times New Roman" w:cs="Arial"/>
          <w:bCs/>
          <w:szCs w:val="20"/>
          <w:lang w:eastAsia="en-US"/>
        </w:rPr>
        <w:t>’</w:t>
      </w:r>
      <w:r w:rsidRPr="00A970C5">
        <w:rPr>
          <w:rFonts w:eastAsia="Times New Roman" w:cs="Arial"/>
          <w:bCs/>
          <w:szCs w:val="20"/>
          <w:lang w:eastAsia="en-US"/>
        </w:rPr>
        <w:t>utilisation de systèmes fonctionnels dans le domaine des brevets,</w:t>
      </w:r>
      <w:r w:rsidR="00FA49DB" w:rsidRPr="00A970C5">
        <w:rPr>
          <w:rFonts w:eastAsia="Times New Roman" w:cs="Arial"/>
          <w:bCs/>
          <w:szCs w:val="20"/>
          <w:lang w:eastAsia="en-US"/>
        </w:rPr>
        <w:t xml:space="preserve"> en</w:t>
      </w:r>
      <w:r w:rsidRPr="00A970C5">
        <w:rPr>
          <w:rFonts w:eastAsia="Times New Roman" w:cs="Arial"/>
          <w:bCs/>
          <w:szCs w:val="20"/>
          <w:lang w:eastAsia="en-US"/>
        </w:rPr>
        <w:t xml:space="preserve"> leur permettant ainsi de participer davantage à la création, à l</w:t>
      </w:r>
      <w:r w:rsidR="007914A0" w:rsidRPr="00A970C5">
        <w:rPr>
          <w:rFonts w:eastAsia="Times New Roman" w:cs="Arial"/>
          <w:bCs/>
          <w:szCs w:val="20"/>
          <w:lang w:eastAsia="en-US"/>
        </w:rPr>
        <w:t>’</w:t>
      </w:r>
      <w:r w:rsidRPr="00A970C5">
        <w:rPr>
          <w:rFonts w:eastAsia="Times New Roman" w:cs="Arial"/>
          <w:bCs/>
          <w:szCs w:val="20"/>
          <w:lang w:eastAsia="en-US"/>
        </w:rPr>
        <w:t>appropriation et au transfert des connaissances techniques;</w:t>
      </w:r>
    </w:p>
    <w:p w14:paraId="053D012D" w14:textId="77777777" w:rsidR="00F32CE7" w:rsidRPr="00A970C5" w:rsidRDefault="00F32CE7" w:rsidP="00986700">
      <w:pPr>
        <w:jc w:val="both"/>
        <w:rPr>
          <w:rFonts w:cs="Arial"/>
          <w:szCs w:val="20"/>
        </w:rPr>
      </w:pPr>
    </w:p>
    <w:p w14:paraId="389FB218" w14:textId="7EFD37DF" w:rsidR="00F32CE7" w:rsidRPr="00A970C5" w:rsidRDefault="00F85B25"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Aborder le droit des brevets dans le contexte de mécanismes d</w:t>
      </w:r>
      <w:r w:rsidR="007914A0" w:rsidRPr="00A970C5">
        <w:rPr>
          <w:rFonts w:eastAsia="Times New Roman" w:cs="Arial"/>
          <w:bCs/>
          <w:szCs w:val="20"/>
          <w:lang w:eastAsia="en-US"/>
        </w:rPr>
        <w:t>’</w:t>
      </w:r>
      <w:r w:rsidRPr="00A970C5">
        <w:rPr>
          <w:rFonts w:eastAsia="Times New Roman" w:cs="Arial"/>
          <w:bCs/>
          <w:szCs w:val="20"/>
          <w:lang w:eastAsia="en-US"/>
        </w:rPr>
        <w:t xml:space="preserve">innovation et de transfert de technologie de plus en plus complexes et mondialisés, </w:t>
      </w:r>
      <w:r w:rsidR="00FA49DB" w:rsidRPr="00A970C5">
        <w:rPr>
          <w:rFonts w:eastAsia="Times New Roman" w:cs="Arial"/>
          <w:bCs/>
          <w:szCs w:val="20"/>
          <w:lang w:eastAsia="en-US"/>
        </w:rPr>
        <w:t xml:space="preserve">compte tenu de </w:t>
      </w:r>
      <w:r w:rsidRPr="00A970C5">
        <w:rPr>
          <w:rFonts w:eastAsia="Times New Roman" w:cs="Arial"/>
          <w:bCs/>
          <w:szCs w:val="20"/>
          <w:lang w:eastAsia="en-US"/>
        </w:rPr>
        <w:t>la contribution</w:t>
      </w:r>
      <w:r w:rsidR="00BF239C" w:rsidRPr="00A970C5">
        <w:rPr>
          <w:rFonts w:eastAsia="Times New Roman" w:cs="Arial"/>
          <w:bCs/>
          <w:szCs w:val="20"/>
          <w:lang w:eastAsia="en-US"/>
        </w:rPr>
        <w:t xml:space="preserve"> à ces mécanismes</w:t>
      </w:r>
      <w:r w:rsidRPr="00A970C5">
        <w:rPr>
          <w:rFonts w:eastAsia="Times New Roman" w:cs="Arial"/>
          <w:bCs/>
          <w:szCs w:val="20"/>
          <w:lang w:eastAsia="en-US"/>
        </w:rPr>
        <w:t xml:space="preserve"> d</w:t>
      </w:r>
      <w:r w:rsidR="007914A0" w:rsidRPr="00A970C5">
        <w:rPr>
          <w:rFonts w:eastAsia="Times New Roman" w:cs="Arial"/>
          <w:bCs/>
          <w:szCs w:val="20"/>
          <w:lang w:eastAsia="en-US"/>
        </w:rPr>
        <w:t>’</w:t>
      </w:r>
      <w:r w:rsidRPr="00A970C5">
        <w:rPr>
          <w:rFonts w:eastAsia="Times New Roman" w:cs="Arial"/>
          <w:bCs/>
          <w:szCs w:val="20"/>
          <w:lang w:eastAsia="en-US"/>
        </w:rPr>
        <w:t>autres droits de propr</w:t>
      </w:r>
      <w:r w:rsidR="00FA49DB" w:rsidRPr="00A970C5">
        <w:rPr>
          <w:rFonts w:eastAsia="Times New Roman" w:cs="Arial"/>
          <w:bCs/>
          <w:szCs w:val="20"/>
          <w:lang w:eastAsia="en-US"/>
        </w:rPr>
        <w:t xml:space="preserve">iété intellectuelle, </w:t>
      </w:r>
      <w:r w:rsidR="00BF239C" w:rsidRPr="00A970C5">
        <w:rPr>
          <w:rFonts w:eastAsia="Times New Roman" w:cs="Arial"/>
          <w:bCs/>
          <w:szCs w:val="20"/>
          <w:lang w:eastAsia="en-US"/>
        </w:rPr>
        <w:t>comme</w:t>
      </w:r>
      <w:r w:rsidR="00FA49DB" w:rsidRPr="00A970C5">
        <w:rPr>
          <w:rFonts w:eastAsia="Times New Roman" w:cs="Arial"/>
          <w:bCs/>
          <w:szCs w:val="20"/>
          <w:lang w:eastAsia="en-US"/>
        </w:rPr>
        <w:t xml:space="preserve"> l</w:t>
      </w:r>
      <w:r w:rsidRPr="00A970C5">
        <w:rPr>
          <w:rFonts w:eastAsia="Times New Roman" w:cs="Arial"/>
          <w:bCs/>
          <w:szCs w:val="20"/>
          <w:lang w:eastAsia="en-US"/>
        </w:rPr>
        <w:t>es modèles d</w:t>
      </w:r>
      <w:r w:rsidR="007914A0" w:rsidRPr="00A970C5">
        <w:rPr>
          <w:rFonts w:eastAsia="Times New Roman" w:cs="Arial"/>
          <w:bCs/>
          <w:szCs w:val="20"/>
          <w:lang w:eastAsia="en-US"/>
        </w:rPr>
        <w:t>’</w:t>
      </w:r>
      <w:r w:rsidRPr="00A970C5">
        <w:rPr>
          <w:rFonts w:eastAsia="Times New Roman" w:cs="Arial"/>
          <w:bCs/>
          <w:szCs w:val="20"/>
          <w:lang w:eastAsia="en-US"/>
        </w:rPr>
        <w:t>utilité et la protection des informations confidentielles;</w:t>
      </w:r>
    </w:p>
    <w:p w14:paraId="6180137D" w14:textId="77777777" w:rsidR="00F32CE7" w:rsidRPr="00A970C5" w:rsidRDefault="00F32CE7" w:rsidP="00986700">
      <w:pPr>
        <w:jc w:val="both"/>
        <w:rPr>
          <w:rFonts w:cs="Arial"/>
          <w:szCs w:val="20"/>
        </w:rPr>
      </w:pPr>
    </w:p>
    <w:p w14:paraId="72E97F61" w14:textId="53ABA5AB" w:rsidR="00F32CE7" w:rsidRPr="00A970C5" w:rsidRDefault="00F85B25" w:rsidP="00986700">
      <w:pPr>
        <w:pStyle w:val="ListParagraph"/>
        <w:numPr>
          <w:ilvl w:val="0"/>
          <w:numId w:val="4"/>
        </w:numPr>
        <w:jc w:val="both"/>
        <w:rPr>
          <w:rFonts w:eastAsia="Times New Roman" w:cs="Arial"/>
          <w:bCs/>
          <w:szCs w:val="20"/>
          <w:lang w:eastAsia="en-US"/>
        </w:rPr>
      </w:pPr>
      <w:r w:rsidRPr="00A970C5">
        <w:rPr>
          <w:rFonts w:eastAsia="Times New Roman" w:cs="Arial"/>
          <w:bCs/>
          <w:szCs w:val="20"/>
          <w:lang w:eastAsia="en-US"/>
        </w:rPr>
        <w:t xml:space="preserve">Fournir des informations exactes reposant sur des bases factuelles </w:t>
      </w:r>
      <w:r w:rsidR="00FA49DB" w:rsidRPr="00A970C5">
        <w:rPr>
          <w:rFonts w:eastAsia="Times New Roman" w:cs="Arial"/>
          <w:bCs/>
          <w:szCs w:val="20"/>
          <w:lang w:eastAsia="en-US"/>
        </w:rPr>
        <w:t xml:space="preserve">qui aident </w:t>
      </w:r>
      <w:r w:rsidRPr="00A970C5">
        <w:rPr>
          <w:rFonts w:eastAsia="Times New Roman" w:cs="Arial"/>
          <w:bCs/>
          <w:szCs w:val="20"/>
          <w:lang w:eastAsia="en-US"/>
        </w:rPr>
        <w:t>les parties prenantes à prendre des décisions et à faire des choix en connaissance de cause concernant les brevets, les modèles d</w:t>
      </w:r>
      <w:r w:rsidR="007914A0" w:rsidRPr="00A970C5">
        <w:rPr>
          <w:rFonts w:eastAsia="Times New Roman" w:cs="Arial"/>
          <w:bCs/>
          <w:szCs w:val="20"/>
          <w:lang w:eastAsia="en-US"/>
        </w:rPr>
        <w:t>’</w:t>
      </w:r>
      <w:r w:rsidRPr="00A970C5">
        <w:rPr>
          <w:rFonts w:eastAsia="Times New Roman" w:cs="Arial"/>
          <w:bCs/>
          <w:szCs w:val="20"/>
          <w:lang w:eastAsia="en-US"/>
        </w:rPr>
        <w:t xml:space="preserve">utilité, les schémas de configuration (topographies) de circuits intégrés et la protection des </w:t>
      </w:r>
      <w:r w:rsidR="00FA49DB" w:rsidRPr="00A970C5">
        <w:rPr>
          <w:rFonts w:eastAsia="Times New Roman" w:cs="Arial"/>
          <w:bCs/>
          <w:szCs w:val="20"/>
          <w:lang w:eastAsia="en-US"/>
        </w:rPr>
        <w:t xml:space="preserve">informations </w:t>
      </w:r>
      <w:r w:rsidRPr="00A970C5">
        <w:rPr>
          <w:rFonts w:eastAsia="Times New Roman" w:cs="Arial"/>
          <w:bCs/>
          <w:szCs w:val="20"/>
          <w:lang w:eastAsia="en-US"/>
        </w:rPr>
        <w:t>confidentiel</w:t>
      </w:r>
      <w:r w:rsidR="00FA49DB" w:rsidRPr="00A970C5">
        <w:rPr>
          <w:rFonts w:eastAsia="Times New Roman" w:cs="Arial"/>
          <w:bCs/>
          <w:szCs w:val="20"/>
          <w:lang w:eastAsia="en-US"/>
        </w:rPr>
        <w:t>le</w:t>
      </w:r>
      <w:r w:rsidRPr="00A970C5">
        <w:rPr>
          <w:rFonts w:eastAsia="Times New Roman" w:cs="Arial"/>
          <w:bCs/>
          <w:szCs w:val="20"/>
          <w:lang w:eastAsia="en-US"/>
        </w:rPr>
        <w:t>s.</w:t>
      </w:r>
    </w:p>
    <w:p w14:paraId="02C899DD" w14:textId="77777777" w:rsidR="00F32CE7" w:rsidRPr="00A970C5" w:rsidRDefault="00F32CE7" w:rsidP="00986700">
      <w:pPr>
        <w:jc w:val="both"/>
        <w:rPr>
          <w:rFonts w:cs="Arial"/>
          <w:szCs w:val="20"/>
        </w:rPr>
      </w:pPr>
    </w:p>
    <w:p w14:paraId="47FA8CFD" w14:textId="77777777" w:rsidR="0076793D" w:rsidRPr="00A970C5" w:rsidRDefault="0076793D"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0D2E7936" w14:textId="77777777" w:rsidTr="004D6CBF">
        <w:tc>
          <w:tcPr>
            <w:tcW w:w="9571" w:type="dxa"/>
            <w:shd w:val="clear" w:color="auto" w:fill="C6D9F1" w:themeFill="text2" w:themeFillTint="33"/>
            <w:vAlign w:val="center"/>
          </w:tcPr>
          <w:p w14:paraId="13DFD657" w14:textId="44AD180D" w:rsidR="0076793D" w:rsidRPr="00A970C5" w:rsidRDefault="00FA49DB" w:rsidP="008771A6">
            <w:pPr>
              <w:keepNext/>
              <w:jc w:val="center"/>
              <w:rPr>
                <w:rFonts w:eastAsia="Times New Roman" w:cs="Arial"/>
                <w:b/>
                <w:bCs/>
                <w:szCs w:val="20"/>
                <w:lang w:eastAsia="en-US"/>
              </w:rPr>
            </w:pPr>
            <w:r w:rsidRPr="00A970C5">
              <w:rPr>
                <w:rFonts w:eastAsia="Times New Roman" w:cs="Arial"/>
                <w:b/>
                <w:bCs/>
                <w:szCs w:val="20"/>
                <w:lang w:eastAsia="en-US"/>
              </w:rPr>
              <w:lastRenderedPageBreak/>
              <w:t>Collaboration interprogrammes</w:t>
            </w:r>
            <w:r w:rsidR="008F39FF" w:rsidRPr="00A970C5">
              <w:rPr>
                <w:rFonts w:eastAsia="Times New Roman" w:cs="Arial"/>
                <w:b/>
                <w:bCs/>
                <w:szCs w:val="20"/>
                <w:lang w:eastAsia="en-US"/>
              </w:rPr>
              <w:t xml:space="preserve"> </w:t>
            </w:r>
          </w:p>
        </w:tc>
      </w:tr>
    </w:tbl>
    <w:p w14:paraId="64C35CDE" w14:textId="77777777" w:rsidR="00F32CE7" w:rsidRPr="00A970C5" w:rsidRDefault="00F32CE7" w:rsidP="005A64E3">
      <w:pPr>
        <w:keepNext/>
        <w:jc w:val="both"/>
        <w:rPr>
          <w:rFonts w:cs="Arial"/>
          <w:szCs w:val="20"/>
        </w:rPr>
      </w:pPr>
    </w:p>
    <w:p w14:paraId="0E33E9FC" w14:textId="7A84EE5D" w:rsidR="00C04D5B" w:rsidRDefault="005A64E3" w:rsidP="005A64E3">
      <w:pPr>
        <w:jc w:val="center"/>
        <w:rPr>
          <w:rFonts w:cs="Arial"/>
          <w:szCs w:val="20"/>
        </w:rPr>
      </w:pPr>
      <w:r w:rsidRPr="005A64E3">
        <w:rPr>
          <w:noProof/>
          <w:lang w:val="en-US" w:eastAsia="en-US"/>
        </w:rPr>
        <w:drawing>
          <wp:inline distT="0" distB="0" distL="0" distR="0" wp14:anchorId="50C92F37" wp14:editId="4D4C8647">
            <wp:extent cx="3678806" cy="3600000"/>
            <wp:effectExtent l="0" t="0" r="0" b="63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8806" cy="3600000"/>
                    </a:xfrm>
                    <a:prstGeom prst="rect">
                      <a:avLst/>
                    </a:prstGeom>
                    <a:noFill/>
                    <a:ln>
                      <a:noFill/>
                    </a:ln>
                  </pic:spPr>
                </pic:pic>
              </a:graphicData>
            </a:graphic>
          </wp:inline>
        </w:drawing>
      </w:r>
    </w:p>
    <w:p w14:paraId="3CBD9ED7" w14:textId="77777777" w:rsidR="005A64E3" w:rsidRPr="00A970C5" w:rsidRDefault="005A64E3"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3"/>
        <w:gridCol w:w="4644"/>
      </w:tblGrid>
      <w:tr w:rsidR="00A970C5" w:rsidRPr="00A970C5" w14:paraId="765E75C6" w14:textId="77777777" w:rsidTr="00094A7D">
        <w:trPr>
          <w:cantSplit/>
        </w:trPr>
        <w:tc>
          <w:tcPr>
            <w:tcW w:w="4785" w:type="dxa"/>
            <w:shd w:val="clear" w:color="auto" w:fill="C6D9F1" w:themeFill="text2" w:themeFillTint="33"/>
            <w:tcMar>
              <w:top w:w="57" w:type="dxa"/>
              <w:bottom w:w="57" w:type="dxa"/>
            </w:tcMar>
            <w:vAlign w:val="center"/>
          </w:tcPr>
          <w:p w14:paraId="6EF70A1C" w14:textId="433D7878" w:rsidR="00296298" w:rsidRPr="00A970C5" w:rsidRDefault="008F39FF" w:rsidP="00986700">
            <w:pPr>
              <w:jc w:val="center"/>
              <w:rPr>
                <w:rFonts w:eastAsia="Times New Roman" w:cs="Arial"/>
                <w:b/>
                <w:bCs/>
                <w:sz w:val="18"/>
                <w:szCs w:val="18"/>
                <w:lang w:eastAsia="en-US"/>
              </w:rPr>
            </w:pPr>
            <w:r w:rsidRPr="00A970C5">
              <w:rPr>
                <w:rFonts w:eastAsia="Times New Roman" w:cs="Arial"/>
                <w:b/>
                <w:bCs/>
                <w:sz w:val="18"/>
                <w:szCs w:val="18"/>
                <w:lang w:eastAsia="en-US"/>
              </w:rPr>
              <w:t>Risques</w:t>
            </w:r>
          </w:p>
        </w:tc>
        <w:tc>
          <w:tcPr>
            <w:tcW w:w="4786" w:type="dxa"/>
            <w:shd w:val="clear" w:color="auto" w:fill="C6D9F1" w:themeFill="text2" w:themeFillTint="33"/>
            <w:tcMar>
              <w:top w:w="57" w:type="dxa"/>
              <w:bottom w:w="57" w:type="dxa"/>
            </w:tcMar>
            <w:vAlign w:val="center"/>
          </w:tcPr>
          <w:p w14:paraId="164BD607" w14:textId="1F074453" w:rsidR="00296298" w:rsidRPr="00A970C5" w:rsidRDefault="008F39FF" w:rsidP="00986700">
            <w:pPr>
              <w:jc w:val="center"/>
              <w:rPr>
                <w:rFonts w:eastAsia="Times New Roman" w:cs="Arial"/>
                <w:b/>
                <w:bCs/>
                <w:sz w:val="18"/>
                <w:szCs w:val="18"/>
                <w:lang w:eastAsia="en-US"/>
              </w:rPr>
            </w:pPr>
            <w:r w:rsidRPr="00A970C5">
              <w:rPr>
                <w:rFonts w:eastAsia="Times New Roman" w:cs="Arial"/>
                <w:b/>
                <w:bCs/>
                <w:sz w:val="18"/>
                <w:szCs w:val="18"/>
                <w:lang w:eastAsia="en-US"/>
              </w:rPr>
              <w:t>Mesures d</w:t>
            </w:r>
            <w:r w:rsidR="007914A0" w:rsidRPr="00A970C5">
              <w:rPr>
                <w:rFonts w:eastAsia="Times New Roman" w:cs="Arial"/>
                <w:b/>
                <w:bCs/>
                <w:sz w:val="18"/>
                <w:szCs w:val="18"/>
                <w:lang w:eastAsia="en-US"/>
              </w:rPr>
              <w:t>’</w:t>
            </w:r>
            <w:r w:rsidRPr="00A970C5">
              <w:rPr>
                <w:rFonts w:eastAsia="Times New Roman" w:cs="Arial"/>
                <w:b/>
                <w:bCs/>
                <w:sz w:val="18"/>
                <w:szCs w:val="18"/>
                <w:lang w:eastAsia="en-US"/>
              </w:rPr>
              <w:t>atténuation</w:t>
            </w:r>
          </w:p>
        </w:tc>
      </w:tr>
      <w:tr w:rsidR="00A970C5" w:rsidRPr="00A970C5" w14:paraId="27CE2365" w14:textId="77777777" w:rsidTr="00094A7D">
        <w:trPr>
          <w:cantSplit/>
        </w:trPr>
        <w:tc>
          <w:tcPr>
            <w:tcW w:w="4785" w:type="dxa"/>
            <w:shd w:val="clear" w:color="auto" w:fill="auto"/>
            <w:tcMar>
              <w:top w:w="57" w:type="dxa"/>
              <w:bottom w:w="57" w:type="dxa"/>
            </w:tcMar>
          </w:tcPr>
          <w:p w14:paraId="20D925B7" w14:textId="32D1023D" w:rsidR="00296298" w:rsidRPr="00A970C5" w:rsidRDefault="008F39FF" w:rsidP="00986700">
            <w:pPr>
              <w:keepNext/>
              <w:keepLines/>
              <w:rPr>
                <w:rFonts w:eastAsia="Times New Roman" w:cs="Arial"/>
                <w:sz w:val="16"/>
                <w:szCs w:val="16"/>
                <w:lang w:eastAsia="en-US"/>
              </w:rPr>
            </w:pPr>
            <w:r w:rsidRPr="00A970C5">
              <w:rPr>
                <w:rFonts w:eastAsia="Times New Roman" w:cs="Arial"/>
                <w:sz w:val="16"/>
                <w:szCs w:val="16"/>
                <w:lang w:eastAsia="en-US"/>
              </w:rPr>
              <w:t>A</w:t>
            </w:r>
            <w:r w:rsidR="00BF239C" w:rsidRPr="00A970C5">
              <w:rPr>
                <w:rFonts w:eastAsia="Times New Roman" w:cs="Arial"/>
                <w:sz w:val="16"/>
                <w:szCs w:val="16"/>
                <w:lang w:eastAsia="en-US"/>
              </w:rPr>
              <w:t>ffaiblissement du</w:t>
            </w:r>
            <w:r w:rsidRPr="00A970C5">
              <w:rPr>
                <w:rFonts w:eastAsia="Times New Roman" w:cs="Arial"/>
                <w:sz w:val="16"/>
                <w:szCs w:val="16"/>
                <w:lang w:eastAsia="en-US"/>
              </w:rPr>
              <w:t xml:space="preserve"> rôle du Comité permanent du droit des brevets en tant qu</w:t>
            </w:r>
            <w:r w:rsidR="007914A0" w:rsidRPr="00A970C5">
              <w:rPr>
                <w:rFonts w:eastAsia="Times New Roman" w:cs="Arial"/>
                <w:sz w:val="16"/>
                <w:szCs w:val="16"/>
                <w:lang w:eastAsia="en-US"/>
              </w:rPr>
              <w:t>’</w:t>
            </w:r>
            <w:r w:rsidR="00FA49DB" w:rsidRPr="00A970C5">
              <w:rPr>
                <w:rFonts w:eastAsia="Times New Roman" w:cs="Arial"/>
                <w:sz w:val="16"/>
                <w:szCs w:val="16"/>
                <w:lang w:eastAsia="en-US"/>
              </w:rPr>
              <w:t>instance</w:t>
            </w:r>
            <w:r w:rsidRPr="00A970C5">
              <w:rPr>
                <w:rFonts w:eastAsia="Times New Roman" w:cs="Arial"/>
                <w:sz w:val="16"/>
                <w:szCs w:val="16"/>
                <w:lang w:eastAsia="en-US"/>
              </w:rPr>
              <w:t xml:space="preserve"> multilatérale</w:t>
            </w:r>
            <w:r w:rsidR="00B0098E">
              <w:rPr>
                <w:rFonts w:eastAsia="Times New Roman" w:cs="Arial"/>
                <w:sz w:val="16"/>
                <w:szCs w:val="16"/>
                <w:lang w:eastAsia="en-US"/>
              </w:rPr>
              <w:t xml:space="preserve"> d’établissement de normes</w:t>
            </w:r>
            <w:r w:rsidRPr="00A970C5">
              <w:rPr>
                <w:rFonts w:eastAsia="Times New Roman" w:cs="Arial"/>
                <w:sz w:val="16"/>
                <w:szCs w:val="16"/>
                <w:lang w:eastAsia="en-US"/>
              </w:rPr>
              <w:t>.</w:t>
            </w:r>
          </w:p>
        </w:tc>
        <w:tc>
          <w:tcPr>
            <w:tcW w:w="4786" w:type="dxa"/>
            <w:shd w:val="clear" w:color="auto" w:fill="auto"/>
            <w:tcMar>
              <w:top w:w="57" w:type="dxa"/>
              <w:bottom w:w="57" w:type="dxa"/>
            </w:tcMar>
          </w:tcPr>
          <w:p w14:paraId="4588AFD4" w14:textId="04BF3EA7" w:rsidR="00296298" w:rsidRPr="00A970C5" w:rsidRDefault="008F39FF" w:rsidP="00986700">
            <w:pPr>
              <w:keepNext/>
              <w:keepLines/>
              <w:rPr>
                <w:rFonts w:eastAsia="Times New Roman" w:cs="Arial"/>
                <w:sz w:val="16"/>
                <w:szCs w:val="16"/>
                <w:lang w:eastAsia="en-US"/>
              </w:rPr>
            </w:pPr>
            <w:r w:rsidRPr="00A970C5">
              <w:rPr>
                <w:rFonts w:eastAsia="Times New Roman" w:cs="Arial"/>
                <w:sz w:val="16"/>
                <w:szCs w:val="16"/>
                <w:lang w:eastAsia="en-US"/>
              </w:rPr>
              <w:t>Mise à disposition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un </w:t>
            </w:r>
            <w:r w:rsidR="00FA49DB" w:rsidRPr="00A970C5">
              <w:rPr>
                <w:rFonts w:eastAsia="Times New Roman" w:cs="Arial"/>
                <w:sz w:val="16"/>
                <w:szCs w:val="16"/>
                <w:lang w:eastAsia="en-US"/>
              </w:rPr>
              <w:t>cadre</w:t>
            </w:r>
            <w:r w:rsidRPr="00A970C5">
              <w:rPr>
                <w:rFonts w:eastAsia="Times New Roman" w:cs="Arial"/>
                <w:sz w:val="16"/>
                <w:szCs w:val="16"/>
                <w:lang w:eastAsia="en-US"/>
              </w:rPr>
              <w:t xml:space="preserve"> impartial, professionnel et</w:t>
            </w:r>
            <w:r w:rsidR="00FA49DB" w:rsidRPr="00A970C5">
              <w:rPr>
                <w:rFonts w:eastAsia="Times New Roman" w:cs="Arial"/>
                <w:sz w:val="16"/>
                <w:szCs w:val="16"/>
                <w:lang w:eastAsia="en-US"/>
              </w:rPr>
              <w:t xml:space="preserve"> </w:t>
            </w:r>
            <w:r w:rsidRPr="00A970C5">
              <w:rPr>
                <w:rFonts w:eastAsia="Times New Roman" w:cs="Arial"/>
                <w:sz w:val="16"/>
                <w:szCs w:val="16"/>
                <w:lang w:eastAsia="en-US"/>
              </w:rPr>
              <w:t xml:space="preserve">ouvert à tous dans lequel pourront dialoguer les États membres. </w:t>
            </w:r>
            <w:r w:rsidR="00296298" w:rsidRPr="00A970C5">
              <w:rPr>
                <w:sz w:val="16"/>
              </w:rPr>
              <w:t xml:space="preserve"> </w:t>
            </w:r>
          </w:p>
        </w:tc>
      </w:tr>
      <w:tr w:rsidR="00296298" w:rsidRPr="00A970C5" w14:paraId="131FD5BF" w14:textId="77777777" w:rsidTr="00094A7D">
        <w:trPr>
          <w:cantSplit/>
        </w:trPr>
        <w:tc>
          <w:tcPr>
            <w:tcW w:w="4785" w:type="dxa"/>
            <w:shd w:val="clear" w:color="auto" w:fill="auto"/>
            <w:tcMar>
              <w:top w:w="57" w:type="dxa"/>
              <w:bottom w:w="57" w:type="dxa"/>
            </w:tcMar>
          </w:tcPr>
          <w:p w14:paraId="2A30A931" w14:textId="77777777" w:rsidR="00296298" w:rsidRPr="00A970C5" w:rsidRDefault="00296298" w:rsidP="00986700">
            <w:pPr>
              <w:keepNext/>
              <w:keepLines/>
              <w:rPr>
                <w:rFonts w:eastAsia="Times New Roman" w:cs="Arial"/>
                <w:sz w:val="16"/>
                <w:szCs w:val="16"/>
                <w:lang w:eastAsia="en-US"/>
              </w:rPr>
            </w:pPr>
          </w:p>
        </w:tc>
        <w:tc>
          <w:tcPr>
            <w:tcW w:w="4786" w:type="dxa"/>
            <w:shd w:val="clear" w:color="auto" w:fill="auto"/>
            <w:tcMar>
              <w:top w:w="57" w:type="dxa"/>
              <w:bottom w:w="57" w:type="dxa"/>
            </w:tcMar>
          </w:tcPr>
          <w:p w14:paraId="27D78BED" w14:textId="178CA418" w:rsidR="00296298" w:rsidRPr="00A970C5" w:rsidRDefault="008F39FF" w:rsidP="00986700">
            <w:pPr>
              <w:keepNext/>
              <w:keepLines/>
              <w:rPr>
                <w:rFonts w:eastAsia="Times New Roman" w:cs="Arial"/>
                <w:sz w:val="16"/>
                <w:szCs w:val="16"/>
                <w:lang w:eastAsia="en-US"/>
              </w:rPr>
            </w:pPr>
            <w:r w:rsidRPr="00A970C5">
              <w:rPr>
                <w:rFonts w:eastAsia="Times New Roman" w:cs="Arial"/>
                <w:sz w:val="16"/>
                <w:szCs w:val="16"/>
                <w:lang w:eastAsia="en-US"/>
              </w:rPr>
              <w:t>Fourniture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informations de fond, actualisées et </w:t>
            </w:r>
            <w:r w:rsidR="00FA49DB" w:rsidRPr="00A970C5">
              <w:rPr>
                <w:rFonts w:eastAsia="Times New Roman" w:cs="Arial"/>
                <w:sz w:val="16"/>
                <w:szCs w:val="16"/>
                <w:lang w:eastAsia="en-US"/>
              </w:rPr>
              <w:t>exactes</w:t>
            </w:r>
            <w:r w:rsidRPr="00A970C5">
              <w:rPr>
                <w:rFonts w:eastAsia="Times New Roman" w:cs="Arial"/>
                <w:sz w:val="16"/>
                <w:szCs w:val="16"/>
                <w:lang w:eastAsia="en-US"/>
              </w:rPr>
              <w:t xml:space="preserve"> aux États membres.</w:t>
            </w:r>
            <w:r w:rsidR="00296298" w:rsidRPr="00A970C5">
              <w:rPr>
                <w:sz w:val="16"/>
              </w:rPr>
              <w:t xml:space="preserve"> </w:t>
            </w:r>
            <w:r w:rsidR="009071B9" w:rsidRPr="00A970C5">
              <w:rPr>
                <w:rFonts w:eastAsia="Times New Roman" w:cs="Arial"/>
                <w:sz w:val="16"/>
                <w:szCs w:val="16"/>
                <w:lang w:eastAsia="en-US"/>
              </w:rPr>
              <w:t xml:space="preserve"> </w:t>
            </w:r>
          </w:p>
        </w:tc>
      </w:tr>
    </w:tbl>
    <w:p w14:paraId="1D18B2F1" w14:textId="77777777" w:rsidR="00F32CE7" w:rsidRPr="00A970C5" w:rsidRDefault="00F32CE7" w:rsidP="00986700">
      <w:pPr>
        <w:jc w:val="both"/>
        <w:rPr>
          <w:rFonts w:cs="Arial"/>
          <w:szCs w:val="20"/>
        </w:rPr>
      </w:pPr>
    </w:p>
    <w:p w14:paraId="19BCF712" w14:textId="77777777" w:rsidR="00F95C34" w:rsidRPr="00A970C5" w:rsidRDefault="00F95C34"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16"/>
        <w:gridCol w:w="2315"/>
        <w:gridCol w:w="2359"/>
        <w:gridCol w:w="2297"/>
      </w:tblGrid>
      <w:tr w:rsidR="00A970C5" w:rsidRPr="00A970C5" w14:paraId="35D938C3" w14:textId="77777777" w:rsidTr="008771A6">
        <w:trPr>
          <w:cantSplit/>
          <w:tblHeader/>
        </w:trPr>
        <w:tc>
          <w:tcPr>
            <w:tcW w:w="2316" w:type="dxa"/>
            <w:shd w:val="clear" w:color="000000" w:fill="C5D9F1"/>
            <w:tcMar>
              <w:top w:w="57" w:type="dxa"/>
            </w:tcMar>
            <w:vAlign w:val="center"/>
            <w:hideMark/>
          </w:tcPr>
          <w:p w14:paraId="1034485F" w14:textId="616AF97C" w:rsidR="00FF6B56" w:rsidRPr="00A970C5" w:rsidRDefault="008F39FF" w:rsidP="00986700">
            <w:pPr>
              <w:jc w:val="center"/>
              <w:rPr>
                <w:rFonts w:eastAsia="Times New Roman" w:cs="Arial"/>
                <w:b/>
                <w:bCs/>
                <w:sz w:val="18"/>
                <w:szCs w:val="16"/>
                <w:lang w:eastAsia="en-US"/>
              </w:rPr>
            </w:pPr>
            <w:r w:rsidRPr="00A970C5">
              <w:rPr>
                <w:rFonts w:eastAsia="Times New Roman" w:cs="Arial"/>
                <w:b/>
                <w:bCs/>
                <w:sz w:val="18"/>
                <w:szCs w:val="16"/>
                <w:lang w:eastAsia="en-US"/>
              </w:rPr>
              <w:t>Résultat escompté</w:t>
            </w:r>
            <w:r w:rsidR="00FF6B56" w:rsidRPr="00A970C5">
              <w:rPr>
                <w:rFonts w:eastAsia="Times New Roman" w:cs="Arial"/>
                <w:b/>
                <w:bCs/>
                <w:sz w:val="18"/>
                <w:szCs w:val="16"/>
                <w:lang w:eastAsia="en-US"/>
              </w:rPr>
              <w:t xml:space="preserve"> </w:t>
            </w:r>
          </w:p>
        </w:tc>
        <w:tc>
          <w:tcPr>
            <w:tcW w:w="2315" w:type="dxa"/>
            <w:shd w:val="clear" w:color="000000" w:fill="C5D9F1"/>
            <w:tcMar>
              <w:top w:w="57" w:type="dxa"/>
            </w:tcMar>
            <w:vAlign w:val="center"/>
            <w:hideMark/>
          </w:tcPr>
          <w:p w14:paraId="40C928B2" w14:textId="14957C9F" w:rsidR="00FF6B56" w:rsidRPr="00A970C5" w:rsidRDefault="008F39FF" w:rsidP="00986700">
            <w:pPr>
              <w:jc w:val="center"/>
              <w:rPr>
                <w:rFonts w:eastAsia="Times New Roman" w:cs="Arial"/>
                <w:b/>
                <w:bCs/>
                <w:sz w:val="18"/>
                <w:szCs w:val="16"/>
                <w:lang w:eastAsia="en-US"/>
              </w:rPr>
            </w:pPr>
            <w:r w:rsidRPr="00A970C5">
              <w:rPr>
                <w:rFonts w:eastAsia="Times New Roman" w:cs="Arial"/>
                <w:b/>
                <w:bCs/>
                <w:sz w:val="18"/>
                <w:szCs w:val="16"/>
                <w:lang w:eastAsia="en-US"/>
              </w:rPr>
              <w:t>Indicateurs d</w:t>
            </w:r>
            <w:r w:rsidR="007914A0" w:rsidRPr="00A970C5">
              <w:rPr>
                <w:rFonts w:eastAsia="Times New Roman" w:cs="Arial"/>
                <w:b/>
                <w:bCs/>
                <w:sz w:val="18"/>
                <w:szCs w:val="16"/>
                <w:lang w:eastAsia="en-US"/>
              </w:rPr>
              <w:t>’</w:t>
            </w:r>
            <w:r w:rsidRPr="00A970C5">
              <w:rPr>
                <w:rFonts w:eastAsia="Times New Roman" w:cs="Arial"/>
                <w:b/>
                <w:bCs/>
                <w:sz w:val="18"/>
                <w:szCs w:val="16"/>
                <w:lang w:eastAsia="en-US"/>
              </w:rPr>
              <w:t>exécution</w:t>
            </w:r>
          </w:p>
        </w:tc>
        <w:tc>
          <w:tcPr>
            <w:tcW w:w="2359" w:type="dxa"/>
            <w:shd w:val="clear" w:color="000000" w:fill="C5D9F1"/>
            <w:tcMar>
              <w:top w:w="57" w:type="dxa"/>
            </w:tcMar>
            <w:vAlign w:val="center"/>
            <w:hideMark/>
          </w:tcPr>
          <w:p w14:paraId="002B19BF" w14:textId="3EEF6109" w:rsidR="00FF6B56" w:rsidRPr="00A970C5" w:rsidRDefault="008F39FF" w:rsidP="00986700">
            <w:pPr>
              <w:jc w:val="center"/>
              <w:rPr>
                <w:rFonts w:eastAsia="Times New Roman" w:cs="Arial"/>
                <w:b/>
                <w:bCs/>
                <w:sz w:val="18"/>
                <w:szCs w:val="16"/>
                <w:lang w:eastAsia="en-US"/>
              </w:rPr>
            </w:pPr>
            <w:r w:rsidRPr="00A970C5">
              <w:rPr>
                <w:rFonts w:eastAsia="Times New Roman" w:cs="Arial"/>
                <w:b/>
                <w:bCs/>
                <w:sz w:val="18"/>
                <w:szCs w:val="16"/>
                <w:lang w:eastAsia="en-US"/>
              </w:rPr>
              <w:t>Niveaux de référence</w:t>
            </w:r>
          </w:p>
        </w:tc>
        <w:tc>
          <w:tcPr>
            <w:tcW w:w="2297" w:type="dxa"/>
            <w:shd w:val="clear" w:color="000000" w:fill="C5D9F1"/>
            <w:tcMar>
              <w:top w:w="57" w:type="dxa"/>
            </w:tcMar>
            <w:vAlign w:val="center"/>
            <w:hideMark/>
          </w:tcPr>
          <w:p w14:paraId="10876924" w14:textId="1BBD6575" w:rsidR="00FF6B56" w:rsidRPr="00A970C5" w:rsidRDefault="008F39FF" w:rsidP="00986700">
            <w:pPr>
              <w:jc w:val="center"/>
              <w:rPr>
                <w:rFonts w:eastAsia="Times New Roman" w:cs="Arial"/>
                <w:b/>
                <w:bCs/>
                <w:sz w:val="18"/>
                <w:szCs w:val="16"/>
                <w:lang w:eastAsia="en-US"/>
              </w:rPr>
            </w:pPr>
            <w:r w:rsidRPr="00A970C5">
              <w:rPr>
                <w:rFonts w:eastAsia="Times New Roman" w:cs="Arial"/>
                <w:b/>
                <w:bCs/>
                <w:sz w:val="18"/>
                <w:szCs w:val="16"/>
                <w:lang w:eastAsia="en-US"/>
              </w:rPr>
              <w:t>Objectifs visés</w:t>
            </w:r>
          </w:p>
        </w:tc>
      </w:tr>
      <w:tr w:rsidR="008771A6" w:rsidRPr="00A970C5" w14:paraId="636DE482" w14:textId="77777777" w:rsidTr="008771A6">
        <w:trPr>
          <w:cantSplit/>
        </w:trPr>
        <w:tc>
          <w:tcPr>
            <w:tcW w:w="2316" w:type="dxa"/>
            <w:vMerge w:val="restart"/>
            <w:shd w:val="clear" w:color="000000" w:fill="FFFFFF"/>
            <w:tcMar>
              <w:top w:w="57" w:type="dxa"/>
            </w:tcMar>
            <w:hideMark/>
          </w:tcPr>
          <w:p w14:paraId="7A6C2DE7" w14:textId="77777777"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 xml:space="preserve">I.1 Renforcement de la coopération entre les États membres en ce qui concerne l’élaboration de cadres normatifs internationaux équilibrés dans le domaine de la propriété intellectuelle </w:t>
            </w:r>
          </w:p>
          <w:p w14:paraId="696358E6" w14:textId="2329EAAF" w:rsidR="008771A6" w:rsidRPr="00A970C5" w:rsidRDefault="008771A6" w:rsidP="00986700">
            <w:pPr>
              <w:jc w:val="right"/>
              <w:rPr>
                <w:rFonts w:eastAsia="Times New Roman" w:cs="Arial"/>
                <w:sz w:val="16"/>
                <w:szCs w:val="16"/>
                <w:lang w:eastAsia="en-US"/>
              </w:rPr>
            </w:pPr>
            <w:r w:rsidRPr="00A970C5">
              <w:rPr>
                <w:rFonts w:eastAsia="Times New Roman" w:cs="Arial"/>
                <w:sz w:val="16"/>
                <w:szCs w:val="16"/>
                <w:lang w:eastAsia="en-US"/>
              </w:rPr>
              <w:t> </w:t>
            </w:r>
          </w:p>
        </w:tc>
        <w:tc>
          <w:tcPr>
            <w:tcW w:w="2315" w:type="dxa"/>
            <w:shd w:val="clear" w:color="000000" w:fill="FFFFFF"/>
            <w:tcMar>
              <w:top w:w="57" w:type="dxa"/>
            </w:tcMar>
            <w:hideMark/>
          </w:tcPr>
          <w:p w14:paraId="23566D96" w14:textId="7EFA24C4"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État d’avancement de la mise en œuvre des travaux convenus selon l’ordre du jour du SCP</w:t>
            </w:r>
          </w:p>
        </w:tc>
        <w:tc>
          <w:tcPr>
            <w:tcW w:w="2359" w:type="dxa"/>
            <w:shd w:val="clear" w:color="auto" w:fill="auto"/>
            <w:tcMar>
              <w:top w:w="57" w:type="dxa"/>
            </w:tcMar>
            <w:hideMark/>
          </w:tcPr>
          <w:p w14:paraId="45B6DAE6" w14:textId="76FBBB10"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État d’avancement des travaux menés au sein du comité dans le rapport sur la vingt</w:t>
            </w:r>
            <w:r>
              <w:rPr>
                <w:rFonts w:eastAsia="Times New Roman" w:cs="Arial"/>
                <w:sz w:val="16"/>
                <w:szCs w:val="16"/>
                <w:lang w:eastAsia="en-US"/>
              </w:rPr>
              <w:noBreakHyphen/>
            </w:r>
            <w:r w:rsidRPr="00A970C5">
              <w:rPr>
                <w:rFonts w:eastAsia="Times New Roman" w:cs="Arial"/>
                <w:sz w:val="16"/>
                <w:szCs w:val="16"/>
                <w:lang w:eastAsia="en-US"/>
              </w:rPr>
              <w:t>cinquième session du SCP</w:t>
            </w:r>
          </w:p>
        </w:tc>
        <w:tc>
          <w:tcPr>
            <w:tcW w:w="2297" w:type="dxa"/>
            <w:shd w:val="clear" w:color="000000" w:fill="FFFFFF"/>
            <w:tcMar>
              <w:top w:w="57" w:type="dxa"/>
            </w:tcMar>
            <w:hideMark/>
          </w:tcPr>
          <w:p w14:paraId="12F8875E" w14:textId="24E27483"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Résultats convenus par le SCP</w:t>
            </w:r>
          </w:p>
        </w:tc>
      </w:tr>
      <w:tr w:rsidR="008771A6" w:rsidRPr="00A970C5" w14:paraId="2B9EB54C" w14:textId="77777777" w:rsidTr="008771A6">
        <w:trPr>
          <w:cantSplit/>
        </w:trPr>
        <w:tc>
          <w:tcPr>
            <w:tcW w:w="2316" w:type="dxa"/>
            <w:vMerge/>
            <w:shd w:val="clear" w:color="000000" w:fill="FFFFFF"/>
            <w:tcMar>
              <w:top w:w="57" w:type="dxa"/>
            </w:tcMar>
            <w:hideMark/>
          </w:tcPr>
          <w:p w14:paraId="09E43462" w14:textId="23687C10" w:rsidR="008771A6" w:rsidRPr="00A970C5" w:rsidRDefault="008771A6" w:rsidP="00986700">
            <w:pPr>
              <w:jc w:val="right"/>
              <w:rPr>
                <w:rFonts w:eastAsia="Times New Roman" w:cs="Arial"/>
                <w:sz w:val="16"/>
                <w:szCs w:val="16"/>
                <w:lang w:eastAsia="en-US"/>
              </w:rPr>
            </w:pPr>
          </w:p>
        </w:tc>
        <w:tc>
          <w:tcPr>
            <w:tcW w:w="2315" w:type="dxa"/>
            <w:shd w:val="clear" w:color="000000" w:fill="FFFFFF"/>
            <w:tcMar>
              <w:top w:w="57" w:type="dxa"/>
            </w:tcMar>
            <w:hideMark/>
          </w:tcPr>
          <w:p w14:paraId="12BA4F53" w14:textId="25C7FDC2"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Niveau de satisfaction des participants quant aux activités de sensibilisation et de promotion dans le domaine des brevets et de questions connexes</w:t>
            </w:r>
          </w:p>
        </w:tc>
        <w:tc>
          <w:tcPr>
            <w:tcW w:w="2359" w:type="dxa"/>
            <w:shd w:val="clear" w:color="000000" w:fill="FFFFFF"/>
            <w:tcMar>
              <w:top w:w="57" w:type="dxa"/>
            </w:tcMar>
            <w:hideMark/>
          </w:tcPr>
          <w:p w14:paraId="1081CDB7" w14:textId="344201DC"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89% de satisfaction sur la base des enquêtes réalisées en 2016</w:t>
            </w:r>
          </w:p>
        </w:tc>
        <w:tc>
          <w:tcPr>
            <w:tcW w:w="2297" w:type="dxa"/>
            <w:shd w:val="clear" w:color="000000" w:fill="FFFFFF"/>
            <w:tcMar>
              <w:top w:w="57" w:type="dxa"/>
            </w:tcMar>
            <w:hideMark/>
          </w:tcPr>
          <w:p w14:paraId="5EBD9F8C" w14:textId="3F2EBAEE" w:rsidR="008771A6" w:rsidRPr="00A970C5" w:rsidRDefault="008771A6" w:rsidP="00986700">
            <w:pPr>
              <w:rPr>
                <w:rFonts w:eastAsia="Times New Roman" w:cs="Arial"/>
                <w:sz w:val="16"/>
                <w:szCs w:val="16"/>
                <w:lang w:eastAsia="en-US"/>
              </w:rPr>
            </w:pPr>
            <w:r w:rsidRPr="00A970C5">
              <w:rPr>
                <w:rFonts w:eastAsia="Times New Roman" w:cs="Arial"/>
                <w:sz w:val="16"/>
                <w:szCs w:val="16"/>
                <w:lang w:eastAsia="en-US"/>
              </w:rPr>
              <w:t>90% de satisfaction</w:t>
            </w:r>
          </w:p>
        </w:tc>
      </w:tr>
      <w:tr w:rsidR="00A970C5" w:rsidRPr="00A970C5" w14:paraId="7E7B8E0F" w14:textId="77777777" w:rsidTr="008771A6">
        <w:trPr>
          <w:cantSplit/>
        </w:trPr>
        <w:tc>
          <w:tcPr>
            <w:tcW w:w="2316" w:type="dxa"/>
            <w:shd w:val="clear" w:color="000000" w:fill="FFFFFF"/>
            <w:tcMar>
              <w:top w:w="57" w:type="dxa"/>
            </w:tcMar>
            <w:hideMark/>
          </w:tcPr>
          <w:p w14:paraId="029DEC9F" w14:textId="77777777" w:rsidR="00FF6B56" w:rsidRPr="00A970C5" w:rsidRDefault="00FF6B56" w:rsidP="00986700">
            <w:pPr>
              <w:jc w:val="right"/>
              <w:rPr>
                <w:rFonts w:eastAsia="Times New Roman" w:cs="Arial"/>
                <w:sz w:val="16"/>
                <w:szCs w:val="16"/>
                <w:lang w:eastAsia="en-US"/>
              </w:rPr>
            </w:pPr>
            <w:r w:rsidRPr="00A970C5">
              <w:rPr>
                <w:rFonts w:eastAsia="Times New Roman" w:cs="Arial"/>
                <w:sz w:val="16"/>
                <w:szCs w:val="16"/>
                <w:lang w:eastAsia="en-US"/>
              </w:rPr>
              <w:t> </w:t>
            </w:r>
          </w:p>
        </w:tc>
        <w:tc>
          <w:tcPr>
            <w:tcW w:w="2315" w:type="dxa"/>
            <w:shd w:val="clear" w:color="000000" w:fill="FFFFFF"/>
            <w:tcMar>
              <w:top w:w="57" w:type="dxa"/>
            </w:tcMar>
            <w:hideMark/>
          </w:tcPr>
          <w:p w14:paraId="7F8B323A" w14:textId="0DE02A3F" w:rsidR="00FF6B56" w:rsidRPr="00A970C5" w:rsidRDefault="00F73275" w:rsidP="00986700">
            <w:pPr>
              <w:rPr>
                <w:rFonts w:eastAsia="Times New Roman" w:cs="Arial"/>
                <w:sz w:val="16"/>
                <w:szCs w:val="16"/>
                <w:lang w:eastAsia="en-US"/>
              </w:rPr>
            </w:pPr>
            <w:r w:rsidRPr="00A970C5">
              <w:rPr>
                <w:rFonts w:eastAsia="Times New Roman" w:cs="Arial"/>
                <w:sz w:val="16"/>
                <w:szCs w:val="16"/>
                <w:lang w:eastAsia="en-US"/>
              </w:rPr>
              <w:t>Niveau de satisfaction des participants quant aux activités de formation et de renforcement des capacités de l</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OMPI dans le domaine des brevets </w:t>
            </w:r>
          </w:p>
        </w:tc>
        <w:tc>
          <w:tcPr>
            <w:tcW w:w="2359" w:type="dxa"/>
            <w:shd w:val="clear" w:color="000000" w:fill="FFFFFF"/>
            <w:tcMar>
              <w:top w:w="57" w:type="dxa"/>
            </w:tcMar>
            <w:hideMark/>
          </w:tcPr>
          <w:p w14:paraId="1A12CA32" w14:textId="3DAB51C8" w:rsidR="00FF6B56" w:rsidRPr="00A970C5" w:rsidRDefault="00F73275" w:rsidP="00986700">
            <w:pPr>
              <w:rPr>
                <w:rFonts w:eastAsia="Times New Roman" w:cs="Arial"/>
                <w:sz w:val="16"/>
                <w:szCs w:val="16"/>
                <w:lang w:eastAsia="en-US"/>
              </w:rPr>
            </w:pPr>
            <w:r w:rsidRPr="00A970C5">
              <w:rPr>
                <w:rFonts w:eastAsia="Times New Roman" w:cs="Arial"/>
                <w:sz w:val="16"/>
                <w:szCs w:val="16"/>
                <w:lang w:eastAsia="en-US"/>
              </w:rPr>
              <w:t>À déterminer fin 2017</w:t>
            </w:r>
          </w:p>
        </w:tc>
        <w:tc>
          <w:tcPr>
            <w:tcW w:w="2297" w:type="dxa"/>
            <w:shd w:val="clear" w:color="000000" w:fill="FFFFFF"/>
            <w:tcMar>
              <w:top w:w="57" w:type="dxa"/>
            </w:tcMar>
            <w:hideMark/>
          </w:tcPr>
          <w:p w14:paraId="5DE39297" w14:textId="14C941DB" w:rsidR="00FF6B56" w:rsidRPr="00A970C5" w:rsidRDefault="00F73275" w:rsidP="00986700">
            <w:pPr>
              <w:rPr>
                <w:rFonts w:eastAsia="Times New Roman" w:cs="Arial"/>
                <w:sz w:val="16"/>
                <w:szCs w:val="16"/>
                <w:lang w:eastAsia="en-US"/>
              </w:rPr>
            </w:pPr>
            <w:r w:rsidRPr="00A970C5">
              <w:rPr>
                <w:rFonts w:eastAsia="Times New Roman" w:cs="Arial"/>
                <w:sz w:val="16"/>
                <w:szCs w:val="16"/>
                <w:lang w:eastAsia="en-US"/>
              </w:rPr>
              <w:t xml:space="preserve">90% des personnes interrogées </w:t>
            </w:r>
            <w:r w:rsidR="00BF239C" w:rsidRPr="00A970C5">
              <w:rPr>
                <w:rFonts w:eastAsia="Times New Roman" w:cs="Arial"/>
                <w:sz w:val="16"/>
                <w:szCs w:val="16"/>
                <w:lang w:eastAsia="en-US"/>
              </w:rPr>
              <w:t xml:space="preserve">se déclarent </w:t>
            </w:r>
            <w:r w:rsidRPr="00A970C5">
              <w:rPr>
                <w:rFonts w:eastAsia="Times New Roman" w:cs="Arial"/>
                <w:sz w:val="16"/>
                <w:szCs w:val="16"/>
                <w:lang w:eastAsia="en-US"/>
              </w:rPr>
              <w:t>satisfait</w:t>
            </w:r>
            <w:r w:rsidR="00BF239C" w:rsidRPr="00A970C5">
              <w:rPr>
                <w:rFonts w:eastAsia="Times New Roman" w:cs="Arial"/>
                <w:sz w:val="16"/>
                <w:szCs w:val="16"/>
                <w:lang w:eastAsia="en-US"/>
              </w:rPr>
              <w:t>e</w:t>
            </w:r>
            <w:r w:rsidRPr="00A970C5">
              <w:rPr>
                <w:rFonts w:eastAsia="Times New Roman" w:cs="Arial"/>
                <w:sz w:val="16"/>
                <w:szCs w:val="16"/>
                <w:lang w:eastAsia="en-US"/>
              </w:rPr>
              <w:t>s</w:t>
            </w:r>
          </w:p>
        </w:tc>
      </w:tr>
      <w:tr w:rsidR="00A970C5" w:rsidRPr="00A970C5" w14:paraId="57BEB368" w14:textId="77777777" w:rsidTr="008771A6">
        <w:trPr>
          <w:cantSplit/>
        </w:trPr>
        <w:tc>
          <w:tcPr>
            <w:tcW w:w="2316" w:type="dxa"/>
            <w:shd w:val="clear" w:color="000000" w:fill="FFFFFF"/>
            <w:tcMar>
              <w:top w:w="57" w:type="dxa"/>
            </w:tcMar>
          </w:tcPr>
          <w:p w14:paraId="1FA991B3" w14:textId="25F22058" w:rsidR="00634B11" w:rsidRPr="00A970C5" w:rsidRDefault="00634B11" w:rsidP="00986700">
            <w:pPr>
              <w:jc w:val="right"/>
              <w:rPr>
                <w:rFonts w:eastAsia="Times New Roman" w:cs="Arial"/>
                <w:sz w:val="16"/>
                <w:szCs w:val="16"/>
                <w:lang w:eastAsia="en-US"/>
              </w:rPr>
            </w:pPr>
          </w:p>
        </w:tc>
        <w:tc>
          <w:tcPr>
            <w:tcW w:w="2315" w:type="dxa"/>
            <w:shd w:val="clear" w:color="000000" w:fill="FFFFFF"/>
            <w:tcMar>
              <w:top w:w="57" w:type="dxa"/>
            </w:tcMar>
          </w:tcPr>
          <w:p w14:paraId="47475658" w14:textId="594F5782" w:rsidR="00634B11" w:rsidRPr="00A970C5" w:rsidRDefault="003F19F4" w:rsidP="00986700">
            <w:pPr>
              <w:rPr>
                <w:rFonts w:eastAsia="Times New Roman" w:cs="Arial"/>
                <w:sz w:val="16"/>
                <w:szCs w:val="16"/>
                <w:lang w:eastAsia="en-US"/>
              </w:rPr>
            </w:pPr>
            <w:r w:rsidRPr="00A970C5">
              <w:rPr>
                <w:rFonts w:eastAsia="Times New Roman" w:cs="Arial"/>
                <w:sz w:val="16"/>
                <w:szCs w:val="16"/>
                <w:lang w:eastAsia="en-US"/>
              </w:rPr>
              <w:t>Pourcentage des participants à des activités de formation et de renforcement des capacités de l</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OMPI dans le domaine des brevets </w:t>
            </w:r>
            <w:r w:rsidR="00FA49DB" w:rsidRPr="00A970C5">
              <w:rPr>
                <w:rFonts w:eastAsia="Times New Roman" w:cs="Arial"/>
                <w:sz w:val="16"/>
                <w:szCs w:val="16"/>
                <w:lang w:eastAsia="en-US"/>
              </w:rPr>
              <w:t>qui font</w:t>
            </w:r>
            <w:r w:rsidRPr="00A970C5">
              <w:rPr>
                <w:rFonts w:eastAsia="Times New Roman" w:cs="Arial"/>
                <w:sz w:val="16"/>
                <w:szCs w:val="16"/>
                <w:lang w:eastAsia="en-US"/>
              </w:rPr>
              <w:t xml:space="preserve"> état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un </w:t>
            </w:r>
            <w:r w:rsidR="00BF239C" w:rsidRPr="00A970C5">
              <w:rPr>
                <w:rFonts w:eastAsia="Times New Roman" w:cs="Arial"/>
                <w:sz w:val="16"/>
                <w:szCs w:val="16"/>
                <w:lang w:eastAsia="en-US"/>
              </w:rPr>
              <w:t xml:space="preserve">meilleur </w:t>
            </w:r>
            <w:r w:rsidRPr="00A970C5">
              <w:rPr>
                <w:rFonts w:eastAsia="Times New Roman" w:cs="Arial"/>
                <w:sz w:val="16"/>
                <w:szCs w:val="16"/>
                <w:lang w:eastAsia="en-US"/>
              </w:rPr>
              <w:t xml:space="preserve">niveau de connaissances </w:t>
            </w:r>
          </w:p>
        </w:tc>
        <w:tc>
          <w:tcPr>
            <w:tcW w:w="2359" w:type="dxa"/>
            <w:shd w:val="clear" w:color="000000" w:fill="FFFFFF"/>
            <w:tcMar>
              <w:top w:w="57" w:type="dxa"/>
            </w:tcMar>
          </w:tcPr>
          <w:p w14:paraId="16C85167" w14:textId="0DD58BAB" w:rsidR="00634B11" w:rsidRPr="00A970C5" w:rsidRDefault="003F19F4" w:rsidP="00986700">
            <w:pPr>
              <w:rPr>
                <w:rFonts w:eastAsia="Times New Roman" w:cs="Arial"/>
                <w:sz w:val="16"/>
                <w:szCs w:val="16"/>
                <w:lang w:eastAsia="en-US"/>
              </w:rPr>
            </w:pPr>
            <w:r w:rsidRPr="00A970C5">
              <w:rPr>
                <w:rFonts w:eastAsia="Times New Roman" w:cs="Arial"/>
                <w:sz w:val="16"/>
                <w:szCs w:val="16"/>
                <w:lang w:eastAsia="en-US"/>
              </w:rPr>
              <w:t>À déterminer fin 2017</w:t>
            </w:r>
          </w:p>
        </w:tc>
        <w:tc>
          <w:tcPr>
            <w:tcW w:w="2297" w:type="dxa"/>
            <w:shd w:val="clear" w:color="000000" w:fill="FFFFFF"/>
            <w:tcMar>
              <w:top w:w="57" w:type="dxa"/>
            </w:tcMar>
          </w:tcPr>
          <w:p w14:paraId="1DE79152" w14:textId="2D801C5E" w:rsidR="00634B11" w:rsidRPr="00A970C5" w:rsidRDefault="00634B11" w:rsidP="00986700">
            <w:pPr>
              <w:rPr>
                <w:rFonts w:eastAsia="Times New Roman" w:cs="Arial"/>
                <w:sz w:val="16"/>
                <w:szCs w:val="16"/>
                <w:lang w:eastAsia="en-US"/>
              </w:rPr>
            </w:pPr>
            <w:r w:rsidRPr="00A970C5">
              <w:rPr>
                <w:rFonts w:eastAsia="Times New Roman" w:cs="Arial"/>
                <w:sz w:val="16"/>
                <w:szCs w:val="16"/>
                <w:lang w:eastAsia="en-US"/>
              </w:rPr>
              <w:t>90%</w:t>
            </w:r>
          </w:p>
        </w:tc>
      </w:tr>
      <w:tr w:rsidR="00A970C5" w:rsidRPr="00A970C5" w14:paraId="43AD599D" w14:textId="77777777" w:rsidTr="008771A6">
        <w:trPr>
          <w:cantSplit/>
        </w:trPr>
        <w:tc>
          <w:tcPr>
            <w:tcW w:w="2316" w:type="dxa"/>
            <w:shd w:val="clear" w:color="000000" w:fill="FFFFFF"/>
            <w:tcMar>
              <w:top w:w="57" w:type="dxa"/>
            </w:tcMar>
            <w:hideMark/>
          </w:tcPr>
          <w:p w14:paraId="49F0484E" w14:textId="1609FC92" w:rsidR="00FF6B56" w:rsidRPr="00A970C5" w:rsidRDefault="00FA49DB" w:rsidP="00986700">
            <w:pPr>
              <w:rPr>
                <w:rFonts w:eastAsia="Times New Roman" w:cs="Arial"/>
                <w:sz w:val="16"/>
                <w:szCs w:val="16"/>
                <w:lang w:eastAsia="en-US"/>
              </w:rPr>
            </w:pPr>
            <w:r w:rsidRPr="00A970C5">
              <w:rPr>
                <w:rFonts w:eastAsia="Times New Roman" w:cs="Arial"/>
                <w:sz w:val="16"/>
                <w:szCs w:val="16"/>
                <w:lang w:eastAsia="en-US"/>
              </w:rPr>
              <w:lastRenderedPageBreak/>
              <w:t xml:space="preserve">I.2 </w:t>
            </w:r>
            <w:r w:rsidR="003F19F4" w:rsidRPr="00A970C5">
              <w:rPr>
                <w:rFonts w:eastAsia="Times New Roman" w:cs="Arial"/>
                <w:sz w:val="16"/>
                <w:szCs w:val="16"/>
                <w:lang w:eastAsia="en-US"/>
              </w:rPr>
              <w:t>Cadres législatifs, réglementaires et politiques de propriété intellectuelle adaptés et équilibrés</w:t>
            </w:r>
          </w:p>
        </w:tc>
        <w:tc>
          <w:tcPr>
            <w:tcW w:w="2315" w:type="dxa"/>
            <w:shd w:val="clear" w:color="000000" w:fill="FFFFFF"/>
            <w:tcMar>
              <w:top w:w="57" w:type="dxa"/>
            </w:tcMar>
            <w:hideMark/>
          </w:tcPr>
          <w:p w14:paraId="2212B061" w14:textId="496BC18A" w:rsidR="00FF6B56" w:rsidRPr="00A970C5" w:rsidRDefault="003F19F4" w:rsidP="00986700">
            <w:pPr>
              <w:rPr>
                <w:rFonts w:eastAsia="Times New Roman" w:cs="Arial"/>
                <w:sz w:val="16"/>
                <w:szCs w:val="16"/>
                <w:lang w:eastAsia="en-US"/>
              </w:rPr>
            </w:pPr>
            <w:r w:rsidRPr="00A970C5">
              <w:rPr>
                <w:rFonts w:eastAsia="Times New Roman" w:cs="Arial"/>
                <w:sz w:val="16"/>
                <w:szCs w:val="16"/>
                <w:lang w:eastAsia="en-US"/>
              </w:rPr>
              <w:t>Pourcentage de bénéficiaires ayant trouvé utiles les informations fournies concernant les principes et les pratiques juridiques des systèmes des brevets, des modèles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utilité et des circuits intégrés, </w:t>
            </w:r>
            <w:r w:rsidR="007914A0" w:rsidRPr="00A970C5">
              <w:rPr>
                <w:rFonts w:eastAsia="Times New Roman" w:cs="Arial"/>
                <w:sz w:val="16"/>
                <w:szCs w:val="16"/>
                <w:lang w:eastAsia="en-US"/>
              </w:rPr>
              <w:t>y compris</w:t>
            </w:r>
            <w:r w:rsidRPr="00A970C5">
              <w:rPr>
                <w:rFonts w:eastAsia="Times New Roman" w:cs="Arial"/>
                <w:sz w:val="16"/>
                <w:szCs w:val="16"/>
                <w:lang w:eastAsia="en-US"/>
              </w:rPr>
              <w:t xml:space="preserve"> les éléments de flexibilité</w:t>
            </w:r>
          </w:p>
        </w:tc>
        <w:tc>
          <w:tcPr>
            <w:tcW w:w="2359" w:type="dxa"/>
            <w:shd w:val="clear" w:color="000000" w:fill="FFFFFF"/>
            <w:tcMar>
              <w:top w:w="57" w:type="dxa"/>
            </w:tcMar>
            <w:hideMark/>
          </w:tcPr>
          <w:p w14:paraId="42053D20" w14:textId="2635EE99" w:rsidR="00FF6B56" w:rsidRPr="00A970C5" w:rsidRDefault="003F19F4" w:rsidP="00986700">
            <w:pPr>
              <w:rPr>
                <w:rFonts w:eastAsia="Times New Roman" w:cs="Arial"/>
                <w:sz w:val="16"/>
                <w:szCs w:val="16"/>
                <w:lang w:eastAsia="en-US"/>
              </w:rPr>
            </w:pPr>
            <w:r w:rsidRPr="00A970C5">
              <w:rPr>
                <w:rFonts w:eastAsia="Times New Roman" w:cs="Arial"/>
                <w:sz w:val="16"/>
                <w:szCs w:val="16"/>
                <w:lang w:eastAsia="en-US"/>
              </w:rPr>
              <w:t>100% sur la base de 24</w:t>
            </w:r>
            <w:r w:rsidR="00920B3A" w:rsidRPr="00A970C5">
              <w:rPr>
                <w:rFonts w:eastAsia="Times New Roman" w:cs="Arial"/>
                <w:sz w:val="16"/>
                <w:szCs w:val="16"/>
                <w:lang w:eastAsia="en-US"/>
              </w:rPr>
              <w:t> </w:t>
            </w:r>
            <w:r w:rsidRPr="00A970C5">
              <w:rPr>
                <w:rFonts w:eastAsia="Times New Roman" w:cs="Arial"/>
                <w:sz w:val="16"/>
                <w:szCs w:val="16"/>
                <w:lang w:eastAsia="en-US"/>
              </w:rPr>
              <w:t xml:space="preserve">réponses </w:t>
            </w:r>
            <w:r w:rsidR="007914A0" w:rsidRPr="00A970C5">
              <w:rPr>
                <w:rFonts w:eastAsia="Times New Roman" w:cs="Arial"/>
                <w:sz w:val="16"/>
                <w:szCs w:val="16"/>
                <w:lang w:eastAsia="en-US"/>
              </w:rPr>
              <w:t>en 2016</w:t>
            </w:r>
          </w:p>
        </w:tc>
        <w:tc>
          <w:tcPr>
            <w:tcW w:w="2297" w:type="dxa"/>
            <w:shd w:val="clear" w:color="000000" w:fill="FFFFFF"/>
            <w:tcMar>
              <w:top w:w="57" w:type="dxa"/>
            </w:tcMar>
            <w:hideMark/>
          </w:tcPr>
          <w:p w14:paraId="5E06BDD4" w14:textId="77777777" w:rsidR="00FF6B56" w:rsidRPr="00A970C5" w:rsidRDefault="00FF6B56" w:rsidP="00986700">
            <w:pPr>
              <w:rPr>
                <w:rFonts w:eastAsia="Times New Roman" w:cs="Arial"/>
                <w:sz w:val="16"/>
                <w:szCs w:val="16"/>
                <w:lang w:eastAsia="en-US"/>
              </w:rPr>
            </w:pPr>
            <w:r w:rsidRPr="00A970C5">
              <w:rPr>
                <w:rFonts w:eastAsia="Times New Roman" w:cs="Arial"/>
                <w:sz w:val="16"/>
                <w:szCs w:val="16"/>
                <w:lang w:eastAsia="en-US"/>
              </w:rPr>
              <w:t>90%</w:t>
            </w:r>
          </w:p>
        </w:tc>
      </w:tr>
      <w:tr w:rsidR="00A970C5" w:rsidRPr="00A970C5" w14:paraId="1A9F135C" w14:textId="77777777" w:rsidTr="008771A6">
        <w:trPr>
          <w:cantSplit/>
        </w:trPr>
        <w:tc>
          <w:tcPr>
            <w:tcW w:w="2316" w:type="dxa"/>
            <w:shd w:val="clear" w:color="000000" w:fill="FFFFFF"/>
            <w:tcMar>
              <w:top w:w="57" w:type="dxa"/>
            </w:tcMar>
            <w:hideMark/>
          </w:tcPr>
          <w:p w14:paraId="6C53AF94" w14:textId="77777777" w:rsidR="00FF6B56" w:rsidRPr="00A970C5" w:rsidRDefault="00FF6B56" w:rsidP="00986700">
            <w:pPr>
              <w:rPr>
                <w:rFonts w:eastAsia="Times New Roman" w:cs="Arial"/>
                <w:sz w:val="16"/>
                <w:szCs w:val="16"/>
                <w:lang w:eastAsia="en-US"/>
              </w:rPr>
            </w:pPr>
            <w:r w:rsidRPr="00A970C5">
              <w:rPr>
                <w:rFonts w:eastAsia="Times New Roman" w:cs="Arial"/>
                <w:sz w:val="16"/>
                <w:szCs w:val="16"/>
                <w:lang w:eastAsia="en-US"/>
              </w:rPr>
              <w:t> </w:t>
            </w:r>
          </w:p>
        </w:tc>
        <w:tc>
          <w:tcPr>
            <w:tcW w:w="2315" w:type="dxa"/>
            <w:shd w:val="clear" w:color="000000" w:fill="FFFFFF"/>
            <w:tcMar>
              <w:top w:w="57" w:type="dxa"/>
            </w:tcMar>
            <w:hideMark/>
          </w:tcPr>
          <w:p w14:paraId="6183AEE9" w14:textId="56ACDAB1" w:rsidR="00FF6B56" w:rsidRPr="00A970C5" w:rsidRDefault="003F19F4" w:rsidP="00986700">
            <w:pPr>
              <w:rPr>
                <w:rFonts w:eastAsia="Times New Roman" w:cs="Arial"/>
                <w:sz w:val="16"/>
                <w:szCs w:val="16"/>
                <w:lang w:eastAsia="en-US"/>
              </w:rPr>
            </w:pPr>
            <w:r w:rsidRPr="00A970C5">
              <w:rPr>
                <w:rFonts w:eastAsia="Times New Roman" w:cs="Arial"/>
                <w:sz w:val="16"/>
                <w:szCs w:val="16"/>
                <w:lang w:eastAsia="en-US"/>
              </w:rPr>
              <w:t>Nombre et pourcentage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États membres satisfaits des conseils </w:t>
            </w:r>
            <w:r w:rsidR="00BF239C" w:rsidRPr="00A970C5">
              <w:rPr>
                <w:rFonts w:eastAsia="Times New Roman" w:cs="Arial"/>
                <w:sz w:val="16"/>
                <w:szCs w:val="16"/>
                <w:lang w:eastAsia="en-US"/>
              </w:rPr>
              <w:t>juridique</w:t>
            </w:r>
            <w:r w:rsidRPr="00A970C5">
              <w:rPr>
                <w:rFonts w:eastAsia="Times New Roman" w:cs="Arial"/>
                <w:sz w:val="16"/>
                <w:szCs w:val="16"/>
                <w:lang w:eastAsia="en-US"/>
              </w:rPr>
              <w:t>s et de politique générale fournis</w:t>
            </w:r>
          </w:p>
        </w:tc>
        <w:tc>
          <w:tcPr>
            <w:tcW w:w="2359" w:type="dxa"/>
            <w:shd w:val="clear" w:color="000000" w:fill="FFFFFF"/>
            <w:tcMar>
              <w:top w:w="57" w:type="dxa"/>
            </w:tcMar>
            <w:hideMark/>
          </w:tcPr>
          <w:p w14:paraId="13D9FB16" w14:textId="4197D406" w:rsidR="00FF6B56" w:rsidRPr="00A970C5" w:rsidRDefault="003F19F4" w:rsidP="00986700">
            <w:pPr>
              <w:rPr>
                <w:rFonts w:eastAsia="Times New Roman" w:cs="Arial"/>
                <w:sz w:val="16"/>
                <w:szCs w:val="16"/>
                <w:lang w:eastAsia="en-US"/>
              </w:rPr>
            </w:pPr>
            <w:r w:rsidRPr="00A970C5">
              <w:rPr>
                <w:rFonts w:eastAsia="Times New Roman" w:cs="Arial"/>
                <w:sz w:val="16"/>
                <w:szCs w:val="16"/>
                <w:lang w:eastAsia="en-US"/>
              </w:rPr>
              <w:t>92% sur la base de l</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enquête </w:t>
            </w:r>
            <w:r w:rsidR="007914A0" w:rsidRPr="00A970C5">
              <w:rPr>
                <w:rFonts w:eastAsia="Times New Roman" w:cs="Arial"/>
                <w:sz w:val="16"/>
                <w:szCs w:val="16"/>
                <w:lang w:eastAsia="en-US"/>
              </w:rPr>
              <w:t>de 2016</w:t>
            </w:r>
          </w:p>
        </w:tc>
        <w:tc>
          <w:tcPr>
            <w:tcW w:w="2297" w:type="dxa"/>
            <w:shd w:val="clear" w:color="000000" w:fill="FFFFFF"/>
            <w:tcMar>
              <w:top w:w="57" w:type="dxa"/>
            </w:tcMar>
            <w:hideMark/>
          </w:tcPr>
          <w:p w14:paraId="2C8237B0" w14:textId="77777777" w:rsidR="00FF6B56" w:rsidRPr="00A970C5" w:rsidRDefault="00FF6B56" w:rsidP="00986700">
            <w:pPr>
              <w:rPr>
                <w:rFonts w:eastAsia="Times New Roman" w:cs="Arial"/>
                <w:sz w:val="16"/>
                <w:szCs w:val="16"/>
                <w:lang w:eastAsia="en-US"/>
              </w:rPr>
            </w:pPr>
            <w:r w:rsidRPr="00A970C5">
              <w:rPr>
                <w:rFonts w:eastAsia="Times New Roman" w:cs="Arial"/>
                <w:sz w:val="16"/>
                <w:szCs w:val="16"/>
                <w:lang w:eastAsia="en-US"/>
              </w:rPr>
              <w:t>90%</w:t>
            </w:r>
          </w:p>
        </w:tc>
      </w:tr>
      <w:tr w:rsidR="00A970C5" w:rsidRPr="00A970C5" w14:paraId="31A124B5" w14:textId="77777777" w:rsidTr="008771A6">
        <w:trPr>
          <w:cantSplit/>
        </w:trPr>
        <w:tc>
          <w:tcPr>
            <w:tcW w:w="2316" w:type="dxa"/>
            <w:shd w:val="clear" w:color="000000" w:fill="FFFFFF"/>
            <w:tcMar>
              <w:top w:w="57" w:type="dxa"/>
            </w:tcMar>
            <w:hideMark/>
          </w:tcPr>
          <w:p w14:paraId="63B681A4" w14:textId="30E51F59" w:rsidR="00FF6B56" w:rsidRPr="00A970C5" w:rsidRDefault="004D6FCE" w:rsidP="00986700">
            <w:pPr>
              <w:rPr>
                <w:rFonts w:eastAsia="Times New Roman" w:cs="Arial"/>
                <w:sz w:val="16"/>
                <w:szCs w:val="16"/>
                <w:lang w:eastAsia="en-US"/>
              </w:rPr>
            </w:pPr>
            <w:r w:rsidRPr="00A970C5">
              <w:rPr>
                <w:rFonts w:eastAsia="Times New Roman" w:cs="Arial"/>
                <w:sz w:val="16"/>
                <w:szCs w:val="16"/>
                <w:lang w:eastAsia="en-US"/>
              </w:rPr>
              <w:t>I.4 Intérêt croissant pour l</w:t>
            </w:r>
            <w:r w:rsidR="007914A0" w:rsidRPr="00A970C5">
              <w:rPr>
                <w:rFonts w:eastAsia="Times New Roman" w:cs="Arial"/>
                <w:sz w:val="16"/>
                <w:szCs w:val="16"/>
                <w:lang w:eastAsia="en-US"/>
              </w:rPr>
              <w:t>’</w:t>
            </w:r>
            <w:r w:rsidRPr="00A970C5">
              <w:rPr>
                <w:rFonts w:eastAsia="Times New Roman" w:cs="Arial"/>
                <w:sz w:val="16"/>
                <w:szCs w:val="16"/>
                <w:lang w:eastAsia="en-US"/>
              </w:rPr>
              <w:t>OMPI en tant qu</w:t>
            </w:r>
            <w:r w:rsidR="007914A0" w:rsidRPr="00A970C5">
              <w:rPr>
                <w:rFonts w:eastAsia="Times New Roman" w:cs="Arial"/>
                <w:sz w:val="16"/>
                <w:szCs w:val="16"/>
                <w:lang w:eastAsia="en-US"/>
              </w:rPr>
              <w:t>’</w:t>
            </w:r>
            <w:r w:rsidRPr="00A970C5">
              <w:rPr>
                <w:rFonts w:eastAsia="Times New Roman" w:cs="Arial"/>
                <w:sz w:val="16"/>
                <w:szCs w:val="16"/>
                <w:lang w:eastAsia="en-US"/>
              </w:rPr>
              <w:t>instance d</w:t>
            </w:r>
            <w:r w:rsidR="007914A0" w:rsidRPr="00A970C5">
              <w:rPr>
                <w:rFonts w:eastAsia="Times New Roman" w:cs="Arial"/>
                <w:sz w:val="16"/>
                <w:szCs w:val="16"/>
                <w:lang w:eastAsia="en-US"/>
              </w:rPr>
              <w:t>’</w:t>
            </w:r>
            <w:r w:rsidRPr="00A970C5">
              <w:rPr>
                <w:rFonts w:eastAsia="Times New Roman" w:cs="Arial"/>
                <w:sz w:val="16"/>
                <w:szCs w:val="16"/>
                <w:lang w:eastAsia="en-US"/>
              </w:rPr>
              <w:t>analyse des questions relatives à la protection internationale des brevets, modèles d</w:t>
            </w:r>
            <w:r w:rsidR="007914A0" w:rsidRPr="00A970C5">
              <w:rPr>
                <w:rFonts w:eastAsia="Times New Roman" w:cs="Arial"/>
                <w:sz w:val="16"/>
                <w:szCs w:val="16"/>
                <w:lang w:eastAsia="en-US"/>
              </w:rPr>
              <w:t>’</w:t>
            </w:r>
            <w:r w:rsidRPr="00A970C5">
              <w:rPr>
                <w:rFonts w:eastAsia="Times New Roman" w:cs="Arial"/>
                <w:sz w:val="16"/>
                <w:szCs w:val="16"/>
                <w:lang w:eastAsia="en-US"/>
              </w:rPr>
              <w:t>utilité, schémas de configuration (topographies) de circuits intégrés et informations confidentielles</w:t>
            </w:r>
          </w:p>
        </w:tc>
        <w:tc>
          <w:tcPr>
            <w:tcW w:w="2315" w:type="dxa"/>
            <w:shd w:val="clear" w:color="000000" w:fill="FFFFFF"/>
            <w:tcMar>
              <w:top w:w="57" w:type="dxa"/>
            </w:tcMar>
            <w:hideMark/>
          </w:tcPr>
          <w:p w14:paraId="6B986CE2" w14:textId="0034F68E" w:rsidR="00FF6B56" w:rsidRPr="00A970C5" w:rsidRDefault="004D6FCE" w:rsidP="00986700">
            <w:pPr>
              <w:rPr>
                <w:rFonts w:eastAsia="Times New Roman" w:cs="Arial"/>
                <w:sz w:val="16"/>
                <w:szCs w:val="16"/>
                <w:lang w:eastAsia="en-US"/>
              </w:rPr>
            </w:pPr>
            <w:r w:rsidRPr="00A970C5">
              <w:rPr>
                <w:rFonts w:eastAsia="Times New Roman" w:cs="Arial"/>
                <w:sz w:val="16"/>
                <w:szCs w:val="16"/>
                <w:lang w:eastAsia="en-US"/>
              </w:rPr>
              <w:t>Pourcentage de bénéficiaires ayant trouvé utiles les informations fournies concernant les principes et les pratiques juridiques relatifs à la protection des brevets, modèles d</w:t>
            </w:r>
            <w:r w:rsidR="007914A0" w:rsidRPr="00A970C5">
              <w:rPr>
                <w:rFonts w:eastAsia="Times New Roman" w:cs="Arial"/>
                <w:sz w:val="16"/>
                <w:szCs w:val="16"/>
                <w:lang w:eastAsia="en-US"/>
              </w:rPr>
              <w:t>’</w:t>
            </w:r>
            <w:r w:rsidRPr="00A970C5">
              <w:rPr>
                <w:rFonts w:eastAsia="Times New Roman" w:cs="Arial"/>
                <w:sz w:val="16"/>
                <w:szCs w:val="16"/>
                <w:lang w:eastAsia="en-US"/>
              </w:rPr>
              <w:t xml:space="preserve">utilité, schémas de configuration (topographies) de circuits intégrés et </w:t>
            </w:r>
            <w:r w:rsidR="00FA49DB" w:rsidRPr="00A970C5">
              <w:rPr>
                <w:rFonts w:eastAsia="Times New Roman" w:cs="Arial"/>
                <w:sz w:val="16"/>
                <w:szCs w:val="16"/>
                <w:lang w:eastAsia="en-US"/>
              </w:rPr>
              <w:t xml:space="preserve">informations </w:t>
            </w:r>
            <w:r w:rsidRPr="00A970C5">
              <w:rPr>
                <w:rFonts w:eastAsia="Times New Roman" w:cs="Arial"/>
                <w:sz w:val="16"/>
                <w:szCs w:val="16"/>
                <w:lang w:eastAsia="en-US"/>
              </w:rPr>
              <w:t>confidentiel</w:t>
            </w:r>
            <w:r w:rsidR="00FA49DB" w:rsidRPr="00A970C5">
              <w:rPr>
                <w:rFonts w:eastAsia="Times New Roman" w:cs="Arial"/>
                <w:sz w:val="16"/>
                <w:szCs w:val="16"/>
                <w:lang w:eastAsia="en-US"/>
              </w:rPr>
              <w:t>le</w:t>
            </w:r>
            <w:r w:rsidRPr="00A970C5">
              <w:rPr>
                <w:rFonts w:eastAsia="Times New Roman" w:cs="Arial"/>
                <w:sz w:val="16"/>
                <w:szCs w:val="16"/>
                <w:lang w:eastAsia="en-US"/>
              </w:rPr>
              <w:t>s</w:t>
            </w:r>
          </w:p>
        </w:tc>
        <w:tc>
          <w:tcPr>
            <w:tcW w:w="2359" w:type="dxa"/>
            <w:shd w:val="clear" w:color="000000" w:fill="FFFFFF"/>
            <w:tcMar>
              <w:top w:w="57" w:type="dxa"/>
            </w:tcMar>
            <w:hideMark/>
          </w:tcPr>
          <w:p w14:paraId="5196010D" w14:textId="244208A2" w:rsidR="00FF6B56" w:rsidRPr="00A970C5" w:rsidRDefault="004D6FCE" w:rsidP="00986700">
            <w:pPr>
              <w:rPr>
                <w:rFonts w:eastAsia="Times New Roman" w:cs="Arial"/>
                <w:sz w:val="16"/>
                <w:szCs w:val="16"/>
                <w:lang w:eastAsia="en-US"/>
              </w:rPr>
            </w:pPr>
            <w:r w:rsidRPr="00A970C5">
              <w:rPr>
                <w:rFonts w:eastAsia="Times New Roman" w:cs="Arial"/>
                <w:sz w:val="16"/>
                <w:szCs w:val="16"/>
                <w:lang w:eastAsia="en-US"/>
              </w:rPr>
              <w:t>81% sur la base de 18</w:t>
            </w:r>
            <w:r w:rsidR="00920B3A" w:rsidRPr="00A970C5">
              <w:rPr>
                <w:rFonts w:eastAsia="Times New Roman" w:cs="Arial"/>
                <w:sz w:val="16"/>
                <w:szCs w:val="16"/>
                <w:lang w:eastAsia="en-US"/>
              </w:rPr>
              <w:t> </w:t>
            </w:r>
            <w:r w:rsidRPr="00A970C5">
              <w:rPr>
                <w:rFonts w:eastAsia="Times New Roman" w:cs="Arial"/>
                <w:sz w:val="16"/>
                <w:szCs w:val="16"/>
                <w:lang w:eastAsia="en-US"/>
              </w:rPr>
              <w:t xml:space="preserve">réponses à une enquête </w:t>
            </w:r>
            <w:r w:rsidR="007914A0" w:rsidRPr="00A970C5">
              <w:rPr>
                <w:rFonts w:eastAsia="Times New Roman" w:cs="Arial"/>
                <w:sz w:val="16"/>
                <w:szCs w:val="16"/>
                <w:lang w:eastAsia="en-US"/>
              </w:rPr>
              <w:t>en 2016</w:t>
            </w:r>
          </w:p>
        </w:tc>
        <w:tc>
          <w:tcPr>
            <w:tcW w:w="2297" w:type="dxa"/>
            <w:shd w:val="clear" w:color="000000" w:fill="FFFFFF"/>
            <w:tcMar>
              <w:top w:w="57" w:type="dxa"/>
            </w:tcMar>
            <w:hideMark/>
          </w:tcPr>
          <w:p w14:paraId="02B33FBF" w14:textId="77777777" w:rsidR="00FF6B56" w:rsidRPr="00A970C5" w:rsidRDefault="00FF6B56" w:rsidP="00986700">
            <w:pPr>
              <w:rPr>
                <w:rFonts w:eastAsia="Times New Roman" w:cs="Arial"/>
                <w:sz w:val="16"/>
                <w:szCs w:val="16"/>
                <w:lang w:eastAsia="en-US"/>
              </w:rPr>
            </w:pPr>
            <w:r w:rsidRPr="00A970C5">
              <w:rPr>
                <w:rFonts w:eastAsia="Times New Roman" w:cs="Arial"/>
                <w:sz w:val="16"/>
                <w:szCs w:val="16"/>
                <w:lang w:eastAsia="en-US"/>
              </w:rPr>
              <w:t>70%</w:t>
            </w:r>
          </w:p>
        </w:tc>
      </w:tr>
    </w:tbl>
    <w:p w14:paraId="5795989F" w14:textId="34FF619D" w:rsidR="00F32CE7" w:rsidRPr="00A970C5" w:rsidRDefault="00F32CE7"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27C4435E" w14:textId="77777777" w:rsidTr="00EE0227">
        <w:trPr>
          <w:cantSplit/>
        </w:trPr>
        <w:tc>
          <w:tcPr>
            <w:tcW w:w="9571" w:type="dxa"/>
            <w:shd w:val="clear" w:color="auto" w:fill="C6D9F1" w:themeFill="text2" w:themeFillTint="33"/>
            <w:vAlign w:val="center"/>
          </w:tcPr>
          <w:p w14:paraId="40521389" w14:textId="77777777" w:rsidR="005E30D2" w:rsidRPr="00821D15" w:rsidRDefault="005E30D2" w:rsidP="00986700">
            <w:pPr>
              <w:jc w:val="center"/>
              <w:rPr>
                <w:rFonts w:cs="Arial"/>
                <w:b/>
                <w:szCs w:val="20"/>
              </w:rPr>
            </w:pPr>
            <w:r w:rsidRPr="00821D15">
              <w:rPr>
                <w:rFonts w:cs="Arial"/>
                <w:b/>
                <w:szCs w:val="20"/>
              </w:rPr>
              <w:t>Ressources allouées au programme 1</w:t>
            </w:r>
          </w:p>
        </w:tc>
      </w:tr>
    </w:tbl>
    <w:p w14:paraId="2F592366" w14:textId="77777777" w:rsidR="005E30D2" w:rsidRPr="00821D15" w:rsidRDefault="005E30D2" w:rsidP="00986700">
      <w:pPr>
        <w:jc w:val="both"/>
        <w:rPr>
          <w:rFonts w:cs="Arial"/>
          <w:szCs w:val="20"/>
        </w:rPr>
      </w:pPr>
    </w:p>
    <w:p w14:paraId="09AFC704" w14:textId="77777777" w:rsidR="005E30D2" w:rsidRPr="00821D15" w:rsidRDefault="005E30D2" w:rsidP="00616FD3">
      <w:pPr>
        <w:pStyle w:val="ListParagraph"/>
        <w:numPr>
          <w:ilvl w:val="0"/>
          <w:numId w:val="60"/>
        </w:numPr>
        <w:ind w:left="0" w:firstLine="0"/>
        <w:jc w:val="both"/>
        <w:rPr>
          <w:rFonts w:cs="Arial"/>
          <w:szCs w:val="20"/>
        </w:rPr>
      </w:pPr>
      <w:r w:rsidRPr="00821D15">
        <w:rPr>
          <w:rFonts w:cs="Arial"/>
          <w:color w:val="000000"/>
          <w:szCs w:val="20"/>
        </w:rPr>
        <w:t>Les ressources globales allouées au programme en 2018</w:t>
      </w:r>
      <w:r w:rsidRPr="00821D15">
        <w:rPr>
          <w:rFonts w:cs="Arial"/>
          <w:color w:val="000000"/>
          <w:szCs w:val="20"/>
        </w:rPr>
        <w:noBreakHyphen/>
        <w:t>2019 indiquent un recul de 6,2% par rapport au budget approuvé pour 2016</w:t>
      </w:r>
      <w:r w:rsidRPr="00821D15">
        <w:rPr>
          <w:rFonts w:cs="Arial"/>
          <w:color w:val="000000"/>
          <w:szCs w:val="20"/>
        </w:rPr>
        <w:noBreakHyphen/>
        <w:t>2017.</w:t>
      </w:r>
    </w:p>
    <w:p w14:paraId="37729874" w14:textId="77777777" w:rsidR="005E30D2" w:rsidRPr="00821D15" w:rsidRDefault="005E30D2" w:rsidP="00986700">
      <w:pPr>
        <w:rPr>
          <w:rFonts w:cs="Arial"/>
          <w:szCs w:val="20"/>
        </w:rPr>
      </w:pPr>
    </w:p>
    <w:p w14:paraId="424F763A" w14:textId="77777777" w:rsidR="005E30D2" w:rsidRPr="00821D15" w:rsidRDefault="005E30D2" w:rsidP="00616FD3">
      <w:pPr>
        <w:pStyle w:val="ListParagraph"/>
        <w:numPr>
          <w:ilvl w:val="0"/>
          <w:numId w:val="60"/>
        </w:numPr>
        <w:ind w:left="0" w:firstLine="0"/>
        <w:jc w:val="both"/>
        <w:rPr>
          <w:rFonts w:cs="Arial"/>
          <w:szCs w:val="20"/>
        </w:rPr>
      </w:pPr>
      <w:r w:rsidRPr="00821D15">
        <w:rPr>
          <w:rFonts w:cs="Arial"/>
          <w:color w:val="000000"/>
          <w:szCs w:val="20"/>
        </w:rPr>
        <w:t>L’augmentation des dépenses autres que les dépenses de personnel est due à une provision pour des coûts supplémentaires de traduction pour l’enquête du SCP.  La diminution des dépenses de personnel résulte d’un changement dans la répartition des grades des fonctionnaires à la suite de mouvements de personnel concernant le programme durant l’exercice biennal 2016</w:t>
      </w:r>
      <w:r w:rsidRPr="00821D15">
        <w:rPr>
          <w:rFonts w:cs="Arial"/>
          <w:color w:val="000000"/>
          <w:szCs w:val="20"/>
        </w:rPr>
        <w:noBreakHyphen/>
        <w:t>2017.</w:t>
      </w:r>
    </w:p>
    <w:p w14:paraId="7D7771F9" w14:textId="77777777" w:rsidR="005E30D2" w:rsidRPr="00821D15" w:rsidRDefault="005E30D2" w:rsidP="00986700">
      <w:pPr>
        <w:rPr>
          <w:rFonts w:cs="Arial"/>
          <w:szCs w:val="20"/>
        </w:rPr>
      </w:pPr>
    </w:p>
    <w:p w14:paraId="0EA09043" w14:textId="77777777" w:rsidR="00674550" w:rsidRPr="00674550" w:rsidRDefault="005E30D2" w:rsidP="00616FD3">
      <w:pPr>
        <w:pStyle w:val="ListParagraph"/>
        <w:numPr>
          <w:ilvl w:val="0"/>
          <w:numId w:val="60"/>
        </w:numPr>
        <w:ind w:left="0" w:firstLine="0"/>
        <w:jc w:val="both"/>
        <w:rPr>
          <w:rFonts w:cs="Arial"/>
          <w:szCs w:val="20"/>
        </w:rPr>
      </w:pPr>
      <w:r w:rsidRPr="005E30D2">
        <w:rPr>
          <w:rFonts w:cs="Arial"/>
          <w:color w:val="000000"/>
          <w:szCs w:val="20"/>
        </w:rPr>
        <w:t>L’augmentation des ressources au titre du résultat escompté I.1 (cadres normatifs internationaux équilibrés) résulte de la volonté de mettre l’accent sur des campagnes de sensibilisation ciblées et des actions de promotion sur les brevets et les questions connexes.  Les ressources allouées aux conseils en matière de législation et de politiques générales, dont il est rendu compte sous le résultat escompté I.2 (conseils en matière de législation), ont été réduites par rapport au budget approuvé pour 2016</w:t>
      </w:r>
      <w:r w:rsidRPr="005E30D2">
        <w:rPr>
          <w:rFonts w:cs="Arial"/>
          <w:color w:val="000000"/>
          <w:szCs w:val="20"/>
        </w:rPr>
        <w:noBreakHyphen/>
        <w:t>2017.</w:t>
      </w:r>
    </w:p>
    <w:p w14:paraId="4F5C1A3F" w14:textId="77777777" w:rsidR="00674550" w:rsidRPr="00674550" w:rsidRDefault="00674550" w:rsidP="00986700">
      <w:pPr>
        <w:rPr>
          <w:rFonts w:cs="Arial"/>
        </w:rPr>
      </w:pPr>
    </w:p>
    <w:p w14:paraId="1AFBB0AF" w14:textId="37FD213A"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 : </w:t>
      </w:r>
      <w:r w:rsidRPr="00674550">
        <w:rPr>
          <w:rFonts w:eastAsia="Times New Roman" w:cs="Arial"/>
          <w:b/>
          <w:szCs w:val="20"/>
          <w:lang w:eastAsia="en-US"/>
        </w:rPr>
        <w:t>Ressources par résultat</w:t>
      </w:r>
    </w:p>
    <w:p w14:paraId="44B5DF86"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B67C126" w14:textId="77777777" w:rsidR="00674550" w:rsidRPr="00674550" w:rsidRDefault="00674550" w:rsidP="00986700"/>
    <w:p w14:paraId="6160885C" w14:textId="0BF5BC94" w:rsidR="00674550" w:rsidRDefault="00717231" w:rsidP="00986700">
      <w:pPr>
        <w:jc w:val="center"/>
        <w:rPr>
          <w:rFonts w:cs="Arial"/>
          <w:szCs w:val="20"/>
        </w:rPr>
      </w:pPr>
      <w:r w:rsidRPr="00717231">
        <w:rPr>
          <w:noProof/>
          <w:lang w:val="en-US" w:eastAsia="en-US"/>
        </w:rPr>
        <w:drawing>
          <wp:inline distT="0" distB="0" distL="0" distR="0" wp14:anchorId="5025BE42" wp14:editId="45BE4D6A">
            <wp:extent cx="5400000" cy="2507445"/>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2507445"/>
                    </a:xfrm>
                    <a:prstGeom prst="rect">
                      <a:avLst/>
                    </a:prstGeom>
                    <a:noFill/>
                    <a:ln>
                      <a:noFill/>
                    </a:ln>
                  </pic:spPr>
                </pic:pic>
              </a:graphicData>
            </a:graphic>
          </wp:inline>
        </w:drawing>
      </w:r>
    </w:p>
    <w:p w14:paraId="712226FB" w14:textId="77777777" w:rsidR="00B55ECC" w:rsidRDefault="00B55ECC" w:rsidP="00986700">
      <w:pPr>
        <w:jc w:val="both"/>
        <w:rPr>
          <w:rFonts w:cs="Arial"/>
          <w:szCs w:val="20"/>
        </w:rPr>
      </w:pPr>
    </w:p>
    <w:p w14:paraId="5F5A5D76"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76109BC5" w14:textId="28C06BB5"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28934D96" w14:textId="13DDFBF0" w:rsidR="00B55ECC" w:rsidRDefault="00B55ECC" w:rsidP="00986700">
      <w:pPr>
        <w:keepNext/>
        <w:rPr>
          <w:lang w:eastAsia="en-US"/>
        </w:rPr>
      </w:pPr>
    </w:p>
    <w:p w14:paraId="36144A2F" w14:textId="1BFFA209" w:rsidR="00B55ECC" w:rsidRPr="00E16214" w:rsidRDefault="008778B5" w:rsidP="00986700">
      <w:pPr>
        <w:jc w:val="center"/>
        <w:rPr>
          <w:lang w:eastAsia="en-US"/>
        </w:rPr>
      </w:pPr>
      <w:r w:rsidRPr="008778B5">
        <w:rPr>
          <w:noProof/>
          <w:lang w:val="en-US" w:eastAsia="en-US"/>
        </w:rPr>
        <w:drawing>
          <wp:inline distT="0" distB="0" distL="0" distR="0" wp14:anchorId="7132367A" wp14:editId="13CEEEFC">
            <wp:extent cx="5400000" cy="60447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6044739"/>
                    </a:xfrm>
                    <a:prstGeom prst="rect">
                      <a:avLst/>
                    </a:prstGeom>
                    <a:noFill/>
                    <a:ln>
                      <a:noFill/>
                    </a:ln>
                  </pic:spPr>
                </pic:pic>
              </a:graphicData>
            </a:graphic>
          </wp:inline>
        </w:drawing>
      </w:r>
    </w:p>
    <w:p w14:paraId="561C4559" w14:textId="40CB18D5" w:rsidR="001966D2" w:rsidRPr="00674550" w:rsidRDefault="001966D2" w:rsidP="00986700">
      <w:pPr>
        <w:jc w:val="both"/>
        <w:rPr>
          <w:rFonts w:cs="Arial"/>
          <w:szCs w:val="20"/>
        </w:rPr>
      </w:pPr>
      <w:r w:rsidRPr="00674550">
        <w:rPr>
          <w:rFonts w:cs="Arial"/>
          <w:szCs w:val="20"/>
        </w:rPr>
        <w:br w:type="page"/>
      </w:r>
    </w:p>
    <w:p w14:paraId="19C8A64A" w14:textId="768F94FC" w:rsidR="001966D2" w:rsidRPr="0060494B" w:rsidRDefault="0060494B" w:rsidP="00986700">
      <w:pPr>
        <w:pStyle w:val="Heading2"/>
      </w:pPr>
      <w:bookmarkStart w:id="25" w:name="_Toc482979473"/>
      <w:r w:rsidRPr="0060494B">
        <w:rPr>
          <w:rFonts w:hint="eastAsia"/>
        </w:rPr>
        <w:lastRenderedPageBreak/>
        <w:t xml:space="preserve">Programme </w:t>
      </w:r>
      <w:r w:rsidR="001966D2" w:rsidRPr="0060494B">
        <w:t>2</w:t>
      </w:r>
      <w:r w:rsidR="001966D2" w:rsidRPr="0060494B">
        <w:tab/>
      </w:r>
      <w:r w:rsidRPr="0060494B">
        <w:rPr>
          <w:rFonts w:hint="eastAsia"/>
        </w:rPr>
        <w:t>Marques</w:t>
      </w:r>
      <w:r w:rsidR="001966D2" w:rsidRPr="0060494B">
        <w:t xml:space="preserve">, </w:t>
      </w:r>
      <w:r w:rsidRPr="0060494B">
        <w:rPr>
          <w:rFonts w:hint="eastAsia"/>
        </w:rPr>
        <w:t>dessins et modèles industriels et indications géographiques</w:t>
      </w:r>
      <w:bookmarkEnd w:id="25"/>
    </w:p>
    <w:p w14:paraId="41A03655" w14:textId="77777777" w:rsidR="001966D2" w:rsidRPr="00A970C5" w:rsidRDefault="001966D2" w:rsidP="00986700">
      <w:pPr>
        <w:pStyle w:val="StyleHeading3ComplexItalic"/>
        <w:rPr>
          <w:rStyle w:val="StyleStyleHeading3ComplexItalicLatin12ptChar"/>
          <w:rFonts w:eastAsia="SimSun"/>
          <w:szCs w:val="20"/>
        </w:rPr>
      </w:pPr>
    </w:p>
    <w:p w14:paraId="0C0C06BF" w14:textId="77777777" w:rsidR="001966D2" w:rsidRPr="00A970C5" w:rsidRDefault="001966D2" w:rsidP="00986700"/>
    <w:tbl>
      <w:tblPr>
        <w:tblW w:w="5000" w:type="pct"/>
        <w:tblCellMar>
          <w:top w:w="57" w:type="dxa"/>
          <w:bottom w:w="57" w:type="dxa"/>
        </w:tblCellMar>
        <w:tblLook w:val="01E0" w:firstRow="1" w:lastRow="1" w:firstColumn="1" w:lastColumn="1" w:noHBand="0" w:noVBand="0"/>
      </w:tblPr>
      <w:tblGrid>
        <w:gridCol w:w="9287"/>
      </w:tblGrid>
      <w:tr w:rsidR="00A970C5" w:rsidRPr="00A970C5" w14:paraId="6A66B986" w14:textId="77777777" w:rsidTr="00752079">
        <w:tc>
          <w:tcPr>
            <w:tcW w:w="9287" w:type="dxa"/>
            <w:shd w:val="clear" w:color="auto" w:fill="C6D9F1" w:themeFill="text2" w:themeFillTint="33"/>
            <w:vAlign w:val="center"/>
          </w:tcPr>
          <w:p w14:paraId="446B7B51" w14:textId="77777777" w:rsidR="001966D2" w:rsidRPr="00A970C5" w:rsidRDefault="001966D2" w:rsidP="00986700">
            <w:pPr>
              <w:jc w:val="center"/>
              <w:rPr>
                <w:b/>
              </w:rPr>
            </w:pPr>
            <w:r w:rsidRPr="00A970C5">
              <w:rPr>
                <w:b/>
              </w:rPr>
              <w:t>Stratégies de mise en œuvre</w:t>
            </w:r>
          </w:p>
        </w:tc>
      </w:tr>
    </w:tbl>
    <w:p w14:paraId="01E8477D" w14:textId="6663DEDB" w:rsidR="001966D2" w:rsidRPr="00A970C5" w:rsidRDefault="001966D2" w:rsidP="00986700"/>
    <w:p w14:paraId="3AC69CC1" w14:textId="77777777" w:rsidR="001966D2" w:rsidRPr="00A970C5" w:rsidRDefault="001966D2" w:rsidP="00986700">
      <w:pPr>
        <w:pStyle w:val="ListParagraph"/>
        <w:numPr>
          <w:ilvl w:val="0"/>
          <w:numId w:val="5"/>
        </w:numPr>
        <w:jc w:val="both"/>
        <w:rPr>
          <w:rFonts w:cs="Arial"/>
          <w:szCs w:val="20"/>
        </w:rPr>
      </w:pPr>
      <w:r w:rsidRPr="00A970C5">
        <w:rPr>
          <w:rFonts w:cs="Arial"/>
          <w:szCs w:val="20"/>
        </w:rPr>
        <w:t>Organiser une conférence diplomatique pour l’adoption d’un traité sur le droit des dessins et modèles, sous réserve d’une décision de l’Assemblée générale de l’OMPI.</w:t>
      </w:r>
      <w:r w:rsidRPr="00A970C5">
        <w:t xml:space="preserve"> </w:t>
      </w:r>
      <w:r w:rsidRPr="00A970C5">
        <w:rPr>
          <w:rFonts w:cs="Arial"/>
          <w:szCs w:val="20"/>
        </w:rPr>
        <w:t xml:space="preserve"> Ce traité simplifierait les procédures d’enregistrement des dessins et modèles, complétant ainsi des travaux similaires déjà menés par l’OMPI dans le domaine des brevets (Traité sur le droit des brevets) et des marques (Traité sur le droit des marques et Traité de Singapour sur le droit des marques);</w:t>
      </w:r>
    </w:p>
    <w:p w14:paraId="70786703" w14:textId="20696C39" w:rsidR="001966D2" w:rsidRPr="00A970C5" w:rsidRDefault="00752079" w:rsidP="00986700">
      <w:pPr>
        <w:pStyle w:val="ListParagraph"/>
        <w:ind w:left="702" w:hanging="702"/>
        <w:jc w:val="both"/>
        <w:rPr>
          <w:rFonts w:cs="Arial"/>
          <w:szCs w:val="20"/>
        </w:rPr>
      </w:pPr>
      <w:r w:rsidRPr="00752079">
        <w:rPr>
          <w:noProof/>
          <w:lang w:val="en-US" w:eastAsia="en-US"/>
        </w:rPr>
        <w:drawing>
          <wp:anchor distT="0" distB="0" distL="114300" distR="114300" simplePos="0" relativeHeight="251659264" behindDoc="1" locked="0" layoutInCell="1" allowOverlap="1" wp14:anchorId="0EC5C5AB" wp14:editId="624057B9">
            <wp:simplePos x="0" y="0"/>
            <wp:positionH relativeFrom="page">
              <wp:posOffset>5405120</wp:posOffset>
            </wp:positionH>
            <wp:positionV relativeFrom="page">
              <wp:posOffset>2667635</wp:posOffset>
            </wp:positionV>
            <wp:extent cx="1450340" cy="1846580"/>
            <wp:effectExtent l="0" t="0" r="0" b="1270"/>
            <wp:wrapTight wrapText="bothSides">
              <wp:wrapPolygon edited="0">
                <wp:start x="10497" y="0"/>
                <wp:lineTo x="8795" y="446"/>
                <wp:lineTo x="4823" y="2897"/>
                <wp:lineTo x="4256" y="6239"/>
                <wp:lineTo x="4823" y="7131"/>
                <wp:lineTo x="7660" y="7131"/>
                <wp:lineTo x="1702" y="10696"/>
                <wp:lineTo x="0" y="12702"/>
                <wp:lineTo x="0" y="16713"/>
                <wp:lineTo x="284" y="18495"/>
                <wp:lineTo x="4256" y="21169"/>
                <wp:lineTo x="5107" y="21392"/>
                <wp:lineTo x="10781" y="21392"/>
                <wp:lineTo x="11916" y="21169"/>
                <wp:lineTo x="15604" y="18495"/>
                <wp:lineTo x="15604" y="17827"/>
                <wp:lineTo x="16739" y="15376"/>
                <wp:lineTo x="15888" y="14707"/>
                <wp:lineTo x="14186" y="14261"/>
                <wp:lineTo x="20144" y="11810"/>
                <wp:lineTo x="20144" y="10696"/>
                <wp:lineTo x="21278" y="8022"/>
                <wp:lineTo x="21278" y="4457"/>
                <wp:lineTo x="20995" y="2897"/>
                <wp:lineTo x="16739" y="223"/>
                <wp:lineTo x="15320" y="0"/>
                <wp:lineTo x="10497" y="0"/>
              </wp:wrapPolygon>
            </wp:wrapTight>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34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4C231" w14:textId="4CE91372" w:rsidR="001966D2" w:rsidRPr="00A970C5" w:rsidRDefault="001966D2" w:rsidP="00986700">
      <w:pPr>
        <w:pStyle w:val="ListParagraph"/>
        <w:numPr>
          <w:ilvl w:val="0"/>
          <w:numId w:val="5"/>
        </w:numPr>
        <w:jc w:val="both"/>
        <w:rPr>
          <w:rFonts w:cs="Arial"/>
          <w:szCs w:val="20"/>
        </w:rPr>
      </w:pPr>
      <w:r w:rsidRPr="00A970C5">
        <w:rPr>
          <w:rFonts w:cs="Arial"/>
          <w:szCs w:val="20"/>
        </w:rPr>
        <w:t>Poursuivre les discussions visant à développer un cadre international équilibré sur des thèmes convenus relatifs aux marques, aux dessins et modèles industriels et aux indications géographiques.</w:t>
      </w:r>
      <w:r w:rsidRPr="00A970C5">
        <w:t xml:space="preserve"> </w:t>
      </w:r>
      <w:r w:rsidRPr="00A970C5">
        <w:rPr>
          <w:rFonts w:cs="Arial"/>
          <w:szCs w:val="20"/>
        </w:rPr>
        <w:t xml:space="preserve"> Partager </w:t>
      </w:r>
      <w:r w:rsidR="00BF239C" w:rsidRPr="00A970C5">
        <w:rPr>
          <w:rFonts w:cs="Arial"/>
          <w:szCs w:val="20"/>
        </w:rPr>
        <w:t>dans le cadre</w:t>
      </w:r>
      <w:r w:rsidRPr="00A970C5">
        <w:rPr>
          <w:rFonts w:cs="Arial"/>
          <w:szCs w:val="20"/>
        </w:rPr>
        <w:t xml:space="preserve"> du SCT des informations et des données d’expérience sur les pratiques des offices, en vue d’accroître la transparence dans le fonctionnement pratique du système international de propriété intellectuelle et, le cas échéant, de promouvoir une meilleure cohérence sur le plan pratique;</w:t>
      </w:r>
    </w:p>
    <w:p w14:paraId="756AC56A" w14:textId="77777777" w:rsidR="001966D2" w:rsidRPr="00A970C5" w:rsidRDefault="001966D2" w:rsidP="00986700">
      <w:pPr>
        <w:jc w:val="both"/>
        <w:rPr>
          <w:rFonts w:cs="Arial"/>
          <w:szCs w:val="20"/>
        </w:rPr>
      </w:pPr>
    </w:p>
    <w:p w14:paraId="1C2457C4" w14:textId="77777777" w:rsidR="001966D2" w:rsidRPr="00A970C5" w:rsidRDefault="001966D2" w:rsidP="00986700">
      <w:pPr>
        <w:pStyle w:val="ListParagraph"/>
        <w:numPr>
          <w:ilvl w:val="0"/>
          <w:numId w:val="5"/>
        </w:numPr>
        <w:jc w:val="both"/>
        <w:rPr>
          <w:rFonts w:cs="Arial"/>
          <w:szCs w:val="20"/>
        </w:rPr>
      </w:pPr>
      <w:r w:rsidRPr="00A970C5">
        <w:rPr>
          <w:rFonts w:cs="Arial"/>
          <w:szCs w:val="20"/>
        </w:rPr>
        <w:t>Poursuivre l’élargissement de la portée géographique du Traité de Singapour sur le droit des marques en vue de simplifier davantage les procédures d’enregistrement des marques au niveau mondial;</w:t>
      </w:r>
    </w:p>
    <w:p w14:paraId="3947AF07" w14:textId="77777777" w:rsidR="001966D2" w:rsidRPr="00A970C5" w:rsidRDefault="001966D2" w:rsidP="00986700">
      <w:pPr>
        <w:jc w:val="both"/>
        <w:rPr>
          <w:rFonts w:cs="Arial"/>
          <w:szCs w:val="20"/>
        </w:rPr>
      </w:pPr>
    </w:p>
    <w:p w14:paraId="0E127B8F" w14:textId="1B69ABB7" w:rsidR="001966D2" w:rsidRPr="00A970C5" w:rsidRDefault="001966D2" w:rsidP="00986700">
      <w:pPr>
        <w:pStyle w:val="ListParagraph"/>
        <w:numPr>
          <w:ilvl w:val="0"/>
          <w:numId w:val="5"/>
        </w:numPr>
        <w:jc w:val="both"/>
        <w:rPr>
          <w:rFonts w:cs="Arial"/>
          <w:szCs w:val="20"/>
        </w:rPr>
      </w:pPr>
      <w:r w:rsidRPr="00A970C5">
        <w:rPr>
          <w:rFonts w:cs="Arial"/>
          <w:szCs w:val="20"/>
        </w:rPr>
        <w:t xml:space="preserve">Fournir sur demande des conseils juridiques équilibrés et adaptés à chaque pays, conformément à l’objectif stratégique III (Favoriser l’utilisation de la propriété intellectuelle au service du développement), grâce à une communication et à une collaboration étroites avec les États membres, </w:t>
      </w:r>
      <w:r w:rsidR="00BF239C" w:rsidRPr="00A970C5">
        <w:rPr>
          <w:rFonts w:cs="Arial"/>
          <w:szCs w:val="20"/>
        </w:rPr>
        <w:t xml:space="preserve">en tenant </w:t>
      </w:r>
      <w:r w:rsidRPr="00A970C5">
        <w:rPr>
          <w:rFonts w:cs="Arial"/>
          <w:szCs w:val="20"/>
        </w:rPr>
        <w:t xml:space="preserve">dûment </w:t>
      </w:r>
      <w:r w:rsidR="00A970C5" w:rsidRPr="00A970C5">
        <w:rPr>
          <w:rFonts w:cs="Arial"/>
          <w:szCs w:val="20"/>
        </w:rPr>
        <w:t xml:space="preserve">compte </w:t>
      </w:r>
      <w:r w:rsidRPr="00A970C5">
        <w:rPr>
          <w:rFonts w:cs="Arial"/>
          <w:szCs w:val="20"/>
        </w:rPr>
        <w:t xml:space="preserve">des priorités définies dans leurs stratégies nationales en matière de propriété intellectuelle </w:t>
      </w:r>
      <w:r w:rsidR="00BF239C" w:rsidRPr="00A970C5">
        <w:rPr>
          <w:rFonts w:cs="Arial"/>
          <w:szCs w:val="20"/>
        </w:rPr>
        <w:t xml:space="preserve">et </w:t>
      </w:r>
      <w:r w:rsidRPr="00A970C5">
        <w:rPr>
          <w:rFonts w:cs="Arial"/>
          <w:szCs w:val="20"/>
        </w:rPr>
        <w:t>en s’assurant que les conseils fournis répondent pleinement à leurs besoins et que toutes les options disponibles sont présentées;</w:t>
      </w:r>
    </w:p>
    <w:p w14:paraId="761AD285" w14:textId="77777777" w:rsidR="001966D2" w:rsidRPr="00A970C5" w:rsidRDefault="001966D2" w:rsidP="00986700">
      <w:pPr>
        <w:jc w:val="both"/>
        <w:rPr>
          <w:rFonts w:cs="Arial"/>
          <w:szCs w:val="20"/>
        </w:rPr>
      </w:pPr>
    </w:p>
    <w:p w14:paraId="7E0B33A5" w14:textId="77777777" w:rsidR="001966D2" w:rsidRPr="00A970C5" w:rsidRDefault="001966D2" w:rsidP="00986700">
      <w:pPr>
        <w:pStyle w:val="ListParagraph"/>
        <w:numPr>
          <w:ilvl w:val="0"/>
          <w:numId w:val="5"/>
        </w:numPr>
        <w:jc w:val="both"/>
        <w:rPr>
          <w:rFonts w:cs="Arial"/>
          <w:szCs w:val="20"/>
        </w:rPr>
      </w:pPr>
      <w:r w:rsidRPr="00A970C5">
        <w:rPr>
          <w:rFonts w:cs="Arial"/>
          <w:szCs w:val="20"/>
        </w:rPr>
        <w:t>Continuer d’assurer l’administration efficace des procédures de communication au titre de l’article 6</w:t>
      </w:r>
      <w:r w:rsidRPr="00A970C5">
        <w:rPr>
          <w:rFonts w:cs="Arial"/>
          <w:i/>
          <w:szCs w:val="20"/>
        </w:rPr>
        <w:t>ter</w:t>
      </w:r>
      <w:r w:rsidRPr="00A970C5">
        <w:rPr>
          <w:rFonts w:cs="Arial"/>
          <w:szCs w:val="20"/>
        </w:rPr>
        <w:t xml:space="preserve"> de la Convention de Paris et de produire des publications électroniques semestrielles contenant tous les signes qui doivent être communiqués en vertu de l’article 6</w:t>
      </w:r>
      <w:r w:rsidRPr="00A970C5">
        <w:rPr>
          <w:rFonts w:cs="Arial"/>
          <w:i/>
          <w:szCs w:val="20"/>
        </w:rPr>
        <w:t>ter</w:t>
      </w:r>
      <w:r w:rsidRPr="00A970C5">
        <w:rPr>
          <w:rFonts w:cs="Arial"/>
          <w:szCs w:val="20"/>
        </w:rPr>
        <w:t>.</w:t>
      </w:r>
      <w:r w:rsidRPr="00A970C5">
        <w:t xml:space="preserve">  </w:t>
      </w:r>
      <w:r w:rsidRPr="00A970C5">
        <w:rPr>
          <w:rFonts w:cs="Arial"/>
          <w:szCs w:val="20"/>
        </w:rPr>
        <w:t>Les efforts déployés viseront à moderniser l’infrastructure informatique utilisée pour la saisie et la tenue à jour des données, permettant un accès plus rapide aux données pour les États parties à la Convention de Paris et d’autres utilisateurs de la base de données Article 6</w:t>
      </w:r>
      <w:r w:rsidRPr="00A970C5">
        <w:rPr>
          <w:rFonts w:cs="Arial"/>
          <w:i/>
          <w:szCs w:val="20"/>
        </w:rPr>
        <w:t>ter</w:t>
      </w:r>
      <w:r w:rsidRPr="00A970C5">
        <w:rPr>
          <w:rFonts w:cs="Arial"/>
          <w:szCs w:val="20"/>
        </w:rPr>
        <w:t xml:space="preserve"> Express;</w:t>
      </w:r>
    </w:p>
    <w:p w14:paraId="0EC94066" w14:textId="77777777" w:rsidR="001966D2" w:rsidRPr="00A970C5" w:rsidRDefault="001966D2" w:rsidP="00986700">
      <w:pPr>
        <w:jc w:val="both"/>
        <w:rPr>
          <w:rFonts w:cs="Arial"/>
          <w:szCs w:val="20"/>
        </w:rPr>
      </w:pPr>
    </w:p>
    <w:p w14:paraId="59B83B7B" w14:textId="7A317F0C" w:rsidR="001966D2" w:rsidRPr="00A970C5" w:rsidRDefault="001966D2" w:rsidP="00986700">
      <w:pPr>
        <w:pStyle w:val="ListParagraph"/>
        <w:numPr>
          <w:ilvl w:val="0"/>
          <w:numId w:val="5"/>
        </w:numPr>
        <w:jc w:val="both"/>
        <w:rPr>
          <w:rFonts w:cs="Arial"/>
          <w:szCs w:val="20"/>
        </w:rPr>
      </w:pPr>
      <w:r w:rsidRPr="00A970C5">
        <w:rPr>
          <w:rFonts w:cs="Arial"/>
          <w:szCs w:val="20"/>
        </w:rPr>
        <w:t xml:space="preserve">Continuer d’insister sur la nécessité d’adopter des approches nuancées, tant sur le plan des considérations géographiques que de la matière traitée, et </w:t>
      </w:r>
      <w:r w:rsidR="00F76487" w:rsidRPr="00A970C5">
        <w:rPr>
          <w:rFonts w:cs="Arial"/>
          <w:szCs w:val="20"/>
        </w:rPr>
        <w:t>poursuivre l’intégration de</w:t>
      </w:r>
      <w:r w:rsidRPr="00A970C5">
        <w:rPr>
          <w:rFonts w:cs="Arial"/>
          <w:szCs w:val="20"/>
        </w:rPr>
        <w:t xml:space="preserve"> l’égalité des sexes dans les activités pertinentes.</w:t>
      </w:r>
    </w:p>
    <w:p w14:paraId="29E2BE30" w14:textId="77777777" w:rsidR="001966D2" w:rsidRPr="00A970C5" w:rsidRDefault="001966D2" w:rsidP="00986700"/>
    <w:p w14:paraId="7AA6FDDE" w14:textId="77777777" w:rsidR="001966D2" w:rsidRPr="00A970C5" w:rsidRDefault="001966D2" w:rsidP="00986700"/>
    <w:tbl>
      <w:tblPr>
        <w:tblW w:w="5000" w:type="pct"/>
        <w:tblCellMar>
          <w:top w:w="57" w:type="dxa"/>
          <w:bottom w:w="57" w:type="dxa"/>
        </w:tblCellMar>
        <w:tblLook w:val="01E0" w:firstRow="1" w:lastRow="1" w:firstColumn="1" w:lastColumn="1" w:noHBand="0" w:noVBand="0"/>
      </w:tblPr>
      <w:tblGrid>
        <w:gridCol w:w="9287"/>
      </w:tblGrid>
      <w:tr w:rsidR="00A970C5" w:rsidRPr="00A970C5" w14:paraId="307E6704" w14:textId="77777777" w:rsidTr="004D6CBF">
        <w:tc>
          <w:tcPr>
            <w:tcW w:w="9571" w:type="dxa"/>
            <w:shd w:val="clear" w:color="auto" w:fill="C6D9F1" w:themeFill="text2" w:themeFillTint="33"/>
            <w:vAlign w:val="center"/>
          </w:tcPr>
          <w:p w14:paraId="736623F5" w14:textId="2562C12D" w:rsidR="001966D2" w:rsidRPr="00A970C5" w:rsidRDefault="001966D2" w:rsidP="008771A6">
            <w:pPr>
              <w:keepNext/>
              <w:jc w:val="center"/>
              <w:rPr>
                <w:rFonts w:eastAsia="Times New Roman" w:cs="Arial"/>
                <w:b/>
                <w:bCs/>
                <w:szCs w:val="20"/>
                <w:lang w:eastAsia="en-US"/>
              </w:rPr>
            </w:pPr>
            <w:r w:rsidRPr="00A970C5">
              <w:rPr>
                <w:rFonts w:eastAsia="Times New Roman" w:cs="Arial"/>
                <w:b/>
                <w:bCs/>
                <w:szCs w:val="20"/>
                <w:lang w:eastAsia="en-US"/>
              </w:rPr>
              <w:lastRenderedPageBreak/>
              <w:t xml:space="preserve">Collaboration interprogrammes </w:t>
            </w:r>
          </w:p>
        </w:tc>
      </w:tr>
    </w:tbl>
    <w:p w14:paraId="7C42C56A" w14:textId="77777777" w:rsidR="001966D2" w:rsidRPr="00A970C5" w:rsidRDefault="001966D2" w:rsidP="005A64E3">
      <w:pPr>
        <w:keepNext/>
      </w:pPr>
    </w:p>
    <w:p w14:paraId="12162110" w14:textId="786387FB" w:rsidR="001966D2" w:rsidRPr="00A970C5" w:rsidRDefault="005A64E3" w:rsidP="005A64E3">
      <w:pPr>
        <w:keepNext/>
        <w:jc w:val="center"/>
      </w:pPr>
      <w:r w:rsidRPr="005A64E3">
        <w:rPr>
          <w:noProof/>
          <w:lang w:val="en-US" w:eastAsia="en-US"/>
        </w:rPr>
        <w:drawing>
          <wp:inline distT="0" distB="0" distL="0" distR="0" wp14:anchorId="5430B2B5" wp14:editId="24E1B804">
            <wp:extent cx="3676893" cy="3600000"/>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6893" cy="3600000"/>
                    </a:xfrm>
                    <a:prstGeom prst="rect">
                      <a:avLst/>
                    </a:prstGeom>
                    <a:noFill/>
                    <a:ln>
                      <a:noFill/>
                    </a:ln>
                  </pic:spPr>
                </pic:pic>
              </a:graphicData>
            </a:graphic>
          </wp:inline>
        </w:drawing>
      </w:r>
    </w:p>
    <w:p w14:paraId="75FF27BE" w14:textId="77777777" w:rsidR="001966D2" w:rsidRPr="00A970C5" w:rsidRDefault="001966D2" w:rsidP="005A64E3"/>
    <w:tbl>
      <w:tblPr>
        <w:tblW w:w="5000" w:type="pct"/>
        <w:tblCellMar>
          <w:top w:w="57" w:type="dxa"/>
          <w:bottom w:w="57" w:type="dxa"/>
        </w:tblCellMar>
        <w:tblLook w:val="01E0" w:firstRow="1" w:lastRow="1" w:firstColumn="1" w:lastColumn="1" w:noHBand="0" w:noVBand="0"/>
      </w:tblPr>
      <w:tblGrid>
        <w:gridCol w:w="4640"/>
        <w:gridCol w:w="4647"/>
      </w:tblGrid>
      <w:tr w:rsidR="00A970C5" w:rsidRPr="00A970C5" w14:paraId="45085A29" w14:textId="77777777" w:rsidTr="004D6CBF">
        <w:tc>
          <w:tcPr>
            <w:tcW w:w="4785" w:type="dxa"/>
            <w:shd w:val="clear" w:color="auto" w:fill="C6D9F1" w:themeFill="text2" w:themeFillTint="33"/>
            <w:tcMar>
              <w:top w:w="57" w:type="dxa"/>
              <w:bottom w:w="57" w:type="dxa"/>
            </w:tcMar>
            <w:vAlign w:val="center"/>
          </w:tcPr>
          <w:p w14:paraId="58A4A86C" w14:textId="77777777" w:rsidR="001966D2" w:rsidRPr="00A970C5" w:rsidRDefault="001966D2" w:rsidP="00986700">
            <w:pPr>
              <w:jc w:val="center"/>
              <w:rPr>
                <w:rFonts w:eastAsia="Times New Roman" w:cs="Arial"/>
                <w:b/>
                <w:bCs/>
                <w:sz w:val="18"/>
                <w:szCs w:val="18"/>
                <w:lang w:eastAsia="en-US"/>
              </w:rPr>
            </w:pPr>
            <w:r w:rsidRPr="00A970C5">
              <w:rPr>
                <w:rFonts w:eastAsia="Times New Roman" w:cs="Arial"/>
                <w:b/>
                <w:bCs/>
                <w:sz w:val="18"/>
                <w:szCs w:val="18"/>
                <w:lang w:eastAsia="en-US"/>
              </w:rPr>
              <w:t>Risques</w:t>
            </w:r>
          </w:p>
        </w:tc>
        <w:tc>
          <w:tcPr>
            <w:tcW w:w="4786" w:type="dxa"/>
            <w:shd w:val="clear" w:color="auto" w:fill="C6D9F1" w:themeFill="text2" w:themeFillTint="33"/>
            <w:tcMar>
              <w:top w:w="57" w:type="dxa"/>
              <w:bottom w:w="57" w:type="dxa"/>
            </w:tcMar>
            <w:vAlign w:val="center"/>
          </w:tcPr>
          <w:p w14:paraId="3FDE0F93" w14:textId="77777777" w:rsidR="001966D2" w:rsidRPr="00A970C5" w:rsidRDefault="001966D2" w:rsidP="00986700">
            <w:pPr>
              <w:jc w:val="center"/>
              <w:rPr>
                <w:rFonts w:eastAsia="Times New Roman" w:cs="Arial"/>
                <w:b/>
                <w:bCs/>
                <w:sz w:val="18"/>
                <w:szCs w:val="18"/>
                <w:lang w:eastAsia="en-US"/>
              </w:rPr>
            </w:pPr>
            <w:r w:rsidRPr="00A970C5">
              <w:rPr>
                <w:rFonts w:eastAsia="Times New Roman" w:cs="Arial"/>
                <w:b/>
                <w:bCs/>
                <w:sz w:val="18"/>
                <w:szCs w:val="18"/>
                <w:lang w:eastAsia="en-US"/>
              </w:rPr>
              <w:t>Mesures d’atténuation</w:t>
            </w:r>
          </w:p>
        </w:tc>
      </w:tr>
      <w:tr w:rsidR="001966D2" w:rsidRPr="00A970C5" w14:paraId="4A8FA56E" w14:textId="77777777" w:rsidTr="004D6CBF">
        <w:tc>
          <w:tcPr>
            <w:tcW w:w="4785" w:type="dxa"/>
            <w:shd w:val="clear" w:color="auto" w:fill="auto"/>
            <w:tcMar>
              <w:top w:w="57" w:type="dxa"/>
              <w:bottom w:w="57" w:type="dxa"/>
            </w:tcMar>
          </w:tcPr>
          <w:p w14:paraId="7EB51FB7" w14:textId="5EB450DB" w:rsidR="001966D2" w:rsidRPr="00A970C5" w:rsidRDefault="001966D2" w:rsidP="00B0098E">
            <w:pPr>
              <w:rPr>
                <w:rFonts w:cs="Arial"/>
                <w:sz w:val="16"/>
              </w:rPr>
            </w:pPr>
            <w:r w:rsidRPr="00A970C5">
              <w:rPr>
                <w:rFonts w:cs="Arial"/>
                <w:sz w:val="16"/>
              </w:rPr>
              <w:t>Les accords au niveau multilatéral restent difficiles</w:t>
            </w:r>
            <w:r w:rsidR="00F76487" w:rsidRPr="00A970C5">
              <w:rPr>
                <w:rFonts w:cs="Arial"/>
                <w:sz w:val="16"/>
              </w:rPr>
              <w:t xml:space="preserve"> à obtenir</w:t>
            </w:r>
            <w:r w:rsidRPr="00A970C5">
              <w:rPr>
                <w:rFonts w:cs="Arial"/>
                <w:sz w:val="16"/>
              </w:rPr>
              <w:t xml:space="preserve"> et la réussite des activités normatives menées au titre du programme 2 dépendra dans une large mesure de </w:t>
            </w:r>
            <w:r w:rsidR="00F76487" w:rsidRPr="00A970C5">
              <w:rPr>
                <w:rFonts w:cs="Arial"/>
                <w:sz w:val="16"/>
              </w:rPr>
              <w:t>la volonté</w:t>
            </w:r>
            <w:r w:rsidRPr="00A970C5">
              <w:rPr>
                <w:rFonts w:cs="Arial"/>
                <w:sz w:val="16"/>
              </w:rPr>
              <w:t xml:space="preserve"> des États membres </w:t>
            </w:r>
            <w:r w:rsidR="00B0098E">
              <w:rPr>
                <w:rFonts w:cs="Arial"/>
                <w:sz w:val="16"/>
              </w:rPr>
              <w:t>d’atteindre</w:t>
            </w:r>
            <w:r w:rsidRPr="00A970C5">
              <w:rPr>
                <w:rFonts w:cs="Arial"/>
                <w:sz w:val="16"/>
              </w:rPr>
              <w:t xml:space="preserve"> des objectifs </w:t>
            </w:r>
            <w:r w:rsidR="00B0098E">
              <w:rPr>
                <w:rFonts w:cs="Arial"/>
                <w:sz w:val="16"/>
              </w:rPr>
              <w:t>mutuellement convenus</w:t>
            </w:r>
            <w:r w:rsidRPr="00A970C5">
              <w:rPr>
                <w:rFonts w:cs="Arial"/>
                <w:sz w:val="16"/>
              </w:rPr>
              <w:t>.</w:t>
            </w:r>
          </w:p>
        </w:tc>
        <w:tc>
          <w:tcPr>
            <w:tcW w:w="4786" w:type="dxa"/>
            <w:shd w:val="clear" w:color="auto" w:fill="auto"/>
            <w:tcMar>
              <w:top w:w="57" w:type="dxa"/>
              <w:bottom w:w="57" w:type="dxa"/>
            </w:tcMar>
          </w:tcPr>
          <w:p w14:paraId="4998C7D1" w14:textId="77777777" w:rsidR="0056581C" w:rsidRPr="0056581C" w:rsidRDefault="0056581C" w:rsidP="0056581C">
            <w:pPr>
              <w:autoSpaceDE w:val="0"/>
              <w:autoSpaceDN w:val="0"/>
              <w:adjustRightInd w:val="0"/>
              <w:ind w:right="-59"/>
              <w:rPr>
                <w:sz w:val="16"/>
              </w:rPr>
            </w:pPr>
            <w:r w:rsidRPr="0056581C">
              <w:rPr>
                <w:sz w:val="16"/>
              </w:rPr>
              <w:t>Création d’un environnement impartial, professionnel et ouvert à tous pour un dialogue et un échange de vues permanents entre les États membres.</w:t>
            </w:r>
          </w:p>
          <w:p w14:paraId="05366DA1" w14:textId="77777777" w:rsidR="0056581C" w:rsidRPr="0056581C" w:rsidRDefault="0056581C" w:rsidP="0056581C">
            <w:pPr>
              <w:autoSpaceDE w:val="0"/>
              <w:autoSpaceDN w:val="0"/>
              <w:adjustRightInd w:val="0"/>
              <w:ind w:right="-59"/>
              <w:rPr>
                <w:sz w:val="16"/>
              </w:rPr>
            </w:pPr>
          </w:p>
          <w:p w14:paraId="058E98FC" w14:textId="14185EA8" w:rsidR="001966D2" w:rsidRPr="00A970C5" w:rsidRDefault="0056581C" w:rsidP="0056581C">
            <w:pPr>
              <w:autoSpaceDE w:val="0"/>
              <w:autoSpaceDN w:val="0"/>
              <w:adjustRightInd w:val="0"/>
              <w:rPr>
                <w:rFonts w:cs="Arial"/>
                <w:sz w:val="16"/>
                <w:szCs w:val="16"/>
              </w:rPr>
            </w:pPr>
            <w:r w:rsidRPr="0056581C">
              <w:rPr>
                <w:sz w:val="16"/>
              </w:rPr>
              <w:t>Fourniture d’informations de fond, actualisées et précises aux États membres.</w:t>
            </w:r>
          </w:p>
        </w:tc>
      </w:tr>
    </w:tbl>
    <w:p w14:paraId="2CFB6AC2" w14:textId="77777777" w:rsidR="001966D2" w:rsidRPr="00A970C5" w:rsidRDefault="001966D2" w:rsidP="00986700">
      <w:pPr>
        <w:jc w:val="both"/>
        <w:rPr>
          <w:rFonts w:cs="Arial"/>
          <w:szCs w:val="20"/>
        </w:rPr>
      </w:pPr>
    </w:p>
    <w:p w14:paraId="443B5E48" w14:textId="77777777" w:rsidR="001966D2" w:rsidRPr="00A970C5" w:rsidRDefault="001966D2"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55"/>
        <w:gridCol w:w="2316"/>
        <w:gridCol w:w="2311"/>
        <w:gridCol w:w="2305"/>
      </w:tblGrid>
      <w:tr w:rsidR="00A970C5" w:rsidRPr="00A970C5" w14:paraId="33F6A404" w14:textId="77777777" w:rsidTr="00094A7D">
        <w:trPr>
          <w:cantSplit/>
          <w:tblHeader/>
        </w:trPr>
        <w:tc>
          <w:tcPr>
            <w:tcW w:w="2393" w:type="dxa"/>
            <w:shd w:val="clear" w:color="000000" w:fill="C5D9F1"/>
            <w:tcMar>
              <w:top w:w="57" w:type="dxa"/>
            </w:tcMar>
            <w:vAlign w:val="center"/>
            <w:hideMark/>
          </w:tcPr>
          <w:p w14:paraId="349CC6C6" w14:textId="77777777" w:rsidR="001966D2" w:rsidRPr="00A970C5" w:rsidRDefault="001966D2" w:rsidP="00986700">
            <w:pPr>
              <w:keepNext/>
              <w:jc w:val="center"/>
              <w:rPr>
                <w:rFonts w:eastAsia="Times New Roman" w:cs="Arial"/>
                <w:b/>
                <w:bCs/>
                <w:sz w:val="18"/>
                <w:szCs w:val="16"/>
                <w:lang w:eastAsia="en-US"/>
              </w:rPr>
            </w:pPr>
            <w:r w:rsidRPr="00A970C5">
              <w:rPr>
                <w:rFonts w:eastAsia="Times New Roman" w:cs="Arial"/>
                <w:b/>
                <w:bCs/>
                <w:sz w:val="18"/>
                <w:szCs w:val="16"/>
                <w:lang w:eastAsia="en-US"/>
              </w:rPr>
              <w:t xml:space="preserve">Résultat escompté </w:t>
            </w:r>
          </w:p>
        </w:tc>
        <w:tc>
          <w:tcPr>
            <w:tcW w:w="2393" w:type="dxa"/>
            <w:shd w:val="clear" w:color="000000" w:fill="C5D9F1"/>
            <w:tcMar>
              <w:top w:w="57" w:type="dxa"/>
            </w:tcMar>
            <w:vAlign w:val="center"/>
            <w:hideMark/>
          </w:tcPr>
          <w:p w14:paraId="7D8272DE" w14:textId="77777777" w:rsidR="001966D2" w:rsidRPr="00A970C5" w:rsidRDefault="001966D2" w:rsidP="00986700">
            <w:pPr>
              <w:keepNext/>
              <w:jc w:val="center"/>
              <w:rPr>
                <w:rFonts w:eastAsia="Times New Roman" w:cs="Arial"/>
                <w:b/>
                <w:bCs/>
                <w:sz w:val="18"/>
                <w:szCs w:val="16"/>
                <w:lang w:eastAsia="en-US"/>
              </w:rPr>
            </w:pPr>
            <w:r w:rsidRPr="00A970C5">
              <w:rPr>
                <w:rFonts w:eastAsia="Times New Roman" w:cs="Arial"/>
                <w:b/>
                <w:bCs/>
                <w:sz w:val="18"/>
                <w:szCs w:val="16"/>
                <w:lang w:eastAsia="en-US"/>
              </w:rPr>
              <w:t>Indicateurs d’exécution</w:t>
            </w:r>
          </w:p>
        </w:tc>
        <w:tc>
          <w:tcPr>
            <w:tcW w:w="2392" w:type="dxa"/>
            <w:shd w:val="clear" w:color="000000" w:fill="C5D9F1"/>
            <w:tcMar>
              <w:top w:w="57" w:type="dxa"/>
            </w:tcMar>
            <w:vAlign w:val="center"/>
            <w:hideMark/>
          </w:tcPr>
          <w:p w14:paraId="107D9FCB" w14:textId="77777777" w:rsidR="001966D2" w:rsidRPr="00A970C5" w:rsidRDefault="001966D2" w:rsidP="00986700">
            <w:pPr>
              <w:keepNext/>
              <w:jc w:val="center"/>
              <w:rPr>
                <w:rFonts w:eastAsia="Times New Roman" w:cs="Arial"/>
                <w:b/>
                <w:bCs/>
                <w:sz w:val="18"/>
                <w:szCs w:val="16"/>
                <w:lang w:eastAsia="en-US"/>
              </w:rPr>
            </w:pPr>
            <w:r w:rsidRPr="00A970C5">
              <w:rPr>
                <w:rFonts w:eastAsia="Times New Roman" w:cs="Arial"/>
                <w:b/>
                <w:bCs/>
                <w:sz w:val="18"/>
                <w:szCs w:val="16"/>
                <w:lang w:eastAsia="en-US"/>
              </w:rPr>
              <w:t>Niveaux de référence</w:t>
            </w:r>
          </w:p>
        </w:tc>
        <w:tc>
          <w:tcPr>
            <w:tcW w:w="2393" w:type="dxa"/>
            <w:shd w:val="clear" w:color="000000" w:fill="C5D9F1"/>
            <w:tcMar>
              <w:top w:w="57" w:type="dxa"/>
            </w:tcMar>
            <w:vAlign w:val="center"/>
            <w:hideMark/>
          </w:tcPr>
          <w:p w14:paraId="3E67ECDD" w14:textId="77777777" w:rsidR="001966D2" w:rsidRPr="00A970C5" w:rsidRDefault="001966D2" w:rsidP="00986700">
            <w:pPr>
              <w:keepNext/>
              <w:jc w:val="center"/>
              <w:rPr>
                <w:rFonts w:eastAsia="Times New Roman" w:cs="Arial"/>
                <w:b/>
                <w:bCs/>
                <w:sz w:val="18"/>
                <w:szCs w:val="16"/>
                <w:lang w:eastAsia="en-US"/>
              </w:rPr>
            </w:pPr>
            <w:r w:rsidRPr="00A970C5">
              <w:rPr>
                <w:rFonts w:eastAsia="Times New Roman" w:cs="Arial"/>
                <w:b/>
                <w:bCs/>
                <w:sz w:val="18"/>
                <w:szCs w:val="16"/>
                <w:lang w:eastAsia="en-US"/>
              </w:rPr>
              <w:t>Objectif</w:t>
            </w:r>
            <w:r w:rsidRPr="00A970C5">
              <w:rPr>
                <w:rFonts w:eastAsia="Times New Roman" w:cs="Arial"/>
                <w:bCs/>
                <w:sz w:val="18"/>
                <w:szCs w:val="16"/>
                <w:lang w:eastAsia="en-US"/>
              </w:rPr>
              <w:t xml:space="preserve">s </w:t>
            </w:r>
            <w:r w:rsidRPr="00A970C5">
              <w:rPr>
                <w:rFonts w:eastAsia="Times New Roman" w:cs="Arial"/>
                <w:b/>
                <w:bCs/>
                <w:sz w:val="18"/>
                <w:szCs w:val="16"/>
                <w:lang w:eastAsia="en-US"/>
              </w:rPr>
              <w:t>visés</w:t>
            </w:r>
          </w:p>
        </w:tc>
      </w:tr>
      <w:tr w:rsidR="00A970C5" w:rsidRPr="00A970C5" w14:paraId="5B3CFD4E" w14:textId="77777777" w:rsidTr="00094A7D">
        <w:trPr>
          <w:cantSplit/>
        </w:trPr>
        <w:tc>
          <w:tcPr>
            <w:tcW w:w="2392" w:type="dxa"/>
            <w:shd w:val="clear" w:color="000000" w:fill="FFFFFF"/>
            <w:tcMar>
              <w:top w:w="57" w:type="dxa"/>
            </w:tcMar>
            <w:hideMark/>
          </w:tcPr>
          <w:p w14:paraId="644ABB2B"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 xml:space="preserve">I.1 Renforcement de la coopération entre les États membres en ce qui concerne l’élaboration de cadres normatifs internationaux équilibrés dans le domaine de la propriété intellectuelle </w:t>
            </w:r>
          </w:p>
        </w:tc>
        <w:tc>
          <w:tcPr>
            <w:tcW w:w="2393" w:type="dxa"/>
            <w:shd w:val="clear" w:color="000000" w:fill="FFFFFF"/>
            <w:tcMar>
              <w:top w:w="57" w:type="dxa"/>
            </w:tcMar>
            <w:hideMark/>
          </w:tcPr>
          <w:p w14:paraId="21FB4554"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Progrès en vue d’un accord sur les points à l’examen de l’ordre du jour du SCT</w:t>
            </w:r>
          </w:p>
        </w:tc>
        <w:tc>
          <w:tcPr>
            <w:tcW w:w="2393" w:type="dxa"/>
            <w:shd w:val="clear" w:color="000000" w:fill="FFFFFF"/>
            <w:tcMar>
              <w:top w:w="57" w:type="dxa"/>
            </w:tcMar>
            <w:hideMark/>
          </w:tcPr>
          <w:p w14:paraId="3F9F5FCA"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État d’avancement des travaux du SCT à la fin de 2016 d’après les documents de travail pertinents</w:t>
            </w:r>
          </w:p>
        </w:tc>
        <w:tc>
          <w:tcPr>
            <w:tcW w:w="2393" w:type="dxa"/>
            <w:shd w:val="clear" w:color="000000" w:fill="FFFFFF"/>
            <w:tcMar>
              <w:top w:w="57" w:type="dxa"/>
            </w:tcMar>
            <w:hideMark/>
          </w:tcPr>
          <w:p w14:paraId="602A8BAB"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Accord sur les programmes de travail des sessions du SCT prévues pendant l’exercice biennal</w:t>
            </w:r>
          </w:p>
        </w:tc>
      </w:tr>
      <w:tr w:rsidR="00A970C5" w:rsidRPr="00A970C5" w14:paraId="30024152" w14:textId="77777777" w:rsidTr="00094A7D">
        <w:trPr>
          <w:cantSplit/>
        </w:trPr>
        <w:tc>
          <w:tcPr>
            <w:tcW w:w="2392" w:type="dxa"/>
            <w:shd w:val="clear" w:color="000000" w:fill="FFFFFF"/>
            <w:tcMar>
              <w:top w:w="57" w:type="dxa"/>
            </w:tcMar>
            <w:hideMark/>
          </w:tcPr>
          <w:p w14:paraId="4DCE7F8A"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I.2 Cadres législatifs, réglementaires et politiques de propriété intellectuelle adaptés et équilibrés</w:t>
            </w:r>
          </w:p>
        </w:tc>
        <w:tc>
          <w:tcPr>
            <w:tcW w:w="2393" w:type="dxa"/>
            <w:shd w:val="clear" w:color="000000" w:fill="FFFFFF"/>
            <w:tcMar>
              <w:top w:w="57" w:type="dxa"/>
            </w:tcMar>
            <w:hideMark/>
          </w:tcPr>
          <w:p w14:paraId="05FFA1AF" w14:textId="6C6B7612"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 xml:space="preserve">Nombre et pourcentage d’États membres et d’organisations régionales ayant donné un retour d’information positif sur les conseils </w:t>
            </w:r>
            <w:r w:rsidR="00F76487" w:rsidRPr="00A970C5">
              <w:rPr>
                <w:rFonts w:eastAsia="Times New Roman" w:cs="Arial"/>
                <w:sz w:val="16"/>
                <w:szCs w:val="16"/>
                <w:lang w:eastAsia="en-US"/>
              </w:rPr>
              <w:t>juridique</w:t>
            </w:r>
            <w:r w:rsidRPr="00A970C5">
              <w:rPr>
                <w:rFonts w:eastAsia="Times New Roman" w:cs="Arial"/>
                <w:sz w:val="16"/>
                <w:szCs w:val="16"/>
                <w:lang w:eastAsia="en-US"/>
              </w:rPr>
              <w:t>s fournis dans le domaine des marques, des dessins et modèles industriels et des indications géographiques</w:t>
            </w:r>
          </w:p>
        </w:tc>
        <w:tc>
          <w:tcPr>
            <w:tcW w:w="2393" w:type="dxa"/>
            <w:shd w:val="clear" w:color="auto" w:fill="auto"/>
            <w:tcMar>
              <w:top w:w="57" w:type="dxa"/>
            </w:tcMar>
            <w:hideMark/>
          </w:tcPr>
          <w:p w14:paraId="27C0BB4F" w14:textId="77777777" w:rsidR="004D6CBF" w:rsidRPr="00A970C5" w:rsidRDefault="001966D2" w:rsidP="00986700">
            <w:pPr>
              <w:rPr>
                <w:rFonts w:eastAsia="Times New Roman" w:cs="Arial"/>
                <w:sz w:val="16"/>
                <w:szCs w:val="16"/>
                <w:lang w:eastAsia="en-US"/>
              </w:rPr>
            </w:pPr>
            <w:r w:rsidRPr="00A970C5">
              <w:rPr>
                <w:rFonts w:eastAsia="Times New Roman" w:cs="Arial"/>
                <w:sz w:val="16"/>
                <w:szCs w:val="16"/>
                <w:lang w:eastAsia="en-US"/>
              </w:rPr>
              <w:t>Des conseils ont été fournis à 12 États membres.</w:t>
            </w:r>
          </w:p>
          <w:p w14:paraId="1F42A959" w14:textId="77777777" w:rsidR="004D6CBF" w:rsidRPr="00A970C5" w:rsidRDefault="004D6CBF" w:rsidP="00986700">
            <w:pPr>
              <w:rPr>
                <w:rFonts w:eastAsia="Times New Roman" w:cs="Arial"/>
                <w:sz w:val="16"/>
                <w:szCs w:val="16"/>
                <w:lang w:eastAsia="en-US"/>
              </w:rPr>
            </w:pPr>
          </w:p>
          <w:p w14:paraId="3AEA742A" w14:textId="27DE8936"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En 2016, des retours d’information ont été reçus de deux États membres qui se sont tous deux (100%) déclarés satisfaits des conseils fournis</w:t>
            </w:r>
          </w:p>
        </w:tc>
        <w:tc>
          <w:tcPr>
            <w:tcW w:w="2393" w:type="dxa"/>
            <w:shd w:val="clear" w:color="000000" w:fill="FFFFFF"/>
            <w:tcMar>
              <w:top w:w="57" w:type="dxa"/>
            </w:tcMar>
            <w:hideMark/>
          </w:tcPr>
          <w:p w14:paraId="4F7754EF" w14:textId="5A7731E7" w:rsidR="001966D2" w:rsidRPr="00A970C5" w:rsidRDefault="001966D2" w:rsidP="00B0098E">
            <w:pPr>
              <w:rPr>
                <w:rFonts w:eastAsia="Times New Roman" w:cs="Arial"/>
                <w:sz w:val="16"/>
                <w:szCs w:val="16"/>
                <w:lang w:eastAsia="en-US"/>
              </w:rPr>
            </w:pPr>
            <w:r w:rsidRPr="00A970C5">
              <w:rPr>
                <w:rFonts w:eastAsia="Times New Roman" w:cs="Arial"/>
                <w:sz w:val="16"/>
                <w:szCs w:val="16"/>
                <w:lang w:eastAsia="en-US"/>
              </w:rPr>
              <w:t xml:space="preserve">90% se </w:t>
            </w:r>
            <w:r w:rsidR="00B0098E">
              <w:rPr>
                <w:rFonts w:eastAsia="Times New Roman" w:cs="Arial"/>
                <w:sz w:val="16"/>
                <w:szCs w:val="16"/>
                <w:lang w:eastAsia="en-US"/>
              </w:rPr>
              <w:t>déclarent</w:t>
            </w:r>
            <w:r w:rsidRPr="00A970C5">
              <w:rPr>
                <w:rFonts w:eastAsia="Times New Roman" w:cs="Arial"/>
                <w:sz w:val="16"/>
                <w:szCs w:val="16"/>
                <w:lang w:eastAsia="en-US"/>
              </w:rPr>
              <w:t xml:space="preserve"> satisfaits des conseils fournis</w:t>
            </w:r>
          </w:p>
        </w:tc>
      </w:tr>
      <w:tr w:rsidR="00A970C5" w:rsidRPr="00A970C5" w14:paraId="36A91418" w14:textId="77777777" w:rsidTr="00094A7D">
        <w:trPr>
          <w:cantSplit/>
        </w:trPr>
        <w:tc>
          <w:tcPr>
            <w:tcW w:w="2392" w:type="dxa"/>
            <w:shd w:val="clear" w:color="000000" w:fill="FFFFFF"/>
            <w:tcMar>
              <w:top w:w="57" w:type="dxa"/>
            </w:tcMar>
            <w:vAlign w:val="bottom"/>
            <w:hideMark/>
          </w:tcPr>
          <w:p w14:paraId="6190C13A" w14:textId="5DD169D9" w:rsidR="001966D2" w:rsidRPr="00A970C5" w:rsidRDefault="001966D2" w:rsidP="00986700">
            <w:pPr>
              <w:rPr>
                <w:rFonts w:eastAsia="Times New Roman" w:cs="Arial"/>
                <w:sz w:val="16"/>
                <w:szCs w:val="16"/>
                <w:lang w:eastAsia="en-US"/>
              </w:rPr>
            </w:pPr>
          </w:p>
        </w:tc>
        <w:tc>
          <w:tcPr>
            <w:tcW w:w="2393" w:type="dxa"/>
            <w:shd w:val="clear" w:color="000000" w:fill="FFFFFF"/>
            <w:tcMar>
              <w:top w:w="57" w:type="dxa"/>
            </w:tcMar>
            <w:hideMark/>
          </w:tcPr>
          <w:p w14:paraId="0951B121"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Nombre de ratifications du Traité de Singapour ou d’adhésions à ce traité</w:t>
            </w:r>
          </w:p>
        </w:tc>
        <w:tc>
          <w:tcPr>
            <w:tcW w:w="2393" w:type="dxa"/>
            <w:shd w:val="clear" w:color="000000" w:fill="FFFFFF"/>
            <w:tcMar>
              <w:top w:w="57" w:type="dxa"/>
            </w:tcMar>
            <w:hideMark/>
          </w:tcPr>
          <w:p w14:paraId="1E04F769"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45 parties contractantes (janvier 2017)</w:t>
            </w:r>
          </w:p>
        </w:tc>
        <w:tc>
          <w:tcPr>
            <w:tcW w:w="2393" w:type="dxa"/>
            <w:shd w:val="clear" w:color="000000" w:fill="FFFFFF"/>
            <w:tcMar>
              <w:top w:w="57" w:type="dxa"/>
            </w:tcMar>
            <w:hideMark/>
          </w:tcPr>
          <w:p w14:paraId="3F94485E"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5 nouvelles adhésions ou ratifications</w:t>
            </w:r>
          </w:p>
        </w:tc>
      </w:tr>
      <w:tr w:rsidR="00A970C5" w:rsidRPr="00A970C5" w14:paraId="7BB55F2A" w14:textId="77777777" w:rsidTr="00094A7D">
        <w:trPr>
          <w:cantSplit/>
        </w:trPr>
        <w:tc>
          <w:tcPr>
            <w:tcW w:w="2392" w:type="dxa"/>
            <w:shd w:val="clear" w:color="000000" w:fill="FFFFFF"/>
            <w:tcMar>
              <w:top w:w="57" w:type="dxa"/>
            </w:tcMar>
            <w:hideMark/>
          </w:tcPr>
          <w:p w14:paraId="0F749D4F" w14:textId="7EC4179B"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 xml:space="preserve">I.3 </w:t>
            </w:r>
            <w:r w:rsidR="00B0098E" w:rsidRPr="00B0098E">
              <w:rPr>
                <w:rFonts w:eastAsia="Times New Roman" w:cs="Arial"/>
                <w:sz w:val="16"/>
                <w:szCs w:val="16"/>
                <w:lang w:eastAsia="en-US"/>
              </w:rPr>
              <w:t>Sécurité accrue en ce qui concerne la protection des emblèmes d’États et des noms et emblèmes d’organisations Internationales Intergouvernementales</w:t>
            </w:r>
          </w:p>
        </w:tc>
        <w:tc>
          <w:tcPr>
            <w:tcW w:w="2393" w:type="dxa"/>
            <w:shd w:val="clear" w:color="000000" w:fill="FFFFFF"/>
            <w:tcMar>
              <w:top w:w="57" w:type="dxa"/>
            </w:tcMar>
            <w:hideMark/>
          </w:tcPr>
          <w:p w14:paraId="07C3A935"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Nombre de signes contenus dans la base de données Article 6</w:t>
            </w:r>
            <w:r w:rsidRPr="00A970C5">
              <w:rPr>
                <w:rFonts w:eastAsia="Times New Roman" w:cs="Arial"/>
                <w:i/>
                <w:sz w:val="16"/>
                <w:szCs w:val="16"/>
                <w:lang w:eastAsia="en-US"/>
              </w:rPr>
              <w:t xml:space="preserve">ter </w:t>
            </w:r>
            <w:r w:rsidRPr="00A970C5">
              <w:rPr>
                <w:rFonts w:eastAsia="Times New Roman" w:cs="Arial"/>
                <w:sz w:val="16"/>
                <w:szCs w:val="16"/>
                <w:lang w:eastAsia="en-US"/>
              </w:rPr>
              <w:t>Express</w:t>
            </w:r>
          </w:p>
        </w:tc>
        <w:tc>
          <w:tcPr>
            <w:tcW w:w="2393" w:type="dxa"/>
            <w:shd w:val="clear" w:color="000000" w:fill="FFFFFF"/>
            <w:tcMar>
              <w:top w:w="57" w:type="dxa"/>
            </w:tcMar>
            <w:hideMark/>
          </w:tcPr>
          <w:p w14:paraId="783F10FF"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Au total, 3294 signes étaient contenus dans la base de données Article 6</w:t>
            </w:r>
            <w:r w:rsidRPr="00A970C5">
              <w:rPr>
                <w:rFonts w:eastAsia="Times New Roman" w:cs="Arial"/>
                <w:i/>
                <w:sz w:val="16"/>
                <w:szCs w:val="16"/>
                <w:lang w:eastAsia="en-US"/>
              </w:rPr>
              <w:t xml:space="preserve">ter </w:t>
            </w:r>
            <w:r w:rsidRPr="00A970C5">
              <w:rPr>
                <w:rFonts w:eastAsia="Times New Roman" w:cs="Arial"/>
                <w:sz w:val="16"/>
                <w:szCs w:val="16"/>
                <w:lang w:eastAsia="en-US"/>
              </w:rPr>
              <w:t>Express à la fin de 2016</w:t>
            </w:r>
          </w:p>
        </w:tc>
        <w:tc>
          <w:tcPr>
            <w:tcW w:w="2393" w:type="dxa"/>
            <w:shd w:val="clear" w:color="000000" w:fill="FFFFFF"/>
            <w:tcMar>
              <w:top w:w="57" w:type="dxa"/>
            </w:tcMar>
            <w:hideMark/>
          </w:tcPr>
          <w:p w14:paraId="267BF010"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100 nouveaux signes publiés</w:t>
            </w:r>
          </w:p>
        </w:tc>
      </w:tr>
      <w:tr w:rsidR="00A970C5" w:rsidRPr="00A970C5" w14:paraId="2339E116" w14:textId="77777777" w:rsidTr="00094A7D">
        <w:trPr>
          <w:cantSplit/>
        </w:trPr>
        <w:tc>
          <w:tcPr>
            <w:tcW w:w="2392" w:type="dxa"/>
            <w:shd w:val="clear" w:color="000000" w:fill="FFFFFF"/>
            <w:tcMar>
              <w:top w:w="57" w:type="dxa"/>
            </w:tcMar>
            <w:hideMark/>
          </w:tcPr>
          <w:p w14:paraId="7810C7CA"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lastRenderedPageBreak/>
              <w:t>III.2 Mise en valeur des ressources humaines pour répondre aux diverses exigences en matière d’utilisation efficace de la propriété intellectuelle au service du développement dans les pays en développement, les PMA et les pays en transition</w:t>
            </w:r>
          </w:p>
        </w:tc>
        <w:tc>
          <w:tcPr>
            <w:tcW w:w="2393" w:type="dxa"/>
            <w:shd w:val="clear" w:color="000000" w:fill="FFFFFF"/>
            <w:tcMar>
              <w:top w:w="57" w:type="dxa"/>
            </w:tcMar>
            <w:hideMark/>
          </w:tcPr>
          <w:p w14:paraId="36CD820D" w14:textId="77777777" w:rsidR="001966D2" w:rsidRPr="00A970C5" w:rsidRDefault="001966D2" w:rsidP="00986700">
            <w:pPr>
              <w:rPr>
                <w:rFonts w:eastAsia="Times New Roman" w:cs="Arial"/>
                <w:sz w:val="16"/>
                <w:szCs w:val="16"/>
                <w:lang w:eastAsia="en-US"/>
              </w:rPr>
            </w:pPr>
            <w:r w:rsidRPr="00A970C5">
              <w:rPr>
                <w:rFonts w:eastAsia="Times New Roman" w:cs="Arial"/>
                <w:sz w:val="16"/>
                <w:szCs w:val="16"/>
                <w:lang w:eastAsia="en-US"/>
              </w:rPr>
              <w:t>Nombre et pourcentage de participants fournissant un retour d’information positif quant aux activités de sensibilisation et de promotion en matière de marques, de dessins et modèles industriels et d’indications géographiques</w:t>
            </w:r>
          </w:p>
        </w:tc>
        <w:tc>
          <w:tcPr>
            <w:tcW w:w="2393" w:type="dxa"/>
            <w:shd w:val="clear" w:color="000000" w:fill="FFFFFF"/>
            <w:tcMar>
              <w:top w:w="57" w:type="dxa"/>
            </w:tcMar>
            <w:hideMark/>
          </w:tcPr>
          <w:p w14:paraId="0502F555" w14:textId="21C5CE02" w:rsidR="001966D2" w:rsidRPr="00A970C5" w:rsidRDefault="004D6CBF" w:rsidP="008771A6">
            <w:pPr>
              <w:rPr>
                <w:rFonts w:eastAsia="Times New Roman" w:cs="Arial"/>
                <w:sz w:val="16"/>
                <w:szCs w:val="16"/>
                <w:lang w:eastAsia="en-US"/>
              </w:rPr>
            </w:pPr>
            <w:r w:rsidRPr="00A970C5">
              <w:rPr>
                <w:rFonts w:eastAsia="Times New Roman" w:cs="Arial"/>
                <w:sz w:val="16"/>
                <w:szCs w:val="16"/>
                <w:lang w:eastAsia="en-US"/>
              </w:rPr>
              <w:t>À</w:t>
            </w:r>
            <w:r w:rsidR="008771A6">
              <w:rPr>
                <w:rFonts w:eastAsia="Times New Roman" w:cs="Arial"/>
                <w:sz w:val="16"/>
                <w:szCs w:val="16"/>
                <w:lang w:eastAsia="en-US"/>
              </w:rPr>
              <w:t xml:space="preserve"> déterminer</w:t>
            </w:r>
          </w:p>
        </w:tc>
        <w:tc>
          <w:tcPr>
            <w:tcW w:w="2393" w:type="dxa"/>
            <w:shd w:val="clear" w:color="000000" w:fill="FFFFFF"/>
            <w:tcMar>
              <w:top w:w="57" w:type="dxa"/>
            </w:tcMar>
            <w:hideMark/>
          </w:tcPr>
          <w:p w14:paraId="5D8A71BA" w14:textId="59F4307A" w:rsidR="001966D2" w:rsidRPr="00A970C5" w:rsidRDefault="0056581C" w:rsidP="0056581C">
            <w:pPr>
              <w:rPr>
                <w:rFonts w:eastAsia="Times New Roman" w:cs="Arial"/>
                <w:sz w:val="16"/>
                <w:szCs w:val="16"/>
                <w:lang w:eastAsia="en-US"/>
              </w:rPr>
            </w:pPr>
            <w:r w:rsidRPr="0056581C">
              <w:rPr>
                <w:rFonts w:eastAsia="Times New Roman"/>
                <w:sz w:val="16"/>
                <w:lang w:eastAsia="en-US"/>
              </w:rPr>
              <w:t>80% des personnes donnent un retour d’information positif</w:t>
            </w:r>
          </w:p>
        </w:tc>
      </w:tr>
    </w:tbl>
    <w:p w14:paraId="242C74F2" w14:textId="77777777" w:rsidR="005E30D2" w:rsidRDefault="005E30D2" w:rsidP="00986700">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1FC184E4" w14:textId="77777777" w:rsidTr="00EE0227">
        <w:trPr>
          <w:cantSplit/>
        </w:trPr>
        <w:tc>
          <w:tcPr>
            <w:tcW w:w="9571" w:type="dxa"/>
            <w:shd w:val="clear" w:color="auto" w:fill="C6D9F1" w:themeFill="text2" w:themeFillTint="33"/>
            <w:vAlign w:val="center"/>
          </w:tcPr>
          <w:p w14:paraId="38CCB17B" w14:textId="77777777" w:rsidR="005E30D2" w:rsidRPr="00821D15" w:rsidRDefault="005E30D2" w:rsidP="00986700">
            <w:pPr>
              <w:jc w:val="center"/>
              <w:rPr>
                <w:rFonts w:cs="Arial"/>
                <w:b/>
                <w:szCs w:val="20"/>
              </w:rPr>
            </w:pPr>
            <w:r w:rsidRPr="00821D15">
              <w:rPr>
                <w:rFonts w:cs="Arial"/>
                <w:b/>
                <w:szCs w:val="20"/>
              </w:rPr>
              <w:t>Ressources allouées au programme 2</w:t>
            </w:r>
          </w:p>
        </w:tc>
      </w:tr>
    </w:tbl>
    <w:p w14:paraId="5E13E40F" w14:textId="77777777" w:rsidR="005E30D2" w:rsidRPr="00821D15" w:rsidRDefault="005E30D2" w:rsidP="00986700">
      <w:pPr>
        <w:rPr>
          <w:rFonts w:cs="Arial"/>
          <w:szCs w:val="20"/>
        </w:rPr>
      </w:pPr>
    </w:p>
    <w:p w14:paraId="3C210D5C" w14:textId="77777777" w:rsidR="005E30D2" w:rsidRPr="00821D15" w:rsidRDefault="005E30D2" w:rsidP="00616FD3">
      <w:pPr>
        <w:pStyle w:val="ListParagraph"/>
        <w:numPr>
          <w:ilvl w:val="0"/>
          <w:numId w:val="61"/>
        </w:numPr>
        <w:ind w:left="0" w:firstLine="0"/>
        <w:jc w:val="both"/>
        <w:rPr>
          <w:rFonts w:cs="Arial"/>
          <w:szCs w:val="20"/>
        </w:rPr>
      </w:pPr>
      <w:r w:rsidRPr="00821D15">
        <w:rPr>
          <w:rFonts w:cs="Arial"/>
          <w:color w:val="000000"/>
          <w:szCs w:val="20"/>
        </w:rPr>
        <w:t>Les ressources globales allouées au programme 2 en 2018</w:t>
      </w:r>
      <w:r w:rsidRPr="00821D15">
        <w:rPr>
          <w:rFonts w:cs="Arial"/>
          <w:color w:val="000000"/>
          <w:szCs w:val="20"/>
        </w:rPr>
        <w:noBreakHyphen/>
        <w:t>2019 indiquent une augmentation de 1,5% par rapport au budget approuvé pour 2016</w:t>
      </w:r>
      <w:r w:rsidRPr="00821D15">
        <w:rPr>
          <w:rFonts w:cs="Arial"/>
          <w:color w:val="000000"/>
          <w:szCs w:val="20"/>
        </w:rPr>
        <w:noBreakHyphen/>
        <w:t>2017.</w:t>
      </w:r>
    </w:p>
    <w:p w14:paraId="5B0A4A34" w14:textId="77777777" w:rsidR="005E30D2" w:rsidRPr="00821D15" w:rsidRDefault="005E30D2" w:rsidP="00986700">
      <w:pPr>
        <w:rPr>
          <w:rFonts w:cs="Arial"/>
          <w:szCs w:val="20"/>
        </w:rPr>
      </w:pPr>
    </w:p>
    <w:p w14:paraId="34CD872E" w14:textId="77777777" w:rsidR="005E30D2" w:rsidRPr="00821D15" w:rsidRDefault="005E30D2" w:rsidP="00616FD3">
      <w:pPr>
        <w:pStyle w:val="ListParagraph"/>
        <w:numPr>
          <w:ilvl w:val="0"/>
          <w:numId w:val="61"/>
        </w:numPr>
        <w:ind w:left="0" w:firstLine="0"/>
        <w:jc w:val="both"/>
        <w:rPr>
          <w:rFonts w:cs="Arial"/>
          <w:szCs w:val="20"/>
        </w:rPr>
      </w:pPr>
      <w:r w:rsidRPr="00821D15">
        <w:rPr>
          <w:rFonts w:cs="Arial"/>
          <w:color w:val="000000"/>
          <w:szCs w:val="20"/>
        </w:rPr>
        <w:t>L’augmentation des dépenses autres que les dépenses de personnel est principalement due à l’allocation de ressources supplémentaires compte tenu des structures de dépenses réelles pour la tenue des sessions du SCT, dont il est rendu compte sous le résultat escompté I.1 (cadres normatifs internationaux équilibrés).</w:t>
      </w:r>
    </w:p>
    <w:p w14:paraId="4BC7C4D4" w14:textId="77777777" w:rsidR="005E30D2" w:rsidRPr="00821D15" w:rsidRDefault="005E30D2" w:rsidP="00986700">
      <w:pPr>
        <w:rPr>
          <w:rFonts w:cs="Arial"/>
          <w:szCs w:val="20"/>
        </w:rPr>
      </w:pPr>
    </w:p>
    <w:p w14:paraId="49D6E00B" w14:textId="465C0389" w:rsidR="005E30D2" w:rsidRPr="00821D15" w:rsidRDefault="005E30D2" w:rsidP="00616FD3">
      <w:pPr>
        <w:pStyle w:val="ListParagraph"/>
        <w:numPr>
          <w:ilvl w:val="0"/>
          <w:numId w:val="61"/>
        </w:numPr>
        <w:ind w:left="0" w:firstLine="0"/>
        <w:jc w:val="both"/>
        <w:rPr>
          <w:rFonts w:cs="Arial"/>
          <w:szCs w:val="20"/>
        </w:rPr>
      </w:pPr>
      <w:r w:rsidRPr="00821D15">
        <w:rPr>
          <w:rFonts w:cs="Arial"/>
          <w:color w:val="000000"/>
          <w:szCs w:val="20"/>
        </w:rPr>
        <w:t>La redistribution des ressources entre les résultats escomptés vise une meilleure répartition des ressources consacrées </w:t>
      </w:r>
      <w:r w:rsidR="00D27EAE">
        <w:rPr>
          <w:rFonts w:cs="Arial"/>
          <w:color w:val="000000"/>
          <w:szCs w:val="20"/>
        </w:rPr>
        <w:t>i</w:t>
      </w:r>
      <w:r w:rsidRPr="00821D15">
        <w:rPr>
          <w:rFonts w:cs="Arial"/>
          <w:color w:val="000000"/>
          <w:szCs w:val="20"/>
        </w:rPr>
        <w:t>) à la fourniture de conseils en matière de législation dans le domaine des marques, des dessins et modèles industriels et des indications géographiques sous le résultat escompté I.2 (conseils en matière de législation) et ii) aux activités de sensibilisation et de promotion dans le domaine des marques, des dessins et modèles industriels et des indications géographiques, dont il est rendu compte au résultat escompté III.2 (mise en valeur des ressources humaines).</w:t>
      </w:r>
    </w:p>
    <w:p w14:paraId="535DD678" w14:textId="77777777" w:rsidR="005E30D2" w:rsidRPr="00821D15" w:rsidRDefault="005E30D2" w:rsidP="00986700">
      <w:pPr>
        <w:rPr>
          <w:rFonts w:cs="Arial"/>
          <w:szCs w:val="20"/>
        </w:rPr>
      </w:pPr>
    </w:p>
    <w:p w14:paraId="51F99694" w14:textId="77777777" w:rsidR="005E30D2" w:rsidRPr="00821D15" w:rsidRDefault="005E30D2" w:rsidP="00616FD3">
      <w:pPr>
        <w:pStyle w:val="ListParagraph"/>
        <w:numPr>
          <w:ilvl w:val="0"/>
          <w:numId w:val="61"/>
        </w:numPr>
        <w:ind w:left="0" w:firstLine="0"/>
        <w:jc w:val="both"/>
        <w:rPr>
          <w:rFonts w:cs="Arial"/>
          <w:szCs w:val="20"/>
        </w:rPr>
      </w:pPr>
      <w:r w:rsidRPr="00821D15">
        <w:rPr>
          <w:rFonts w:cs="Arial"/>
          <w:color w:val="000000"/>
          <w:szCs w:val="20"/>
        </w:rPr>
        <w:t>Les dépenses de personnel restent stables en 2018</w:t>
      </w:r>
      <w:r w:rsidRPr="00821D15">
        <w:rPr>
          <w:rFonts w:cs="Arial"/>
          <w:color w:val="000000"/>
          <w:szCs w:val="20"/>
        </w:rPr>
        <w:noBreakHyphen/>
        <w:t>2019.</w:t>
      </w:r>
    </w:p>
    <w:p w14:paraId="6F129590" w14:textId="77777777" w:rsidR="005E30D2" w:rsidRPr="00821D15" w:rsidRDefault="005E30D2" w:rsidP="00986700">
      <w:pPr>
        <w:rPr>
          <w:rFonts w:cs="Arial"/>
          <w:szCs w:val="20"/>
        </w:rPr>
      </w:pPr>
    </w:p>
    <w:p w14:paraId="3700A16F" w14:textId="77777777" w:rsidR="005E30D2" w:rsidRPr="00821D15" w:rsidRDefault="005E30D2" w:rsidP="00616FD3">
      <w:pPr>
        <w:pStyle w:val="ListParagraph"/>
        <w:keepNext/>
        <w:keepLines/>
        <w:numPr>
          <w:ilvl w:val="0"/>
          <w:numId w:val="61"/>
        </w:numPr>
        <w:ind w:left="0" w:firstLine="0"/>
        <w:jc w:val="both"/>
        <w:rPr>
          <w:rFonts w:cs="Arial"/>
          <w:szCs w:val="20"/>
        </w:rPr>
      </w:pPr>
      <w:r w:rsidRPr="00821D15">
        <w:rPr>
          <w:rFonts w:cs="Arial"/>
          <w:color w:val="000000"/>
          <w:szCs w:val="20"/>
        </w:rPr>
        <w:t>Les ressources allouées au titre du résultat escompté III.4 (accords de coopération renforcés) dans le budget 2016</w:t>
      </w:r>
      <w:r w:rsidRPr="00821D15">
        <w:rPr>
          <w:rFonts w:cs="Arial"/>
          <w:color w:val="000000"/>
          <w:szCs w:val="20"/>
        </w:rPr>
        <w:noBreakHyphen/>
        <w:t xml:space="preserve">2017 correspondent au projet du Plan d’action pour le développement sur la propriété intellectuelle et la création de dessins ou modèles aux fins du développement des entreprises dans les pays en développement et les PMA, qui a été achevé en 2016 et est évalué en 2017.  </w:t>
      </w:r>
      <w:r w:rsidRPr="00821D15">
        <w:rPr>
          <w:rFonts w:cs="Arial"/>
          <w:szCs w:val="20"/>
        </w:rPr>
        <w:t>Il n’est pas prévu d’allouer de ressources au titre de ce résultat escompté en 2018</w:t>
      </w:r>
      <w:r w:rsidRPr="00821D15">
        <w:rPr>
          <w:rFonts w:cs="Arial"/>
          <w:szCs w:val="20"/>
        </w:rPr>
        <w:noBreakHyphen/>
        <w:t>2019.</w:t>
      </w:r>
    </w:p>
    <w:p w14:paraId="2CE5777E" w14:textId="77777777" w:rsidR="00674550" w:rsidRDefault="00674550" w:rsidP="00986700">
      <w:pPr>
        <w:rPr>
          <w:rFonts w:cs="Arial"/>
          <w:szCs w:val="20"/>
        </w:rPr>
      </w:pPr>
    </w:p>
    <w:p w14:paraId="1D503843" w14:textId="2A21B773" w:rsidR="00674550" w:rsidRPr="00674550" w:rsidRDefault="00674550" w:rsidP="008771A6">
      <w:pPr>
        <w:keepNext/>
        <w:keepLines/>
        <w:jc w:val="center"/>
        <w:rPr>
          <w:rFonts w:eastAsia="Times New Roman" w:cs="Arial"/>
          <w:b/>
          <w:szCs w:val="20"/>
          <w:lang w:eastAsia="en-US"/>
        </w:rPr>
      </w:pPr>
      <w:r>
        <w:rPr>
          <w:rFonts w:eastAsia="Times New Roman" w:cs="Arial"/>
          <w:b/>
          <w:szCs w:val="20"/>
          <w:lang w:eastAsia="en-US"/>
        </w:rPr>
        <w:t xml:space="preserve">Programme 2 : </w:t>
      </w:r>
      <w:r w:rsidRPr="00674550">
        <w:rPr>
          <w:rFonts w:eastAsia="Times New Roman" w:cs="Arial"/>
          <w:b/>
          <w:szCs w:val="20"/>
          <w:lang w:eastAsia="en-US"/>
        </w:rPr>
        <w:t>Ressources par résultat</w:t>
      </w:r>
    </w:p>
    <w:p w14:paraId="298B2075" w14:textId="77777777" w:rsidR="00674550" w:rsidRPr="00674550" w:rsidRDefault="00674550" w:rsidP="008771A6">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7A25F5B6" w14:textId="77777777" w:rsidR="00674550" w:rsidRDefault="00674550" w:rsidP="008771A6">
      <w:pPr>
        <w:keepNext/>
        <w:rPr>
          <w:rFonts w:cs="Arial"/>
          <w:szCs w:val="20"/>
        </w:rPr>
      </w:pPr>
    </w:p>
    <w:p w14:paraId="365BF7A9" w14:textId="02771BD8" w:rsidR="00717231" w:rsidRDefault="00717231" w:rsidP="00986700">
      <w:pPr>
        <w:jc w:val="center"/>
        <w:rPr>
          <w:rFonts w:cs="Arial"/>
          <w:szCs w:val="20"/>
        </w:rPr>
      </w:pPr>
      <w:r w:rsidRPr="00717231">
        <w:rPr>
          <w:noProof/>
          <w:lang w:val="en-US" w:eastAsia="en-US"/>
        </w:rPr>
        <w:drawing>
          <wp:inline distT="0" distB="0" distL="0" distR="0" wp14:anchorId="2E7206CE" wp14:editId="3EF397EE">
            <wp:extent cx="5400000" cy="30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000000"/>
                    </a:xfrm>
                    <a:prstGeom prst="rect">
                      <a:avLst/>
                    </a:prstGeom>
                    <a:noFill/>
                    <a:ln>
                      <a:noFill/>
                    </a:ln>
                  </pic:spPr>
                </pic:pic>
              </a:graphicData>
            </a:graphic>
          </wp:inline>
        </w:drawing>
      </w:r>
    </w:p>
    <w:p w14:paraId="6F86FDBE" w14:textId="77777777" w:rsidR="00B55ECC" w:rsidRDefault="00B55ECC" w:rsidP="00986700">
      <w:pPr>
        <w:rPr>
          <w:rFonts w:cs="Arial"/>
          <w:szCs w:val="20"/>
        </w:rPr>
      </w:pPr>
    </w:p>
    <w:p w14:paraId="49A3DD0C"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2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09301C8" w14:textId="2E63F27F"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62B82980" w14:textId="77777777" w:rsidR="008778B5" w:rsidRDefault="008778B5" w:rsidP="00986700">
      <w:pPr>
        <w:keepNext/>
        <w:rPr>
          <w:lang w:eastAsia="en-US"/>
        </w:rPr>
      </w:pPr>
    </w:p>
    <w:p w14:paraId="2A67FEEE" w14:textId="3D50F5B5" w:rsidR="00B55ECC" w:rsidRDefault="008778B5" w:rsidP="00986700">
      <w:pPr>
        <w:jc w:val="center"/>
        <w:rPr>
          <w:lang w:eastAsia="en-US"/>
        </w:rPr>
      </w:pPr>
      <w:r w:rsidRPr="008778B5">
        <w:rPr>
          <w:noProof/>
          <w:lang w:val="en-US" w:eastAsia="en-US"/>
        </w:rPr>
        <w:drawing>
          <wp:inline distT="0" distB="0" distL="0" distR="0" wp14:anchorId="125B19F6" wp14:editId="6AC6706D">
            <wp:extent cx="5400000" cy="603177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72ABCB7F" w14:textId="77777777" w:rsidR="00B55ECC" w:rsidRPr="00E16214" w:rsidRDefault="00B55ECC" w:rsidP="00986700">
      <w:pPr>
        <w:rPr>
          <w:lang w:eastAsia="en-US"/>
        </w:rPr>
      </w:pPr>
    </w:p>
    <w:p w14:paraId="79CF1E41" w14:textId="17B77DE8" w:rsidR="004A1188" w:rsidRPr="00A970C5" w:rsidRDefault="004A1188" w:rsidP="00986700">
      <w:pPr>
        <w:rPr>
          <w:rFonts w:cs="Arial"/>
          <w:szCs w:val="20"/>
        </w:rPr>
      </w:pPr>
      <w:r w:rsidRPr="00A970C5">
        <w:rPr>
          <w:rFonts w:cs="Arial"/>
          <w:szCs w:val="20"/>
        </w:rPr>
        <w:br w:type="page"/>
      </w:r>
    </w:p>
    <w:p w14:paraId="2A7F04F9" w14:textId="06508E62" w:rsidR="00C23022" w:rsidRPr="00C23022" w:rsidRDefault="00C23022" w:rsidP="00986700">
      <w:pPr>
        <w:pStyle w:val="Heading2"/>
      </w:pPr>
      <w:bookmarkStart w:id="26" w:name="_Toc482979474"/>
      <w:r w:rsidRPr="00C23022">
        <w:lastRenderedPageBreak/>
        <w:t>Programme 3</w:t>
      </w:r>
      <w:r w:rsidRPr="00C23022">
        <w:tab/>
        <w:t>Droit d’auteur et droits connexes</w:t>
      </w:r>
      <w:bookmarkEnd w:id="26"/>
    </w:p>
    <w:p w14:paraId="65EE874B" w14:textId="77777777" w:rsidR="00C23022" w:rsidRPr="00E75679" w:rsidRDefault="00C23022" w:rsidP="00986700">
      <w:pPr>
        <w:jc w:val="both"/>
        <w:rPr>
          <w:rFonts w:cs="Arial"/>
          <w:bCs/>
          <w:iCs/>
          <w:caps/>
          <w:szCs w:val="20"/>
        </w:rPr>
      </w:pPr>
    </w:p>
    <w:p w14:paraId="0AC922FD" w14:textId="77777777" w:rsidR="00C23022" w:rsidRPr="00E75679" w:rsidRDefault="00C23022" w:rsidP="00986700">
      <w:pPr>
        <w:jc w:val="both"/>
        <w:rPr>
          <w:rFonts w:cs="Arial"/>
          <w:bCs/>
          <w:szCs w:val="20"/>
        </w:rPr>
      </w:pPr>
    </w:p>
    <w:tbl>
      <w:tblPr>
        <w:tblW w:w="5000" w:type="pct"/>
        <w:tblCellMar>
          <w:top w:w="57" w:type="dxa"/>
          <w:bottom w:w="57" w:type="dxa"/>
        </w:tblCellMar>
        <w:tblLook w:val="01E0" w:firstRow="1" w:lastRow="1" w:firstColumn="1" w:lastColumn="1" w:noHBand="0" w:noVBand="0"/>
      </w:tblPr>
      <w:tblGrid>
        <w:gridCol w:w="9287"/>
      </w:tblGrid>
      <w:tr w:rsidR="00C23022" w:rsidRPr="00E75679" w14:paraId="53A184D6" w14:textId="77777777" w:rsidTr="00752079">
        <w:trPr>
          <w:cantSplit/>
        </w:trPr>
        <w:tc>
          <w:tcPr>
            <w:tcW w:w="9287" w:type="dxa"/>
            <w:shd w:val="clear" w:color="auto" w:fill="C6D9F1" w:themeFill="text2" w:themeFillTint="33"/>
            <w:vAlign w:val="center"/>
          </w:tcPr>
          <w:p w14:paraId="614FF61C" w14:textId="77777777" w:rsidR="00C23022" w:rsidRPr="00E75679" w:rsidRDefault="00C23022" w:rsidP="00986700">
            <w:pPr>
              <w:keepNext/>
              <w:keepLines/>
              <w:jc w:val="center"/>
              <w:rPr>
                <w:rFonts w:eastAsia="Times New Roman" w:cs="Arial"/>
                <w:b/>
                <w:bCs/>
                <w:szCs w:val="20"/>
                <w:lang w:eastAsia="en-US"/>
              </w:rPr>
            </w:pPr>
            <w:r w:rsidRPr="00E75679">
              <w:rPr>
                <w:rFonts w:eastAsia="Times New Roman" w:cs="Arial"/>
                <w:b/>
                <w:bCs/>
                <w:szCs w:val="20"/>
                <w:lang w:eastAsia="en-US"/>
              </w:rPr>
              <w:t xml:space="preserve">Stratégies de mise en œuvre </w:t>
            </w:r>
          </w:p>
        </w:tc>
      </w:tr>
    </w:tbl>
    <w:p w14:paraId="7671D876" w14:textId="76B9A17A" w:rsidR="00C23022" w:rsidRPr="00E75679" w:rsidRDefault="00C23022" w:rsidP="00986700">
      <w:pPr>
        <w:jc w:val="both"/>
        <w:rPr>
          <w:rFonts w:cs="Arial"/>
          <w:szCs w:val="20"/>
        </w:rPr>
      </w:pPr>
    </w:p>
    <w:p w14:paraId="088A1517" w14:textId="77777777"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Faciliter les délibérations au sein du Comité permanent du droit d’auteur et des droits connexes (SCCR) sur toutes les questions de fond inscrites au programme de travail du SCCR et sur les projets stratégiques en rapport avec le droit d’auteur;</w:t>
      </w:r>
    </w:p>
    <w:p w14:paraId="3457CE53" w14:textId="77777777" w:rsidR="00C23022" w:rsidRPr="00E75679" w:rsidRDefault="00C23022" w:rsidP="00986700">
      <w:pPr>
        <w:pStyle w:val="ListParagraph"/>
        <w:ind w:left="567" w:hanging="567"/>
        <w:jc w:val="both"/>
        <w:rPr>
          <w:rFonts w:cs="Arial"/>
          <w:szCs w:val="20"/>
        </w:rPr>
      </w:pPr>
    </w:p>
    <w:p w14:paraId="27931E1F" w14:textId="52CBFBFB"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Fournir des conseils d’ordre législatif aux États membres, notamment aux fins de l’actualisation des législations nationales de manière à les mettre en conformité avec les traités de l’OMPI dans le domaine du droit d’auteur;</w:t>
      </w:r>
    </w:p>
    <w:p w14:paraId="51F7482D" w14:textId="768EA678" w:rsidR="00C23022" w:rsidRPr="00E75679" w:rsidRDefault="00752079" w:rsidP="00986700">
      <w:pPr>
        <w:ind w:left="567" w:hanging="567"/>
        <w:jc w:val="both"/>
        <w:rPr>
          <w:rFonts w:cs="Arial"/>
          <w:szCs w:val="20"/>
        </w:rPr>
      </w:pPr>
      <w:r w:rsidRPr="00752079">
        <w:rPr>
          <w:noProof/>
          <w:lang w:val="en-US" w:eastAsia="en-US"/>
        </w:rPr>
        <w:drawing>
          <wp:anchor distT="0" distB="0" distL="114300" distR="114300" simplePos="0" relativeHeight="251660288" behindDoc="1" locked="0" layoutInCell="1" allowOverlap="1" wp14:anchorId="12B76D28" wp14:editId="59954513">
            <wp:simplePos x="0" y="0"/>
            <wp:positionH relativeFrom="column">
              <wp:posOffset>4463415</wp:posOffset>
            </wp:positionH>
            <wp:positionV relativeFrom="paragraph">
              <wp:posOffset>81280</wp:posOffset>
            </wp:positionV>
            <wp:extent cx="1511935" cy="1939925"/>
            <wp:effectExtent l="0" t="0" r="0" b="3175"/>
            <wp:wrapTight wrapText="bothSides">
              <wp:wrapPolygon edited="0">
                <wp:start x="10614" y="0"/>
                <wp:lineTo x="8981" y="424"/>
                <wp:lineTo x="4899" y="2757"/>
                <wp:lineTo x="4082" y="6151"/>
                <wp:lineTo x="4627" y="6788"/>
                <wp:lineTo x="8437" y="6788"/>
                <wp:lineTo x="2449" y="10181"/>
                <wp:lineTo x="1089" y="11454"/>
                <wp:lineTo x="0" y="12939"/>
                <wp:lineTo x="0" y="17605"/>
                <wp:lineTo x="2449" y="20363"/>
                <wp:lineTo x="4899" y="21211"/>
                <wp:lineTo x="5171" y="21423"/>
                <wp:lineTo x="10886" y="21423"/>
                <wp:lineTo x="11158" y="21211"/>
                <wp:lineTo x="13608" y="20363"/>
                <wp:lineTo x="16057" y="17393"/>
                <wp:lineTo x="16329" y="15060"/>
                <wp:lineTo x="15513" y="13575"/>
                <wp:lineTo x="20412" y="10181"/>
                <wp:lineTo x="21228" y="8060"/>
                <wp:lineTo x="21228" y="4666"/>
                <wp:lineTo x="20956" y="2757"/>
                <wp:lineTo x="16601" y="212"/>
                <wp:lineTo x="14969" y="0"/>
                <wp:lineTo x="10614" y="0"/>
              </wp:wrapPolygon>
            </wp:wrapTight>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93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8DA0A" w14:textId="476B4843"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Fournir une assistance aux États membres en ce qui concerne la mise en œuvre des traités de l’OMPI, en particulier les traités Internet (</w:t>
      </w:r>
      <w:r w:rsidR="008771A6" w:rsidRPr="008771A6">
        <w:rPr>
          <w:rFonts w:cs="Arial"/>
          <w:szCs w:val="20"/>
        </w:rPr>
        <w:t>Traité de l’OMPI sur le droit d’auteur (WCT)</w:t>
      </w:r>
      <w:r w:rsidR="008771A6">
        <w:rPr>
          <w:rFonts w:cs="Arial"/>
          <w:szCs w:val="20"/>
        </w:rPr>
        <w:t xml:space="preserve"> et</w:t>
      </w:r>
      <w:r w:rsidRPr="00E75679">
        <w:rPr>
          <w:rFonts w:cs="Arial"/>
          <w:szCs w:val="20"/>
        </w:rPr>
        <w:t xml:space="preserve"> </w:t>
      </w:r>
      <w:r w:rsidR="008771A6" w:rsidRPr="008771A6">
        <w:rPr>
          <w:rFonts w:cs="Arial"/>
          <w:szCs w:val="20"/>
        </w:rPr>
        <w:t>Traité de l’OMPI sur les interprétations et exécutions et les phonogrammes (WPPT)</w:t>
      </w:r>
      <w:r w:rsidR="008771A6">
        <w:rPr>
          <w:rFonts w:cs="Arial"/>
          <w:szCs w:val="20"/>
        </w:rPr>
        <w:t>)</w:t>
      </w:r>
      <w:r w:rsidRPr="00E75679">
        <w:rPr>
          <w:rFonts w:cs="Arial"/>
          <w:szCs w:val="20"/>
        </w:rPr>
        <w:t xml:space="preserve"> et </w:t>
      </w:r>
      <w:r w:rsidR="008771A6">
        <w:rPr>
          <w:rFonts w:cs="Arial"/>
          <w:szCs w:val="20"/>
        </w:rPr>
        <w:t xml:space="preserve">le </w:t>
      </w:r>
      <w:r w:rsidRPr="00E75679">
        <w:rPr>
          <w:rFonts w:cs="Arial"/>
          <w:szCs w:val="20"/>
        </w:rPr>
        <w:t>Traité de Beijing;</w:t>
      </w:r>
    </w:p>
    <w:p w14:paraId="00F1767F" w14:textId="77777777" w:rsidR="00C23022" w:rsidRPr="00E75679" w:rsidRDefault="00C23022" w:rsidP="00986700">
      <w:pPr>
        <w:ind w:left="567" w:hanging="567"/>
        <w:jc w:val="both"/>
        <w:rPr>
          <w:rFonts w:cs="Arial"/>
          <w:szCs w:val="20"/>
        </w:rPr>
      </w:pPr>
    </w:p>
    <w:p w14:paraId="4A5B96D7" w14:textId="77777777"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Contribuer à l’élaboration d’études en collaboration étroite avec le programme</w:t>
      </w:r>
      <w:r>
        <w:rPr>
          <w:rFonts w:cs="Arial"/>
          <w:szCs w:val="20"/>
        </w:rPr>
        <w:t> </w:t>
      </w:r>
      <w:r w:rsidRPr="00E75679">
        <w:rPr>
          <w:rFonts w:cs="Arial"/>
          <w:szCs w:val="20"/>
        </w:rPr>
        <w:t>16;</w:t>
      </w:r>
    </w:p>
    <w:p w14:paraId="36B6927E" w14:textId="77777777" w:rsidR="00C23022" w:rsidRPr="00E75679" w:rsidRDefault="00C23022" w:rsidP="00986700">
      <w:pPr>
        <w:ind w:left="567" w:hanging="567"/>
        <w:jc w:val="both"/>
        <w:rPr>
          <w:rFonts w:cs="Arial"/>
          <w:szCs w:val="20"/>
        </w:rPr>
      </w:pPr>
    </w:p>
    <w:p w14:paraId="151ECFA8" w14:textId="77777777"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Développer les outils et sources d’information mis à la disposition des créateurs et des titulaires de droits afin de les appuyer dans la gestion de leurs droits;</w:t>
      </w:r>
    </w:p>
    <w:p w14:paraId="5A111860" w14:textId="77777777" w:rsidR="00C23022" w:rsidRPr="00E75679" w:rsidRDefault="00C23022" w:rsidP="00986700">
      <w:pPr>
        <w:ind w:left="567" w:hanging="567"/>
        <w:jc w:val="both"/>
        <w:rPr>
          <w:rFonts w:cs="Arial"/>
          <w:szCs w:val="20"/>
        </w:rPr>
      </w:pPr>
    </w:p>
    <w:p w14:paraId="5CE10B7E" w14:textId="6FE014B4"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Promouvoir le Consortium pour des livres accessibles (“ABC”) et le développement du service</w:t>
      </w:r>
      <w:r w:rsidR="00B0098E">
        <w:rPr>
          <w:rFonts w:cs="Arial"/>
          <w:szCs w:val="20"/>
        </w:rPr>
        <w:t xml:space="preserve"> mondial d’échange</w:t>
      </w:r>
      <w:r w:rsidRPr="00E75679">
        <w:rPr>
          <w:rFonts w:cs="Arial"/>
          <w:szCs w:val="20"/>
        </w:rPr>
        <w:t xml:space="preserve"> de livres </w:t>
      </w:r>
      <w:r w:rsidR="00B0098E">
        <w:rPr>
          <w:rFonts w:cs="Arial"/>
          <w:szCs w:val="20"/>
        </w:rPr>
        <w:t>de l’</w:t>
      </w:r>
      <w:r w:rsidRPr="00E75679">
        <w:rPr>
          <w:rFonts w:cs="Arial"/>
          <w:szCs w:val="20"/>
        </w:rPr>
        <w:t>ABC en tant que principale entité mondiale permettant de faciliter l’accès aux livres pour les personnes ayant des difficultés de lecture des textes imprimés;</w:t>
      </w:r>
    </w:p>
    <w:p w14:paraId="4082BAD6" w14:textId="77777777" w:rsidR="00C23022" w:rsidRPr="00E75679" w:rsidRDefault="00C23022" w:rsidP="00986700">
      <w:pPr>
        <w:ind w:left="567" w:hanging="567"/>
        <w:jc w:val="both"/>
        <w:rPr>
          <w:rFonts w:cs="Arial"/>
          <w:szCs w:val="20"/>
        </w:rPr>
      </w:pPr>
    </w:p>
    <w:p w14:paraId="72468A51" w14:textId="77777777" w:rsidR="00C23022" w:rsidRPr="00E75679" w:rsidRDefault="00C23022" w:rsidP="00616FD3">
      <w:pPr>
        <w:pStyle w:val="ListParagraph"/>
        <w:numPr>
          <w:ilvl w:val="0"/>
          <w:numId w:val="20"/>
        </w:numPr>
        <w:ind w:left="567" w:hanging="567"/>
        <w:jc w:val="both"/>
        <w:rPr>
          <w:rFonts w:cs="Arial"/>
          <w:szCs w:val="20"/>
        </w:rPr>
      </w:pPr>
      <w:r w:rsidRPr="00E75679">
        <w:rPr>
          <w:rFonts w:cs="Arial"/>
          <w:szCs w:val="20"/>
        </w:rPr>
        <w:t>Apporter un appui et une assistance aux États membres pour le renforcement de leurs capacités en matière de ressources humaines et leur développement institutionnel grâce à l’amélioration et à la consolidation des compétences nécessaires aux bureaux nationaux du droit d’auteur, aux organisations de gestion collective et aux parties prenantes en vue de favoriser l’utilisation efficace du droit d’auteur aux fins du développement socioéconomique et culturel et d’optimiser l’engagement de toutes les parties dans les instances internationales.</w:t>
      </w:r>
    </w:p>
    <w:p w14:paraId="173538D1" w14:textId="77777777" w:rsidR="00C23022" w:rsidRPr="00E75679" w:rsidRDefault="00C23022" w:rsidP="00986700">
      <w:pPr>
        <w:jc w:val="both"/>
        <w:rPr>
          <w:rFonts w:cs="Arial"/>
          <w:szCs w:val="20"/>
        </w:rPr>
      </w:pPr>
    </w:p>
    <w:p w14:paraId="6FD17946" w14:textId="77777777" w:rsidR="00C23022" w:rsidRPr="00E75679" w:rsidRDefault="00C23022"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C23022" w:rsidRPr="00E75679" w14:paraId="310BD1C9" w14:textId="77777777" w:rsidTr="00C23022">
        <w:trPr>
          <w:cantSplit/>
        </w:trPr>
        <w:tc>
          <w:tcPr>
            <w:tcW w:w="9571" w:type="dxa"/>
            <w:shd w:val="clear" w:color="auto" w:fill="C6D9F1" w:themeFill="text2" w:themeFillTint="33"/>
            <w:vAlign w:val="center"/>
          </w:tcPr>
          <w:p w14:paraId="2456CD39" w14:textId="73C710FA" w:rsidR="00C23022" w:rsidRPr="00E75679" w:rsidRDefault="008771A6" w:rsidP="008771A6">
            <w:pPr>
              <w:keepNext/>
              <w:keepLines/>
              <w:jc w:val="center"/>
              <w:rPr>
                <w:rFonts w:eastAsia="Times New Roman" w:cs="Arial"/>
                <w:b/>
                <w:bCs/>
                <w:szCs w:val="20"/>
                <w:lang w:eastAsia="en-US"/>
              </w:rPr>
            </w:pPr>
            <w:r>
              <w:rPr>
                <w:rFonts w:cs="Arial"/>
                <w:b/>
                <w:szCs w:val="20"/>
              </w:rPr>
              <w:lastRenderedPageBreak/>
              <w:t>Collaboration interprogrammes</w:t>
            </w:r>
          </w:p>
        </w:tc>
      </w:tr>
    </w:tbl>
    <w:p w14:paraId="2D7BC9D6" w14:textId="77777777" w:rsidR="00C23022" w:rsidRDefault="00C23022" w:rsidP="005A64E3">
      <w:pPr>
        <w:keepNext/>
        <w:jc w:val="both"/>
        <w:rPr>
          <w:rFonts w:cs="Arial"/>
          <w:szCs w:val="20"/>
        </w:rPr>
      </w:pPr>
    </w:p>
    <w:p w14:paraId="00FAEAF7" w14:textId="4C29ADDE" w:rsidR="00C23022" w:rsidRPr="00E75679" w:rsidRDefault="005A64E3" w:rsidP="005A64E3">
      <w:pPr>
        <w:jc w:val="center"/>
        <w:rPr>
          <w:rFonts w:cs="Arial"/>
          <w:szCs w:val="20"/>
        </w:rPr>
      </w:pPr>
      <w:r w:rsidRPr="005A64E3">
        <w:rPr>
          <w:noProof/>
          <w:lang w:val="en-US" w:eastAsia="en-US"/>
        </w:rPr>
        <w:drawing>
          <wp:inline distT="0" distB="0" distL="0" distR="0" wp14:anchorId="0A7E1BD5" wp14:editId="68F7A38D">
            <wp:extent cx="3320343" cy="3600000"/>
            <wp:effectExtent l="0" t="0" r="0"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20343" cy="3600000"/>
                    </a:xfrm>
                    <a:prstGeom prst="rect">
                      <a:avLst/>
                    </a:prstGeom>
                    <a:noFill/>
                    <a:ln>
                      <a:noFill/>
                    </a:ln>
                  </pic:spPr>
                </pic:pic>
              </a:graphicData>
            </a:graphic>
          </wp:inline>
        </w:drawing>
      </w:r>
    </w:p>
    <w:p w14:paraId="3514BF80" w14:textId="77777777" w:rsidR="00C23022" w:rsidRPr="00E75679" w:rsidRDefault="00C23022"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4642"/>
        <w:gridCol w:w="4645"/>
      </w:tblGrid>
      <w:tr w:rsidR="00C23022" w:rsidRPr="00E75679" w14:paraId="49B8CEEE" w14:textId="77777777" w:rsidTr="00C23022">
        <w:trPr>
          <w:cantSplit/>
        </w:trPr>
        <w:tc>
          <w:tcPr>
            <w:tcW w:w="4785" w:type="dxa"/>
            <w:shd w:val="clear" w:color="auto" w:fill="C6D9F1"/>
            <w:tcMar>
              <w:top w:w="57" w:type="dxa"/>
              <w:left w:w="108" w:type="dxa"/>
              <w:bottom w:w="57" w:type="dxa"/>
              <w:right w:w="108" w:type="dxa"/>
            </w:tcMar>
            <w:vAlign w:val="center"/>
            <w:hideMark/>
          </w:tcPr>
          <w:p w14:paraId="78036D0F" w14:textId="77777777" w:rsidR="00C23022" w:rsidRPr="00E75679" w:rsidRDefault="00C23022" w:rsidP="00986700">
            <w:pPr>
              <w:keepNext/>
              <w:jc w:val="center"/>
              <w:rPr>
                <w:rFonts w:eastAsiaTheme="minorHAnsi" w:cs="Arial"/>
                <w:b/>
                <w:bCs/>
                <w:sz w:val="18"/>
                <w:szCs w:val="18"/>
              </w:rPr>
            </w:pPr>
            <w:r w:rsidRPr="00E75679">
              <w:rPr>
                <w:rFonts w:cs="Arial"/>
                <w:b/>
                <w:bCs/>
                <w:sz w:val="18"/>
                <w:szCs w:val="18"/>
              </w:rPr>
              <w:t>Risques</w:t>
            </w:r>
          </w:p>
        </w:tc>
        <w:tc>
          <w:tcPr>
            <w:tcW w:w="4786" w:type="dxa"/>
            <w:shd w:val="clear" w:color="auto" w:fill="C6D9F1"/>
            <w:tcMar>
              <w:top w:w="57" w:type="dxa"/>
              <w:left w:w="108" w:type="dxa"/>
              <w:bottom w:w="57" w:type="dxa"/>
              <w:right w:w="108" w:type="dxa"/>
            </w:tcMar>
            <w:vAlign w:val="center"/>
            <w:hideMark/>
          </w:tcPr>
          <w:p w14:paraId="367BE2CE" w14:textId="77777777" w:rsidR="00C23022" w:rsidRPr="00E75679" w:rsidRDefault="00C23022" w:rsidP="00986700">
            <w:pPr>
              <w:keepNext/>
              <w:jc w:val="center"/>
              <w:rPr>
                <w:rFonts w:eastAsiaTheme="minorHAnsi" w:cs="Arial"/>
                <w:b/>
                <w:bCs/>
                <w:sz w:val="18"/>
                <w:szCs w:val="18"/>
              </w:rPr>
            </w:pPr>
            <w:r w:rsidRPr="00E75679">
              <w:rPr>
                <w:rFonts w:cs="Arial"/>
                <w:b/>
                <w:bCs/>
                <w:sz w:val="18"/>
                <w:szCs w:val="18"/>
              </w:rPr>
              <w:t>Mesures d’atténuation</w:t>
            </w:r>
          </w:p>
        </w:tc>
      </w:tr>
      <w:tr w:rsidR="00C23022" w:rsidRPr="00E75679" w14:paraId="470FD6D7" w14:textId="77777777" w:rsidTr="00C23022">
        <w:trPr>
          <w:cantSplit/>
        </w:trPr>
        <w:tc>
          <w:tcPr>
            <w:tcW w:w="4785" w:type="dxa"/>
            <w:tcMar>
              <w:top w:w="57" w:type="dxa"/>
              <w:left w:w="108" w:type="dxa"/>
              <w:bottom w:w="57" w:type="dxa"/>
              <w:right w:w="108" w:type="dxa"/>
            </w:tcMar>
            <w:hideMark/>
          </w:tcPr>
          <w:p w14:paraId="51E74EFC" w14:textId="77777777" w:rsidR="00C23022" w:rsidRPr="00E75679" w:rsidRDefault="00C23022" w:rsidP="00986700">
            <w:pPr>
              <w:rPr>
                <w:rFonts w:eastAsiaTheme="minorHAnsi" w:cs="Arial"/>
                <w:b/>
                <w:bCs/>
                <w:i/>
                <w:iCs/>
                <w:sz w:val="16"/>
                <w:szCs w:val="16"/>
              </w:rPr>
            </w:pPr>
            <w:r w:rsidRPr="00E75679">
              <w:rPr>
                <w:rFonts w:cs="Arial"/>
                <w:sz w:val="16"/>
                <w:szCs w:val="16"/>
              </w:rPr>
              <w:t>L’absence de cadres juridiques ou techniques appropriés peut limiter la capacité des États membres à tirer parti des échanges régionaux et internationaux de matériel protégé par le droit d’auteur dans un environnement technologique en constante évolution.</w:t>
            </w:r>
          </w:p>
        </w:tc>
        <w:tc>
          <w:tcPr>
            <w:tcW w:w="4786" w:type="dxa"/>
            <w:tcMar>
              <w:top w:w="57" w:type="dxa"/>
              <w:left w:w="108" w:type="dxa"/>
              <w:bottom w:w="57" w:type="dxa"/>
              <w:right w:w="108" w:type="dxa"/>
            </w:tcMar>
            <w:hideMark/>
          </w:tcPr>
          <w:p w14:paraId="31CE012D" w14:textId="77777777" w:rsidR="00C23022" w:rsidRPr="00E75679" w:rsidRDefault="00C23022" w:rsidP="00986700">
            <w:pPr>
              <w:rPr>
                <w:rFonts w:eastAsiaTheme="minorHAnsi" w:cs="Arial"/>
                <w:sz w:val="16"/>
                <w:szCs w:val="16"/>
              </w:rPr>
            </w:pPr>
            <w:r w:rsidRPr="00E75679">
              <w:rPr>
                <w:rFonts w:cs="Arial"/>
                <w:sz w:val="16"/>
                <w:szCs w:val="16"/>
              </w:rPr>
              <w:t>Appuyer les efforts déployés par les États membres pour créer et continuer à développer l’environnement juridique et technique susceptible de favoriser ces échanges grâce à la fourniture de conseils législatifs, au développement institutionnel et à des programmes de sensibilisation.</w:t>
            </w:r>
          </w:p>
        </w:tc>
      </w:tr>
    </w:tbl>
    <w:p w14:paraId="45B1D87C" w14:textId="77777777" w:rsidR="00C23022" w:rsidRPr="00E75679" w:rsidRDefault="00C23022" w:rsidP="00986700">
      <w:pPr>
        <w:jc w:val="both"/>
        <w:rPr>
          <w:rFonts w:cs="Arial"/>
          <w:szCs w:val="20"/>
        </w:rPr>
      </w:pPr>
    </w:p>
    <w:p w14:paraId="52CAF9D8" w14:textId="77777777" w:rsidR="00C23022" w:rsidRPr="00E75679" w:rsidRDefault="00C23022"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92"/>
        <w:gridCol w:w="2303"/>
        <w:gridCol w:w="2299"/>
        <w:gridCol w:w="2293"/>
      </w:tblGrid>
      <w:tr w:rsidR="00C23022" w:rsidRPr="00E75679" w14:paraId="231C887D" w14:textId="77777777" w:rsidTr="00C23022">
        <w:trPr>
          <w:cantSplit/>
        </w:trPr>
        <w:tc>
          <w:tcPr>
            <w:tcW w:w="2392" w:type="dxa"/>
            <w:tcBorders>
              <w:top w:val="nil"/>
              <w:left w:val="nil"/>
              <w:bottom w:val="nil"/>
              <w:right w:val="nil"/>
            </w:tcBorders>
            <w:shd w:val="clear" w:color="000000" w:fill="C5D9F1"/>
            <w:vAlign w:val="center"/>
            <w:hideMark/>
          </w:tcPr>
          <w:p w14:paraId="4FDFA36B" w14:textId="77777777" w:rsidR="00C23022" w:rsidRPr="00E75679" w:rsidRDefault="00C23022" w:rsidP="00986700">
            <w:pPr>
              <w:jc w:val="center"/>
              <w:rPr>
                <w:rFonts w:eastAsia="Times New Roman" w:cs="Arial"/>
                <w:b/>
                <w:bCs/>
                <w:color w:val="000000"/>
                <w:sz w:val="18"/>
                <w:szCs w:val="18"/>
                <w:lang w:eastAsia="en-US"/>
              </w:rPr>
            </w:pPr>
            <w:r w:rsidRPr="00E75679">
              <w:rPr>
                <w:rFonts w:eastAsia="Times New Roman" w:cs="Arial"/>
                <w:b/>
                <w:bCs/>
                <w:color w:val="000000"/>
                <w:sz w:val="18"/>
                <w:szCs w:val="18"/>
                <w:lang w:eastAsia="en-US"/>
              </w:rPr>
              <w:t>Résultat escompté</w:t>
            </w:r>
          </w:p>
        </w:tc>
        <w:tc>
          <w:tcPr>
            <w:tcW w:w="2393" w:type="dxa"/>
            <w:tcBorders>
              <w:top w:val="nil"/>
              <w:left w:val="nil"/>
              <w:bottom w:val="nil"/>
              <w:right w:val="nil"/>
            </w:tcBorders>
            <w:shd w:val="clear" w:color="000000" w:fill="C5D9F1"/>
            <w:vAlign w:val="center"/>
            <w:hideMark/>
          </w:tcPr>
          <w:p w14:paraId="518D1271" w14:textId="77777777" w:rsidR="00C23022" w:rsidRPr="00E75679" w:rsidRDefault="00C23022" w:rsidP="00986700">
            <w:pPr>
              <w:jc w:val="center"/>
              <w:rPr>
                <w:rFonts w:eastAsia="Times New Roman" w:cs="Arial"/>
                <w:b/>
                <w:bCs/>
                <w:color w:val="000000"/>
                <w:sz w:val="18"/>
                <w:szCs w:val="18"/>
                <w:lang w:eastAsia="en-US"/>
              </w:rPr>
            </w:pPr>
            <w:r w:rsidRPr="00E75679">
              <w:rPr>
                <w:rFonts w:eastAsia="Times New Roman" w:cs="Arial"/>
                <w:b/>
                <w:bCs/>
                <w:color w:val="000000"/>
                <w:sz w:val="18"/>
                <w:szCs w:val="18"/>
                <w:lang w:eastAsia="en-US"/>
              </w:rPr>
              <w:t>Indicateurs d’exécution</w:t>
            </w:r>
          </w:p>
        </w:tc>
        <w:tc>
          <w:tcPr>
            <w:tcW w:w="2393" w:type="dxa"/>
            <w:tcBorders>
              <w:top w:val="nil"/>
              <w:left w:val="nil"/>
              <w:bottom w:val="nil"/>
              <w:right w:val="nil"/>
            </w:tcBorders>
            <w:shd w:val="clear" w:color="000000" w:fill="C5D9F1"/>
            <w:vAlign w:val="center"/>
            <w:hideMark/>
          </w:tcPr>
          <w:p w14:paraId="2C095956" w14:textId="77777777" w:rsidR="00C23022" w:rsidRPr="00E75679" w:rsidRDefault="00C23022" w:rsidP="00986700">
            <w:pPr>
              <w:jc w:val="center"/>
              <w:rPr>
                <w:rFonts w:eastAsia="Times New Roman" w:cs="Arial"/>
                <w:b/>
                <w:bCs/>
                <w:color w:val="000000"/>
                <w:sz w:val="18"/>
                <w:szCs w:val="18"/>
                <w:lang w:eastAsia="en-US"/>
              </w:rPr>
            </w:pPr>
            <w:r w:rsidRPr="00E75679">
              <w:rPr>
                <w:rFonts w:eastAsia="Times New Roman" w:cs="Arial"/>
                <w:b/>
                <w:bCs/>
                <w:color w:val="000000"/>
                <w:sz w:val="18"/>
                <w:szCs w:val="18"/>
                <w:lang w:eastAsia="en-US"/>
              </w:rPr>
              <w:t>Niveaux de référence</w:t>
            </w:r>
          </w:p>
        </w:tc>
        <w:tc>
          <w:tcPr>
            <w:tcW w:w="2393" w:type="dxa"/>
            <w:tcBorders>
              <w:top w:val="nil"/>
              <w:left w:val="nil"/>
              <w:bottom w:val="nil"/>
              <w:right w:val="nil"/>
            </w:tcBorders>
            <w:shd w:val="clear" w:color="000000" w:fill="C5D9F1"/>
            <w:vAlign w:val="center"/>
            <w:hideMark/>
          </w:tcPr>
          <w:p w14:paraId="7DB4FB60" w14:textId="77777777" w:rsidR="00C23022" w:rsidRPr="00E75679" w:rsidRDefault="00C23022" w:rsidP="00986700">
            <w:pPr>
              <w:jc w:val="center"/>
              <w:rPr>
                <w:rFonts w:eastAsia="Times New Roman" w:cs="Arial"/>
                <w:b/>
                <w:bCs/>
                <w:color w:val="000000"/>
                <w:sz w:val="18"/>
                <w:szCs w:val="18"/>
                <w:lang w:eastAsia="en-US"/>
              </w:rPr>
            </w:pPr>
            <w:r w:rsidRPr="00E75679">
              <w:rPr>
                <w:rFonts w:eastAsia="Times New Roman" w:cs="Arial"/>
                <w:b/>
                <w:bCs/>
                <w:color w:val="000000"/>
                <w:sz w:val="18"/>
                <w:szCs w:val="18"/>
                <w:lang w:eastAsia="en-US"/>
              </w:rPr>
              <w:t>Objectifs visés</w:t>
            </w:r>
          </w:p>
        </w:tc>
      </w:tr>
      <w:tr w:rsidR="00C23022" w:rsidRPr="00E75679" w14:paraId="0B2D44DE" w14:textId="77777777" w:rsidTr="00C23022">
        <w:trPr>
          <w:cantSplit/>
        </w:trPr>
        <w:tc>
          <w:tcPr>
            <w:tcW w:w="2392" w:type="dxa"/>
            <w:tcBorders>
              <w:top w:val="nil"/>
              <w:left w:val="nil"/>
              <w:bottom w:val="nil"/>
              <w:right w:val="nil"/>
            </w:tcBorders>
            <w:shd w:val="clear" w:color="000000" w:fill="FFFFFF"/>
            <w:hideMark/>
          </w:tcPr>
          <w:p w14:paraId="18ACEB92"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I.1 Renforcement de la coopération entre les États membres en ce qui concerne l’élaboration de cadres normatifs internationaux équilibrés dans le domaine de la propriété intellectuelle</w:t>
            </w:r>
          </w:p>
        </w:tc>
        <w:tc>
          <w:tcPr>
            <w:tcW w:w="2393" w:type="dxa"/>
            <w:tcBorders>
              <w:top w:val="nil"/>
              <w:left w:val="nil"/>
              <w:bottom w:val="nil"/>
              <w:right w:val="nil"/>
            </w:tcBorders>
            <w:shd w:val="clear" w:color="000000" w:fill="FFFFFF"/>
            <w:hideMark/>
          </w:tcPr>
          <w:p w14:paraId="3CD5F071"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État d’avancement de la mise en œuvre des activités convenues dans le programme de travail du SCCR</w:t>
            </w:r>
          </w:p>
        </w:tc>
        <w:tc>
          <w:tcPr>
            <w:tcW w:w="2393" w:type="dxa"/>
            <w:tcBorders>
              <w:top w:val="nil"/>
              <w:left w:val="nil"/>
              <w:bottom w:val="nil"/>
              <w:right w:val="nil"/>
            </w:tcBorders>
            <w:shd w:val="clear" w:color="000000" w:fill="FFFFFF"/>
            <w:hideMark/>
          </w:tcPr>
          <w:p w14:paraId="767605ED"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Progrès réalisés par le SCCR sur différentes questions de fond à l’ordre du jour de ses travaux, comme il ressort des résumés présentés par les présidents de session et, à sa session de 2016, l’Assemblée générale de l’OMPI a demandé au SCCR de poursuivre ses travaux</w:t>
            </w:r>
          </w:p>
        </w:tc>
        <w:tc>
          <w:tcPr>
            <w:tcW w:w="2393" w:type="dxa"/>
            <w:tcBorders>
              <w:top w:val="nil"/>
              <w:left w:val="nil"/>
              <w:bottom w:val="nil"/>
              <w:right w:val="nil"/>
            </w:tcBorders>
            <w:shd w:val="clear" w:color="000000" w:fill="FFFFFF"/>
            <w:hideMark/>
          </w:tcPr>
          <w:p w14:paraId="28CE3E00"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Résultats convenus par le SCCR, comme il ressort des résumés présentés par les présidents de session et des décisions de l’Assemblée générale pour 2018–2019</w:t>
            </w:r>
          </w:p>
        </w:tc>
      </w:tr>
      <w:tr w:rsidR="00C23022" w:rsidRPr="00E75679" w14:paraId="74137CCD" w14:textId="77777777" w:rsidTr="00C23022">
        <w:trPr>
          <w:cantSplit/>
        </w:trPr>
        <w:tc>
          <w:tcPr>
            <w:tcW w:w="2392" w:type="dxa"/>
            <w:tcBorders>
              <w:top w:val="nil"/>
              <w:left w:val="nil"/>
              <w:bottom w:val="nil"/>
              <w:right w:val="nil"/>
            </w:tcBorders>
            <w:shd w:val="clear" w:color="000000" w:fill="FFFFFF"/>
            <w:hideMark/>
          </w:tcPr>
          <w:p w14:paraId="62B7BB55" w14:textId="721B47F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I.2 Cadres législatifs, réglementaires et politiques de propriété intellectuelle adaptés et équilibrés</w:t>
            </w:r>
          </w:p>
        </w:tc>
        <w:tc>
          <w:tcPr>
            <w:tcW w:w="2393" w:type="dxa"/>
            <w:tcBorders>
              <w:top w:val="nil"/>
              <w:left w:val="nil"/>
              <w:bottom w:val="nil"/>
              <w:right w:val="nil"/>
            </w:tcBorders>
            <w:shd w:val="clear" w:color="000000" w:fill="FFFFFF"/>
            <w:hideMark/>
          </w:tcPr>
          <w:p w14:paraId="3D9A9F0B"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Pourcentage de pays ayant donné un avis positif sur les conseils législatifs fournis par l’OMPI</w:t>
            </w:r>
          </w:p>
        </w:tc>
        <w:tc>
          <w:tcPr>
            <w:tcW w:w="2393" w:type="dxa"/>
            <w:tcBorders>
              <w:top w:val="nil"/>
              <w:left w:val="nil"/>
              <w:bottom w:val="nil"/>
              <w:right w:val="nil"/>
            </w:tcBorders>
            <w:shd w:val="clear" w:color="000000" w:fill="FFFFFF"/>
            <w:hideMark/>
          </w:tcPr>
          <w:p w14:paraId="6FD449CD" w14:textId="514B6D02" w:rsidR="00C23022" w:rsidRPr="00E75679" w:rsidRDefault="008771A6" w:rsidP="00986700">
            <w:pPr>
              <w:rPr>
                <w:rFonts w:eastAsia="Times New Roman" w:cs="Arial"/>
                <w:color w:val="000000"/>
                <w:sz w:val="16"/>
                <w:szCs w:val="16"/>
                <w:lang w:eastAsia="en-US"/>
              </w:rPr>
            </w:pPr>
            <w:r>
              <w:rPr>
                <w:rFonts w:eastAsia="Times New Roman" w:cs="Arial"/>
                <w:color w:val="000000"/>
                <w:sz w:val="16"/>
                <w:szCs w:val="16"/>
                <w:lang w:eastAsia="en-US"/>
              </w:rPr>
              <w:t>100</w:t>
            </w:r>
            <w:r w:rsidR="00C23022" w:rsidRPr="00E75679">
              <w:rPr>
                <w:rFonts w:eastAsia="Times New Roman" w:cs="Arial"/>
                <w:color w:val="000000"/>
                <w:sz w:val="16"/>
                <w:szCs w:val="16"/>
                <w:lang w:eastAsia="en-US"/>
              </w:rPr>
              <w:t>% des personnes interrogées satisfaites des conseils fournis (2016)</w:t>
            </w:r>
          </w:p>
        </w:tc>
        <w:tc>
          <w:tcPr>
            <w:tcW w:w="2393" w:type="dxa"/>
            <w:tcBorders>
              <w:top w:val="nil"/>
              <w:left w:val="nil"/>
              <w:bottom w:val="nil"/>
              <w:right w:val="nil"/>
            </w:tcBorders>
            <w:shd w:val="clear" w:color="000000" w:fill="FFFFFF"/>
            <w:hideMark/>
          </w:tcPr>
          <w:p w14:paraId="3E203163"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85% des personnes interrogées satisfaites des conseils fournis</w:t>
            </w:r>
          </w:p>
        </w:tc>
      </w:tr>
      <w:tr w:rsidR="00C23022" w:rsidRPr="00E75679" w14:paraId="39D539EC" w14:textId="77777777" w:rsidTr="00C23022">
        <w:trPr>
          <w:cantSplit/>
        </w:trPr>
        <w:tc>
          <w:tcPr>
            <w:tcW w:w="2392" w:type="dxa"/>
            <w:tcBorders>
              <w:top w:val="nil"/>
              <w:left w:val="nil"/>
              <w:bottom w:val="nil"/>
              <w:right w:val="nil"/>
            </w:tcBorders>
            <w:shd w:val="clear" w:color="auto" w:fill="auto"/>
            <w:noWrap/>
            <w:hideMark/>
          </w:tcPr>
          <w:p w14:paraId="2AA7BC82"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auto" w:fill="auto"/>
            <w:hideMark/>
          </w:tcPr>
          <w:p w14:paraId="7FF7A0C3"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Nombre de pays ayant ratifié le Traité de l’OMPI sur le droit d’auteur (WCT), le Traité de l’OMPI sur les interprétations et exécutions et les phonogrammes (WPPT), le Traité de Beijing et le Traité </w:t>
            </w:r>
            <w:r>
              <w:rPr>
                <w:rFonts w:eastAsia="Times New Roman" w:cs="Arial"/>
                <w:color w:val="000000"/>
                <w:sz w:val="16"/>
                <w:szCs w:val="16"/>
                <w:lang w:eastAsia="en-US"/>
              </w:rPr>
              <w:t>de Marrakech, ou y ayant adhéré</w:t>
            </w:r>
          </w:p>
        </w:tc>
        <w:tc>
          <w:tcPr>
            <w:tcW w:w="2393" w:type="dxa"/>
            <w:tcBorders>
              <w:top w:val="nil"/>
              <w:left w:val="nil"/>
              <w:bottom w:val="nil"/>
              <w:right w:val="nil"/>
            </w:tcBorders>
            <w:shd w:val="clear" w:color="auto" w:fill="auto"/>
            <w:hideMark/>
          </w:tcPr>
          <w:p w14:paraId="59DF5B5D" w14:textId="377326E0"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WCT (95)</w:t>
            </w:r>
          </w:p>
          <w:p w14:paraId="68C0E8CE" w14:textId="57A73145" w:rsidR="00C23022" w:rsidRPr="00E75679" w:rsidRDefault="00C23022" w:rsidP="00986700">
            <w:pPr>
              <w:pStyle w:val="ListParagraph"/>
              <w:ind w:left="0"/>
              <w:rPr>
                <w:rFonts w:eastAsia="Times New Roman" w:cs="Arial"/>
                <w:color w:val="000000"/>
                <w:sz w:val="16"/>
                <w:szCs w:val="16"/>
                <w:lang w:eastAsia="en-US"/>
              </w:rPr>
            </w:pPr>
            <w:r>
              <w:rPr>
                <w:rFonts w:eastAsia="Times New Roman" w:cs="Arial"/>
                <w:color w:val="000000"/>
                <w:sz w:val="16"/>
                <w:szCs w:val="16"/>
                <w:lang w:eastAsia="en-US"/>
              </w:rPr>
              <w:t xml:space="preserve">– </w:t>
            </w:r>
            <w:r w:rsidRPr="00E75679">
              <w:rPr>
                <w:rFonts w:eastAsia="Times New Roman" w:cs="Arial"/>
                <w:color w:val="000000"/>
                <w:sz w:val="16"/>
                <w:szCs w:val="16"/>
                <w:lang w:eastAsia="en-US"/>
              </w:rPr>
              <w:t>WPPT (95)</w:t>
            </w:r>
          </w:p>
          <w:p w14:paraId="4BB027DD" w14:textId="441A125C" w:rsidR="00C23022" w:rsidRPr="00E75679" w:rsidRDefault="00C23022" w:rsidP="00986700">
            <w:pPr>
              <w:pStyle w:val="ListParagraph"/>
              <w:ind w:left="0"/>
              <w:rPr>
                <w:rFonts w:eastAsia="Times New Roman" w:cs="Arial"/>
                <w:color w:val="000000"/>
                <w:sz w:val="16"/>
                <w:szCs w:val="16"/>
                <w:lang w:eastAsia="en-US"/>
              </w:rPr>
            </w:pPr>
            <w:r>
              <w:rPr>
                <w:rFonts w:eastAsia="Times New Roman" w:cs="Arial"/>
                <w:color w:val="000000"/>
                <w:sz w:val="16"/>
                <w:szCs w:val="16"/>
                <w:lang w:eastAsia="en-US"/>
              </w:rPr>
              <w:t xml:space="preserve">– </w:t>
            </w:r>
            <w:r w:rsidRPr="00E75679">
              <w:rPr>
                <w:rFonts w:eastAsia="Times New Roman" w:cs="Arial"/>
                <w:color w:val="000000"/>
                <w:sz w:val="16"/>
                <w:szCs w:val="16"/>
                <w:lang w:eastAsia="en-US"/>
              </w:rPr>
              <w:t>Traité de Beijing (15)</w:t>
            </w:r>
          </w:p>
          <w:p w14:paraId="3FF61AE2" w14:textId="373F3BA6" w:rsidR="00C23022" w:rsidRPr="00E75679" w:rsidRDefault="00C23022" w:rsidP="00986700">
            <w:pPr>
              <w:pStyle w:val="ListParagraph"/>
              <w:ind w:left="0"/>
              <w:rPr>
                <w:rFonts w:eastAsia="Times New Roman" w:cs="Arial"/>
                <w:color w:val="000000"/>
                <w:sz w:val="16"/>
                <w:szCs w:val="16"/>
                <w:lang w:eastAsia="en-US"/>
              </w:rPr>
            </w:pPr>
            <w:r>
              <w:rPr>
                <w:rFonts w:eastAsia="Times New Roman" w:cs="Arial"/>
                <w:color w:val="000000"/>
                <w:sz w:val="16"/>
                <w:szCs w:val="16"/>
                <w:lang w:eastAsia="en-US"/>
              </w:rPr>
              <w:t xml:space="preserve">– </w:t>
            </w:r>
            <w:r w:rsidRPr="00E75679">
              <w:rPr>
                <w:rFonts w:eastAsia="Times New Roman" w:cs="Arial"/>
                <w:color w:val="000000"/>
                <w:sz w:val="16"/>
                <w:szCs w:val="16"/>
                <w:lang w:eastAsia="en-US"/>
              </w:rPr>
              <w:t xml:space="preserve">Traité de Marrakech (26) </w:t>
            </w:r>
            <w:r w:rsidRPr="00E75679">
              <w:rPr>
                <w:rFonts w:eastAsia="Times New Roman" w:cs="Arial"/>
                <w:color w:val="000000"/>
                <w:sz w:val="16"/>
                <w:szCs w:val="16"/>
                <w:lang w:eastAsia="en-US"/>
              </w:rPr>
              <w:br/>
              <w:t>(en février 2017)</w:t>
            </w:r>
          </w:p>
        </w:tc>
        <w:tc>
          <w:tcPr>
            <w:tcW w:w="2393" w:type="dxa"/>
            <w:tcBorders>
              <w:top w:val="nil"/>
              <w:left w:val="nil"/>
              <w:bottom w:val="nil"/>
              <w:right w:val="nil"/>
            </w:tcBorders>
            <w:shd w:val="clear" w:color="auto" w:fill="auto"/>
            <w:hideMark/>
          </w:tcPr>
          <w:p w14:paraId="5F722285" w14:textId="09584237"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WCT : 100 (chiffres cumulés)</w:t>
            </w:r>
          </w:p>
          <w:p w14:paraId="38A34107" w14:textId="1D01FA0B"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WPPT : 100 (chiffres cumulés)</w:t>
            </w:r>
          </w:p>
          <w:p w14:paraId="6A0274EB" w14:textId="736252AE"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Beijing : 40 (chiffres cumulés)</w:t>
            </w:r>
          </w:p>
          <w:p w14:paraId="7B4C513B" w14:textId="3A0E6AB5"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Marrakech : 40 (chiffres cumulés)</w:t>
            </w:r>
          </w:p>
        </w:tc>
      </w:tr>
      <w:tr w:rsidR="00C23022" w:rsidRPr="00E75679" w14:paraId="4BD5D1DC" w14:textId="77777777" w:rsidTr="00C23022">
        <w:trPr>
          <w:cantSplit/>
        </w:trPr>
        <w:tc>
          <w:tcPr>
            <w:tcW w:w="2392" w:type="dxa"/>
            <w:vMerge w:val="restart"/>
            <w:tcBorders>
              <w:top w:val="nil"/>
              <w:left w:val="nil"/>
              <w:right w:val="nil"/>
            </w:tcBorders>
            <w:shd w:val="clear" w:color="000000" w:fill="FFFFFF"/>
            <w:hideMark/>
          </w:tcPr>
          <w:p w14:paraId="441BE561"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lastRenderedPageBreak/>
              <w:t>III.1 Stratégies et plans nationaux en matière de propriété intellectuelle conformes aux objectifs de développement nationaux</w:t>
            </w:r>
          </w:p>
        </w:tc>
        <w:tc>
          <w:tcPr>
            <w:tcW w:w="2393" w:type="dxa"/>
            <w:tcBorders>
              <w:top w:val="nil"/>
              <w:left w:val="nil"/>
              <w:bottom w:val="nil"/>
              <w:right w:val="nil"/>
            </w:tcBorders>
            <w:shd w:val="clear" w:color="000000" w:fill="FFFFFF"/>
            <w:hideMark/>
          </w:tcPr>
          <w:p w14:paraId="7D3BA17C"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pays en voie d’élaboration d’une stratégie nationale en matière de droit d’auteur dans le cadre de leur stratégie nationale de propriété intellectuelle</w:t>
            </w:r>
          </w:p>
        </w:tc>
        <w:tc>
          <w:tcPr>
            <w:tcW w:w="2393" w:type="dxa"/>
            <w:tcBorders>
              <w:top w:val="nil"/>
              <w:left w:val="nil"/>
              <w:bottom w:val="nil"/>
              <w:right w:val="nil"/>
            </w:tcBorders>
            <w:shd w:val="clear" w:color="000000" w:fill="FFFFFF"/>
            <w:hideMark/>
          </w:tcPr>
          <w:p w14:paraId="73AF1DC9" w14:textId="216C8974"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Pays africains : </w:t>
            </w:r>
            <w:r w:rsidR="008771A6">
              <w:rPr>
                <w:rFonts w:eastAsia="Times New Roman" w:cs="Arial"/>
                <w:color w:val="000000"/>
                <w:sz w:val="16"/>
                <w:szCs w:val="16"/>
                <w:lang w:eastAsia="en-US"/>
              </w:rPr>
              <w:t>(</w:t>
            </w:r>
            <w:r w:rsidRPr="00E75679">
              <w:rPr>
                <w:rFonts w:eastAsia="Times New Roman" w:cs="Arial"/>
                <w:color w:val="000000"/>
                <w:sz w:val="16"/>
                <w:szCs w:val="16"/>
                <w:lang w:eastAsia="en-US"/>
              </w:rPr>
              <w:t>3 de plus</w:t>
            </w:r>
            <w:r w:rsidR="008771A6">
              <w:rPr>
                <w:rFonts w:eastAsia="Times New Roman" w:cs="Arial"/>
                <w:color w:val="000000"/>
                <w:sz w:val="16"/>
                <w:szCs w:val="16"/>
                <w:lang w:eastAsia="en-US"/>
              </w:rPr>
              <w:t>)</w:t>
            </w:r>
          </w:p>
          <w:p w14:paraId="20169F15" w14:textId="07079D79"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Pays arabes : </w:t>
            </w:r>
            <w:r w:rsidR="008771A6">
              <w:rPr>
                <w:rFonts w:eastAsia="Times New Roman" w:cs="Arial"/>
                <w:color w:val="000000"/>
                <w:sz w:val="16"/>
                <w:szCs w:val="16"/>
                <w:lang w:eastAsia="en-US"/>
              </w:rPr>
              <w:t>(</w:t>
            </w:r>
            <w:r w:rsidRPr="00E75679">
              <w:rPr>
                <w:rFonts w:eastAsia="Times New Roman" w:cs="Arial"/>
                <w:color w:val="000000"/>
                <w:sz w:val="16"/>
                <w:szCs w:val="16"/>
                <w:lang w:eastAsia="en-US"/>
              </w:rPr>
              <w:t>2 de plus</w:t>
            </w:r>
            <w:r w:rsidR="008771A6">
              <w:rPr>
                <w:rFonts w:eastAsia="Times New Roman" w:cs="Arial"/>
                <w:color w:val="000000"/>
                <w:sz w:val="16"/>
                <w:szCs w:val="16"/>
                <w:lang w:eastAsia="en-US"/>
              </w:rPr>
              <w:t>)</w:t>
            </w:r>
          </w:p>
          <w:p w14:paraId="1EE1B43C" w14:textId="232D13FB"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Pays d’Asie et du Pacifique : </w:t>
            </w:r>
            <w:r w:rsidR="008771A6">
              <w:rPr>
                <w:rFonts w:eastAsia="Times New Roman" w:cs="Arial"/>
                <w:color w:val="000000"/>
                <w:sz w:val="16"/>
                <w:szCs w:val="16"/>
                <w:lang w:eastAsia="en-US"/>
              </w:rPr>
              <w:t>(</w:t>
            </w:r>
            <w:r w:rsidRPr="00E75679">
              <w:rPr>
                <w:rFonts w:eastAsia="Times New Roman" w:cs="Arial"/>
                <w:color w:val="000000"/>
                <w:sz w:val="16"/>
                <w:szCs w:val="16"/>
                <w:lang w:eastAsia="en-US"/>
              </w:rPr>
              <w:t>2 de plus</w:t>
            </w:r>
            <w:r w:rsidR="008771A6">
              <w:rPr>
                <w:rFonts w:eastAsia="Times New Roman" w:cs="Arial"/>
                <w:color w:val="000000"/>
                <w:sz w:val="16"/>
                <w:szCs w:val="16"/>
                <w:lang w:eastAsia="en-US"/>
              </w:rPr>
              <w:t>)</w:t>
            </w:r>
          </w:p>
          <w:p w14:paraId="53CC1FD6" w14:textId="0AFC6EED"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Pays d’Amérique latine et des Caraïbes : </w:t>
            </w:r>
            <w:r w:rsidR="008771A6">
              <w:rPr>
                <w:rFonts w:eastAsia="Times New Roman" w:cs="Arial"/>
                <w:color w:val="000000"/>
                <w:sz w:val="16"/>
                <w:szCs w:val="16"/>
                <w:lang w:eastAsia="en-US"/>
              </w:rPr>
              <w:t>(</w:t>
            </w:r>
            <w:r w:rsidRPr="00E75679">
              <w:rPr>
                <w:rFonts w:eastAsia="Times New Roman" w:cs="Arial"/>
                <w:color w:val="000000"/>
                <w:sz w:val="16"/>
                <w:szCs w:val="16"/>
                <w:lang w:eastAsia="en-US"/>
              </w:rPr>
              <w:t>4 de plus</w:t>
            </w:r>
            <w:r w:rsidR="008771A6">
              <w:rPr>
                <w:rFonts w:eastAsia="Times New Roman" w:cs="Arial"/>
                <w:color w:val="000000"/>
                <w:sz w:val="16"/>
                <w:szCs w:val="16"/>
                <w:lang w:eastAsia="en-US"/>
              </w:rPr>
              <w:t>)</w:t>
            </w:r>
          </w:p>
          <w:p w14:paraId="58EE3DDE"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(2016)</w:t>
            </w:r>
          </w:p>
        </w:tc>
        <w:tc>
          <w:tcPr>
            <w:tcW w:w="2393" w:type="dxa"/>
            <w:tcBorders>
              <w:top w:val="nil"/>
              <w:left w:val="nil"/>
              <w:bottom w:val="nil"/>
              <w:right w:val="nil"/>
            </w:tcBorders>
            <w:shd w:val="clear" w:color="000000" w:fill="FFFFFF"/>
            <w:hideMark/>
          </w:tcPr>
          <w:p w14:paraId="46C8416B" w14:textId="562069C2" w:rsidR="00C23022" w:rsidRPr="00E75679" w:rsidRDefault="00C23022" w:rsidP="00986700">
            <w:pPr>
              <w:pStyle w:val="ListParagraph"/>
              <w:ind w:left="0"/>
              <w:rPr>
                <w:rFonts w:eastAsia="Times New Roman" w:cs="Arial"/>
                <w:color w:val="000000"/>
                <w:sz w:val="16"/>
                <w:szCs w:val="16"/>
                <w:lang w:eastAsia="en-US"/>
              </w:rPr>
            </w:pPr>
            <w:r>
              <w:rPr>
                <w:rFonts w:eastAsia="Times New Roman" w:cs="Arial"/>
                <w:color w:val="000000"/>
                <w:sz w:val="16"/>
                <w:szCs w:val="16"/>
                <w:lang w:eastAsia="en-US"/>
              </w:rPr>
              <w:t xml:space="preserve">– </w:t>
            </w:r>
            <w:r w:rsidRPr="00E75679">
              <w:rPr>
                <w:rFonts w:eastAsia="Times New Roman" w:cs="Arial"/>
                <w:color w:val="000000"/>
                <w:sz w:val="16"/>
                <w:szCs w:val="16"/>
                <w:lang w:eastAsia="en-US"/>
              </w:rPr>
              <w:t>Pays africains (3 de plus)</w:t>
            </w:r>
          </w:p>
          <w:p w14:paraId="0B828290" w14:textId="4C2B752D"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Pays arabes (4 de plus)</w:t>
            </w:r>
          </w:p>
          <w:p w14:paraId="28D775E0" w14:textId="361DE1D2"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Pays d’Asie et du Pacifique (6 de plus)</w:t>
            </w:r>
          </w:p>
          <w:p w14:paraId="6CD1E89D" w14:textId="3DC09476" w:rsidR="00C23022" w:rsidRPr="00C23022"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C23022">
              <w:rPr>
                <w:rFonts w:eastAsia="Times New Roman" w:cs="Arial"/>
                <w:color w:val="000000"/>
                <w:sz w:val="16"/>
                <w:szCs w:val="16"/>
                <w:lang w:eastAsia="en-US"/>
              </w:rPr>
              <w:t>Pays d’Amérique latine et des Caraïbes (3 de plus, élaboration en voie d’achèvement dans 5 pays)</w:t>
            </w:r>
          </w:p>
        </w:tc>
      </w:tr>
      <w:tr w:rsidR="00C23022" w:rsidRPr="00E75679" w14:paraId="2430AA05" w14:textId="77777777" w:rsidTr="00C23022">
        <w:trPr>
          <w:cantSplit/>
        </w:trPr>
        <w:tc>
          <w:tcPr>
            <w:tcW w:w="2392" w:type="dxa"/>
            <w:vMerge/>
            <w:tcBorders>
              <w:left w:val="nil"/>
              <w:bottom w:val="nil"/>
              <w:right w:val="nil"/>
            </w:tcBorders>
            <w:shd w:val="clear" w:color="000000" w:fill="FFFFFF"/>
            <w:hideMark/>
          </w:tcPr>
          <w:p w14:paraId="64E0C474"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auto" w:fill="auto"/>
            <w:hideMark/>
          </w:tcPr>
          <w:p w14:paraId="1DDD86AF"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pays ayant adopté une stratégie nationale en matière de droit d’auteur dans le cadre de leur stratégie nationale de propriété intellectuelle</w:t>
            </w:r>
          </w:p>
        </w:tc>
        <w:tc>
          <w:tcPr>
            <w:tcW w:w="2393" w:type="dxa"/>
            <w:tcBorders>
              <w:top w:val="nil"/>
              <w:left w:val="nil"/>
              <w:bottom w:val="nil"/>
              <w:right w:val="nil"/>
            </w:tcBorders>
            <w:shd w:val="clear" w:color="000000" w:fill="FFFFFF"/>
            <w:hideMark/>
          </w:tcPr>
          <w:p w14:paraId="5684BAAB"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Fin</w:t>
            </w:r>
            <w:r>
              <w:rPr>
                <w:rFonts w:eastAsia="Times New Roman" w:cs="Arial"/>
                <w:color w:val="000000"/>
                <w:sz w:val="16"/>
                <w:szCs w:val="16"/>
                <w:lang w:eastAsia="en-US"/>
              </w:rPr>
              <w:t> </w:t>
            </w:r>
            <w:r w:rsidRPr="00E75679">
              <w:rPr>
                <w:rFonts w:eastAsia="Times New Roman" w:cs="Arial"/>
                <w:color w:val="000000"/>
                <w:sz w:val="16"/>
                <w:szCs w:val="16"/>
                <w:lang w:eastAsia="en-US"/>
              </w:rPr>
              <w:t>2016 :</w:t>
            </w:r>
          </w:p>
          <w:p w14:paraId="3CFA1CD2"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Pays africains : 25 (chiffres cumulés)</w:t>
            </w:r>
          </w:p>
          <w:p w14:paraId="623070F0"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Pays arabes : 2 (chiffres cumulés)</w:t>
            </w:r>
          </w:p>
          <w:p w14:paraId="7769A06B"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Pays d’Asie et du Pacifique : 7 (chiffres cumulés)</w:t>
            </w:r>
          </w:p>
          <w:p w14:paraId="2A3C2507"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Pays d’Amérique latine et des Caraïbes : 8 (chiffres cumulés)</w:t>
            </w:r>
          </w:p>
        </w:tc>
        <w:tc>
          <w:tcPr>
            <w:tcW w:w="2393" w:type="dxa"/>
            <w:tcBorders>
              <w:top w:val="nil"/>
              <w:left w:val="nil"/>
              <w:bottom w:val="nil"/>
              <w:right w:val="nil"/>
            </w:tcBorders>
            <w:shd w:val="clear" w:color="000000" w:fill="FFFFFF"/>
            <w:hideMark/>
          </w:tcPr>
          <w:p w14:paraId="606556A2" w14:textId="1D10103A" w:rsidR="00C23022" w:rsidRPr="00C23022" w:rsidRDefault="00C23022" w:rsidP="00986700">
            <w:pPr>
              <w:pStyle w:val="ListParagraph"/>
              <w:ind w:left="0"/>
              <w:rPr>
                <w:rFonts w:eastAsia="Times New Roman" w:cs="Arial"/>
                <w:color w:val="000000"/>
                <w:sz w:val="16"/>
                <w:szCs w:val="16"/>
                <w:lang w:eastAsia="en-US"/>
              </w:rPr>
            </w:pPr>
            <w:r w:rsidRPr="00C23022">
              <w:rPr>
                <w:rFonts w:eastAsia="Times New Roman" w:cs="Arial"/>
                <w:color w:val="000000"/>
                <w:sz w:val="16"/>
                <w:szCs w:val="16"/>
                <w:lang w:eastAsia="en-US"/>
              </w:rPr>
              <w:t>– Pays africains</w:t>
            </w:r>
            <w:r w:rsidR="008771A6" w:rsidRPr="00C23022">
              <w:rPr>
                <w:rFonts w:eastAsia="Times New Roman" w:cs="Arial"/>
                <w:color w:val="000000"/>
                <w:sz w:val="16"/>
                <w:szCs w:val="16"/>
                <w:lang w:eastAsia="en-US"/>
              </w:rPr>
              <w:t xml:space="preserve"> (</w:t>
            </w:r>
            <w:r w:rsidR="008771A6">
              <w:rPr>
                <w:rFonts w:eastAsia="Times New Roman" w:cs="Arial"/>
                <w:color w:val="000000"/>
                <w:sz w:val="16"/>
                <w:szCs w:val="16"/>
                <w:lang w:eastAsia="en-US"/>
              </w:rPr>
              <w:t xml:space="preserve">3 </w:t>
            </w:r>
            <w:r w:rsidR="008771A6" w:rsidRPr="00C23022">
              <w:rPr>
                <w:rFonts w:eastAsia="Times New Roman" w:cs="Arial"/>
                <w:color w:val="000000"/>
                <w:sz w:val="16"/>
                <w:szCs w:val="16"/>
                <w:lang w:eastAsia="en-US"/>
              </w:rPr>
              <w:t>de plus)</w:t>
            </w:r>
          </w:p>
          <w:p w14:paraId="2AB95D91" w14:textId="07FEF969" w:rsidR="00C23022" w:rsidRPr="00C23022" w:rsidRDefault="00C23022" w:rsidP="00986700">
            <w:pPr>
              <w:rPr>
                <w:rFonts w:eastAsia="Times New Roman" w:cs="Arial"/>
                <w:color w:val="000000"/>
                <w:sz w:val="16"/>
                <w:szCs w:val="16"/>
                <w:lang w:eastAsia="en-US"/>
              </w:rPr>
            </w:pPr>
            <w:r w:rsidRPr="00C23022">
              <w:rPr>
                <w:rFonts w:eastAsia="Times New Roman" w:cs="Arial"/>
                <w:color w:val="000000"/>
                <w:sz w:val="16"/>
                <w:szCs w:val="16"/>
                <w:lang w:eastAsia="en-US"/>
              </w:rPr>
              <w:t>– Pays arabes (1 de plus)</w:t>
            </w:r>
          </w:p>
          <w:p w14:paraId="24475FEA" w14:textId="048FAB3F" w:rsidR="00C23022" w:rsidRPr="00C23022" w:rsidRDefault="00C23022" w:rsidP="00986700">
            <w:pPr>
              <w:rPr>
                <w:rFonts w:eastAsia="Times New Roman" w:cs="Arial"/>
                <w:color w:val="000000"/>
                <w:sz w:val="16"/>
                <w:szCs w:val="16"/>
                <w:lang w:eastAsia="en-US"/>
              </w:rPr>
            </w:pPr>
            <w:r w:rsidRPr="00C23022">
              <w:rPr>
                <w:rFonts w:eastAsia="Times New Roman" w:cs="Arial"/>
                <w:color w:val="000000"/>
                <w:sz w:val="16"/>
                <w:szCs w:val="16"/>
                <w:lang w:eastAsia="en-US"/>
              </w:rPr>
              <w:t>– Pays d’Asie et du Pacifique (6 de plus)</w:t>
            </w:r>
          </w:p>
          <w:p w14:paraId="61375E7C" w14:textId="083D109D" w:rsidR="00C23022" w:rsidRPr="00C23022" w:rsidRDefault="00C23022" w:rsidP="00986700">
            <w:pPr>
              <w:rPr>
                <w:sz w:val="16"/>
                <w:szCs w:val="16"/>
                <w:lang w:eastAsia="en-US"/>
              </w:rPr>
            </w:pPr>
            <w:r w:rsidRPr="00C23022">
              <w:rPr>
                <w:sz w:val="16"/>
                <w:szCs w:val="16"/>
                <w:lang w:eastAsia="en-US"/>
              </w:rPr>
              <w:t>– Pays d’Amérique latine et des Caraïbes (3 de plus)</w:t>
            </w:r>
          </w:p>
        </w:tc>
      </w:tr>
      <w:tr w:rsidR="00C23022" w:rsidRPr="00E75679" w14:paraId="0FE29CD1" w14:textId="77777777" w:rsidTr="00C23022">
        <w:trPr>
          <w:cantSplit/>
        </w:trPr>
        <w:tc>
          <w:tcPr>
            <w:tcW w:w="2392" w:type="dxa"/>
            <w:vMerge w:val="restart"/>
            <w:tcBorders>
              <w:top w:val="nil"/>
              <w:left w:val="nil"/>
              <w:right w:val="nil"/>
            </w:tcBorders>
            <w:shd w:val="clear" w:color="000000" w:fill="FFFFFF"/>
            <w:hideMark/>
          </w:tcPr>
          <w:p w14:paraId="79F735AA"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III.2 Renforcement des capacités en matière de ressources humaines pour pouvoir répondre aux nombreuses exigences en ce qui concerne l’utilisation efficace de la propriété intellectuelle au service du développement dans les pays en développement, les PMA et les pays en transition</w:t>
            </w:r>
          </w:p>
        </w:tc>
        <w:tc>
          <w:tcPr>
            <w:tcW w:w="2393" w:type="dxa"/>
            <w:tcBorders>
              <w:top w:val="nil"/>
              <w:left w:val="nil"/>
              <w:bottom w:val="nil"/>
              <w:right w:val="nil"/>
            </w:tcBorders>
            <w:shd w:val="clear" w:color="000000" w:fill="FFFFFF"/>
            <w:hideMark/>
          </w:tcPr>
          <w:p w14:paraId="1BD2AF46"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d’institutions ayant pris des mesures pour progresser dans la définition de leur cadre d’application du droit d’</w:t>
            </w:r>
            <w:r>
              <w:rPr>
                <w:rFonts w:eastAsia="Times New Roman" w:cs="Arial"/>
                <w:color w:val="000000"/>
                <w:sz w:val="16"/>
                <w:szCs w:val="16"/>
                <w:lang w:eastAsia="en-US"/>
              </w:rPr>
              <w:t>auteur</w:t>
            </w:r>
          </w:p>
        </w:tc>
        <w:tc>
          <w:tcPr>
            <w:tcW w:w="2393" w:type="dxa"/>
            <w:tcBorders>
              <w:top w:val="nil"/>
              <w:left w:val="nil"/>
              <w:bottom w:val="nil"/>
              <w:right w:val="nil"/>
            </w:tcBorders>
            <w:shd w:val="clear" w:color="000000" w:fill="FFFFFF"/>
            <w:hideMark/>
          </w:tcPr>
          <w:p w14:paraId="7C9AD549"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n.d</w:t>
            </w:r>
            <w:r>
              <w:rPr>
                <w:rFonts w:eastAsia="Times New Roman" w:cs="Arial"/>
                <w:color w:val="000000"/>
                <w:sz w:val="16"/>
                <w:szCs w:val="16"/>
                <w:lang w:eastAsia="en-US"/>
              </w:rPr>
              <w:t>.</w:t>
            </w:r>
          </w:p>
        </w:tc>
        <w:tc>
          <w:tcPr>
            <w:tcW w:w="2393" w:type="dxa"/>
            <w:tcBorders>
              <w:top w:val="nil"/>
              <w:left w:val="nil"/>
              <w:bottom w:val="nil"/>
              <w:right w:val="nil"/>
            </w:tcBorders>
            <w:shd w:val="clear" w:color="000000" w:fill="FFFFFF"/>
            <w:hideMark/>
          </w:tcPr>
          <w:p w14:paraId="5AF54EF3" w14:textId="038C800C"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16 </w:t>
            </w:r>
            <w:r w:rsidRPr="00E75679">
              <w:rPr>
                <w:rFonts w:eastAsia="Times New Roman" w:cs="Arial"/>
                <w:color w:val="000000"/>
                <w:sz w:val="16"/>
                <w:szCs w:val="16"/>
                <w:lang w:eastAsia="en-US"/>
              </w:rPr>
              <w:t>institutions en 2018</w:t>
            </w:r>
            <w:r w:rsidR="00B441CA">
              <w:rPr>
                <w:rFonts w:eastAsia="Times New Roman" w:cs="Arial"/>
                <w:color w:val="000000"/>
                <w:sz w:val="16"/>
                <w:szCs w:val="16"/>
                <w:lang w:eastAsia="en-US"/>
              </w:rPr>
              <w:noBreakHyphen/>
            </w:r>
            <w:r w:rsidRPr="00E75679">
              <w:rPr>
                <w:rFonts w:eastAsia="Times New Roman" w:cs="Arial"/>
                <w:color w:val="000000"/>
                <w:sz w:val="16"/>
                <w:szCs w:val="16"/>
                <w:lang w:eastAsia="en-US"/>
              </w:rPr>
              <w:t>2019</w:t>
            </w:r>
          </w:p>
        </w:tc>
      </w:tr>
      <w:tr w:rsidR="00C23022" w:rsidRPr="00E75679" w14:paraId="0818136A" w14:textId="77777777" w:rsidTr="00C23022">
        <w:trPr>
          <w:cantSplit/>
        </w:trPr>
        <w:tc>
          <w:tcPr>
            <w:tcW w:w="2392" w:type="dxa"/>
            <w:vMerge/>
            <w:tcBorders>
              <w:left w:val="nil"/>
              <w:right w:val="nil"/>
            </w:tcBorders>
            <w:shd w:val="clear" w:color="000000" w:fill="FFFFFF"/>
            <w:hideMark/>
          </w:tcPr>
          <w:p w14:paraId="03A6BDEB"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000000" w:fill="FFFFFF"/>
            <w:hideMark/>
          </w:tcPr>
          <w:p w14:paraId="2ED0987E"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ABC – nombre d</w:t>
            </w:r>
            <w:r>
              <w:rPr>
                <w:rFonts w:eastAsia="Times New Roman" w:cs="Arial"/>
                <w:color w:val="000000"/>
                <w:sz w:val="16"/>
                <w:szCs w:val="16"/>
                <w:lang w:eastAsia="en-US"/>
              </w:rPr>
              <w:t>e liv</w:t>
            </w:r>
            <w:r w:rsidRPr="00E75679">
              <w:rPr>
                <w:rFonts w:eastAsia="Times New Roman" w:cs="Arial"/>
                <w:color w:val="000000"/>
                <w:sz w:val="16"/>
                <w:szCs w:val="16"/>
                <w:lang w:eastAsia="en-US"/>
              </w:rPr>
              <w:t>res accessibles produits par des partenaires locaux ou des ONG utilisés dans le cadre de projets de renforcement des capacités</w:t>
            </w:r>
          </w:p>
        </w:tc>
        <w:tc>
          <w:tcPr>
            <w:tcW w:w="2393" w:type="dxa"/>
            <w:tcBorders>
              <w:top w:val="nil"/>
              <w:left w:val="nil"/>
              <w:bottom w:val="nil"/>
              <w:right w:val="nil"/>
            </w:tcBorders>
            <w:shd w:val="clear" w:color="000000" w:fill="FFFFFF"/>
            <w:hideMark/>
          </w:tcPr>
          <w:p w14:paraId="1376F57D"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3259 </w:t>
            </w:r>
            <w:r w:rsidRPr="00E75679">
              <w:rPr>
                <w:rFonts w:eastAsia="Times New Roman" w:cs="Arial"/>
                <w:color w:val="000000"/>
                <w:sz w:val="16"/>
                <w:szCs w:val="16"/>
                <w:lang w:eastAsia="en-US"/>
              </w:rPr>
              <w:t xml:space="preserve">ouvrages pédagogiques produits (chiffres cumulés en février 2017) </w:t>
            </w:r>
          </w:p>
        </w:tc>
        <w:tc>
          <w:tcPr>
            <w:tcW w:w="2393" w:type="dxa"/>
            <w:tcBorders>
              <w:top w:val="nil"/>
              <w:left w:val="nil"/>
              <w:bottom w:val="nil"/>
              <w:right w:val="nil"/>
            </w:tcBorders>
            <w:shd w:val="clear" w:color="000000" w:fill="FFFFFF"/>
            <w:hideMark/>
          </w:tcPr>
          <w:p w14:paraId="55B47C79"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H</w:t>
            </w:r>
            <w:r w:rsidRPr="00E75679">
              <w:rPr>
                <w:rFonts w:eastAsia="Times New Roman" w:cs="Arial"/>
                <w:color w:val="000000"/>
                <w:sz w:val="16"/>
                <w:szCs w:val="16"/>
                <w:lang w:eastAsia="en-US"/>
              </w:rPr>
              <w:t xml:space="preserve">ausse de 25% </w:t>
            </w:r>
            <w:r w:rsidRPr="00E75679">
              <w:rPr>
                <w:rFonts w:eastAsia="Times New Roman" w:cs="Arial"/>
                <w:color w:val="000000"/>
                <w:sz w:val="16"/>
                <w:szCs w:val="16"/>
                <w:lang w:eastAsia="en-US"/>
              </w:rPr>
              <w:br/>
              <w:t>(exercice biennal)</w:t>
            </w:r>
          </w:p>
        </w:tc>
      </w:tr>
      <w:tr w:rsidR="00C23022" w:rsidRPr="00E75679" w14:paraId="6FE78DBF" w14:textId="77777777" w:rsidTr="00C23022">
        <w:trPr>
          <w:cantSplit/>
        </w:trPr>
        <w:tc>
          <w:tcPr>
            <w:tcW w:w="2392" w:type="dxa"/>
            <w:vMerge/>
            <w:tcBorders>
              <w:left w:val="nil"/>
              <w:right w:val="nil"/>
            </w:tcBorders>
            <w:shd w:val="clear" w:color="000000" w:fill="FFFFFF"/>
            <w:hideMark/>
          </w:tcPr>
          <w:p w14:paraId="1EAD7ABD"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000000" w:fill="FFFFFF"/>
            <w:hideMark/>
          </w:tcPr>
          <w:p w14:paraId="004A651A"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d’utilisateurs ayant accédé aux publications, outils et sources d’information de l’OMPI en ligne ou sur papier consacrés à la gestion du droit d’auteur dans les industries de la création</w:t>
            </w:r>
          </w:p>
        </w:tc>
        <w:tc>
          <w:tcPr>
            <w:tcW w:w="2393" w:type="dxa"/>
            <w:tcBorders>
              <w:top w:val="nil"/>
              <w:left w:val="nil"/>
              <w:bottom w:val="nil"/>
              <w:right w:val="nil"/>
            </w:tcBorders>
            <w:shd w:val="clear" w:color="000000" w:fill="FFFFFF"/>
            <w:hideMark/>
          </w:tcPr>
          <w:p w14:paraId="41155203"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E75679">
              <w:rPr>
                <w:rFonts w:eastAsia="Times New Roman" w:cs="Arial"/>
                <w:color w:val="000000"/>
                <w:sz w:val="16"/>
                <w:szCs w:val="16"/>
                <w:lang w:eastAsia="en-US"/>
              </w:rPr>
              <w:t xml:space="preserve"> déterminer</w:t>
            </w:r>
          </w:p>
        </w:tc>
        <w:tc>
          <w:tcPr>
            <w:tcW w:w="2393" w:type="dxa"/>
            <w:tcBorders>
              <w:top w:val="nil"/>
              <w:left w:val="nil"/>
              <w:bottom w:val="nil"/>
              <w:right w:val="nil"/>
            </w:tcBorders>
            <w:shd w:val="clear" w:color="000000" w:fill="FFFFFF"/>
            <w:hideMark/>
          </w:tcPr>
          <w:p w14:paraId="69F82670"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E75679">
              <w:rPr>
                <w:rFonts w:eastAsia="Times New Roman" w:cs="Arial"/>
                <w:color w:val="000000"/>
                <w:sz w:val="16"/>
                <w:szCs w:val="16"/>
                <w:lang w:eastAsia="en-US"/>
              </w:rPr>
              <w:t xml:space="preserve"> déterminer</w:t>
            </w:r>
          </w:p>
        </w:tc>
      </w:tr>
      <w:tr w:rsidR="00C23022" w:rsidRPr="00E75679" w14:paraId="7BCE3392" w14:textId="77777777" w:rsidTr="00C23022">
        <w:trPr>
          <w:cantSplit/>
        </w:trPr>
        <w:tc>
          <w:tcPr>
            <w:tcW w:w="2392" w:type="dxa"/>
            <w:vMerge/>
            <w:tcBorders>
              <w:left w:val="nil"/>
              <w:bottom w:val="nil"/>
              <w:right w:val="nil"/>
            </w:tcBorders>
            <w:shd w:val="clear" w:color="000000" w:fill="FFFFFF"/>
            <w:hideMark/>
          </w:tcPr>
          <w:p w14:paraId="2135CA48"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000000" w:fill="FFFFFF"/>
            <w:hideMark/>
          </w:tcPr>
          <w:p w14:paraId="279DE33B"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d’organisations de gestion collective prenant des mesures concrètes, après une formation, en matière de collecte et de distribution de redevances</w:t>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t>Pourcentage de participants à des activités de renforcement des capacités en matière de gestion des droits rendant compte de mesures concrètes sur la base de la formation reçue</w:t>
            </w:r>
          </w:p>
        </w:tc>
        <w:tc>
          <w:tcPr>
            <w:tcW w:w="2393" w:type="dxa"/>
            <w:tcBorders>
              <w:top w:val="nil"/>
              <w:left w:val="nil"/>
              <w:bottom w:val="nil"/>
              <w:right w:val="nil"/>
            </w:tcBorders>
            <w:shd w:val="clear" w:color="000000" w:fill="FFFFFF"/>
            <w:hideMark/>
          </w:tcPr>
          <w:p w14:paraId="6F231550"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1 (mai 2017) </w:t>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r>
            <w:r>
              <w:rPr>
                <w:rFonts w:eastAsia="Times New Roman" w:cs="Arial"/>
                <w:color w:val="000000"/>
                <w:sz w:val="16"/>
                <w:szCs w:val="16"/>
                <w:lang w:eastAsia="en-US"/>
              </w:rPr>
              <w:br/>
            </w:r>
            <w:r>
              <w:rPr>
                <w:rFonts w:eastAsia="Times New Roman" w:cs="Arial"/>
                <w:color w:val="000000"/>
                <w:sz w:val="16"/>
                <w:szCs w:val="16"/>
                <w:lang w:eastAsia="en-US"/>
              </w:rPr>
              <w:br/>
            </w:r>
            <w:r w:rsidRPr="00E75679">
              <w:rPr>
                <w:rFonts w:eastAsia="Times New Roman" w:cs="Arial"/>
                <w:color w:val="000000"/>
                <w:sz w:val="16"/>
                <w:szCs w:val="16"/>
                <w:lang w:eastAsia="en-US"/>
              </w:rPr>
              <w:br/>
            </w:r>
            <w:r>
              <w:rPr>
                <w:rFonts w:eastAsia="Times New Roman" w:cs="Arial"/>
                <w:color w:val="000000"/>
                <w:sz w:val="16"/>
                <w:szCs w:val="16"/>
                <w:lang w:eastAsia="en-US"/>
              </w:rPr>
              <w:t>À</w:t>
            </w:r>
            <w:r w:rsidRPr="00E75679">
              <w:rPr>
                <w:rFonts w:eastAsia="Times New Roman" w:cs="Arial"/>
                <w:color w:val="000000"/>
                <w:sz w:val="16"/>
                <w:szCs w:val="16"/>
                <w:lang w:eastAsia="en-US"/>
              </w:rPr>
              <w:t xml:space="preserve"> déterminer en 2017</w:t>
            </w:r>
          </w:p>
        </w:tc>
        <w:tc>
          <w:tcPr>
            <w:tcW w:w="2393" w:type="dxa"/>
            <w:tcBorders>
              <w:top w:val="nil"/>
              <w:left w:val="nil"/>
              <w:bottom w:val="nil"/>
              <w:right w:val="nil"/>
            </w:tcBorders>
            <w:shd w:val="clear" w:color="000000" w:fill="FFFFFF"/>
            <w:hideMark/>
          </w:tcPr>
          <w:p w14:paraId="2FF597D3"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 xml:space="preserve">5 de plus </w:t>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r>
            <w:r>
              <w:rPr>
                <w:rFonts w:eastAsia="Times New Roman" w:cs="Arial"/>
                <w:color w:val="000000"/>
                <w:sz w:val="16"/>
                <w:szCs w:val="16"/>
                <w:lang w:eastAsia="en-US"/>
              </w:rPr>
              <w:br/>
            </w:r>
            <w:r>
              <w:rPr>
                <w:rFonts w:eastAsia="Times New Roman" w:cs="Arial"/>
                <w:color w:val="000000"/>
                <w:sz w:val="16"/>
                <w:szCs w:val="16"/>
                <w:lang w:eastAsia="en-US"/>
              </w:rPr>
              <w:br/>
            </w:r>
            <w:r w:rsidRPr="00E75679">
              <w:rPr>
                <w:rFonts w:eastAsia="Times New Roman" w:cs="Arial"/>
                <w:color w:val="000000"/>
                <w:sz w:val="16"/>
                <w:szCs w:val="16"/>
                <w:lang w:eastAsia="en-US"/>
              </w:rPr>
              <w:br/>
            </w:r>
            <w:r w:rsidRPr="00E75679">
              <w:rPr>
                <w:rFonts w:eastAsia="Times New Roman" w:cs="Arial"/>
                <w:color w:val="000000"/>
                <w:sz w:val="16"/>
                <w:szCs w:val="16"/>
                <w:lang w:eastAsia="en-US"/>
              </w:rPr>
              <w:br/>
              <w:t>5%</w:t>
            </w:r>
          </w:p>
        </w:tc>
      </w:tr>
      <w:tr w:rsidR="00C23022" w:rsidRPr="00E75679" w14:paraId="44287282" w14:textId="77777777" w:rsidTr="00C23022">
        <w:trPr>
          <w:cantSplit/>
        </w:trPr>
        <w:tc>
          <w:tcPr>
            <w:tcW w:w="2392" w:type="dxa"/>
            <w:tcBorders>
              <w:top w:val="nil"/>
              <w:left w:val="nil"/>
              <w:bottom w:val="nil"/>
              <w:right w:val="nil"/>
            </w:tcBorders>
            <w:shd w:val="clear" w:color="000000" w:fill="FFFFFF"/>
            <w:hideMark/>
          </w:tcPr>
          <w:p w14:paraId="309D518A"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III.4 Accords de coopération, adaptés aux besoins des institutions des pays en développement, des PMA et des pays en transition</w:t>
            </w:r>
          </w:p>
        </w:tc>
        <w:tc>
          <w:tcPr>
            <w:tcW w:w="2393" w:type="dxa"/>
            <w:tcBorders>
              <w:top w:val="nil"/>
              <w:left w:val="nil"/>
              <w:bottom w:val="nil"/>
              <w:right w:val="nil"/>
            </w:tcBorders>
            <w:shd w:val="clear" w:color="000000" w:fill="FFFFFF"/>
            <w:hideMark/>
          </w:tcPr>
          <w:p w14:paraId="1E4DEB62"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pays ayant pris des mesures pour renforcer leurs capacités techniques ou moderniser leurs structures en matière de droit d’auteur ou de gestion collective en vue de faciliter les échanges transfrontières</w:t>
            </w:r>
          </w:p>
        </w:tc>
        <w:tc>
          <w:tcPr>
            <w:tcW w:w="2393" w:type="dxa"/>
            <w:tcBorders>
              <w:top w:val="nil"/>
              <w:left w:val="nil"/>
              <w:bottom w:val="nil"/>
              <w:right w:val="nil"/>
            </w:tcBorders>
            <w:shd w:val="clear" w:color="000000" w:fill="FFFFFF"/>
            <w:hideMark/>
          </w:tcPr>
          <w:p w14:paraId="2E4BD6AF"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n.d</w:t>
            </w:r>
            <w:r>
              <w:rPr>
                <w:rFonts w:eastAsia="Times New Roman" w:cs="Arial"/>
                <w:color w:val="000000"/>
                <w:sz w:val="16"/>
                <w:szCs w:val="16"/>
                <w:lang w:eastAsia="en-US"/>
              </w:rPr>
              <w:t>.</w:t>
            </w:r>
          </w:p>
        </w:tc>
        <w:tc>
          <w:tcPr>
            <w:tcW w:w="2393" w:type="dxa"/>
            <w:tcBorders>
              <w:top w:val="nil"/>
              <w:left w:val="nil"/>
              <w:bottom w:val="nil"/>
              <w:right w:val="nil"/>
            </w:tcBorders>
            <w:shd w:val="clear" w:color="000000" w:fill="FFFFFF"/>
            <w:hideMark/>
          </w:tcPr>
          <w:p w14:paraId="2E77C760" w14:textId="1A85E1A2"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16 pays en 2018</w:t>
            </w:r>
            <w:r w:rsidR="00B441CA">
              <w:rPr>
                <w:rFonts w:eastAsia="Times New Roman" w:cs="Arial"/>
                <w:color w:val="000000"/>
                <w:sz w:val="16"/>
                <w:szCs w:val="16"/>
                <w:lang w:eastAsia="en-US"/>
              </w:rPr>
              <w:noBreakHyphen/>
            </w:r>
            <w:r w:rsidRPr="00E75679">
              <w:rPr>
                <w:rFonts w:eastAsia="Times New Roman" w:cs="Arial"/>
                <w:color w:val="000000"/>
                <w:sz w:val="16"/>
                <w:szCs w:val="16"/>
                <w:lang w:eastAsia="en-US"/>
              </w:rPr>
              <w:t>2019</w:t>
            </w:r>
          </w:p>
        </w:tc>
      </w:tr>
      <w:tr w:rsidR="00C23022" w:rsidRPr="00E75679" w14:paraId="66E206E6" w14:textId="77777777" w:rsidTr="00C23022">
        <w:trPr>
          <w:cantSplit/>
        </w:trPr>
        <w:tc>
          <w:tcPr>
            <w:tcW w:w="2392" w:type="dxa"/>
            <w:tcBorders>
              <w:top w:val="nil"/>
              <w:left w:val="nil"/>
              <w:bottom w:val="nil"/>
              <w:right w:val="nil"/>
            </w:tcBorders>
            <w:shd w:val="clear" w:color="000000" w:fill="FFFFFF"/>
            <w:hideMark/>
          </w:tcPr>
          <w:p w14:paraId="5EBDCDC0"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lastRenderedPageBreak/>
              <w:t>IV.2 Amélioration de l’accessibilité et de l’utilisation de l’information en matière de propriété intellectuelle par les institutions compétentes et le public afin de promouvoir l’innovation et la créativité</w:t>
            </w:r>
          </w:p>
        </w:tc>
        <w:tc>
          <w:tcPr>
            <w:tcW w:w="2393" w:type="dxa"/>
            <w:tcBorders>
              <w:top w:val="nil"/>
              <w:left w:val="nil"/>
              <w:bottom w:val="nil"/>
              <w:right w:val="nil"/>
            </w:tcBorders>
            <w:shd w:val="clear" w:color="000000" w:fill="FFFFFF"/>
            <w:hideMark/>
          </w:tcPr>
          <w:p w14:paraId="328B2780"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sources d’information sur le droit d’auteur en ligne ou sur papier, y compris des lignes directrices à caractère non contraignant ou des bases de données élaborées en collaboration avec les États membres ou tenant compte de leurs contributions, destinées à fournir des informations sur le cadre juridique en matière de droit d’auteur et ses applications concrètes</w:t>
            </w:r>
          </w:p>
        </w:tc>
        <w:tc>
          <w:tcPr>
            <w:tcW w:w="2393" w:type="dxa"/>
            <w:tcBorders>
              <w:top w:val="nil"/>
              <w:left w:val="nil"/>
              <w:bottom w:val="nil"/>
              <w:right w:val="nil"/>
            </w:tcBorders>
            <w:shd w:val="clear" w:color="000000" w:fill="FFFFFF"/>
            <w:hideMark/>
          </w:tcPr>
          <w:p w14:paraId="1F7730CB"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n.d</w:t>
            </w:r>
            <w:r>
              <w:rPr>
                <w:rFonts w:eastAsia="Times New Roman" w:cs="Arial"/>
                <w:color w:val="000000"/>
                <w:sz w:val="16"/>
                <w:szCs w:val="16"/>
                <w:lang w:eastAsia="en-US"/>
              </w:rPr>
              <w:t>.</w:t>
            </w:r>
          </w:p>
        </w:tc>
        <w:tc>
          <w:tcPr>
            <w:tcW w:w="2393" w:type="dxa"/>
            <w:tcBorders>
              <w:top w:val="nil"/>
              <w:left w:val="nil"/>
              <w:bottom w:val="nil"/>
              <w:right w:val="nil"/>
            </w:tcBorders>
            <w:shd w:val="clear" w:color="000000" w:fill="FFFFFF"/>
            <w:hideMark/>
          </w:tcPr>
          <w:p w14:paraId="3A97A6AD"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E75679">
              <w:rPr>
                <w:rFonts w:eastAsia="Times New Roman" w:cs="Arial"/>
                <w:color w:val="000000"/>
                <w:sz w:val="16"/>
                <w:szCs w:val="16"/>
                <w:lang w:eastAsia="en-US"/>
              </w:rPr>
              <w:t xml:space="preserve"> déterminer</w:t>
            </w:r>
          </w:p>
        </w:tc>
      </w:tr>
      <w:tr w:rsidR="00C23022" w:rsidRPr="00E75679" w14:paraId="59FA4528" w14:textId="77777777" w:rsidTr="00C23022">
        <w:trPr>
          <w:cantSplit/>
        </w:trPr>
        <w:tc>
          <w:tcPr>
            <w:tcW w:w="2392" w:type="dxa"/>
            <w:vMerge w:val="restart"/>
            <w:tcBorders>
              <w:top w:val="nil"/>
              <w:left w:val="nil"/>
              <w:right w:val="nil"/>
            </w:tcBorders>
            <w:shd w:val="clear" w:color="000000" w:fill="FFFFFF"/>
            <w:hideMark/>
          </w:tcPr>
          <w:p w14:paraId="082F8D69"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VII.1 Plateformes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2393" w:type="dxa"/>
            <w:tcBorders>
              <w:top w:val="nil"/>
              <w:left w:val="nil"/>
              <w:bottom w:val="nil"/>
              <w:right w:val="nil"/>
            </w:tcBorders>
            <w:shd w:val="clear" w:color="000000" w:fill="FFFFFF"/>
            <w:hideMark/>
          </w:tcPr>
          <w:p w14:paraId="23509F2E"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livres en format accessible téléchargés à partir du service de livres ABC par des bibliothèques participantes</w:t>
            </w:r>
          </w:p>
        </w:tc>
        <w:tc>
          <w:tcPr>
            <w:tcW w:w="2393" w:type="dxa"/>
            <w:tcBorders>
              <w:top w:val="nil"/>
              <w:left w:val="nil"/>
              <w:bottom w:val="nil"/>
              <w:right w:val="nil"/>
            </w:tcBorders>
            <w:shd w:val="clear" w:color="000000" w:fill="FFFFFF"/>
            <w:hideMark/>
          </w:tcPr>
          <w:p w14:paraId="66F77DBA"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6000 </w:t>
            </w:r>
            <w:r w:rsidRPr="00E75679">
              <w:rPr>
                <w:rFonts w:eastAsia="Times New Roman" w:cs="Arial"/>
                <w:color w:val="000000"/>
                <w:sz w:val="16"/>
                <w:szCs w:val="16"/>
                <w:lang w:eastAsia="en-US"/>
              </w:rPr>
              <w:t>livres téléchargés (chiffres cumulés en février 2017)</w:t>
            </w:r>
          </w:p>
        </w:tc>
        <w:tc>
          <w:tcPr>
            <w:tcW w:w="2393" w:type="dxa"/>
            <w:tcBorders>
              <w:top w:val="nil"/>
              <w:left w:val="nil"/>
              <w:bottom w:val="nil"/>
              <w:right w:val="nil"/>
            </w:tcBorders>
            <w:shd w:val="clear" w:color="000000" w:fill="FFFFFF"/>
            <w:hideMark/>
          </w:tcPr>
          <w:p w14:paraId="3F9F367E"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H</w:t>
            </w:r>
            <w:r w:rsidRPr="00E75679">
              <w:rPr>
                <w:rFonts w:eastAsia="Times New Roman" w:cs="Arial"/>
                <w:color w:val="000000"/>
                <w:sz w:val="16"/>
                <w:szCs w:val="16"/>
                <w:lang w:eastAsia="en-US"/>
              </w:rPr>
              <w:t xml:space="preserve">ausse de 25% </w:t>
            </w:r>
            <w:r w:rsidRPr="00E75679">
              <w:rPr>
                <w:rFonts w:eastAsia="Times New Roman" w:cs="Arial"/>
                <w:color w:val="000000"/>
                <w:sz w:val="16"/>
                <w:szCs w:val="16"/>
                <w:lang w:eastAsia="en-US"/>
              </w:rPr>
              <w:br/>
              <w:t>(exercice biennal)</w:t>
            </w:r>
          </w:p>
        </w:tc>
      </w:tr>
      <w:tr w:rsidR="00C23022" w:rsidRPr="00E75679" w14:paraId="1498DDE6" w14:textId="77777777" w:rsidTr="00C23022">
        <w:trPr>
          <w:cantSplit/>
        </w:trPr>
        <w:tc>
          <w:tcPr>
            <w:tcW w:w="2392" w:type="dxa"/>
            <w:vMerge/>
            <w:tcBorders>
              <w:left w:val="nil"/>
              <w:bottom w:val="nil"/>
              <w:right w:val="nil"/>
            </w:tcBorders>
            <w:shd w:val="clear" w:color="000000" w:fill="FFFFFF"/>
          </w:tcPr>
          <w:p w14:paraId="713BF103" w14:textId="77777777" w:rsidR="00C23022" w:rsidRPr="00E75679" w:rsidRDefault="00C23022" w:rsidP="00986700">
            <w:pPr>
              <w:rPr>
                <w:rFonts w:eastAsia="Times New Roman" w:cs="Arial"/>
                <w:color w:val="000000"/>
                <w:sz w:val="16"/>
                <w:szCs w:val="16"/>
                <w:lang w:eastAsia="en-US"/>
              </w:rPr>
            </w:pPr>
          </w:p>
        </w:tc>
        <w:tc>
          <w:tcPr>
            <w:tcW w:w="2393" w:type="dxa"/>
            <w:tcBorders>
              <w:top w:val="nil"/>
              <w:left w:val="nil"/>
              <w:bottom w:val="nil"/>
              <w:right w:val="nil"/>
            </w:tcBorders>
            <w:shd w:val="clear" w:color="000000" w:fill="FFFFFF"/>
          </w:tcPr>
          <w:p w14:paraId="2399E5FF"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Nombre de livres en format accessible prêtés aux usagers d’une bibliothèque par l’intermédiaire des bibliothèques participant au service ABC</w:t>
            </w:r>
          </w:p>
        </w:tc>
        <w:tc>
          <w:tcPr>
            <w:tcW w:w="2393" w:type="dxa"/>
            <w:tcBorders>
              <w:top w:val="nil"/>
              <w:left w:val="nil"/>
              <w:bottom w:val="nil"/>
              <w:right w:val="nil"/>
            </w:tcBorders>
            <w:shd w:val="clear" w:color="000000" w:fill="FFFFFF"/>
          </w:tcPr>
          <w:p w14:paraId="62191C4F" w14:textId="77777777" w:rsidR="00C23022" w:rsidRPr="00E75679" w:rsidRDefault="00C23022" w:rsidP="00986700">
            <w:pPr>
              <w:rPr>
                <w:rFonts w:eastAsia="Times New Roman" w:cs="Arial"/>
                <w:color w:val="000000"/>
                <w:sz w:val="16"/>
                <w:szCs w:val="16"/>
                <w:lang w:eastAsia="en-US"/>
              </w:rPr>
            </w:pPr>
            <w:r w:rsidRPr="00E75679">
              <w:rPr>
                <w:rFonts w:eastAsia="Times New Roman" w:cs="Arial"/>
                <w:color w:val="000000"/>
                <w:sz w:val="16"/>
                <w:szCs w:val="16"/>
                <w:lang w:eastAsia="en-US"/>
              </w:rPr>
              <w:t>100 000</w:t>
            </w:r>
            <w:r>
              <w:rPr>
                <w:rFonts w:eastAsia="Times New Roman" w:cs="Arial"/>
                <w:color w:val="000000"/>
                <w:sz w:val="16"/>
                <w:szCs w:val="16"/>
                <w:lang w:eastAsia="en-US"/>
              </w:rPr>
              <w:t> </w:t>
            </w:r>
            <w:r w:rsidRPr="00E75679">
              <w:rPr>
                <w:rFonts w:eastAsia="Times New Roman" w:cs="Arial"/>
                <w:color w:val="000000"/>
                <w:sz w:val="16"/>
                <w:szCs w:val="16"/>
                <w:lang w:eastAsia="en-US"/>
              </w:rPr>
              <w:t>livres prêtés aux usagers des bibliothèques par l’intermédiaire des bibliothèques participant au service de livres ABC (chiffres cumulés en février 2017)</w:t>
            </w:r>
          </w:p>
        </w:tc>
        <w:tc>
          <w:tcPr>
            <w:tcW w:w="2393" w:type="dxa"/>
            <w:tcBorders>
              <w:top w:val="nil"/>
              <w:left w:val="nil"/>
              <w:bottom w:val="nil"/>
              <w:right w:val="nil"/>
            </w:tcBorders>
            <w:shd w:val="clear" w:color="000000" w:fill="FFFFFF"/>
          </w:tcPr>
          <w:p w14:paraId="785FF722" w14:textId="77777777" w:rsidR="00C23022" w:rsidRPr="00E75679" w:rsidRDefault="00C23022" w:rsidP="00986700">
            <w:pPr>
              <w:rPr>
                <w:rFonts w:eastAsia="Times New Roman" w:cs="Arial"/>
                <w:color w:val="000000"/>
                <w:sz w:val="16"/>
                <w:szCs w:val="16"/>
                <w:lang w:eastAsia="en-US"/>
              </w:rPr>
            </w:pPr>
            <w:r>
              <w:rPr>
                <w:rFonts w:eastAsia="Times New Roman" w:cs="Arial"/>
                <w:color w:val="000000"/>
                <w:sz w:val="16"/>
                <w:szCs w:val="16"/>
                <w:lang w:eastAsia="en-US"/>
              </w:rPr>
              <w:t>H</w:t>
            </w:r>
            <w:r w:rsidRPr="00E75679">
              <w:rPr>
                <w:rFonts w:eastAsia="Times New Roman" w:cs="Arial"/>
                <w:color w:val="000000"/>
                <w:sz w:val="16"/>
                <w:szCs w:val="16"/>
                <w:lang w:eastAsia="en-US"/>
              </w:rPr>
              <w:t xml:space="preserve">ausse de 25% </w:t>
            </w:r>
            <w:r w:rsidRPr="00E75679">
              <w:rPr>
                <w:rFonts w:eastAsia="Times New Roman" w:cs="Arial"/>
                <w:color w:val="000000"/>
                <w:sz w:val="16"/>
                <w:szCs w:val="16"/>
                <w:lang w:eastAsia="en-US"/>
              </w:rPr>
              <w:br/>
              <w:t>(exercice biennal)</w:t>
            </w:r>
          </w:p>
        </w:tc>
      </w:tr>
    </w:tbl>
    <w:p w14:paraId="47856E7C" w14:textId="77777777" w:rsidR="00C23022" w:rsidRPr="00E75679" w:rsidRDefault="00C23022"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1CBE7591" w14:textId="77777777" w:rsidTr="00EE0227">
        <w:trPr>
          <w:cantSplit/>
        </w:trPr>
        <w:tc>
          <w:tcPr>
            <w:tcW w:w="9571" w:type="dxa"/>
            <w:shd w:val="clear" w:color="auto" w:fill="C6D9F1" w:themeFill="text2" w:themeFillTint="33"/>
            <w:vAlign w:val="center"/>
          </w:tcPr>
          <w:p w14:paraId="24AD05A6" w14:textId="77777777" w:rsidR="005E30D2" w:rsidRPr="00821D15" w:rsidRDefault="005E30D2" w:rsidP="00986700">
            <w:pPr>
              <w:jc w:val="center"/>
              <w:rPr>
                <w:rFonts w:cs="Arial"/>
                <w:b/>
                <w:szCs w:val="20"/>
              </w:rPr>
            </w:pPr>
            <w:r w:rsidRPr="00821D15">
              <w:rPr>
                <w:rFonts w:cs="Arial"/>
                <w:b/>
                <w:szCs w:val="20"/>
              </w:rPr>
              <w:t>Ressources allouées au programme 3</w:t>
            </w:r>
          </w:p>
        </w:tc>
      </w:tr>
    </w:tbl>
    <w:p w14:paraId="51B1015C" w14:textId="77777777" w:rsidR="005E30D2" w:rsidRPr="00821D15" w:rsidRDefault="005E30D2" w:rsidP="00986700">
      <w:pPr>
        <w:rPr>
          <w:rFonts w:cs="Arial"/>
          <w:szCs w:val="20"/>
        </w:rPr>
      </w:pPr>
    </w:p>
    <w:p w14:paraId="0E8DFD6B" w14:textId="77777777" w:rsidR="005E30D2" w:rsidRPr="00821D15" w:rsidRDefault="005E30D2" w:rsidP="00616FD3">
      <w:pPr>
        <w:pStyle w:val="ListParagraph"/>
        <w:numPr>
          <w:ilvl w:val="0"/>
          <w:numId w:val="62"/>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 léger recul, de 0,3%, par rapport au budget approuvé pour 2016</w:t>
      </w:r>
      <w:r w:rsidRPr="00821D15">
        <w:rPr>
          <w:rFonts w:cs="Arial"/>
          <w:szCs w:val="20"/>
        </w:rPr>
        <w:noBreakHyphen/>
        <w:t>2017.</w:t>
      </w:r>
    </w:p>
    <w:p w14:paraId="783FA0EC" w14:textId="77777777" w:rsidR="005E30D2" w:rsidRPr="00821D15" w:rsidRDefault="005E30D2" w:rsidP="00986700">
      <w:pPr>
        <w:rPr>
          <w:rFonts w:cs="Arial"/>
          <w:szCs w:val="20"/>
        </w:rPr>
      </w:pPr>
    </w:p>
    <w:p w14:paraId="3C0D80A2" w14:textId="77777777" w:rsidR="005E30D2" w:rsidRPr="00821D15" w:rsidRDefault="005E30D2" w:rsidP="00616FD3">
      <w:pPr>
        <w:pStyle w:val="ListParagraph"/>
        <w:numPr>
          <w:ilvl w:val="0"/>
          <w:numId w:val="62"/>
        </w:numPr>
        <w:ind w:left="0" w:firstLine="0"/>
        <w:jc w:val="both"/>
        <w:rPr>
          <w:rFonts w:cs="Arial"/>
          <w:szCs w:val="20"/>
        </w:rPr>
      </w:pPr>
      <w:r w:rsidRPr="00821D15">
        <w:rPr>
          <w:rFonts w:cs="Arial"/>
          <w:szCs w:val="20"/>
        </w:rPr>
        <w:t>La diminution nette des dépenses autres que les dépenses de personnel est due, d’une part, à une réduction de la provision pour le projet du Plan d’action pour le développement relatif au renforcement et au développement du secteur de l’audiovisuel au Burkina Faso et dans certains pays d’Afrique (phase II), par rapport au budget approuvé pour 2016</w:t>
      </w:r>
      <w:r w:rsidRPr="00821D15">
        <w:rPr>
          <w:rFonts w:cs="Arial"/>
          <w:szCs w:val="20"/>
        </w:rPr>
        <w:noBreakHyphen/>
        <w:t>2017, car le projet devrait être achevé en 2018, et, d’autre part, à une provision supplémentaire pour la promotion, notamment, des traités de Beijing et de Marrakech.</w:t>
      </w:r>
    </w:p>
    <w:p w14:paraId="6D0CAD47" w14:textId="77777777" w:rsidR="005E30D2" w:rsidRPr="00821D15" w:rsidRDefault="005E30D2" w:rsidP="00986700">
      <w:pPr>
        <w:rPr>
          <w:rFonts w:cs="Arial"/>
          <w:szCs w:val="20"/>
        </w:rPr>
      </w:pPr>
    </w:p>
    <w:p w14:paraId="1A606240" w14:textId="77777777" w:rsidR="005E30D2" w:rsidRPr="00821D15" w:rsidRDefault="005E30D2" w:rsidP="00616FD3">
      <w:pPr>
        <w:pStyle w:val="ListParagraph"/>
        <w:numPr>
          <w:ilvl w:val="0"/>
          <w:numId w:val="62"/>
        </w:numPr>
        <w:ind w:left="0" w:firstLine="0"/>
        <w:jc w:val="both"/>
        <w:rPr>
          <w:rFonts w:cs="Arial"/>
          <w:szCs w:val="20"/>
        </w:rPr>
      </w:pPr>
      <w:r w:rsidRPr="00821D15">
        <w:rPr>
          <w:rFonts w:cs="Arial"/>
          <w:szCs w:val="20"/>
        </w:rPr>
        <w:t>L’augmentation du nombre de postes et des dépenses de personnel correspondantes résulte du renforcement de la planification et de la mise en œuvre des principaux projets informatiques dans le secteur du droit d’auteur, ainsi que de la régularisation de trois agents temporaires et d’augmentations statutaires relatives aux dépenses de personnel.</w:t>
      </w:r>
    </w:p>
    <w:p w14:paraId="7EA5E279" w14:textId="77777777" w:rsidR="005E30D2" w:rsidRPr="00821D15" w:rsidRDefault="005E30D2" w:rsidP="00986700">
      <w:pPr>
        <w:rPr>
          <w:rFonts w:cs="Arial"/>
          <w:szCs w:val="20"/>
        </w:rPr>
      </w:pPr>
    </w:p>
    <w:p w14:paraId="3CEE491F" w14:textId="77777777" w:rsidR="005E30D2" w:rsidRPr="00821D15" w:rsidRDefault="005E30D2" w:rsidP="00616FD3">
      <w:pPr>
        <w:pStyle w:val="ListParagraph"/>
        <w:numPr>
          <w:ilvl w:val="0"/>
          <w:numId w:val="62"/>
        </w:numPr>
        <w:ind w:left="0" w:firstLine="0"/>
        <w:jc w:val="both"/>
        <w:rPr>
          <w:rFonts w:cs="Arial"/>
          <w:szCs w:val="20"/>
        </w:rPr>
      </w:pPr>
      <w:r w:rsidRPr="00821D15">
        <w:rPr>
          <w:rFonts w:cs="Arial"/>
          <w:szCs w:val="20"/>
        </w:rPr>
        <w:t>Les ressources liées au résultat escompté VIII.1 (communication plus efficace) dans le cadre du programme sont le reflet des efforts déployés par le vice</w:t>
      </w:r>
      <w:r w:rsidRPr="00821D15">
        <w:rPr>
          <w:rFonts w:cs="Arial"/>
          <w:szCs w:val="20"/>
        </w:rPr>
        <w:noBreakHyphen/>
        <w:t>directeur général chargé du Secteur du droit d’auteur et des industries de la création pour les activités relevant du programme 19 (communications).</w:t>
      </w:r>
    </w:p>
    <w:p w14:paraId="77861D94" w14:textId="77777777" w:rsidR="004A1188" w:rsidRDefault="004A1188" w:rsidP="00986700">
      <w:pPr>
        <w:rPr>
          <w:lang w:eastAsia="en-US"/>
        </w:rPr>
      </w:pPr>
    </w:p>
    <w:p w14:paraId="511C4C28" w14:textId="160F089D"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3 : </w:t>
      </w:r>
      <w:r w:rsidRPr="00674550">
        <w:rPr>
          <w:rFonts w:eastAsia="Times New Roman" w:cs="Arial"/>
          <w:b/>
          <w:szCs w:val="20"/>
          <w:lang w:eastAsia="en-US"/>
        </w:rPr>
        <w:t>Ressources par résultat</w:t>
      </w:r>
    </w:p>
    <w:p w14:paraId="45A27F3C"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AC30B37" w14:textId="77777777" w:rsidR="00717231" w:rsidRDefault="00717231" w:rsidP="00986700">
      <w:pPr>
        <w:keepNext/>
        <w:rPr>
          <w:lang w:eastAsia="en-US"/>
        </w:rPr>
      </w:pPr>
    </w:p>
    <w:p w14:paraId="7791EB22" w14:textId="259760CF" w:rsidR="00717231" w:rsidRDefault="00717231" w:rsidP="00986700">
      <w:pPr>
        <w:jc w:val="center"/>
        <w:rPr>
          <w:lang w:eastAsia="en-US"/>
        </w:rPr>
      </w:pPr>
      <w:r w:rsidRPr="00717231">
        <w:rPr>
          <w:noProof/>
          <w:lang w:val="en-US" w:eastAsia="en-US"/>
        </w:rPr>
        <w:drawing>
          <wp:inline distT="0" distB="0" distL="0" distR="0" wp14:anchorId="04D8CCB2" wp14:editId="1D771424">
            <wp:extent cx="5400000" cy="557686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5576861"/>
                    </a:xfrm>
                    <a:prstGeom prst="rect">
                      <a:avLst/>
                    </a:prstGeom>
                    <a:noFill/>
                    <a:ln>
                      <a:noFill/>
                    </a:ln>
                  </pic:spPr>
                </pic:pic>
              </a:graphicData>
            </a:graphic>
          </wp:inline>
        </w:drawing>
      </w:r>
    </w:p>
    <w:p w14:paraId="07EADA96" w14:textId="77777777" w:rsidR="00B55ECC" w:rsidRDefault="00B55ECC" w:rsidP="00986700">
      <w:pPr>
        <w:rPr>
          <w:lang w:eastAsia="en-US"/>
        </w:rPr>
      </w:pPr>
    </w:p>
    <w:p w14:paraId="740B361A" w14:textId="77777777" w:rsidR="0027684D" w:rsidRPr="00E61AC7" w:rsidRDefault="00B55ECC" w:rsidP="00986700">
      <w:pPr>
        <w:keepNext/>
        <w:keepLines/>
        <w:jc w:val="center"/>
        <w:rPr>
          <w:rFonts w:asciiTheme="minorBidi" w:eastAsia="Times New Roman" w:hAnsiTheme="minorBidi"/>
          <w:b/>
          <w:szCs w:val="20"/>
          <w:lang w:eastAsia="en-US"/>
        </w:rPr>
      </w:pPr>
      <w:r w:rsidRPr="00E61AC7">
        <w:rPr>
          <w:rFonts w:asciiTheme="minorBidi" w:eastAsia="Times New Roman" w:hAnsiTheme="minorBidi"/>
          <w:b/>
          <w:szCs w:val="20"/>
          <w:lang w:eastAsia="en-US"/>
        </w:rPr>
        <w:lastRenderedPageBreak/>
        <w:t xml:space="preserve">Programme 3 : </w:t>
      </w:r>
      <w:r w:rsidR="0027684D" w:rsidRPr="00E61AC7">
        <w:rPr>
          <w:rFonts w:asciiTheme="minorBidi" w:eastAsia="Times New Roman" w:hAnsiTheme="minorBidi"/>
          <w:b/>
          <w:szCs w:val="20"/>
          <w:lang w:eastAsia="en-US"/>
        </w:rPr>
        <w:t>Ressources par objet de dépense</w:t>
      </w:r>
    </w:p>
    <w:p w14:paraId="3AB550DC" w14:textId="6D278884" w:rsidR="008778B5" w:rsidRPr="00E61AC7" w:rsidRDefault="0027684D" w:rsidP="00986700">
      <w:pPr>
        <w:keepNext/>
        <w:keepLines/>
        <w:jc w:val="center"/>
        <w:rPr>
          <w:rFonts w:asciiTheme="minorBidi" w:eastAsia="Times New Roman" w:hAnsiTheme="minorBidi"/>
          <w:i/>
          <w:iCs/>
          <w:szCs w:val="20"/>
          <w:lang w:eastAsia="en-US"/>
        </w:rPr>
      </w:pPr>
      <w:r w:rsidRPr="00E61AC7">
        <w:rPr>
          <w:rFonts w:asciiTheme="minorBidi" w:eastAsia="Times New Roman" w:hAnsiTheme="minorBidi"/>
          <w:i/>
          <w:iCs/>
          <w:szCs w:val="20"/>
          <w:lang w:eastAsia="en-US"/>
        </w:rPr>
        <w:t>(en milliers de francs suisses)</w:t>
      </w:r>
    </w:p>
    <w:p w14:paraId="58EBE0DC" w14:textId="77777777" w:rsidR="008778B5" w:rsidRDefault="008778B5" w:rsidP="00986700">
      <w:pPr>
        <w:keepNext/>
        <w:rPr>
          <w:lang w:eastAsia="en-US"/>
        </w:rPr>
      </w:pPr>
    </w:p>
    <w:p w14:paraId="42B0F8CB" w14:textId="4FB368A2" w:rsidR="00B55ECC" w:rsidRDefault="008778B5" w:rsidP="00986700">
      <w:pPr>
        <w:jc w:val="center"/>
        <w:rPr>
          <w:lang w:eastAsia="en-US"/>
        </w:rPr>
      </w:pPr>
      <w:r w:rsidRPr="008778B5">
        <w:rPr>
          <w:noProof/>
          <w:lang w:val="en-US" w:eastAsia="en-US"/>
        </w:rPr>
        <w:drawing>
          <wp:inline distT="0" distB="0" distL="0" distR="0" wp14:anchorId="0ED4016E" wp14:editId="7091E1C6">
            <wp:extent cx="5400000" cy="6457274"/>
            <wp:effectExtent l="0" t="0" r="0"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6457274"/>
                    </a:xfrm>
                    <a:prstGeom prst="rect">
                      <a:avLst/>
                    </a:prstGeom>
                    <a:noFill/>
                    <a:ln>
                      <a:noFill/>
                    </a:ln>
                  </pic:spPr>
                </pic:pic>
              </a:graphicData>
            </a:graphic>
          </wp:inline>
        </w:drawing>
      </w:r>
    </w:p>
    <w:p w14:paraId="1A455C3D" w14:textId="77777777" w:rsidR="00B55ECC" w:rsidRDefault="00B55ECC" w:rsidP="00986700">
      <w:pPr>
        <w:rPr>
          <w:lang w:eastAsia="en-US"/>
        </w:rPr>
      </w:pPr>
    </w:p>
    <w:p w14:paraId="5A16EADF" w14:textId="77777777" w:rsidR="00E61AC7" w:rsidRDefault="00E61AC7" w:rsidP="00986700">
      <w:pPr>
        <w:rPr>
          <w:lang w:eastAsia="en-US"/>
        </w:rPr>
      </w:pPr>
    </w:p>
    <w:p w14:paraId="15D7B4B0" w14:textId="03CF15B1" w:rsidR="00E61AC7" w:rsidRPr="00E61AC7" w:rsidRDefault="00E61AC7" w:rsidP="00E61AC7">
      <w:pPr>
        <w:keepNext/>
        <w:jc w:val="center"/>
        <w:rPr>
          <w:b/>
          <w:szCs w:val="20"/>
          <w:lang w:eastAsia="en-US"/>
        </w:rPr>
      </w:pPr>
      <w:r w:rsidRPr="00E61AC7">
        <w:rPr>
          <w:b/>
          <w:szCs w:val="20"/>
          <w:lang w:eastAsia="en-US"/>
        </w:rPr>
        <w:lastRenderedPageBreak/>
        <w:t>Fonds fiduciaires potentiellement disponibles aux fins d’activités de programme en 2018-20191</w:t>
      </w:r>
    </w:p>
    <w:p w14:paraId="1D2A071A" w14:textId="3A7FDBAE" w:rsidR="00E61AC7" w:rsidRPr="00E61AC7" w:rsidRDefault="00E61AC7" w:rsidP="00E61AC7">
      <w:pPr>
        <w:keepNext/>
        <w:jc w:val="center"/>
        <w:rPr>
          <w:i/>
          <w:szCs w:val="20"/>
          <w:lang w:eastAsia="en-US"/>
        </w:rPr>
      </w:pPr>
      <w:r w:rsidRPr="00E61AC7">
        <w:rPr>
          <w:i/>
          <w:szCs w:val="20"/>
          <w:lang w:eastAsia="en-US"/>
        </w:rPr>
        <w:t>(en milliers de francs suisses)</w:t>
      </w:r>
    </w:p>
    <w:p w14:paraId="705F30BB" w14:textId="77777777" w:rsidR="00E61AC7" w:rsidRDefault="00E61AC7" w:rsidP="00E61AC7">
      <w:pPr>
        <w:keepNext/>
        <w:rPr>
          <w:lang w:eastAsia="en-US"/>
        </w:rPr>
      </w:pPr>
    </w:p>
    <w:p w14:paraId="78A402F5" w14:textId="7C2A30F2" w:rsidR="00637026" w:rsidRDefault="00637026" w:rsidP="00986700">
      <w:pPr>
        <w:rPr>
          <w:lang w:eastAsia="en-US"/>
        </w:rPr>
      </w:pPr>
      <w:r w:rsidRPr="00637026">
        <w:rPr>
          <w:noProof/>
          <w:lang w:val="en-US" w:eastAsia="en-US"/>
        </w:rPr>
        <w:drawing>
          <wp:inline distT="0" distB="0" distL="0" distR="0" wp14:anchorId="0F523008" wp14:editId="029F2F68">
            <wp:extent cx="5760085" cy="2582377"/>
            <wp:effectExtent l="0" t="0" r="0" b="889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2582377"/>
                    </a:xfrm>
                    <a:prstGeom prst="rect">
                      <a:avLst/>
                    </a:prstGeom>
                    <a:noFill/>
                    <a:ln>
                      <a:noFill/>
                    </a:ln>
                  </pic:spPr>
                </pic:pic>
              </a:graphicData>
            </a:graphic>
          </wp:inline>
        </w:drawing>
      </w:r>
    </w:p>
    <w:p w14:paraId="2F8DCC22" w14:textId="6DDD05F2" w:rsidR="004A1188" w:rsidRDefault="004A1188" w:rsidP="00986700">
      <w:pPr>
        <w:rPr>
          <w:lang w:eastAsia="en-US"/>
        </w:rPr>
      </w:pPr>
      <w:r>
        <w:rPr>
          <w:lang w:eastAsia="en-US"/>
        </w:rPr>
        <w:br w:type="page"/>
      </w:r>
    </w:p>
    <w:p w14:paraId="1C4B39BC" w14:textId="77777777" w:rsidR="004A1188" w:rsidRPr="00A970C5" w:rsidRDefault="004A1188" w:rsidP="00986700">
      <w:pPr>
        <w:pStyle w:val="Heading2"/>
      </w:pPr>
      <w:bookmarkStart w:id="27" w:name="_Toc479155468"/>
      <w:bookmarkStart w:id="28" w:name="_Toc482979475"/>
      <w:r w:rsidRPr="00A970C5">
        <w:lastRenderedPageBreak/>
        <w:t>Programme 4</w:t>
      </w:r>
      <w:r w:rsidRPr="00A970C5">
        <w:tab/>
      </w:r>
      <w:bookmarkEnd w:id="27"/>
      <w:r w:rsidRPr="00A970C5">
        <w:t>Savoirs traditionnels, expressions culturelles traditionnelles et ressources génétiques</w:t>
      </w:r>
      <w:bookmarkEnd w:id="28"/>
    </w:p>
    <w:p w14:paraId="0CF292C1" w14:textId="77777777" w:rsidR="004A1188" w:rsidRPr="00A970C5" w:rsidRDefault="004A1188" w:rsidP="00986700">
      <w:pPr>
        <w:pStyle w:val="StyleHeading3ComplexItalic"/>
        <w:rPr>
          <w:rStyle w:val="StyleStyleHeading3ComplexItalicLatin12ptChar"/>
          <w:rFonts w:eastAsia="SimSun"/>
          <w:b/>
        </w:rPr>
      </w:pPr>
    </w:p>
    <w:p w14:paraId="50F4B37B" w14:textId="77777777" w:rsidR="004A1188" w:rsidRPr="00A970C5" w:rsidRDefault="004A1188" w:rsidP="00986700">
      <w:pPr>
        <w:pStyle w:val="StyleHeading3ComplexItalic"/>
        <w:rPr>
          <w:rStyle w:val="StyleStyleHeading3ComplexItalicLatin12ptChar"/>
          <w:rFonts w:eastAsia="SimSun"/>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5E19C900" w14:textId="77777777" w:rsidTr="00752079">
        <w:tc>
          <w:tcPr>
            <w:tcW w:w="9287" w:type="dxa"/>
            <w:shd w:val="clear" w:color="auto" w:fill="C6D9F1" w:themeFill="text2" w:themeFillTint="33"/>
            <w:vAlign w:val="center"/>
          </w:tcPr>
          <w:p w14:paraId="56964675" w14:textId="77777777" w:rsidR="004A1188" w:rsidRPr="00A970C5" w:rsidRDefault="004A1188" w:rsidP="00986700">
            <w:pPr>
              <w:jc w:val="center"/>
              <w:rPr>
                <w:rFonts w:eastAsia="Times New Roman" w:cs="Arial"/>
                <w:b/>
                <w:bCs/>
                <w:szCs w:val="20"/>
                <w:lang w:eastAsia="en-US"/>
              </w:rPr>
            </w:pPr>
            <w:r w:rsidRPr="00A970C5">
              <w:rPr>
                <w:rFonts w:eastAsia="Times New Roman" w:cs="Arial"/>
                <w:b/>
                <w:bCs/>
                <w:szCs w:val="20"/>
                <w:lang w:eastAsia="en-US"/>
              </w:rPr>
              <w:t xml:space="preserve">Stratégies de mise en œuvre </w:t>
            </w:r>
          </w:p>
        </w:tc>
      </w:tr>
    </w:tbl>
    <w:p w14:paraId="1E40DE51" w14:textId="17A5AB3C" w:rsidR="004A1188" w:rsidRPr="00A970C5" w:rsidRDefault="004A1188" w:rsidP="00986700"/>
    <w:p w14:paraId="399D90AF" w14:textId="3EB58615" w:rsidR="004A1188" w:rsidRPr="00A970C5" w:rsidRDefault="004A1188" w:rsidP="00986700">
      <w:pPr>
        <w:pStyle w:val="ListParagraph"/>
        <w:numPr>
          <w:ilvl w:val="0"/>
          <w:numId w:val="6"/>
        </w:numPr>
        <w:jc w:val="both"/>
        <w:rPr>
          <w:rFonts w:cs="Arial"/>
          <w:szCs w:val="20"/>
        </w:rPr>
      </w:pPr>
      <w:r w:rsidRPr="00A970C5">
        <w:rPr>
          <w:rFonts w:cs="Arial"/>
          <w:szCs w:val="20"/>
        </w:rPr>
        <w:t>Continuer d’offrir un cadre propice aux activités d’établissement de normes dans le domaine des ressources génétiques, des savoirs traditionnels et des expressions culturelles traditionnelles, selon les modalités qui seront définies par l’Assemblée générale</w:t>
      </w:r>
      <w:r w:rsidR="00C309AE" w:rsidRPr="00A970C5">
        <w:rPr>
          <w:rFonts w:cs="Arial"/>
          <w:szCs w:val="20"/>
        </w:rPr>
        <w:t xml:space="preserve"> à sa session de</w:t>
      </w:r>
      <w:r w:rsidRPr="00A970C5">
        <w:rPr>
          <w:rFonts w:cs="Arial"/>
          <w:szCs w:val="20"/>
        </w:rPr>
        <w:t> 2017</w:t>
      </w:r>
      <w:r w:rsidR="00C309AE" w:rsidRPr="00A970C5">
        <w:rPr>
          <w:rFonts w:cs="Arial"/>
          <w:szCs w:val="20"/>
        </w:rPr>
        <w:t>,</w:t>
      </w:r>
      <w:r w:rsidRPr="00A970C5">
        <w:rPr>
          <w:rFonts w:cs="Arial"/>
          <w:szCs w:val="20"/>
        </w:rPr>
        <w:t xml:space="preserve"> lorsqu’elle fera le point sur les progrès réalisés au sein du Comité intergouvernemental de la propriété intellectuelle relative aux ressources génétiques, aux savoirs traditionnels et au folklore (IGC), qu’elle décidera de convoquer une conférence diplomatique ou de poursuivre les négociations et qu’elle examinera s’il y a lieu d’organiser des réunions supplémentaires, compte tenu de la procédure budgétaire</w:t>
      </w:r>
      <w:r w:rsidR="00C309AE" w:rsidRPr="00A970C5">
        <w:rPr>
          <w:rFonts w:cs="Arial"/>
          <w:szCs w:val="20"/>
        </w:rPr>
        <w:t>;</w:t>
      </w:r>
    </w:p>
    <w:p w14:paraId="6CC45972" w14:textId="79BE01A5" w:rsidR="004A1188" w:rsidRPr="00A970C5" w:rsidRDefault="00752079" w:rsidP="00986700">
      <w:pPr>
        <w:ind w:left="567" w:hanging="567"/>
        <w:jc w:val="both"/>
        <w:rPr>
          <w:rFonts w:cs="Arial"/>
          <w:szCs w:val="20"/>
        </w:rPr>
      </w:pPr>
      <w:r w:rsidRPr="00752079">
        <w:rPr>
          <w:noProof/>
          <w:lang w:val="en-US" w:eastAsia="en-US"/>
        </w:rPr>
        <w:drawing>
          <wp:anchor distT="0" distB="0" distL="114300" distR="114300" simplePos="0" relativeHeight="251661312" behindDoc="1" locked="0" layoutInCell="1" allowOverlap="1" wp14:anchorId="0203150F" wp14:editId="1C590518">
            <wp:simplePos x="0" y="0"/>
            <wp:positionH relativeFrom="column">
              <wp:posOffset>4422775</wp:posOffset>
            </wp:positionH>
            <wp:positionV relativeFrom="paragraph">
              <wp:posOffset>17780</wp:posOffset>
            </wp:positionV>
            <wp:extent cx="1471930" cy="2397125"/>
            <wp:effectExtent l="0" t="0" r="0" b="3175"/>
            <wp:wrapTight wrapText="bothSides">
              <wp:wrapPolygon edited="0">
                <wp:start x="10903" y="0"/>
                <wp:lineTo x="9225" y="172"/>
                <wp:lineTo x="5311" y="2232"/>
                <wp:lineTo x="4752" y="4635"/>
                <wp:lineTo x="5871" y="5321"/>
                <wp:lineTo x="5591" y="6008"/>
                <wp:lineTo x="559" y="7725"/>
                <wp:lineTo x="0" y="9441"/>
                <wp:lineTo x="0" y="12016"/>
                <wp:lineTo x="1398" y="13732"/>
                <wp:lineTo x="1398" y="15277"/>
                <wp:lineTo x="8666" y="16479"/>
                <wp:lineTo x="5591" y="16479"/>
                <wp:lineTo x="4473" y="16651"/>
                <wp:lineTo x="5591" y="19225"/>
                <wp:lineTo x="5591" y="19740"/>
                <wp:lineTo x="10064" y="21457"/>
                <wp:lineTo x="11182" y="21457"/>
                <wp:lineTo x="15096" y="21457"/>
                <wp:lineTo x="16214" y="21457"/>
                <wp:lineTo x="20687" y="19569"/>
                <wp:lineTo x="21246" y="17852"/>
                <wp:lineTo x="21246" y="15277"/>
                <wp:lineTo x="19848" y="13732"/>
                <wp:lineTo x="13698" y="10986"/>
                <wp:lineTo x="19569" y="8239"/>
                <wp:lineTo x="21246" y="6180"/>
                <wp:lineTo x="21246" y="2232"/>
                <wp:lineTo x="16773" y="172"/>
                <wp:lineTo x="15375" y="0"/>
                <wp:lineTo x="10903" y="0"/>
              </wp:wrapPolygon>
            </wp:wrapTight>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1930" cy="239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85C61" w14:textId="6F5A6412" w:rsidR="004A1188" w:rsidRPr="00A970C5" w:rsidRDefault="004A1188" w:rsidP="00986700">
      <w:pPr>
        <w:pStyle w:val="ListParagraph"/>
        <w:numPr>
          <w:ilvl w:val="0"/>
          <w:numId w:val="6"/>
        </w:numPr>
        <w:jc w:val="both"/>
        <w:rPr>
          <w:rFonts w:cs="Arial"/>
          <w:szCs w:val="20"/>
        </w:rPr>
      </w:pPr>
      <w:r w:rsidRPr="00A970C5">
        <w:rPr>
          <w:rFonts w:cs="Arial"/>
          <w:szCs w:val="20"/>
        </w:rPr>
        <w:t>Fournir un appui administratif pour des initiatives visant à renforcer la participation effective des représentants des peuples autochtones et des communautés locales aux travaux de l’OMPI, y compris en ce qui concerne la gestion logistique du Fonds de contributions volontaires de l’OMPI pour les communautés autochtones et locales accréditées;</w:t>
      </w:r>
    </w:p>
    <w:p w14:paraId="2CECD9B8" w14:textId="77777777" w:rsidR="004A1188" w:rsidRPr="00A970C5" w:rsidRDefault="004A1188" w:rsidP="00986700">
      <w:pPr>
        <w:ind w:left="567" w:hanging="567"/>
        <w:jc w:val="both"/>
        <w:rPr>
          <w:rFonts w:cs="Arial"/>
          <w:szCs w:val="20"/>
        </w:rPr>
      </w:pPr>
    </w:p>
    <w:p w14:paraId="6847B5BA" w14:textId="77777777" w:rsidR="0056581C" w:rsidRDefault="0056581C" w:rsidP="0056581C">
      <w:pPr>
        <w:pStyle w:val="ListParagraph"/>
        <w:numPr>
          <w:ilvl w:val="0"/>
          <w:numId w:val="6"/>
        </w:numPr>
      </w:pPr>
      <w:r w:rsidRPr="00E0439D">
        <w:t>Assurer la coordination des activités et la coopération avec d’autres organisations, le cas échéant;</w:t>
      </w:r>
    </w:p>
    <w:p w14:paraId="48FC7FFE" w14:textId="77777777" w:rsidR="0056581C" w:rsidRPr="00E0439D" w:rsidRDefault="0056581C" w:rsidP="0056581C">
      <w:pPr>
        <w:pStyle w:val="ListParagraph"/>
        <w:ind w:left="567"/>
      </w:pPr>
    </w:p>
    <w:p w14:paraId="15693193" w14:textId="77777777" w:rsidR="004A1188" w:rsidRPr="00A970C5" w:rsidRDefault="004A1188" w:rsidP="00986700">
      <w:pPr>
        <w:pStyle w:val="ListParagraph"/>
        <w:numPr>
          <w:ilvl w:val="0"/>
          <w:numId w:val="6"/>
        </w:numPr>
        <w:jc w:val="both"/>
        <w:rPr>
          <w:rFonts w:cs="Arial"/>
          <w:szCs w:val="20"/>
        </w:rPr>
      </w:pPr>
      <w:r w:rsidRPr="00A970C5">
        <w:rPr>
          <w:rFonts w:cs="Arial"/>
          <w:szCs w:val="20"/>
        </w:rPr>
        <w:t>Faciliter la réalisation d’études demandées et convenues par les États membres au sein de l’IGC;</w:t>
      </w:r>
    </w:p>
    <w:p w14:paraId="7F9FA40C" w14:textId="77777777" w:rsidR="004A1188" w:rsidRPr="00A970C5" w:rsidRDefault="004A1188" w:rsidP="00986700">
      <w:pPr>
        <w:ind w:left="567" w:hanging="567"/>
        <w:jc w:val="both"/>
        <w:rPr>
          <w:rFonts w:cs="Arial"/>
          <w:szCs w:val="20"/>
        </w:rPr>
      </w:pPr>
    </w:p>
    <w:p w14:paraId="2A6563C9" w14:textId="44EBFBD1" w:rsidR="004A1188" w:rsidRPr="00A970C5" w:rsidRDefault="004A1188" w:rsidP="00986700">
      <w:pPr>
        <w:pStyle w:val="ListParagraph"/>
        <w:numPr>
          <w:ilvl w:val="0"/>
          <w:numId w:val="6"/>
        </w:numPr>
        <w:jc w:val="both"/>
        <w:rPr>
          <w:rFonts w:cs="Arial"/>
          <w:szCs w:val="20"/>
        </w:rPr>
      </w:pPr>
      <w:r w:rsidRPr="00A970C5">
        <w:rPr>
          <w:rFonts w:cs="Arial"/>
          <w:szCs w:val="20"/>
        </w:rPr>
        <w:t xml:space="preserve">Fournir des services de renforcement des capacités, des conseils juridiques et techniques et une assistance pratique axés sur la demande, pour i) une utilisation plus efficace et plus stratégique des systèmes de protection des savoirs traditionnels et des expressions culturelles traditionnelles contre leur appropriation illicite et leur utilisation abusive, et ii) répondre aux questions de propriété intellectuelle qui se posent dans le domaine des ressources génétiques, notamment en ce qui concerne l’accès aux ressources génétiques et le partage équitable des avantages qui en découlent.  L’assistance fournie tiendra compte des stratégies, politiques et cadres juridiques nationaux et régionaux en matière de propriété intellectuelle </w:t>
      </w:r>
      <w:r w:rsidR="00B0098E">
        <w:rPr>
          <w:rFonts w:cs="Arial"/>
          <w:szCs w:val="20"/>
        </w:rPr>
        <w:t xml:space="preserve">que les États membres et les organisations régionales pourront décider d’établir </w:t>
      </w:r>
      <w:r w:rsidRPr="00A970C5">
        <w:rPr>
          <w:rFonts w:cs="Arial"/>
          <w:szCs w:val="20"/>
        </w:rPr>
        <w:t xml:space="preserve">et visera à contribuer au développement économique, social et culturel des peuples autochtones et des communautés locales.  Les activités relatives à la commercialisation des produits et services fondés sur la tradition sont destinées spécialement aux femmes des communautés autochtones et locales </w:t>
      </w:r>
      <w:r w:rsidR="00C309AE" w:rsidRPr="00A970C5">
        <w:rPr>
          <w:rFonts w:cs="Arial"/>
          <w:szCs w:val="20"/>
        </w:rPr>
        <w:t>auxquelles</w:t>
      </w:r>
      <w:r w:rsidRPr="00A970C5">
        <w:rPr>
          <w:rFonts w:cs="Arial"/>
          <w:szCs w:val="20"/>
        </w:rPr>
        <w:t xml:space="preserve"> elles bénéficient en particulier;</w:t>
      </w:r>
    </w:p>
    <w:p w14:paraId="0EB1E06D" w14:textId="77777777" w:rsidR="004A1188" w:rsidRPr="00A970C5" w:rsidRDefault="004A1188" w:rsidP="00986700">
      <w:pPr>
        <w:ind w:left="567" w:hanging="567"/>
        <w:jc w:val="both"/>
        <w:rPr>
          <w:rFonts w:cs="Arial"/>
          <w:szCs w:val="20"/>
        </w:rPr>
      </w:pPr>
    </w:p>
    <w:p w14:paraId="58FB773C" w14:textId="66FA4176" w:rsidR="004A1188" w:rsidRPr="00A970C5" w:rsidRDefault="004A1188" w:rsidP="00986700">
      <w:pPr>
        <w:pStyle w:val="ListParagraph"/>
        <w:numPr>
          <w:ilvl w:val="0"/>
          <w:numId w:val="6"/>
        </w:numPr>
        <w:jc w:val="both"/>
        <w:rPr>
          <w:rFonts w:cs="Arial"/>
          <w:szCs w:val="20"/>
        </w:rPr>
      </w:pPr>
      <w:r w:rsidRPr="00A970C5">
        <w:rPr>
          <w:rFonts w:cs="Arial"/>
          <w:szCs w:val="20"/>
        </w:rPr>
        <w:t>Fournir des conseils juridiques et techniques et</w:t>
      </w:r>
      <w:r w:rsidR="00B0098E">
        <w:rPr>
          <w:rFonts w:cs="Arial"/>
          <w:szCs w:val="20"/>
        </w:rPr>
        <w:t>, le cas échéant,</w:t>
      </w:r>
      <w:r w:rsidRPr="00A970C5">
        <w:rPr>
          <w:rFonts w:cs="Arial"/>
          <w:szCs w:val="20"/>
        </w:rPr>
        <w:t xml:space="preserve"> un appui </w:t>
      </w:r>
      <w:r w:rsidR="00C309AE" w:rsidRPr="00A970C5">
        <w:rPr>
          <w:rFonts w:cs="Arial"/>
          <w:szCs w:val="20"/>
        </w:rPr>
        <w:t>en vue de</w:t>
      </w:r>
      <w:r w:rsidRPr="00A970C5">
        <w:rPr>
          <w:rFonts w:cs="Arial"/>
          <w:szCs w:val="20"/>
        </w:rPr>
        <w:t xml:space="preserve"> la création de bases de données, inventaires, registres, portails et autres plateformes relatifs aux ressources génétiques, aux savoirs traditionnels et aux expressions culturelles traditionnelles qui pourraient compléter les cadres juridiques et politiques que les États et les organisations régionales pourraient décider d’établir dans le domaine de la propriété intellectuelle relative aux ressources génétiques, aux savoirs traditionnels et aux expressions culturelles traditionnelles et contribuer à l</w:t>
      </w:r>
      <w:r w:rsidR="00C309AE" w:rsidRPr="00A970C5">
        <w:rPr>
          <w:rFonts w:cs="Arial"/>
          <w:szCs w:val="20"/>
        </w:rPr>
        <w:t>eur</w:t>
      </w:r>
      <w:r w:rsidRPr="00A970C5">
        <w:rPr>
          <w:rFonts w:cs="Arial"/>
          <w:szCs w:val="20"/>
        </w:rPr>
        <w:t xml:space="preserve"> mise en œuvre.</w:t>
      </w:r>
    </w:p>
    <w:p w14:paraId="421A1722" w14:textId="77777777" w:rsidR="004A1188" w:rsidRPr="00A970C5" w:rsidRDefault="004A1188" w:rsidP="00986700">
      <w:pPr>
        <w:rPr>
          <w:rFonts w:cs="Arial"/>
          <w:szCs w:val="20"/>
        </w:rPr>
      </w:pPr>
    </w:p>
    <w:p w14:paraId="7DF64120" w14:textId="77777777" w:rsidR="004A1188" w:rsidRPr="00A970C5" w:rsidRDefault="004A1188" w:rsidP="0056581C">
      <w:pPr>
        <w:pStyle w:val="ListParagraph"/>
        <w:numPr>
          <w:ilvl w:val="0"/>
          <w:numId w:val="6"/>
        </w:numPr>
        <w:jc w:val="both"/>
        <w:rPr>
          <w:rFonts w:cs="Arial"/>
          <w:szCs w:val="20"/>
        </w:rPr>
      </w:pPr>
      <w:r w:rsidRPr="00A970C5">
        <w:rPr>
          <w:rFonts w:cs="Arial"/>
          <w:szCs w:val="20"/>
        </w:rPr>
        <w:t>Les piliers du programme en matière d’établissement de normes et de renforcement des capacités sont axés sur le développement, complémentaires et liés.</w:t>
      </w:r>
    </w:p>
    <w:p w14:paraId="6B2D574B" w14:textId="77777777" w:rsidR="004A1188" w:rsidRPr="00A970C5" w:rsidRDefault="004A1188" w:rsidP="00986700">
      <w:pPr>
        <w:rPr>
          <w:rFonts w:cs="Arial"/>
          <w:szCs w:val="20"/>
        </w:rPr>
      </w:pPr>
    </w:p>
    <w:p w14:paraId="457ABD06" w14:textId="77777777" w:rsidR="004A1188" w:rsidRPr="00A970C5" w:rsidRDefault="004A1188" w:rsidP="005A64E3">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2939E20E" w14:textId="77777777" w:rsidTr="005A64E3">
        <w:trPr>
          <w:cantSplit/>
        </w:trPr>
        <w:tc>
          <w:tcPr>
            <w:tcW w:w="9287" w:type="dxa"/>
            <w:shd w:val="clear" w:color="auto" w:fill="C6D9F1" w:themeFill="text2" w:themeFillTint="33"/>
            <w:vAlign w:val="center"/>
          </w:tcPr>
          <w:p w14:paraId="10B274DC" w14:textId="6F312925" w:rsidR="004A1188" w:rsidRPr="00A970C5" w:rsidRDefault="004A1188" w:rsidP="008771A6">
            <w:pPr>
              <w:keepNext/>
              <w:keepLines/>
              <w:jc w:val="center"/>
              <w:rPr>
                <w:rFonts w:eastAsia="Times New Roman" w:cs="Arial"/>
                <w:b/>
                <w:bCs/>
                <w:szCs w:val="20"/>
                <w:lang w:eastAsia="en-US"/>
              </w:rPr>
            </w:pPr>
            <w:r w:rsidRPr="00A970C5">
              <w:rPr>
                <w:rFonts w:eastAsia="Times New Roman" w:cs="Arial"/>
                <w:b/>
                <w:bCs/>
                <w:szCs w:val="20"/>
                <w:lang w:eastAsia="en-US"/>
              </w:rPr>
              <w:lastRenderedPageBreak/>
              <w:t xml:space="preserve">Collaboration interprogrammes </w:t>
            </w:r>
          </w:p>
        </w:tc>
      </w:tr>
    </w:tbl>
    <w:p w14:paraId="2CA20D87" w14:textId="77777777" w:rsidR="004A1188" w:rsidRPr="00A970C5" w:rsidRDefault="004A1188" w:rsidP="005A64E3">
      <w:pPr>
        <w:keepNext/>
        <w:rPr>
          <w:rFonts w:cs="Arial"/>
        </w:rPr>
      </w:pPr>
    </w:p>
    <w:p w14:paraId="5FEDB0BC" w14:textId="0388D233" w:rsidR="004A1188" w:rsidRPr="00A970C5" w:rsidRDefault="005A64E3" w:rsidP="005A64E3">
      <w:pPr>
        <w:jc w:val="center"/>
        <w:rPr>
          <w:rFonts w:cs="Arial"/>
        </w:rPr>
      </w:pPr>
      <w:r w:rsidRPr="005A64E3">
        <w:rPr>
          <w:noProof/>
          <w:lang w:val="en-US" w:eastAsia="en-US"/>
        </w:rPr>
        <w:drawing>
          <wp:inline distT="0" distB="0" distL="0" distR="0" wp14:anchorId="23039532" wp14:editId="4B3C92BE">
            <wp:extent cx="3600000" cy="3600000"/>
            <wp:effectExtent l="0" t="0" r="635"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D2A25DA" w14:textId="77777777" w:rsidR="004A1188" w:rsidRPr="00A970C5" w:rsidRDefault="004A1188" w:rsidP="00986700">
      <w:pPr>
        <w:rPr>
          <w:rFonts w:cs="Arial"/>
        </w:rPr>
      </w:pPr>
    </w:p>
    <w:tbl>
      <w:tblPr>
        <w:tblW w:w="5000" w:type="pct"/>
        <w:jc w:val="center"/>
        <w:tblCellMar>
          <w:top w:w="57" w:type="dxa"/>
          <w:bottom w:w="57" w:type="dxa"/>
        </w:tblCellMar>
        <w:tblLook w:val="01E0" w:firstRow="1" w:lastRow="1" w:firstColumn="1" w:lastColumn="1" w:noHBand="0" w:noVBand="0"/>
      </w:tblPr>
      <w:tblGrid>
        <w:gridCol w:w="4647"/>
        <w:gridCol w:w="4640"/>
      </w:tblGrid>
      <w:tr w:rsidR="00A970C5" w:rsidRPr="00A970C5" w14:paraId="1DEDDCA1" w14:textId="77777777" w:rsidTr="004A1188">
        <w:trPr>
          <w:jc w:val="center"/>
        </w:trPr>
        <w:tc>
          <w:tcPr>
            <w:tcW w:w="4785" w:type="dxa"/>
            <w:shd w:val="clear" w:color="auto" w:fill="C6D9F1" w:themeFill="text2" w:themeFillTint="33"/>
            <w:vAlign w:val="center"/>
          </w:tcPr>
          <w:p w14:paraId="44FAF223" w14:textId="77777777" w:rsidR="004A1188" w:rsidRPr="00A970C5" w:rsidRDefault="004A1188" w:rsidP="00986700">
            <w:pPr>
              <w:keepNext/>
              <w:keepLines/>
              <w:jc w:val="center"/>
              <w:rPr>
                <w:rFonts w:cs="Arial"/>
                <w:b/>
                <w:bCs/>
                <w:sz w:val="18"/>
                <w:szCs w:val="18"/>
              </w:rPr>
            </w:pPr>
            <w:r w:rsidRPr="00A970C5">
              <w:rPr>
                <w:rFonts w:cs="Arial"/>
                <w:b/>
                <w:bCs/>
                <w:sz w:val="18"/>
                <w:szCs w:val="18"/>
              </w:rPr>
              <w:t>Risques</w:t>
            </w:r>
          </w:p>
        </w:tc>
        <w:tc>
          <w:tcPr>
            <w:tcW w:w="4786" w:type="dxa"/>
            <w:shd w:val="clear" w:color="auto" w:fill="C6D9F1" w:themeFill="text2" w:themeFillTint="33"/>
            <w:vAlign w:val="center"/>
          </w:tcPr>
          <w:p w14:paraId="6A280FAA" w14:textId="77777777" w:rsidR="004A1188" w:rsidRPr="00A970C5" w:rsidRDefault="004A1188" w:rsidP="00986700">
            <w:pPr>
              <w:keepNext/>
              <w:keepLines/>
              <w:jc w:val="center"/>
              <w:rPr>
                <w:rFonts w:cs="Arial"/>
                <w:b/>
                <w:bCs/>
                <w:sz w:val="18"/>
                <w:szCs w:val="18"/>
              </w:rPr>
            </w:pPr>
            <w:r w:rsidRPr="00A970C5">
              <w:rPr>
                <w:rFonts w:cs="Arial"/>
                <w:b/>
                <w:bCs/>
                <w:sz w:val="18"/>
                <w:szCs w:val="18"/>
              </w:rPr>
              <w:t>Mesures d’atténuation</w:t>
            </w:r>
          </w:p>
        </w:tc>
      </w:tr>
      <w:tr w:rsidR="004A1188" w:rsidRPr="00A970C5" w14:paraId="54B8C033" w14:textId="77777777" w:rsidTr="004A1188">
        <w:trPr>
          <w:jc w:val="center"/>
        </w:trPr>
        <w:tc>
          <w:tcPr>
            <w:tcW w:w="4785" w:type="dxa"/>
            <w:shd w:val="clear" w:color="auto" w:fill="auto"/>
            <w:tcMar>
              <w:top w:w="57" w:type="dxa"/>
              <w:bottom w:w="57" w:type="dxa"/>
            </w:tcMar>
          </w:tcPr>
          <w:p w14:paraId="4935C73B" w14:textId="7DF30247" w:rsidR="004A1188" w:rsidRPr="00A970C5" w:rsidRDefault="004A1188" w:rsidP="00986700">
            <w:pPr>
              <w:keepNext/>
              <w:keepLines/>
              <w:rPr>
                <w:rFonts w:cs="Arial"/>
                <w:b/>
                <w:i/>
                <w:sz w:val="16"/>
                <w:szCs w:val="16"/>
              </w:rPr>
            </w:pPr>
            <w:r w:rsidRPr="00A970C5">
              <w:rPr>
                <w:rFonts w:cs="Arial"/>
                <w:sz w:val="16"/>
                <w:szCs w:val="16"/>
              </w:rPr>
              <w:t>Les États membres devraient convenir du mandat et du programme de travail de l’IGC pour l’exercice biennal 2018</w:t>
            </w:r>
            <w:r w:rsidR="00B441CA">
              <w:rPr>
                <w:rFonts w:cs="Arial"/>
                <w:sz w:val="16"/>
                <w:szCs w:val="16"/>
              </w:rPr>
              <w:noBreakHyphen/>
            </w:r>
            <w:r w:rsidRPr="00A970C5">
              <w:rPr>
                <w:rFonts w:cs="Arial"/>
                <w:sz w:val="16"/>
                <w:szCs w:val="16"/>
              </w:rPr>
              <w:t xml:space="preserve">2019 </w:t>
            </w:r>
            <w:r w:rsidR="00A970C5" w:rsidRPr="00A970C5">
              <w:rPr>
                <w:rFonts w:cs="Arial"/>
                <w:sz w:val="16"/>
                <w:szCs w:val="16"/>
              </w:rPr>
              <w:t>à</w:t>
            </w:r>
            <w:r w:rsidR="00C309AE" w:rsidRPr="00A970C5">
              <w:rPr>
                <w:rFonts w:cs="Arial"/>
                <w:sz w:val="16"/>
                <w:szCs w:val="16"/>
              </w:rPr>
              <w:t xml:space="preserve"> la session de</w:t>
            </w:r>
            <w:r w:rsidRPr="00A970C5">
              <w:rPr>
                <w:rFonts w:cs="Arial"/>
                <w:sz w:val="16"/>
                <w:szCs w:val="16"/>
              </w:rPr>
              <w:t xml:space="preserve"> l’Assemblée générale d’octobre 2017.</w:t>
            </w:r>
            <w:r w:rsidRPr="00A970C5">
              <w:rPr>
                <w:sz w:val="16"/>
              </w:rPr>
              <w:t xml:space="preserve">  </w:t>
            </w:r>
            <w:r w:rsidR="00C309AE" w:rsidRPr="00A970C5">
              <w:rPr>
                <w:sz w:val="16"/>
              </w:rPr>
              <w:t>Il est possible</w:t>
            </w:r>
            <w:r w:rsidRPr="00A970C5">
              <w:rPr>
                <w:rFonts w:cs="Arial"/>
                <w:sz w:val="16"/>
                <w:szCs w:val="16"/>
              </w:rPr>
              <w:t xml:space="preserve"> qu’ils ne réussissent pas à se mettre d’accord sur le</w:t>
            </w:r>
            <w:r w:rsidR="00C309AE" w:rsidRPr="00A970C5">
              <w:rPr>
                <w:rFonts w:cs="Arial"/>
                <w:sz w:val="16"/>
                <w:szCs w:val="16"/>
              </w:rPr>
              <w:t>s questions de fond à examiner par</w:t>
            </w:r>
            <w:r w:rsidRPr="00A970C5">
              <w:rPr>
                <w:rFonts w:cs="Arial"/>
                <w:sz w:val="16"/>
                <w:szCs w:val="16"/>
              </w:rPr>
              <w:t xml:space="preserve"> l’IGC conformément à ce mandat et à ce programme de travail.</w:t>
            </w:r>
          </w:p>
        </w:tc>
        <w:tc>
          <w:tcPr>
            <w:tcW w:w="4786" w:type="dxa"/>
            <w:shd w:val="clear" w:color="auto" w:fill="auto"/>
            <w:tcMar>
              <w:top w:w="57" w:type="dxa"/>
              <w:bottom w:w="57" w:type="dxa"/>
            </w:tcMar>
          </w:tcPr>
          <w:p w14:paraId="2F290BDC" w14:textId="0C92BEE8" w:rsidR="004A1188" w:rsidRPr="00A970C5" w:rsidRDefault="004A1188" w:rsidP="00986700">
            <w:pPr>
              <w:keepNext/>
              <w:keepLines/>
              <w:rPr>
                <w:rFonts w:cs="Arial"/>
                <w:sz w:val="16"/>
                <w:szCs w:val="16"/>
              </w:rPr>
            </w:pPr>
            <w:r w:rsidRPr="00A970C5">
              <w:rPr>
                <w:rFonts w:cs="Arial"/>
                <w:sz w:val="16"/>
                <w:szCs w:val="16"/>
              </w:rPr>
              <w:t xml:space="preserve">Le Secrétariat s’emploie à favoriser et </w:t>
            </w:r>
            <w:r w:rsidR="00C309AE" w:rsidRPr="00A970C5">
              <w:rPr>
                <w:rFonts w:cs="Arial"/>
                <w:sz w:val="16"/>
                <w:szCs w:val="16"/>
              </w:rPr>
              <w:t xml:space="preserve">à </w:t>
            </w:r>
            <w:r w:rsidRPr="00A970C5">
              <w:rPr>
                <w:rFonts w:cs="Arial"/>
                <w:sz w:val="16"/>
                <w:szCs w:val="16"/>
              </w:rPr>
              <w:t>créer un environnement propice aux débats des États membres sur la nature et l’orientation des activités d’établissement de normes, par exemple en donnant des informations claires et objectives sur les questions examinées et en fournissant un service de secrétariat neutre et efficace.</w:t>
            </w:r>
            <w:r w:rsidRPr="00A970C5">
              <w:rPr>
                <w:sz w:val="16"/>
              </w:rPr>
              <w:t xml:space="preserve"> </w:t>
            </w:r>
            <w:r w:rsidRPr="00A970C5">
              <w:rPr>
                <w:rFonts w:cs="Arial"/>
                <w:sz w:val="16"/>
                <w:szCs w:val="16"/>
              </w:rPr>
              <w:t xml:space="preserve"> </w:t>
            </w:r>
          </w:p>
        </w:tc>
      </w:tr>
    </w:tbl>
    <w:p w14:paraId="4EB25718" w14:textId="77777777" w:rsidR="004A1188" w:rsidRPr="00A970C5" w:rsidRDefault="004A1188" w:rsidP="00986700">
      <w:pPr>
        <w:rPr>
          <w:rFonts w:cs="Arial"/>
        </w:rPr>
      </w:pPr>
    </w:p>
    <w:p w14:paraId="2AC40325" w14:textId="77777777" w:rsidR="004A1188" w:rsidRPr="00A970C5" w:rsidRDefault="004A1188" w:rsidP="00986700">
      <w:pPr>
        <w:rPr>
          <w:rFonts w:cs="Arial"/>
        </w:rPr>
      </w:pPr>
    </w:p>
    <w:tbl>
      <w:tblPr>
        <w:tblW w:w="5000" w:type="pct"/>
        <w:tblCellMar>
          <w:top w:w="57" w:type="dxa"/>
          <w:bottom w:w="57" w:type="dxa"/>
        </w:tblCellMar>
        <w:tblLook w:val="04A0" w:firstRow="1" w:lastRow="0" w:firstColumn="1" w:lastColumn="0" w:noHBand="0" w:noVBand="1"/>
      </w:tblPr>
      <w:tblGrid>
        <w:gridCol w:w="2392"/>
        <w:gridCol w:w="2274"/>
        <w:gridCol w:w="2347"/>
        <w:gridCol w:w="2274"/>
      </w:tblGrid>
      <w:tr w:rsidR="00A970C5" w:rsidRPr="00A970C5" w14:paraId="257D3266" w14:textId="77777777" w:rsidTr="004A1188">
        <w:trPr>
          <w:tblHeader/>
        </w:trPr>
        <w:tc>
          <w:tcPr>
            <w:tcW w:w="2392" w:type="dxa"/>
            <w:tcBorders>
              <w:top w:val="nil"/>
              <w:left w:val="nil"/>
              <w:bottom w:val="nil"/>
              <w:right w:val="nil"/>
            </w:tcBorders>
            <w:shd w:val="clear" w:color="000000" w:fill="C5D9F1"/>
            <w:tcMar>
              <w:top w:w="57" w:type="dxa"/>
            </w:tcMar>
            <w:vAlign w:val="center"/>
            <w:hideMark/>
          </w:tcPr>
          <w:p w14:paraId="3CB96A99" w14:textId="77777777" w:rsidR="004A1188" w:rsidRPr="00A970C5" w:rsidRDefault="004A1188"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 xml:space="preserve">Résultat escompté </w:t>
            </w:r>
          </w:p>
        </w:tc>
        <w:tc>
          <w:tcPr>
            <w:tcW w:w="2393" w:type="dxa"/>
            <w:tcBorders>
              <w:top w:val="nil"/>
              <w:left w:val="nil"/>
              <w:bottom w:val="nil"/>
              <w:right w:val="nil"/>
            </w:tcBorders>
            <w:shd w:val="clear" w:color="000000" w:fill="C5D9F1"/>
            <w:tcMar>
              <w:top w:w="57" w:type="dxa"/>
            </w:tcMar>
            <w:vAlign w:val="center"/>
            <w:hideMark/>
          </w:tcPr>
          <w:p w14:paraId="303B465A" w14:textId="77777777" w:rsidR="004A1188" w:rsidRPr="00A970C5" w:rsidRDefault="004A1188"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Indicateurs d’exécution</w:t>
            </w:r>
          </w:p>
        </w:tc>
        <w:tc>
          <w:tcPr>
            <w:tcW w:w="2393" w:type="dxa"/>
            <w:tcBorders>
              <w:top w:val="nil"/>
              <w:left w:val="nil"/>
              <w:bottom w:val="nil"/>
              <w:right w:val="nil"/>
            </w:tcBorders>
            <w:shd w:val="clear" w:color="000000" w:fill="C5D9F1"/>
            <w:tcMar>
              <w:top w:w="57" w:type="dxa"/>
            </w:tcMar>
            <w:vAlign w:val="center"/>
            <w:hideMark/>
          </w:tcPr>
          <w:p w14:paraId="6D06AB35" w14:textId="77777777" w:rsidR="004A1188" w:rsidRPr="00A970C5" w:rsidRDefault="004A1188"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Niveaux de référence</w:t>
            </w:r>
          </w:p>
        </w:tc>
        <w:tc>
          <w:tcPr>
            <w:tcW w:w="2393" w:type="dxa"/>
            <w:tcBorders>
              <w:top w:val="nil"/>
              <w:left w:val="nil"/>
              <w:bottom w:val="nil"/>
              <w:right w:val="nil"/>
            </w:tcBorders>
            <w:shd w:val="clear" w:color="000000" w:fill="C5D9F1"/>
            <w:tcMar>
              <w:top w:w="57" w:type="dxa"/>
            </w:tcMar>
            <w:vAlign w:val="center"/>
            <w:hideMark/>
          </w:tcPr>
          <w:p w14:paraId="33E2F928" w14:textId="77777777" w:rsidR="004A1188" w:rsidRPr="00A970C5" w:rsidRDefault="004A1188"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Objectifs visés</w:t>
            </w:r>
          </w:p>
        </w:tc>
      </w:tr>
      <w:tr w:rsidR="00A970C5" w:rsidRPr="00A970C5" w14:paraId="7CF243A2" w14:textId="77777777" w:rsidTr="004A1188">
        <w:tc>
          <w:tcPr>
            <w:tcW w:w="2392" w:type="dxa"/>
            <w:tcBorders>
              <w:top w:val="nil"/>
              <w:left w:val="nil"/>
              <w:bottom w:val="nil"/>
              <w:right w:val="nil"/>
            </w:tcBorders>
            <w:shd w:val="clear" w:color="000000" w:fill="FFFFFF"/>
            <w:tcMar>
              <w:top w:w="57" w:type="dxa"/>
            </w:tcMar>
            <w:hideMark/>
          </w:tcPr>
          <w:p w14:paraId="4F0335BE" w14:textId="77777777" w:rsidR="004A1188" w:rsidRPr="00A970C5" w:rsidRDefault="004A1188" w:rsidP="00986700">
            <w:pPr>
              <w:keepNext/>
              <w:keepLines/>
              <w:rPr>
                <w:rFonts w:eastAsia="Times New Roman" w:cs="Arial"/>
                <w:sz w:val="16"/>
                <w:szCs w:val="16"/>
                <w:lang w:eastAsia="en-US"/>
              </w:rPr>
            </w:pPr>
            <w:r w:rsidRPr="00A970C5">
              <w:rPr>
                <w:rFonts w:eastAsia="Times New Roman" w:cs="Arial"/>
                <w:sz w:val="16"/>
                <w:szCs w:val="16"/>
                <w:lang w:eastAsia="en-US"/>
              </w:rPr>
              <w:t xml:space="preserve">I.1 Renforcement de la coopération entre les États membres en ce qui concerne l’élaboration de cadres normatifs internationaux équilibrés dans le domaine de la propriété intellectuelle </w:t>
            </w:r>
          </w:p>
        </w:tc>
        <w:tc>
          <w:tcPr>
            <w:tcW w:w="2393" w:type="dxa"/>
            <w:tcBorders>
              <w:top w:val="nil"/>
              <w:left w:val="nil"/>
              <w:bottom w:val="nil"/>
              <w:right w:val="nil"/>
            </w:tcBorders>
            <w:shd w:val="clear" w:color="auto" w:fill="auto"/>
            <w:tcMar>
              <w:top w:w="57" w:type="dxa"/>
            </w:tcMar>
            <w:hideMark/>
          </w:tcPr>
          <w:p w14:paraId="493186D3" w14:textId="77777777" w:rsidR="004A1188" w:rsidRPr="00A970C5" w:rsidRDefault="004A1188" w:rsidP="00986700">
            <w:pPr>
              <w:keepNext/>
              <w:keepLines/>
              <w:rPr>
                <w:rFonts w:eastAsia="Times New Roman" w:cs="Arial"/>
                <w:sz w:val="16"/>
                <w:szCs w:val="16"/>
                <w:lang w:eastAsia="en-US"/>
              </w:rPr>
            </w:pPr>
            <w:r w:rsidRPr="00A970C5">
              <w:rPr>
                <w:rFonts w:eastAsia="Times New Roman" w:cs="Arial"/>
                <w:sz w:val="16"/>
                <w:szCs w:val="16"/>
                <w:lang w:eastAsia="en-US"/>
              </w:rPr>
              <w:t>Progrès accomplis en vue de la mise en œuvre des activités d’établissement de normes sur la propriété intellectuelle relative aux ressources génétiques, aux savoirs traditionnels et aux expressions culturelles traditionnelles, conformément à la décision des États membres</w:t>
            </w:r>
          </w:p>
        </w:tc>
        <w:tc>
          <w:tcPr>
            <w:tcW w:w="2393" w:type="dxa"/>
            <w:tcBorders>
              <w:top w:val="nil"/>
              <w:left w:val="nil"/>
              <w:bottom w:val="nil"/>
              <w:right w:val="nil"/>
            </w:tcBorders>
            <w:shd w:val="clear" w:color="000000" w:fill="FFFFFF"/>
            <w:tcMar>
              <w:top w:w="57" w:type="dxa"/>
            </w:tcMar>
            <w:hideMark/>
          </w:tcPr>
          <w:p w14:paraId="0C0E2D77" w14:textId="3BC2691E" w:rsidR="004A1188" w:rsidRPr="00A970C5" w:rsidRDefault="004A1188" w:rsidP="008771A6">
            <w:pPr>
              <w:keepNext/>
              <w:keepLines/>
              <w:rPr>
                <w:rFonts w:eastAsia="Times New Roman" w:cs="Arial"/>
                <w:sz w:val="16"/>
                <w:szCs w:val="16"/>
                <w:lang w:eastAsia="en-US"/>
              </w:rPr>
            </w:pPr>
            <w:r w:rsidRPr="00A970C5">
              <w:rPr>
                <w:rFonts w:eastAsia="Times New Roman" w:cs="Arial"/>
                <w:sz w:val="16"/>
                <w:szCs w:val="16"/>
                <w:lang w:eastAsia="en-US"/>
              </w:rPr>
              <w:t>Stade actuel des négociations entre les États membres sur la propriété intellectuelle relative aux ressources génétiques, aux savoirs traditionnels et aux expressions culturelles traditionnelles, ainsi qu’il ressort des documents suivants de l’IGC : WIPO/GRTKF/IC/34/4, WIPO/GRTKF/IC/34/5 et WIPO/GRTKF/IC/34/</w:t>
            </w:r>
            <w:r w:rsidR="008771A6">
              <w:rPr>
                <w:rFonts w:eastAsia="Times New Roman" w:cs="Arial"/>
                <w:sz w:val="16"/>
                <w:szCs w:val="16"/>
                <w:lang w:eastAsia="en-US"/>
              </w:rPr>
              <w:t>8</w:t>
            </w:r>
            <w:r w:rsidRPr="00A970C5">
              <w:rPr>
                <w:rFonts w:eastAsia="Times New Roman" w:cs="Arial"/>
                <w:sz w:val="16"/>
                <w:szCs w:val="16"/>
                <w:lang w:eastAsia="en-US"/>
              </w:rPr>
              <w:t xml:space="preserve"> (qui devrait être distribué après la trente</w:t>
            </w:r>
            <w:r w:rsidR="00B441CA">
              <w:rPr>
                <w:rFonts w:eastAsia="Times New Roman" w:cs="Arial"/>
                <w:sz w:val="16"/>
                <w:szCs w:val="16"/>
                <w:lang w:eastAsia="en-US"/>
              </w:rPr>
              <w:noBreakHyphen/>
            </w:r>
            <w:r w:rsidRPr="00A970C5">
              <w:rPr>
                <w:rFonts w:eastAsia="Times New Roman" w:cs="Arial"/>
                <w:sz w:val="16"/>
                <w:szCs w:val="16"/>
                <w:lang w:eastAsia="en-US"/>
              </w:rPr>
              <w:t>quatrième session de l’IGC en juin 2017)</w:t>
            </w:r>
          </w:p>
        </w:tc>
        <w:tc>
          <w:tcPr>
            <w:tcW w:w="2393" w:type="dxa"/>
            <w:tcBorders>
              <w:top w:val="nil"/>
              <w:left w:val="nil"/>
              <w:bottom w:val="nil"/>
              <w:right w:val="nil"/>
            </w:tcBorders>
            <w:shd w:val="clear" w:color="000000" w:fill="FFFFFF"/>
            <w:tcMar>
              <w:top w:w="57" w:type="dxa"/>
            </w:tcMar>
            <w:hideMark/>
          </w:tcPr>
          <w:p w14:paraId="16F2D56C" w14:textId="5AAF8D27" w:rsidR="004A1188" w:rsidRPr="00A970C5" w:rsidRDefault="004A1188" w:rsidP="00986700">
            <w:pPr>
              <w:keepNext/>
              <w:keepLines/>
              <w:rPr>
                <w:rFonts w:eastAsia="Times New Roman" w:cs="Arial"/>
                <w:sz w:val="16"/>
                <w:szCs w:val="16"/>
                <w:lang w:eastAsia="en-US"/>
              </w:rPr>
            </w:pPr>
            <w:r w:rsidRPr="00A970C5">
              <w:rPr>
                <w:rFonts w:eastAsia="Times New Roman" w:cs="Arial"/>
                <w:sz w:val="16"/>
                <w:szCs w:val="16"/>
                <w:lang w:eastAsia="en-US"/>
              </w:rPr>
              <w:t>Accord entre les États membres sur les résultats des activi</w:t>
            </w:r>
            <w:r w:rsidR="008771A6">
              <w:rPr>
                <w:rFonts w:eastAsia="Times New Roman" w:cs="Arial"/>
                <w:sz w:val="16"/>
                <w:szCs w:val="16"/>
                <w:lang w:eastAsia="en-US"/>
              </w:rPr>
              <w:t>tés d’établissement de normes</w:t>
            </w:r>
          </w:p>
        </w:tc>
      </w:tr>
      <w:tr w:rsidR="00A970C5" w:rsidRPr="00A970C5" w14:paraId="5841A38E" w14:textId="77777777" w:rsidTr="004A1188">
        <w:tc>
          <w:tcPr>
            <w:tcW w:w="2392" w:type="dxa"/>
            <w:tcBorders>
              <w:top w:val="nil"/>
              <w:left w:val="nil"/>
              <w:bottom w:val="nil"/>
              <w:right w:val="nil"/>
            </w:tcBorders>
            <w:shd w:val="clear" w:color="000000" w:fill="FFFFFF"/>
            <w:tcMar>
              <w:top w:w="57" w:type="dxa"/>
            </w:tcMar>
            <w:hideMark/>
          </w:tcPr>
          <w:p w14:paraId="75198EEA"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93" w:type="dxa"/>
            <w:tcBorders>
              <w:top w:val="nil"/>
              <w:left w:val="nil"/>
              <w:bottom w:val="nil"/>
              <w:right w:val="nil"/>
            </w:tcBorders>
            <w:shd w:val="clear" w:color="auto" w:fill="auto"/>
            <w:tcMar>
              <w:top w:w="57" w:type="dxa"/>
            </w:tcMar>
            <w:hideMark/>
          </w:tcPr>
          <w:p w14:paraId="708CAAF4" w14:textId="15B6B03A" w:rsidR="004A1188" w:rsidRPr="00A970C5" w:rsidRDefault="004A1188" w:rsidP="008771A6">
            <w:pPr>
              <w:rPr>
                <w:rFonts w:eastAsia="Times New Roman" w:cs="Arial"/>
                <w:sz w:val="16"/>
                <w:szCs w:val="16"/>
                <w:lang w:eastAsia="en-US"/>
              </w:rPr>
            </w:pPr>
            <w:r w:rsidRPr="00A970C5">
              <w:rPr>
                <w:rFonts w:eastAsia="Times New Roman" w:cs="Arial"/>
                <w:sz w:val="16"/>
                <w:szCs w:val="16"/>
                <w:lang w:eastAsia="en-US"/>
              </w:rPr>
              <w:t xml:space="preserve">Niveau de satisfaction des participants aux activités générales de sensibilisation et de promotion </w:t>
            </w:r>
            <w:r w:rsidR="008771A6">
              <w:rPr>
                <w:rFonts w:eastAsia="Times New Roman" w:cs="Arial"/>
                <w:sz w:val="16"/>
                <w:szCs w:val="16"/>
                <w:lang w:eastAsia="en-US"/>
              </w:rPr>
              <w:t>relatives aux ressources génétiques, aux savoirs traditionnels et aux expressions culturelles traditionnelles</w:t>
            </w:r>
            <w:r w:rsidRPr="00A970C5">
              <w:rPr>
                <w:rFonts w:eastAsia="Times New Roman" w:cs="Arial"/>
                <w:sz w:val="16"/>
                <w:szCs w:val="16"/>
                <w:lang w:eastAsia="en-US"/>
              </w:rPr>
              <w:t xml:space="preserve"> </w:t>
            </w:r>
          </w:p>
        </w:tc>
        <w:tc>
          <w:tcPr>
            <w:tcW w:w="2393" w:type="dxa"/>
            <w:tcBorders>
              <w:top w:val="nil"/>
              <w:left w:val="nil"/>
              <w:bottom w:val="nil"/>
              <w:right w:val="nil"/>
            </w:tcBorders>
            <w:shd w:val="clear" w:color="000000" w:fill="FFFFFF"/>
            <w:tcMar>
              <w:top w:w="57" w:type="dxa"/>
            </w:tcMar>
            <w:hideMark/>
          </w:tcPr>
          <w:p w14:paraId="5F874DE5"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s.o.</w:t>
            </w:r>
          </w:p>
        </w:tc>
        <w:tc>
          <w:tcPr>
            <w:tcW w:w="2393" w:type="dxa"/>
            <w:tcBorders>
              <w:top w:val="nil"/>
              <w:left w:val="nil"/>
              <w:bottom w:val="nil"/>
              <w:right w:val="nil"/>
            </w:tcBorders>
            <w:shd w:val="clear" w:color="000000" w:fill="FFFFFF"/>
            <w:tcMar>
              <w:top w:w="57" w:type="dxa"/>
            </w:tcMar>
            <w:hideMark/>
          </w:tcPr>
          <w:p w14:paraId="64C442C0"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80% de participants très satisfaits des activités générales de sensibilisation et de promotion dans le domaine des ressources génétiques, des savoirs traditionnels et des expressions culturelles traditionnelles</w:t>
            </w:r>
          </w:p>
        </w:tc>
      </w:tr>
      <w:tr w:rsidR="00A970C5" w:rsidRPr="00A970C5" w14:paraId="17A4CC5B" w14:textId="77777777" w:rsidTr="004A1188">
        <w:tc>
          <w:tcPr>
            <w:tcW w:w="2392" w:type="dxa"/>
            <w:tcBorders>
              <w:top w:val="nil"/>
              <w:left w:val="nil"/>
              <w:bottom w:val="nil"/>
              <w:right w:val="nil"/>
            </w:tcBorders>
            <w:shd w:val="clear" w:color="auto" w:fill="auto"/>
            <w:noWrap/>
            <w:tcMar>
              <w:top w:w="57" w:type="dxa"/>
            </w:tcMar>
            <w:vAlign w:val="bottom"/>
            <w:hideMark/>
          </w:tcPr>
          <w:p w14:paraId="692C5653" w14:textId="77777777" w:rsidR="004A1188" w:rsidRPr="00A970C5" w:rsidRDefault="004A1188" w:rsidP="00986700">
            <w:pPr>
              <w:rPr>
                <w:rFonts w:eastAsia="Times New Roman" w:cs="Arial"/>
                <w:lang w:eastAsia="en-US"/>
              </w:rPr>
            </w:pPr>
          </w:p>
        </w:tc>
        <w:tc>
          <w:tcPr>
            <w:tcW w:w="2393" w:type="dxa"/>
            <w:tcBorders>
              <w:top w:val="nil"/>
              <w:left w:val="nil"/>
              <w:bottom w:val="nil"/>
              <w:right w:val="nil"/>
            </w:tcBorders>
            <w:shd w:val="clear" w:color="auto" w:fill="auto"/>
            <w:tcMar>
              <w:top w:w="57" w:type="dxa"/>
            </w:tcMar>
            <w:hideMark/>
          </w:tcPr>
          <w:p w14:paraId="64F8A2E4" w14:textId="302810BF"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Nombre de participants aux activités de formation et de renforcement des capacités dans le domaine des ressources génétiques, des savoirs traditionnels ou des expressions culturelles traditionnelles obten</w:t>
            </w:r>
            <w:r w:rsidR="00C309AE" w:rsidRPr="00A970C5">
              <w:rPr>
                <w:rFonts w:eastAsia="Times New Roman" w:cs="Arial"/>
                <w:sz w:val="16"/>
                <w:szCs w:val="16"/>
                <w:lang w:eastAsia="en-US"/>
              </w:rPr>
              <w:t>a</w:t>
            </w:r>
            <w:r w:rsidRPr="00A970C5">
              <w:rPr>
                <w:rFonts w:eastAsia="Times New Roman" w:cs="Arial"/>
                <w:sz w:val="16"/>
                <w:szCs w:val="16"/>
                <w:lang w:eastAsia="en-US"/>
              </w:rPr>
              <w:t>nt un score de 50% ou plus au bref questionnaire à choix multiple sur des questions de fond</w:t>
            </w:r>
          </w:p>
        </w:tc>
        <w:tc>
          <w:tcPr>
            <w:tcW w:w="2393" w:type="dxa"/>
            <w:tcBorders>
              <w:top w:val="nil"/>
              <w:left w:val="nil"/>
              <w:bottom w:val="nil"/>
              <w:right w:val="nil"/>
            </w:tcBorders>
            <w:shd w:val="clear" w:color="000000" w:fill="FFFFFF"/>
            <w:tcMar>
              <w:top w:w="57" w:type="dxa"/>
            </w:tcMar>
            <w:hideMark/>
          </w:tcPr>
          <w:p w14:paraId="318DDE85"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s.o.</w:t>
            </w:r>
          </w:p>
        </w:tc>
        <w:tc>
          <w:tcPr>
            <w:tcW w:w="2393" w:type="dxa"/>
            <w:tcBorders>
              <w:top w:val="nil"/>
              <w:left w:val="nil"/>
              <w:bottom w:val="nil"/>
              <w:right w:val="nil"/>
            </w:tcBorders>
            <w:shd w:val="clear" w:color="000000" w:fill="FFFFFF"/>
            <w:tcMar>
              <w:top w:w="57" w:type="dxa"/>
            </w:tcMar>
            <w:hideMark/>
          </w:tcPr>
          <w:p w14:paraId="2A9E580E"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80%</w:t>
            </w:r>
          </w:p>
        </w:tc>
      </w:tr>
      <w:tr w:rsidR="00A970C5" w:rsidRPr="00A970C5" w14:paraId="54AADC96" w14:textId="77777777" w:rsidTr="004A1188">
        <w:tc>
          <w:tcPr>
            <w:tcW w:w="2392" w:type="dxa"/>
            <w:tcBorders>
              <w:top w:val="nil"/>
              <w:left w:val="nil"/>
              <w:bottom w:val="nil"/>
              <w:right w:val="nil"/>
            </w:tcBorders>
            <w:shd w:val="clear" w:color="000000" w:fill="FFFFFF"/>
            <w:tcMar>
              <w:top w:w="57" w:type="dxa"/>
            </w:tcMar>
            <w:hideMark/>
          </w:tcPr>
          <w:p w14:paraId="28408C89" w14:textId="77777777"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 xml:space="preserve">IV.2 Amélioration de l’accessibilité et de l’utilisation de l’information en matière de propriété intellectuelle par les institutions compétentes et le public afin de promouvoir l’innovation et la créativité </w:t>
            </w:r>
          </w:p>
        </w:tc>
        <w:tc>
          <w:tcPr>
            <w:tcW w:w="2393" w:type="dxa"/>
            <w:tcBorders>
              <w:top w:val="nil"/>
              <w:left w:val="nil"/>
              <w:bottom w:val="nil"/>
              <w:right w:val="nil"/>
            </w:tcBorders>
            <w:shd w:val="clear" w:color="auto" w:fill="auto"/>
            <w:tcMar>
              <w:top w:w="57" w:type="dxa"/>
            </w:tcMar>
            <w:hideMark/>
          </w:tcPr>
          <w:p w14:paraId="0A1166BF" w14:textId="1C9322EB"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Nombre d</w:t>
            </w:r>
            <w:r w:rsidR="00C309AE" w:rsidRPr="00A970C5">
              <w:rPr>
                <w:rFonts w:eastAsia="Times New Roman" w:cs="Arial"/>
                <w:sz w:val="16"/>
                <w:szCs w:val="16"/>
                <w:lang w:eastAsia="en-US"/>
              </w:rPr>
              <w:t>’entrées</w:t>
            </w:r>
            <w:r w:rsidRPr="00A970C5">
              <w:rPr>
                <w:rFonts w:eastAsia="Times New Roman" w:cs="Arial"/>
                <w:sz w:val="16"/>
                <w:szCs w:val="16"/>
                <w:lang w:eastAsia="en-US"/>
              </w:rPr>
              <w:t xml:space="preserve"> figurant dans un format accessible dans les bases de données, inventaires, registres, portails ou plateformes relatifs aux expressions culturelles traditionnelles, savoirs traditionnels ou ressources génétiques</w:t>
            </w:r>
          </w:p>
          <w:p w14:paraId="73F51FBB" w14:textId="77777777" w:rsidR="004A1188" w:rsidRPr="00A970C5" w:rsidRDefault="004A1188" w:rsidP="00986700">
            <w:pPr>
              <w:rPr>
                <w:rFonts w:eastAsia="Times New Roman" w:cs="Arial"/>
                <w:sz w:val="16"/>
                <w:szCs w:val="16"/>
                <w:lang w:eastAsia="en-US"/>
              </w:rPr>
            </w:pPr>
          </w:p>
          <w:p w14:paraId="4F5C3691" w14:textId="5854529C"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 xml:space="preserve">Nombre d’utilisateurs </w:t>
            </w:r>
            <w:r w:rsidR="00C309AE" w:rsidRPr="00A970C5">
              <w:rPr>
                <w:rFonts w:eastAsia="Times New Roman" w:cs="Arial"/>
                <w:sz w:val="16"/>
                <w:szCs w:val="16"/>
                <w:lang w:eastAsia="en-US"/>
              </w:rPr>
              <w:t>individuels</w:t>
            </w:r>
            <w:r w:rsidRPr="00A970C5">
              <w:rPr>
                <w:rFonts w:eastAsia="Times New Roman" w:cs="Arial"/>
                <w:sz w:val="16"/>
                <w:szCs w:val="16"/>
                <w:lang w:eastAsia="en-US"/>
              </w:rPr>
              <w:t xml:space="preserve"> des bases de données, inventaires, registres, portails ou plateformes relatifs aux expressions culturelles traditionnelles, savoirs traditionnels ou ressources génétiques</w:t>
            </w:r>
          </w:p>
        </w:tc>
        <w:tc>
          <w:tcPr>
            <w:tcW w:w="2393" w:type="dxa"/>
            <w:tcBorders>
              <w:top w:val="nil"/>
              <w:left w:val="nil"/>
              <w:bottom w:val="nil"/>
              <w:right w:val="nil"/>
            </w:tcBorders>
            <w:shd w:val="clear" w:color="000000" w:fill="FFFFFF"/>
            <w:tcMar>
              <w:top w:w="57" w:type="dxa"/>
            </w:tcMar>
            <w:hideMark/>
          </w:tcPr>
          <w:p w14:paraId="18EF8372" w14:textId="77777777" w:rsidR="00094A7D" w:rsidRPr="00A970C5" w:rsidRDefault="004A1188" w:rsidP="00986700">
            <w:pPr>
              <w:rPr>
                <w:rFonts w:eastAsia="Times New Roman" w:cs="Arial"/>
                <w:sz w:val="16"/>
                <w:szCs w:val="16"/>
                <w:lang w:eastAsia="en-US"/>
              </w:rPr>
            </w:pPr>
            <w:r w:rsidRPr="00A970C5">
              <w:rPr>
                <w:rFonts w:eastAsia="Times New Roman" w:cs="Arial"/>
                <w:sz w:val="16"/>
                <w:szCs w:val="16"/>
                <w:lang w:eastAsia="en-US"/>
              </w:rPr>
              <w:t>s.o.</w:t>
            </w:r>
          </w:p>
          <w:p w14:paraId="066CB462" w14:textId="77777777" w:rsidR="00094A7D" w:rsidRPr="00A970C5" w:rsidRDefault="00094A7D" w:rsidP="00986700">
            <w:pPr>
              <w:rPr>
                <w:rFonts w:eastAsia="Times New Roman" w:cs="Arial"/>
                <w:sz w:val="16"/>
                <w:szCs w:val="16"/>
                <w:lang w:eastAsia="en-US"/>
              </w:rPr>
            </w:pPr>
          </w:p>
          <w:p w14:paraId="1B822C7E" w14:textId="77777777" w:rsidR="00094A7D" w:rsidRPr="00A970C5" w:rsidRDefault="00094A7D" w:rsidP="00986700">
            <w:pPr>
              <w:rPr>
                <w:rFonts w:eastAsia="Times New Roman" w:cs="Arial"/>
                <w:sz w:val="16"/>
                <w:szCs w:val="16"/>
                <w:lang w:eastAsia="en-US"/>
              </w:rPr>
            </w:pPr>
          </w:p>
          <w:p w14:paraId="319CA50A" w14:textId="77777777" w:rsidR="00094A7D" w:rsidRPr="00A970C5" w:rsidRDefault="00094A7D" w:rsidP="00986700">
            <w:pPr>
              <w:rPr>
                <w:rFonts w:eastAsia="Times New Roman" w:cs="Arial"/>
                <w:sz w:val="16"/>
                <w:szCs w:val="16"/>
                <w:lang w:eastAsia="en-US"/>
              </w:rPr>
            </w:pPr>
          </w:p>
          <w:p w14:paraId="41CD7E7F" w14:textId="77777777" w:rsidR="00094A7D" w:rsidRPr="00A970C5" w:rsidRDefault="00094A7D" w:rsidP="00986700">
            <w:pPr>
              <w:rPr>
                <w:rFonts w:eastAsia="Times New Roman" w:cs="Arial"/>
                <w:sz w:val="16"/>
                <w:szCs w:val="16"/>
                <w:lang w:eastAsia="en-US"/>
              </w:rPr>
            </w:pPr>
          </w:p>
          <w:p w14:paraId="132937E4" w14:textId="77777777" w:rsidR="00094A7D" w:rsidRPr="00A970C5" w:rsidRDefault="00094A7D" w:rsidP="00986700">
            <w:pPr>
              <w:rPr>
                <w:rFonts w:eastAsia="Times New Roman" w:cs="Arial"/>
                <w:sz w:val="16"/>
                <w:szCs w:val="16"/>
                <w:lang w:eastAsia="en-US"/>
              </w:rPr>
            </w:pPr>
          </w:p>
          <w:p w14:paraId="75B92C96" w14:textId="77777777" w:rsidR="00094A7D" w:rsidRPr="00A970C5" w:rsidRDefault="00094A7D" w:rsidP="00986700">
            <w:pPr>
              <w:rPr>
                <w:rFonts w:eastAsia="Times New Roman" w:cs="Arial"/>
                <w:sz w:val="16"/>
                <w:szCs w:val="16"/>
                <w:lang w:eastAsia="en-US"/>
              </w:rPr>
            </w:pPr>
          </w:p>
          <w:p w14:paraId="319C2CB5" w14:textId="77777777" w:rsidR="00094A7D" w:rsidRPr="00A970C5" w:rsidRDefault="00094A7D" w:rsidP="00986700">
            <w:pPr>
              <w:rPr>
                <w:rFonts w:eastAsia="Times New Roman" w:cs="Arial"/>
                <w:sz w:val="16"/>
                <w:szCs w:val="16"/>
                <w:lang w:eastAsia="en-US"/>
              </w:rPr>
            </w:pPr>
          </w:p>
          <w:p w14:paraId="7E0826BD" w14:textId="5BF06D41" w:rsidR="004A1188" w:rsidRPr="00A970C5" w:rsidRDefault="004A1188" w:rsidP="00986700">
            <w:pPr>
              <w:rPr>
                <w:rFonts w:eastAsia="Times New Roman" w:cs="Arial"/>
                <w:sz w:val="16"/>
                <w:szCs w:val="16"/>
                <w:lang w:eastAsia="en-US"/>
              </w:rPr>
            </w:pPr>
          </w:p>
          <w:p w14:paraId="6B160F62" w14:textId="77777777" w:rsidR="004A1188" w:rsidRPr="00A970C5" w:rsidRDefault="004A1188" w:rsidP="00986700">
            <w:pPr>
              <w:rPr>
                <w:rFonts w:eastAsia="Times New Roman" w:cs="Arial"/>
                <w:sz w:val="16"/>
                <w:szCs w:val="16"/>
                <w:lang w:eastAsia="en-US"/>
              </w:rPr>
            </w:pPr>
          </w:p>
          <w:p w14:paraId="1FA62781" w14:textId="19C30EA8"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s.o.</w:t>
            </w:r>
          </w:p>
        </w:tc>
        <w:tc>
          <w:tcPr>
            <w:tcW w:w="2393" w:type="dxa"/>
            <w:tcBorders>
              <w:top w:val="nil"/>
              <w:left w:val="nil"/>
              <w:bottom w:val="nil"/>
              <w:right w:val="nil"/>
            </w:tcBorders>
            <w:shd w:val="clear" w:color="000000" w:fill="FFFFFF"/>
            <w:tcMar>
              <w:top w:w="57" w:type="dxa"/>
            </w:tcMar>
            <w:hideMark/>
          </w:tcPr>
          <w:p w14:paraId="7A078D6A" w14:textId="77777777" w:rsidR="00094A7D" w:rsidRPr="00A970C5" w:rsidRDefault="004A1188" w:rsidP="00986700">
            <w:pPr>
              <w:rPr>
                <w:rFonts w:eastAsia="Times New Roman" w:cs="Arial"/>
                <w:sz w:val="16"/>
                <w:szCs w:val="16"/>
                <w:lang w:eastAsia="en-US"/>
              </w:rPr>
            </w:pPr>
            <w:r w:rsidRPr="00A970C5">
              <w:rPr>
                <w:rFonts w:eastAsia="Times New Roman" w:cs="Arial"/>
                <w:sz w:val="16"/>
                <w:szCs w:val="16"/>
                <w:lang w:eastAsia="en-US"/>
              </w:rPr>
              <w:t>À déterminer</w:t>
            </w:r>
          </w:p>
          <w:p w14:paraId="556C78F3" w14:textId="77777777" w:rsidR="00094A7D" w:rsidRPr="00A970C5" w:rsidRDefault="00094A7D" w:rsidP="00986700">
            <w:pPr>
              <w:rPr>
                <w:rFonts w:eastAsia="Times New Roman" w:cs="Arial"/>
                <w:sz w:val="16"/>
                <w:szCs w:val="16"/>
                <w:lang w:eastAsia="en-US"/>
              </w:rPr>
            </w:pPr>
          </w:p>
          <w:p w14:paraId="7DA87BD9" w14:textId="77777777" w:rsidR="00094A7D" w:rsidRPr="00A970C5" w:rsidRDefault="00094A7D" w:rsidP="00986700">
            <w:pPr>
              <w:rPr>
                <w:rFonts w:eastAsia="Times New Roman" w:cs="Arial"/>
                <w:sz w:val="16"/>
                <w:szCs w:val="16"/>
                <w:lang w:eastAsia="en-US"/>
              </w:rPr>
            </w:pPr>
          </w:p>
          <w:p w14:paraId="0C563B7D" w14:textId="77777777" w:rsidR="00094A7D" w:rsidRPr="00A970C5" w:rsidRDefault="00094A7D" w:rsidP="00986700">
            <w:pPr>
              <w:rPr>
                <w:rFonts w:eastAsia="Times New Roman" w:cs="Arial"/>
                <w:sz w:val="16"/>
                <w:szCs w:val="16"/>
                <w:lang w:eastAsia="en-US"/>
              </w:rPr>
            </w:pPr>
          </w:p>
          <w:p w14:paraId="0089E41D" w14:textId="77777777" w:rsidR="00094A7D" w:rsidRPr="00A970C5" w:rsidRDefault="00094A7D" w:rsidP="00986700">
            <w:pPr>
              <w:rPr>
                <w:rFonts w:eastAsia="Times New Roman" w:cs="Arial"/>
                <w:sz w:val="16"/>
                <w:szCs w:val="16"/>
                <w:lang w:eastAsia="en-US"/>
              </w:rPr>
            </w:pPr>
          </w:p>
          <w:p w14:paraId="4AF5636A" w14:textId="77777777" w:rsidR="00094A7D" w:rsidRPr="00A970C5" w:rsidRDefault="00094A7D" w:rsidP="00986700">
            <w:pPr>
              <w:rPr>
                <w:rFonts w:eastAsia="Times New Roman" w:cs="Arial"/>
                <w:sz w:val="16"/>
                <w:szCs w:val="16"/>
                <w:lang w:eastAsia="en-US"/>
              </w:rPr>
            </w:pPr>
          </w:p>
          <w:p w14:paraId="18BE7FD2" w14:textId="77777777" w:rsidR="00094A7D" w:rsidRPr="00A970C5" w:rsidRDefault="00094A7D" w:rsidP="00986700">
            <w:pPr>
              <w:rPr>
                <w:rFonts w:eastAsia="Times New Roman" w:cs="Arial"/>
                <w:sz w:val="16"/>
                <w:szCs w:val="16"/>
                <w:lang w:eastAsia="en-US"/>
              </w:rPr>
            </w:pPr>
          </w:p>
          <w:p w14:paraId="5AA789FA" w14:textId="77777777" w:rsidR="00094A7D" w:rsidRPr="00A970C5" w:rsidRDefault="00094A7D" w:rsidP="00986700">
            <w:pPr>
              <w:rPr>
                <w:rFonts w:eastAsia="Times New Roman" w:cs="Arial"/>
                <w:sz w:val="16"/>
                <w:szCs w:val="16"/>
                <w:lang w:eastAsia="en-US"/>
              </w:rPr>
            </w:pPr>
          </w:p>
          <w:p w14:paraId="3D482B56" w14:textId="5F3A4CF7" w:rsidR="004A1188" w:rsidRPr="00A970C5" w:rsidRDefault="004A1188" w:rsidP="00986700">
            <w:pPr>
              <w:rPr>
                <w:rFonts w:eastAsia="Times New Roman" w:cs="Arial"/>
                <w:sz w:val="16"/>
                <w:szCs w:val="16"/>
                <w:lang w:eastAsia="en-US"/>
              </w:rPr>
            </w:pPr>
          </w:p>
          <w:p w14:paraId="41B4EE39" w14:textId="77777777" w:rsidR="004A1188" w:rsidRPr="00A970C5" w:rsidRDefault="004A1188" w:rsidP="00986700">
            <w:pPr>
              <w:rPr>
                <w:rFonts w:eastAsia="Times New Roman" w:cs="Arial"/>
                <w:sz w:val="16"/>
                <w:szCs w:val="16"/>
                <w:lang w:eastAsia="en-US"/>
              </w:rPr>
            </w:pPr>
          </w:p>
          <w:p w14:paraId="444636A3" w14:textId="14B3684C" w:rsidR="004A1188" w:rsidRPr="00A970C5" w:rsidRDefault="004A1188" w:rsidP="00986700">
            <w:pPr>
              <w:rPr>
                <w:rFonts w:eastAsia="Times New Roman" w:cs="Arial"/>
                <w:sz w:val="16"/>
                <w:szCs w:val="16"/>
                <w:lang w:eastAsia="en-US"/>
              </w:rPr>
            </w:pPr>
            <w:r w:rsidRPr="00A970C5">
              <w:rPr>
                <w:rFonts w:eastAsia="Times New Roman" w:cs="Arial"/>
                <w:sz w:val="16"/>
                <w:szCs w:val="16"/>
                <w:lang w:eastAsia="en-US"/>
              </w:rPr>
              <w:t>À déterminer</w:t>
            </w:r>
          </w:p>
        </w:tc>
      </w:tr>
    </w:tbl>
    <w:p w14:paraId="39DD4A5F" w14:textId="48A5750A" w:rsidR="00426A7C" w:rsidRPr="00A970C5" w:rsidRDefault="00426A7C" w:rsidP="00986700">
      <w:pPr>
        <w:rPr>
          <w:rFonts w:cs="Arial"/>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0300D00A" w14:textId="77777777" w:rsidTr="00EE0227">
        <w:trPr>
          <w:cantSplit/>
        </w:trPr>
        <w:tc>
          <w:tcPr>
            <w:tcW w:w="9571" w:type="dxa"/>
            <w:shd w:val="clear" w:color="auto" w:fill="C6D9F1" w:themeFill="text2" w:themeFillTint="33"/>
            <w:vAlign w:val="center"/>
          </w:tcPr>
          <w:p w14:paraId="27A51419" w14:textId="77777777" w:rsidR="005E30D2" w:rsidRPr="00821D15" w:rsidRDefault="005E30D2" w:rsidP="00986700">
            <w:pPr>
              <w:keepNext/>
              <w:jc w:val="center"/>
              <w:rPr>
                <w:rFonts w:cs="Arial"/>
                <w:b/>
                <w:szCs w:val="20"/>
              </w:rPr>
            </w:pPr>
            <w:r w:rsidRPr="00821D15">
              <w:rPr>
                <w:rFonts w:cs="Arial"/>
                <w:b/>
                <w:szCs w:val="20"/>
              </w:rPr>
              <w:t>Ressources allouées au programme 4</w:t>
            </w:r>
          </w:p>
        </w:tc>
      </w:tr>
    </w:tbl>
    <w:p w14:paraId="5139B1A6" w14:textId="77777777" w:rsidR="005E30D2" w:rsidRPr="00821D15" w:rsidRDefault="005E30D2" w:rsidP="00986700">
      <w:pPr>
        <w:keepNext/>
        <w:rPr>
          <w:rFonts w:cs="Arial"/>
          <w:szCs w:val="20"/>
        </w:rPr>
      </w:pPr>
    </w:p>
    <w:p w14:paraId="2D6118FB" w14:textId="77777777" w:rsidR="005E30D2" w:rsidRPr="00821D15" w:rsidRDefault="005E30D2" w:rsidP="00616FD3">
      <w:pPr>
        <w:pStyle w:val="ListParagraph"/>
        <w:numPr>
          <w:ilvl w:val="0"/>
          <w:numId w:val="63"/>
        </w:numPr>
        <w:ind w:left="0" w:firstLine="0"/>
        <w:rPr>
          <w:rFonts w:cs="Arial"/>
          <w:szCs w:val="20"/>
        </w:rPr>
      </w:pPr>
      <w:r w:rsidRPr="00821D15">
        <w:rPr>
          <w:rFonts w:cs="Arial"/>
          <w:szCs w:val="20"/>
        </w:rPr>
        <w:t>Les ressources globales allouées au programme 4 ont augmenté de 15,4% par rapport au budget approuvé pour 2016</w:t>
      </w:r>
      <w:r w:rsidRPr="00821D15">
        <w:rPr>
          <w:rFonts w:cs="Arial"/>
          <w:szCs w:val="20"/>
        </w:rPr>
        <w:noBreakHyphen/>
        <w:t>2017.  Cette augmentation résulte d’une hausse des dépenses de personnel à la suite i) du redéploiement de deux postes dans le Département des savoirs traditionnels et des défis mondiaux, pris en considération dans tous les résultats escomptés, et ii) de la régularisation de trois fonctions de nature continue au sein de la Division des savoirs traditionnels.</w:t>
      </w:r>
    </w:p>
    <w:p w14:paraId="01082057" w14:textId="77777777" w:rsidR="005E30D2" w:rsidRPr="00821D15" w:rsidRDefault="005E30D2" w:rsidP="00986700">
      <w:pPr>
        <w:rPr>
          <w:rFonts w:cs="Arial"/>
          <w:szCs w:val="20"/>
        </w:rPr>
      </w:pPr>
    </w:p>
    <w:p w14:paraId="2FCD6433" w14:textId="77777777" w:rsidR="005E30D2" w:rsidRPr="00821D15" w:rsidRDefault="005E30D2" w:rsidP="00616FD3">
      <w:pPr>
        <w:pStyle w:val="ListParagraph"/>
        <w:numPr>
          <w:ilvl w:val="0"/>
          <w:numId w:val="63"/>
        </w:numPr>
        <w:ind w:left="0" w:firstLine="0"/>
        <w:rPr>
          <w:rFonts w:cs="Arial"/>
          <w:szCs w:val="20"/>
        </w:rPr>
      </w:pPr>
      <w:r w:rsidRPr="00821D15">
        <w:rPr>
          <w:rFonts w:cs="Arial"/>
          <w:szCs w:val="20"/>
        </w:rPr>
        <w:t>Les dépenses autres que les dépenses de personnel restent au même niveau que dans le budget approuvé pour 2016</w:t>
      </w:r>
      <w:r w:rsidRPr="00821D15">
        <w:rPr>
          <w:rFonts w:cs="Arial"/>
          <w:szCs w:val="20"/>
        </w:rPr>
        <w:noBreakHyphen/>
        <w:t>2017.</w:t>
      </w:r>
    </w:p>
    <w:p w14:paraId="7589D403" w14:textId="77777777" w:rsidR="005E30D2" w:rsidRPr="00821D15" w:rsidRDefault="005E30D2" w:rsidP="00986700">
      <w:pPr>
        <w:rPr>
          <w:rFonts w:cs="Arial"/>
          <w:szCs w:val="20"/>
        </w:rPr>
      </w:pPr>
    </w:p>
    <w:p w14:paraId="43977A7A" w14:textId="77777777" w:rsidR="005E30D2" w:rsidRPr="00821D15" w:rsidRDefault="005E30D2" w:rsidP="00616FD3">
      <w:pPr>
        <w:pStyle w:val="ListParagraph"/>
        <w:numPr>
          <w:ilvl w:val="0"/>
          <w:numId w:val="63"/>
        </w:numPr>
        <w:ind w:left="0" w:firstLine="0"/>
        <w:rPr>
          <w:rFonts w:cs="Arial"/>
          <w:szCs w:val="20"/>
        </w:rPr>
      </w:pPr>
      <w:r w:rsidRPr="00821D15">
        <w:rPr>
          <w:rFonts w:cs="Arial"/>
          <w:szCs w:val="20"/>
        </w:rPr>
        <w:t>Les dépenses de personnel allouées au titre du résultat escompté IV.2 (amélioration de l’accessibilité et de l’utilisation de l’information en matière de propriété intellectuelle) tiennent compte du développement prévu des bases de données, des inventaires, des portails et d’autres plateformes concernant les ressources génétiques, les savoirs traditionnels et les expresions culturelles traditionnelles, qui se traduira ultérieurement par une diminution des dépenses de personnel sous le résultat escompté III.2 (mise en valeur des ressources humaines).</w:t>
      </w:r>
    </w:p>
    <w:p w14:paraId="25427476" w14:textId="77777777" w:rsidR="005E30D2" w:rsidRPr="00821D15" w:rsidRDefault="005E30D2" w:rsidP="00986700">
      <w:pPr>
        <w:rPr>
          <w:rFonts w:cs="Arial"/>
          <w:szCs w:val="20"/>
        </w:rPr>
      </w:pPr>
    </w:p>
    <w:p w14:paraId="017A9A0E" w14:textId="77777777" w:rsidR="005E30D2" w:rsidRPr="00821D15" w:rsidRDefault="005E30D2" w:rsidP="00616FD3">
      <w:pPr>
        <w:pStyle w:val="ListParagraph"/>
        <w:numPr>
          <w:ilvl w:val="0"/>
          <w:numId w:val="63"/>
        </w:numPr>
        <w:ind w:left="0" w:firstLine="0"/>
        <w:rPr>
          <w:rFonts w:cs="Arial"/>
          <w:szCs w:val="20"/>
        </w:rPr>
      </w:pPr>
      <w:r w:rsidRPr="00821D15">
        <w:rPr>
          <w:rFonts w:cs="Arial"/>
          <w:szCs w:val="20"/>
        </w:rPr>
        <w:t>Les ressources liées au résultat escompté VII.1 (plateformes fondées sur la propriété intellectuelle) dans le cadre du programme correspondent aux travaux réalisés par le Département des savoirs traditionnels et des défis mondiaux concernant WIPO GREEN et WIPO Re:Search dans le cadre du programme 18 (défis mondiaux).</w:t>
      </w:r>
    </w:p>
    <w:p w14:paraId="59CA26DB" w14:textId="77777777" w:rsidR="00674550" w:rsidRDefault="00674550" w:rsidP="00986700">
      <w:pPr>
        <w:rPr>
          <w:rFonts w:cs="Arial"/>
        </w:rPr>
      </w:pPr>
    </w:p>
    <w:p w14:paraId="3B4185C3" w14:textId="1C8DFC0D"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4 : </w:t>
      </w:r>
      <w:r w:rsidRPr="00674550">
        <w:rPr>
          <w:rFonts w:eastAsia="Times New Roman" w:cs="Arial"/>
          <w:b/>
          <w:szCs w:val="20"/>
          <w:lang w:eastAsia="en-US"/>
        </w:rPr>
        <w:t>Ressources par résultat</w:t>
      </w:r>
    </w:p>
    <w:p w14:paraId="5BB55A63"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3990416" w14:textId="77777777" w:rsidR="00717231" w:rsidRDefault="00717231" w:rsidP="00E61AC7">
      <w:pPr>
        <w:keepNext/>
        <w:rPr>
          <w:rFonts w:cs="Arial"/>
        </w:rPr>
      </w:pPr>
    </w:p>
    <w:p w14:paraId="203E82C1" w14:textId="1331C3EE" w:rsidR="00717231" w:rsidRDefault="00717231" w:rsidP="00986700">
      <w:pPr>
        <w:jc w:val="center"/>
        <w:rPr>
          <w:rFonts w:cs="Arial"/>
        </w:rPr>
      </w:pPr>
      <w:r w:rsidRPr="00717231">
        <w:rPr>
          <w:noProof/>
          <w:lang w:val="en-US" w:eastAsia="en-US"/>
        </w:rPr>
        <w:drawing>
          <wp:inline distT="0" distB="0" distL="0" distR="0" wp14:anchorId="6A6D8C62" wp14:editId="0289C776">
            <wp:extent cx="5400000" cy="313098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00" cy="3130986"/>
                    </a:xfrm>
                    <a:prstGeom prst="rect">
                      <a:avLst/>
                    </a:prstGeom>
                    <a:noFill/>
                    <a:ln>
                      <a:noFill/>
                    </a:ln>
                  </pic:spPr>
                </pic:pic>
              </a:graphicData>
            </a:graphic>
          </wp:inline>
        </w:drawing>
      </w:r>
    </w:p>
    <w:p w14:paraId="79E99BF4" w14:textId="77777777" w:rsidR="00B55ECC" w:rsidRDefault="00B55ECC" w:rsidP="00986700">
      <w:pPr>
        <w:rPr>
          <w:rFonts w:cs="Arial"/>
        </w:rPr>
      </w:pPr>
    </w:p>
    <w:p w14:paraId="63CC44BC"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4</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B4E3A0C" w14:textId="2E75C8D3"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3315DB57" w14:textId="77777777" w:rsidR="008778B5" w:rsidRDefault="008778B5" w:rsidP="00986700">
      <w:pPr>
        <w:keepNext/>
        <w:rPr>
          <w:lang w:eastAsia="en-US"/>
        </w:rPr>
      </w:pPr>
    </w:p>
    <w:p w14:paraId="1B67D952" w14:textId="7DA560CE" w:rsidR="00B55ECC" w:rsidRDefault="008778B5" w:rsidP="00986700">
      <w:pPr>
        <w:jc w:val="center"/>
        <w:rPr>
          <w:lang w:eastAsia="en-US"/>
        </w:rPr>
      </w:pPr>
      <w:r w:rsidRPr="008778B5">
        <w:rPr>
          <w:noProof/>
          <w:lang w:val="en-US" w:eastAsia="en-US"/>
        </w:rPr>
        <w:drawing>
          <wp:inline distT="0" distB="0" distL="0" distR="0" wp14:anchorId="50DFF6FC" wp14:editId="38EDE3E1">
            <wp:extent cx="5400000" cy="6031770"/>
            <wp:effectExtent l="0" t="0" r="0" b="762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7A08D376" w14:textId="77777777" w:rsidR="00B55ECC" w:rsidRPr="00E16214" w:rsidRDefault="00B55ECC" w:rsidP="00986700">
      <w:pPr>
        <w:rPr>
          <w:lang w:eastAsia="en-US"/>
        </w:rPr>
      </w:pPr>
    </w:p>
    <w:p w14:paraId="0E87C977" w14:textId="77777777" w:rsidR="00426A7C" w:rsidRDefault="00426A7C" w:rsidP="00986700">
      <w:pPr>
        <w:rPr>
          <w:rFonts w:cs="Arial"/>
        </w:rPr>
      </w:pPr>
      <w:r>
        <w:rPr>
          <w:rFonts w:cs="Arial"/>
        </w:rPr>
        <w:br w:type="page"/>
      </w:r>
    </w:p>
    <w:p w14:paraId="52D864FD" w14:textId="77777777" w:rsidR="00DF040C" w:rsidRPr="00665034" w:rsidRDefault="00DF040C" w:rsidP="00986700">
      <w:pPr>
        <w:pStyle w:val="Heading4"/>
      </w:pPr>
      <w:bookmarkStart w:id="29" w:name="_Toc482979476"/>
      <w:r w:rsidRPr="00665034">
        <w:lastRenderedPageBreak/>
        <w:t>Objectif stratégique II</w:t>
      </w:r>
      <w:r w:rsidRPr="00665034">
        <w:tab/>
        <w:t>Prestation de services mondiaux de propriété intellectuelle de premier ordre</w:t>
      </w:r>
      <w:bookmarkEnd w:id="29"/>
    </w:p>
    <w:p w14:paraId="52A72D67" w14:textId="77777777" w:rsidR="00DF040C" w:rsidRPr="00665034" w:rsidRDefault="00DF040C" w:rsidP="00986700"/>
    <w:p w14:paraId="7285AD0B" w14:textId="77777777" w:rsidR="00DF040C" w:rsidRPr="00665034" w:rsidRDefault="00DF040C" w:rsidP="0098670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60"/>
        <w:gridCol w:w="3878"/>
        <w:gridCol w:w="2449"/>
      </w:tblGrid>
      <w:tr w:rsidR="00DF040C" w:rsidRPr="00665034" w14:paraId="376F79B8" w14:textId="77777777" w:rsidTr="00171C12">
        <w:trPr>
          <w:cantSplit/>
          <w:tblHeader/>
        </w:trPr>
        <w:tc>
          <w:tcPr>
            <w:tcW w:w="2960" w:type="dxa"/>
            <w:shd w:val="clear" w:color="auto" w:fill="B8CCE4" w:themeFill="accent1" w:themeFillTint="66"/>
            <w:vAlign w:val="center"/>
            <w:hideMark/>
          </w:tcPr>
          <w:p w14:paraId="0D4C7D07" w14:textId="77777777" w:rsidR="00DF040C" w:rsidRPr="00665034" w:rsidRDefault="00DF040C" w:rsidP="00986700">
            <w:pPr>
              <w:jc w:val="center"/>
              <w:rPr>
                <w:b/>
                <w:bCs/>
                <w:sz w:val="18"/>
                <w:szCs w:val="18"/>
              </w:rPr>
            </w:pPr>
            <w:r w:rsidRPr="00665034">
              <w:rPr>
                <w:b/>
                <w:bCs/>
                <w:sz w:val="18"/>
                <w:szCs w:val="18"/>
              </w:rPr>
              <w:t>Résultats escomptés</w:t>
            </w:r>
          </w:p>
        </w:tc>
        <w:tc>
          <w:tcPr>
            <w:tcW w:w="3878" w:type="dxa"/>
            <w:shd w:val="clear" w:color="auto" w:fill="B8CCE4" w:themeFill="accent1" w:themeFillTint="66"/>
            <w:vAlign w:val="center"/>
            <w:hideMark/>
          </w:tcPr>
          <w:p w14:paraId="4A653CF3" w14:textId="77777777" w:rsidR="00DF040C" w:rsidRPr="00665034" w:rsidRDefault="00DF040C" w:rsidP="00986700">
            <w:pPr>
              <w:jc w:val="center"/>
              <w:rPr>
                <w:b/>
                <w:bCs/>
                <w:sz w:val="18"/>
                <w:szCs w:val="18"/>
              </w:rPr>
            </w:pPr>
            <w:r w:rsidRPr="00665034">
              <w:rPr>
                <w:b/>
                <w:sz w:val="18"/>
                <w:szCs w:val="18"/>
              </w:rPr>
              <w:t>Indicateurs d’exécution</w:t>
            </w:r>
          </w:p>
        </w:tc>
        <w:tc>
          <w:tcPr>
            <w:tcW w:w="2449" w:type="dxa"/>
            <w:shd w:val="clear" w:color="auto" w:fill="B8CCE4" w:themeFill="accent1" w:themeFillTint="66"/>
            <w:vAlign w:val="center"/>
            <w:hideMark/>
          </w:tcPr>
          <w:p w14:paraId="28E01417" w14:textId="77777777" w:rsidR="00DF040C" w:rsidRPr="00665034" w:rsidRDefault="00DF040C" w:rsidP="00986700">
            <w:pPr>
              <w:jc w:val="center"/>
              <w:rPr>
                <w:b/>
                <w:bCs/>
                <w:sz w:val="18"/>
                <w:szCs w:val="18"/>
              </w:rPr>
            </w:pPr>
            <w:r w:rsidRPr="00665034">
              <w:rPr>
                <w:b/>
                <w:sz w:val="18"/>
                <w:szCs w:val="18"/>
              </w:rPr>
              <w:t>Programme(s) concerné(s)</w:t>
            </w:r>
          </w:p>
        </w:tc>
      </w:tr>
      <w:tr w:rsidR="00DF040C" w:rsidRPr="00665034" w14:paraId="5030C2D2" w14:textId="77777777" w:rsidTr="00171C12">
        <w:trPr>
          <w:cantSplit/>
        </w:trPr>
        <w:tc>
          <w:tcPr>
            <w:tcW w:w="2960" w:type="dxa"/>
            <w:hideMark/>
          </w:tcPr>
          <w:p w14:paraId="4A9D46A2" w14:textId="77777777" w:rsidR="00DF040C" w:rsidRPr="00665034" w:rsidRDefault="00DF040C" w:rsidP="00986700">
            <w:pPr>
              <w:rPr>
                <w:sz w:val="16"/>
                <w:szCs w:val="16"/>
              </w:rPr>
            </w:pPr>
            <w:r w:rsidRPr="00665034">
              <w:rPr>
                <w:sz w:val="16"/>
                <w:szCs w:val="16"/>
              </w:rPr>
              <w:t xml:space="preserve">II.1 Utilisation élargie et plus efficace du système du PCT pour le dépôt des demandes internationales de brevet </w:t>
            </w:r>
          </w:p>
        </w:tc>
        <w:tc>
          <w:tcPr>
            <w:tcW w:w="3878" w:type="dxa"/>
            <w:hideMark/>
          </w:tcPr>
          <w:p w14:paraId="0EAB96F0" w14:textId="77777777" w:rsidR="00DF040C" w:rsidRPr="00665034" w:rsidRDefault="00DF040C" w:rsidP="00986700">
            <w:pPr>
              <w:rPr>
                <w:sz w:val="16"/>
                <w:szCs w:val="16"/>
              </w:rPr>
            </w:pPr>
            <w:r w:rsidRPr="00665034">
              <w:rPr>
                <w:sz w:val="16"/>
                <w:szCs w:val="16"/>
              </w:rPr>
              <w:t>Niveau de satisfaction des utilisateurs du PCT à l’égard des conseils juridiques, des informations, des formations et du service client du PCT</w:t>
            </w:r>
          </w:p>
        </w:tc>
        <w:tc>
          <w:tcPr>
            <w:tcW w:w="2449" w:type="dxa"/>
            <w:hideMark/>
          </w:tcPr>
          <w:p w14:paraId="67CA1FBF" w14:textId="77777777" w:rsidR="00DF040C" w:rsidRPr="00665034" w:rsidRDefault="00DF040C" w:rsidP="00986700">
            <w:pPr>
              <w:jc w:val="center"/>
              <w:rPr>
                <w:sz w:val="16"/>
                <w:szCs w:val="16"/>
              </w:rPr>
            </w:pPr>
            <w:r w:rsidRPr="00665034">
              <w:rPr>
                <w:sz w:val="16"/>
                <w:szCs w:val="16"/>
              </w:rPr>
              <w:t>Programme 5</w:t>
            </w:r>
          </w:p>
        </w:tc>
      </w:tr>
      <w:tr w:rsidR="00DF040C" w:rsidRPr="00665034" w14:paraId="0F663865" w14:textId="77777777" w:rsidTr="00171C12">
        <w:trPr>
          <w:cantSplit/>
        </w:trPr>
        <w:tc>
          <w:tcPr>
            <w:tcW w:w="2960" w:type="dxa"/>
            <w:hideMark/>
          </w:tcPr>
          <w:p w14:paraId="79AEC35C" w14:textId="77777777" w:rsidR="00DF040C" w:rsidRPr="00665034" w:rsidRDefault="00DF040C" w:rsidP="00986700">
            <w:pPr>
              <w:rPr>
                <w:sz w:val="16"/>
                <w:szCs w:val="16"/>
              </w:rPr>
            </w:pPr>
          </w:p>
        </w:tc>
        <w:tc>
          <w:tcPr>
            <w:tcW w:w="3878" w:type="dxa"/>
            <w:hideMark/>
          </w:tcPr>
          <w:p w14:paraId="40898ECB" w14:textId="77777777" w:rsidR="00DF040C" w:rsidRPr="00665034" w:rsidRDefault="00DF040C" w:rsidP="00986700">
            <w:pPr>
              <w:rPr>
                <w:sz w:val="16"/>
                <w:szCs w:val="16"/>
              </w:rPr>
            </w:pPr>
            <w:r w:rsidRPr="00665034">
              <w:rPr>
                <w:sz w:val="16"/>
                <w:szCs w:val="16"/>
              </w:rPr>
              <w:t>Niveau de satisfaction des offices et des administrations internationales à l’égard des activités de coopération relatives au PCT</w:t>
            </w:r>
          </w:p>
        </w:tc>
        <w:tc>
          <w:tcPr>
            <w:tcW w:w="2449" w:type="dxa"/>
            <w:hideMark/>
          </w:tcPr>
          <w:p w14:paraId="7837CAA6" w14:textId="77777777" w:rsidR="00DF040C" w:rsidRPr="00665034" w:rsidRDefault="00DF040C" w:rsidP="00986700">
            <w:pPr>
              <w:jc w:val="center"/>
              <w:rPr>
                <w:sz w:val="16"/>
                <w:szCs w:val="16"/>
              </w:rPr>
            </w:pPr>
            <w:r w:rsidRPr="00665034">
              <w:rPr>
                <w:sz w:val="16"/>
                <w:szCs w:val="16"/>
              </w:rPr>
              <w:t>Programme 5</w:t>
            </w:r>
          </w:p>
        </w:tc>
      </w:tr>
      <w:tr w:rsidR="00DF040C" w:rsidRPr="00665034" w14:paraId="1A015618" w14:textId="77777777" w:rsidTr="00171C12">
        <w:trPr>
          <w:cantSplit/>
        </w:trPr>
        <w:tc>
          <w:tcPr>
            <w:tcW w:w="2960" w:type="dxa"/>
            <w:hideMark/>
          </w:tcPr>
          <w:p w14:paraId="5F8E385B" w14:textId="77777777" w:rsidR="00DF040C" w:rsidRPr="00665034" w:rsidRDefault="00DF040C" w:rsidP="00986700">
            <w:pPr>
              <w:rPr>
                <w:sz w:val="16"/>
                <w:szCs w:val="16"/>
              </w:rPr>
            </w:pPr>
          </w:p>
        </w:tc>
        <w:tc>
          <w:tcPr>
            <w:tcW w:w="3878" w:type="dxa"/>
            <w:hideMark/>
          </w:tcPr>
          <w:p w14:paraId="6E14E7B4" w14:textId="77777777" w:rsidR="00DF040C" w:rsidRPr="00665034" w:rsidRDefault="00DF040C" w:rsidP="00986700">
            <w:pPr>
              <w:rPr>
                <w:sz w:val="16"/>
                <w:szCs w:val="16"/>
              </w:rPr>
            </w:pPr>
            <w:r w:rsidRPr="00665034">
              <w:rPr>
                <w:sz w:val="16"/>
                <w:szCs w:val="16"/>
              </w:rPr>
              <w:t>Amélioration du système du PCT, notamment mise en œuvre des recommandations des lignes directrices du PCT approuvées par les États membres du PCT</w:t>
            </w:r>
          </w:p>
        </w:tc>
        <w:tc>
          <w:tcPr>
            <w:tcW w:w="2449" w:type="dxa"/>
            <w:hideMark/>
          </w:tcPr>
          <w:p w14:paraId="3309CCC4" w14:textId="77777777" w:rsidR="00DF040C" w:rsidRPr="00665034" w:rsidRDefault="00DF040C" w:rsidP="00986700">
            <w:pPr>
              <w:jc w:val="center"/>
              <w:rPr>
                <w:sz w:val="16"/>
                <w:szCs w:val="16"/>
              </w:rPr>
            </w:pPr>
            <w:r w:rsidRPr="00665034">
              <w:rPr>
                <w:sz w:val="16"/>
                <w:szCs w:val="16"/>
              </w:rPr>
              <w:t>Programme 5</w:t>
            </w:r>
          </w:p>
        </w:tc>
      </w:tr>
      <w:tr w:rsidR="00171C12" w:rsidRPr="00665034" w14:paraId="3E5507BB" w14:textId="77777777" w:rsidTr="00171C12">
        <w:trPr>
          <w:cantSplit/>
        </w:trPr>
        <w:tc>
          <w:tcPr>
            <w:tcW w:w="2960" w:type="dxa"/>
            <w:hideMark/>
          </w:tcPr>
          <w:p w14:paraId="6627309B" w14:textId="77777777" w:rsidR="00171C12" w:rsidRPr="00665034" w:rsidRDefault="00171C12" w:rsidP="00064132">
            <w:pPr>
              <w:rPr>
                <w:sz w:val="16"/>
                <w:szCs w:val="16"/>
              </w:rPr>
            </w:pPr>
          </w:p>
        </w:tc>
        <w:tc>
          <w:tcPr>
            <w:tcW w:w="3878" w:type="dxa"/>
            <w:hideMark/>
          </w:tcPr>
          <w:p w14:paraId="08808E6B" w14:textId="77777777" w:rsidR="00171C12" w:rsidRPr="00665034" w:rsidRDefault="00171C12" w:rsidP="00064132">
            <w:pPr>
              <w:rPr>
                <w:sz w:val="16"/>
                <w:szCs w:val="16"/>
              </w:rPr>
            </w:pPr>
            <w:r w:rsidRPr="00665034">
              <w:rPr>
                <w:sz w:val="16"/>
                <w:szCs w:val="16"/>
              </w:rPr>
              <w:t>Amélioration des services électroniques pour les déposants, les tiers, les offices et les administrations</w:t>
            </w:r>
          </w:p>
        </w:tc>
        <w:tc>
          <w:tcPr>
            <w:tcW w:w="2449" w:type="dxa"/>
            <w:hideMark/>
          </w:tcPr>
          <w:p w14:paraId="46E445C2" w14:textId="77777777" w:rsidR="00171C12" w:rsidRPr="00665034" w:rsidRDefault="00171C12" w:rsidP="00064132">
            <w:pPr>
              <w:jc w:val="center"/>
              <w:rPr>
                <w:sz w:val="16"/>
                <w:szCs w:val="16"/>
              </w:rPr>
            </w:pPr>
            <w:r w:rsidRPr="00665034">
              <w:rPr>
                <w:sz w:val="16"/>
                <w:szCs w:val="16"/>
              </w:rPr>
              <w:t>Programme 5</w:t>
            </w:r>
          </w:p>
        </w:tc>
      </w:tr>
      <w:tr w:rsidR="00171C12" w:rsidRPr="00665034" w14:paraId="286731E8" w14:textId="77777777" w:rsidTr="00064132">
        <w:trPr>
          <w:cantSplit/>
        </w:trPr>
        <w:tc>
          <w:tcPr>
            <w:tcW w:w="2960" w:type="dxa"/>
            <w:hideMark/>
          </w:tcPr>
          <w:p w14:paraId="791CBB79" w14:textId="77777777" w:rsidR="00171C12" w:rsidRPr="00665034" w:rsidRDefault="00171C12" w:rsidP="00064132">
            <w:pPr>
              <w:rPr>
                <w:sz w:val="16"/>
                <w:szCs w:val="16"/>
              </w:rPr>
            </w:pPr>
          </w:p>
        </w:tc>
        <w:tc>
          <w:tcPr>
            <w:tcW w:w="3878" w:type="dxa"/>
            <w:hideMark/>
          </w:tcPr>
          <w:p w14:paraId="5E51149B" w14:textId="77777777" w:rsidR="00171C12" w:rsidRPr="00665034" w:rsidRDefault="00171C12" w:rsidP="00064132">
            <w:pPr>
              <w:rPr>
                <w:sz w:val="16"/>
                <w:szCs w:val="16"/>
              </w:rPr>
            </w:pPr>
            <w:r w:rsidRPr="00665034">
              <w:rPr>
                <w:sz w:val="16"/>
                <w:szCs w:val="16"/>
              </w:rPr>
              <w:t>Niveau de satisfaction des offices à l’égard des activités en lien avec l’examen des demandes de brevet (coopération internationale en matière d’examen, appui pour l’examen des demandes de brevet)</w:t>
            </w:r>
          </w:p>
        </w:tc>
        <w:tc>
          <w:tcPr>
            <w:tcW w:w="2449" w:type="dxa"/>
            <w:hideMark/>
          </w:tcPr>
          <w:p w14:paraId="67905DB1" w14:textId="77777777" w:rsidR="00171C12" w:rsidRPr="00665034" w:rsidRDefault="00171C12" w:rsidP="00064132">
            <w:pPr>
              <w:jc w:val="center"/>
              <w:rPr>
                <w:sz w:val="16"/>
                <w:szCs w:val="16"/>
              </w:rPr>
            </w:pPr>
            <w:r w:rsidRPr="00665034">
              <w:rPr>
                <w:sz w:val="16"/>
                <w:szCs w:val="16"/>
              </w:rPr>
              <w:t>Programme 5</w:t>
            </w:r>
          </w:p>
        </w:tc>
      </w:tr>
      <w:tr w:rsidR="00DF040C" w:rsidRPr="00665034" w14:paraId="704DF0D7" w14:textId="77777777" w:rsidTr="00171C12">
        <w:trPr>
          <w:cantSplit/>
        </w:trPr>
        <w:tc>
          <w:tcPr>
            <w:tcW w:w="2960" w:type="dxa"/>
            <w:hideMark/>
          </w:tcPr>
          <w:p w14:paraId="405096DC" w14:textId="77777777" w:rsidR="00DF040C" w:rsidRPr="00665034" w:rsidRDefault="00DF040C" w:rsidP="00986700">
            <w:pPr>
              <w:rPr>
                <w:sz w:val="16"/>
                <w:szCs w:val="16"/>
              </w:rPr>
            </w:pPr>
          </w:p>
        </w:tc>
        <w:tc>
          <w:tcPr>
            <w:tcW w:w="3878" w:type="dxa"/>
            <w:hideMark/>
          </w:tcPr>
          <w:p w14:paraId="6EB83BFA" w14:textId="77777777" w:rsidR="00DF040C" w:rsidRPr="00665034" w:rsidRDefault="00DF040C" w:rsidP="00986700">
            <w:pPr>
              <w:rPr>
                <w:sz w:val="16"/>
                <w:szCs w:val="16"/>
              </w:rPr>
            </w:pPr>
            <w:r w:rsidRPr="00665034">
              <w:rPr>
                <w:sz w:val="16"/>
                <w:szCs w:val="16"/>
              </w:rPr>
              <w:t>Nombre de demandes selon le PCT originaires de pays en développement et de PMA</w:t>
            </w:r>
          </w:p>
        </w:tc>
        <w:tc>
          <w:tcPr>
            <w:tcW w:w="2449" w:type="dxa"/>
            <w:hideMark/>
          </w:tcPr>
          <w:p w14:paraId="2CE1DFA8" w14:textId="77777777" w:rsidR="00DF040C" w:rsidRPr="00665034" w:rsidRDefault="00DF040C" w:rsidP="00986700">
            <w:pPr>
              <w:jc w:val="center"/>
              <w:rPr>
                <w:sz w:val="16"/>
                <w:szCs w:val="16"/>
              </w:rPr>
            </w:pPr>
            <w:r w:rsidRPr="00665034">
              <w:rPr>
                <w:sz w:val="16"/>
                <w:szCs w:val="16"/>
              </w:rPr>
              <w:t>Programme 9</w:t>
            </w:r>
          </w:p>
        </w:tc>
      </w:tr>
      <w:tr w:rsidR="00DF040C" w:rsidRPr="00665034" w14:paraId="238CF976" w14:textId="77777777" w:rsidTr="00171C12">
        <w:trPr>
          <w:cantSplit/>
        </w:trPr>
        <w:tc>
          <w:tcPr>
            <w:tcW w:w="2960" w:type="dxa"/>
            <w:hideMark/>
          </w:tcPr>
          <w:p w14:paraId="791D6CE0" w14:textId="77777777" w:rsidR="00DF040C" w:rsidRPr="00665034" w:rsidRDefault="00DF040C" w:rsidP="00986700">
            <w:pPr>
              <w:rPr>
                <w:sz w:val="16"/>
                <w:szCs w:val="16"/>
              </w:rPr>
            </w:pPr>
          </w:p>
        </w:tc>
        <w:tc>
          <w:tcPr>
            <w:tcW w:w="3878" w:type="dxa"/>
            <w:hideMark/>
          </w:tcPr>
          <w:p w14:paraId="78E6C87B" w14:textId="77777777" w:rsidR="00DF040C" w:rsidRPr="00665034" w:rsidRDefault="00DF040C" w:rsidP="00986700">
            <w:pPr>
              <w:rPr>
                <w:sz w:val="16"/>
                <w:szCs w:val="16"/>
              </w:rPr>
            </w:pPr>
            <w:r w:rsidRPr="00665034">
              <w:rPr>
                <w:sz w:val="16"/>
                <w:szCs w:val="16"/>
              </w:rPr>
              <w:t>Nombre de demandes selon le PCT originaires de pays en transition et de pays développés</w:t>
            </w:r>
          </w:p>
        </w:tc>
        <w:tc>
          <w:tcPr>
            <w:tcW w:w="2449" w:type="dxa"/>
            <w:hideMark/>
          </w:tcPr>
          <w:p w14:paraId="48A6014E" w14:textId="77777777" w:rsidR="00DF040C" w:rsidRPr="00665034" w:rsidRDefault="00DF040C" w:rsidP="00986700">
            <w:pPr>
              <w:jc w:val="center"/>
              <w:rPr>
                <w:sz w:val="16"/>
                <w:szCs w:val="16"/>
              </w:rPr>
            </w:pPr>
            <w:r w:rsidRPr="00665034">
              <w:rPr>
                <w:sz w:val="16"/>
                <w:szCs w:val="16"/>
              </w:rPr>
              <w:t>Programme 10</w:t>
            </w:r>
          </w:p>
        </w:tc>
      </w:tr>
      <w:tr w:rsidR="00DF040C" w:rsidRPr="00665034" w14:paraId="5CD04B57" w14:textId="77777777" w:rsidTr="00171C12">
        <w:trPr>
          <w:cantSplit/>
        </w:trPr>
        <w:tc>
          <w:tcPr>
            <w:tcW w:w="2960" w:type="dxa"/>
            <w:hideMark/>
          </w:tcPr>
          <w:p w14:paraId="724ADB76" w14:textId="77777777" w:rsidR="00DF040C" w:rsidRPr="00665034" w:rsidRDefault="00DF040C" w:rsidP="00986700">
            <w:pPr>
              <w:rPr>
                <w:sz w:val="16"/>
                <w:szCs w:val="16"/>
              </w:rPr>
            </w:pPr>
          </w:p>
        </w:tc>
        <w:tc>
          <w:tcPr>
            <w:tcW w:w="3878" w:type="dxa"/>
            <w:hideMark/>
          </w:tcPr>
          <w:p w14:paraId="3CD23587" w14:textId="77777777" w:rsidR="00DF040C" w:rsidRPr="00665034" w:rsidRDefault="00DF040C" w:rsidP="00986700">
            <w:pPr>
              <w:rPr>
                <w:sz w:val="16"/>
                <w:szCs w:val="16"/>
              </w:rPr>
            </w:pPr>
            <w:r w:rsidRPr="00665034">
              <w:rPr>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2449" w:type="dxa"/>
            <w:hideMark/>
          </w:tcPr>
          <w:p w14:paraId="675C5907" w14:textId="77777777" w:rsidR="00DF040C" w:rsidRPr="00665034" w:rsidRDefault="00DF040C" w:rsidP="00986700">
            <w:pPr>
              <w:jc w:val="center"/>
              <w:rPr>
                <w:sz w:val="16"/>
                <w:szCs w:val="16"/>
              </w:rPr>
            </w:pPr>
            <w:r w:rsidRPr="00665034">
              <w:rPr>
                <w:sz w:val="16"/>
                <w:szCs w:val="16"/>
              </w:rPr>
              <w:t>Programme 20</w:t>
            </w:r>
          </w:p>
        </w:tc>
      </w:tr>
      <w:tr w:rsidR="00DF040C" w:rsidRPr="00665034" w14:paraId="35BE69E3" w14:textId="77777777" w:rsidTr="00171C12">
        <w:trPr>
          <w:cantSplit/>
        </w:trPr>
        <w:tc>
          <w:tcPr>
            <w:tcW w:w="2960" w:type="dxa"/>
            <w:hideMark/>
          </w:tcPr>
          <w:p w14:paraId="317091CE" w14:textId="77777777" w:rsidR="00DF040C" w:rsidRPr="00665034" w:rsidRDefault="00DF040C" w:rsidP="00986700">
            <w:pPr>
              <w:rPr>
                <w:sz w:val="16"/>
                <w:szCs w:val="16"/>
              </w:rPr>
            </w:pPr>
          </w:p>
        </w:tc>
        <w:tc>
          <w:tcPr>
            <w:tcW w:w="3878" w:type="dxa"/>
            <w:hideMark/>
          </w:tcPr>
          <w:p w14:paraId="469655CA" w14:textId="77777777" w:rsidR="00DF040C" w:rsidRPr="00665034" w:rsidRDefault="00DF040C" w:rsidP="00986700">
            <w:pPr>
              <w:rPr>
                <w:sz w:val="16"/>
                <w:szCs w:val="16"/>
              </w:rPr>
            </w:pPr>
            <w:r w:rsidRPr="00665034">
              <w:rPr>
                <w:sz w:val="16"/>
                <w:szCs w:val="16"/>
              </w:rPr>
              <w:t xml:space="preserve">Pourcentage de personnes interrogées dans le cadre de l’enquête ayant utilisé plus fréquemment les services de l’OMPI dans les </w:t>
            </w:r>
            <w:r w:rsidRPr="00665034">
              <w:rPr>
                <w:sz w:val="16"/>
              </w:rPr>
              <w:t>quatre</w:t>
            </w:r>
            <w:r w:rsidRPr="00665034">
              <w:rPr>
                <w:sz w:val="16"/>
                <w:szCs w:val="16"/>
              </w:rPr>
              <w:t> mois suivant leur participation aux Séminaires itinérants consacrés aux services et initiatives de l’OMPI</w:t>
            </w:r>
          </w:p>
        </w:tc>
        <w:tc>
          <w:tcPr>
            <w:tcW w:w="2449" w:type="dxa"/>
            <w:hideMark/>
          </w:tcPr>
          <w:p w14:paraId="10660AF1" w14:textId="77777777" w:rsidR="00DF040C" w:rsidRPr="00665034" w:rsidRDefault="00DF040C" w:rsidP="00986700">
            <w:pPr>
              <w:jc w:val="center"/>
              <w:rPr>
                <w:sz w:val="16"/>
                <w:szCs w:val="16"/>
              </w:rPr>
            </w:pPr>
            <w:r w:rsidRPr="00665034">
              <w:rPr>
                <w:sz w:val="16"/>
                <w:szCs w:val="16"/>
              </w:rPr>
              <w:t>Programme 10</w:t>
            </w:r>
          </w:p>
        </w:tc>
      </w:tr>
      <w:tr w:rsidR="00DF040C" w:rsidRPr="00665034" w14:paraId="260B605D" w14:textId="77777777" w:rsidTr="00171C12">
        <w:trPr>
          <w:cantSplit/>
        </w:trPr>
        <w:tc>
          <w:tcPr>
            <w:tcW w:w="2960" w:type="dxa"/>
            <w:vMerge w:val="restart"/>
            <w:hideMark/>
          </w:tcPr>
          <w:p w14:paraId="702BB3E6" w14:textId="77777777" w:rsidR="00DF040C" w:rsidRPr="00665034" w:rsidRDefault="00DF040C" w:rsidP="00986700">
            <w:pPr>
              <w:rPr>
                <w:sz w:val="16"/>
                <w:szCs w:val="16"/>
              </w:rPr>
            </w:pPr>
            <w:r w:rsidRPr="00665034">
              <w:rPr>
                <w:sz w:val="16"/>
                <w:szCs w:val="16"/>
              </w:rPr>
              <w:t>II.2 Amélioration de la productivité et de la qualité de service des opérations du PCT</w:t>
            </w:r>
          </w:p>
        </w:tc>
        <w:tc>
          <w:tcPr>
            <w:tcW w:w="3878" w:type="dxa"/>
            <w:hideMark/>
          </w:tcPr>
          <w:p w14:paraId="57A16116" w14:textId="77777777" w:rsidR="00DF040C" w:rsidRPr="00665034" w:rsidRDefault="00DF040C" w:rsidP="00986700">
            <w:pPr>
              <w:rPr>
                <w:sz w:val="16"/>
                <w:szCs w:val="16"/>
              </w:rPr>
            </w:pPr>
            <w:r w:rsidRPr="00665034">
              <w:rPr>
                <w:sz w:val="16"/>
                <w:szCs w:val="16"/>
              </w:rPr>
              <w:t>Coût unitaire du traitement d’une demande</w:t>
            </w:r>
          </w:p>
        </w:tc>
        <w:tc>
          <w:tcPr>
            <w:tcW w:w="2449" w:type="dxa"/>
            <w:hideMark/>
          </w:tcPr>
          <w:p w14:paraId="65165D6F" w14:textId="77777777" w:rsidR="00DF040C" w:rsidRPr="00665034" w:rsidRDefault="00DF040C" w:rsidP="00986700">
            <w:pPr>
              <w:jc w:val="center"/>
              <w:rPr>
                <w:sz w:val="16"/>
                <w:szCs w:val="16"/>
              </w:rPr>
            </w:pPr>
            <w:r w:rsidRPr="00665034">
              <w:rPr>
                <w:sz w:val="16"/>
                <w:szCs w:val="16"/>
              </w:rPr>
              <w:t>Programme 5</w:t>
            </w:r>
          </w:p>
        </w:tc>
      </w:tr>
      <w:tr w:rsidR="00DF040C" w:rsidRPr="00665034" w14:paraId="48AD0EEF" w14:textId="77777777" w:rsidTr="00171C12">
        <w:trPr>
          <w:cantSplit/>
        </w:trPr>
        <w:tc>
          <w:tcPr>
            <w:tcW w:w="2960" w:type="dxa"/>
            <w:vMerge/>
            <w:hideMark/>
          </w:tcPr>
          <w:p w14:paraId="1D7C9EFD" w14:textId="77777777" w:rsidR="00DF040C" w:rsidRPr="00665034" w:rsidRDefault="00DF040C" w:rsidP="00986700">
            <w:pPr>
              <w:rPr>
                <w:sz w:val="16"/>
                <w:szCs w:val="16"/>
              </w:rPr>
            </w:pPr>
          </w:p>
        </w:tc>
        <w:tc>
          <w:tcPr>
            <w:tcW w:w="3878" w:type="dxa"/>
            <w:hideMark/>
          </w:tcPr>
          <w:p w14:paraId="50EC0329" w14:textId="77777777" w:rsidR="00DF040C" w:rsidRPr="00665034" w:rsidRDefault="00DF040C" w:rsidP="00986700">
            <w:pPr>
              <w:rPr>
                <w:sz w:val="16"/>
                <w:szCs w:val="16"/>
              </w:rPr>
            </w:pPr>
            <w:r w:rsidRPr="00665034">
              <w:rPr>
                <w:sz w:val="16"/>
                <w:szCs w:val="16"/>
              </w:rPr>
              <w:t>Qualité globale de l’examen de forme (y compris les délais)</w:t>
            </w:r>
          </w:p>
        </w:tc>
        <w:tc>
          <w:tcPr>
            <w:tcW w:w="2449" w:type="dxa"/>
            <w:hideMark/>
          </w:tcPr>
          <w:p w14:paraId="09421F07" w14:textId="77777777" w:rsidR="00DF040C" w:rsidRPr="00665034" w:rsidRDefault="00DF040C" w:rsidP="00986700">
            <w:pPr>
              <w:jc w:val="center"/>
              <w:rPr>
                <w:sz w:val="16"/>
                <w:szCs w:val="16"/>
              </w:rPr>
            </w:pPr>
            <w:r w:rsidRPr="00665034">
              <w:rPr>
                <w:sz w:val="16"/>
                <w:szCs w:val="16"/>
              </w:rPr>
              <w:t>Programme 5</w:t>
            </w:r>
          </w:p>
        </w:tc>
      </w:tr>
      <w:tr w:rsidR="00DF040C" w:rsidRPr="00665034" w14:paraId="0AD08C87" w14:textId="77777777" w:rsidTr="00171C12">
        <w:trPr>
          <w:cantSplit/>
        </w:trPr>
        <w:tc>
          <w:tcPr>
            <w:tcW w:w="2960" w:type="dxa"/>
            <w:hideMark/>
          </w:tcPr>
          <w:p w14:paraId="3222B3ED" w14:textId="77777777" w:rsidR="00DF040C" w:rsidRPr="00665034" w:rsidRDefault="00DF040C" w:rsidP="00986700">
            <w:pPr>
              <w:rPr>
                <w:sz w:val="16"/>
                <w:szCs w:val="16"/>
              </w:rPr>
            </w:pPr>
          </w:p>
        </w:tc>
        <w:tc>
          <w:tcPr>
            <w:tcW w:w="3878" w:type="dxa"/>
            <w:hideMark/>
          </w:tcPr>
          <w:p w14:paraId="785D6169" w14:textId="77777777" w:rsidR="00DF040C" w:rsidRPr="00665034" w:rsidRDefault="00DF040C" w:rsidP="00986700">
            <w:pPr>
              <w:rPr>
                <w:sz w:val="16"/>
                <w:szCs w:val="16"/>
              </w:rPr>
            </w:pPr>
            <w:r w:rsidRPr="00665034">
              <w:rPr>
                <w:sz w:val="16"/>
                <w:szCs w:val="16"/>
              </w:rPr>
              <w:t>Délais de traduction des rapports</w:t>
            </w:r>
          </w:p>
        </w:tc>
        <w:tc>
          <w:tcPr>
            <w:tcW w:w="2449" w:type="dxa"/>
            <w:hideMark/>
          </w:tcPr>
          <w:p w14:paraId="316F02F0" w14:textId="77777777" w:rsidR="00DF040C" w:rsidRPr="00665034" w:rsidRDefault="00DF040C" w:rsidP="00986700">
            <w:pPr>
              <w:jc w:val="center"/>
              <w:rPr>
                <w:sz w:val="16"/>
                <w:szCs w:val="16"/>
              </w:rPr>
            </w:pPr>
            <w:r w:rsidRPr="00665034">
              <w:rPr>
                <w:sz w:val="16"/>
                <w:szCs w:val="16"/>
              </w:rPr>
              <w:t>Programme 5</w:t>
            </w:r>
          </w:p>
        </w:tc>
      </w:tr>
      <w:tr w:rsidR="00DF040C" w:rsidRPr="00665034" w14:paraId="6D7953A9" w14:textId="77777777" w:rsidTr="00171C12">
        <w:trPr>
          <w:cantSplit/>
        </w:trPr>
        <w:tc>
          <w:tcPr>
            <w:tcW w:w="2960" w:type="dxa"/>
            <w:hideMark/>
          </w:tcPr>
          <w:p w14:paraId="7DABDAA0" w14:textId="77777777" w:rsidR="00DF040C" w:rsidRPr="00665034" w:rsidRDefault="00DF040C" w:rsidP="00986700">
            <w:pPr>
              <w:rPr>
                <w:sz w:val="16"/>
                <w:szCs w:val="16"/>
              </w:rPr>
            </w:pPr>
          </w:p>
        </w:tc>
        <w:tc>
          <w:tcPr>
            <w:tcW w:w="3878" w:type="dxa"/>
            <w:hideMark/>
          </w:tcPr>
          <w:p w14:paraId="44EF262F" w14:textId="77777777" w:rsidR="00DF040C" w:rsidRPr="00665034" w:rsidRDefault="00DF040C" w:rsidP="00986700">
            <w:pPr>
              <w:rPr>
                <w:sz w:val="16"/>
                <w:szCs w:val="16"/>
              </w:rPr>
            </w:pPr>
            <w:r w:rsidRPr="00665034">
              <w:rPr>
                <w:sz w:val="16"/>
                <w:szCs w:val="16"/>
              </w:rPr>
              <w:t>Qualité du développement de logiciels</w:t>
            </w:r>
          </w:p>
        </w:tc>
        <w:tc>
          <w:tcPr>
            <w:tcW w:w="2449" w:type="dxa"/>
            <w:hideMark/>
          </w:tcPr>
          <w:p w14:paraId="2598AEDE" w14:textId="77777777" w:rsidR="00DF040C" w:rsidRPr="00665034" w:rsidRDefault="00DF040C" w:rsidP="00986700">
            <w:pPr>
              <w:jc w:val="center"/>
              <w:rPr>
                <w:sz w:val="16"/>
                <w:szCs w:val="16"/>
              </w:rPr>
            </w:pPr>
            <w:r w:rsidRPr="00665034">
              <w:rPr>
                <w:sz w:val="16"/>
                <w:szCs w:val="16"/>
              </w:rPr>
              <w:t>Programme 5</w:t>
            </w:r>
          </w:p>
        </w:tc>
      </w:tr>
      <w:tr w:rsidR="00DF040C" w:rsidRPr="00665034" w14:paraId="7CDDBC94" w14:textId="77777777" w:rsidTr="00171C12">
        <w:trPr>
          <w:cantSplit/>
        </w:trPr>
        <w:tc>
          <w:tcPr>
            <w:tcW w:w="2960" w:type="dxa"/>
            <w:hideMark/>
          </w:tcPr>
          <w:p w14:paraId="628B7281" w14:textId="77777777" w:rsidR="00DF040C" w:rsidRPr="00665034" w:rsidRDefault="00DF040C" w:rsidP="00986700">
            <w:pPr>
              <w:rPr>
                <w:sz w:val="16"/>
                <w:szCs w:val="16"/>
              </w:rPr>
            </w:pPr>
          </w:p>
        </w:tc>
        <w:tc>
          <w:tcPr>
            <w:tcW w:w="3878" w:type="dxa"/>
            <w:hideMark/>
          </w:tcPr>
          <w:p w14:paraId="1AB49F4C" w14:textId="77777777" w:rsidR="00DF040C" w:rsidRPr="00665034" w:rsidRDefault="00DF040C" w:rsidP="00986700">
            <w:pPr>
              <w:rPr>
                <w:sz w:val="16"/>
                <w:szCs w:val="16"/>
              </w:rPr>
            </w:pPr>
            <w:r w:rsidRPr="00665034">
              <w:rPr>
                <w:sz w:val="16"/>
                <w:szCs w:val="16"/>
              </w:rPr>
              <w:t>Qualité de la traduction</w:t>
            </w:r>
          </w:p>
        </w:tc>
        <w:tc>
          <w:tcPr>
            <w:tcW w:w="2449" w:type="dxa"/>
            <w:hideMark/>
          </w:tcPr>
          <w:p w14:paraId="1E4FF7AF" w14:textId="77777777" w:rsidR="00DF040C" w:rsidRPr="00665034" w:rsidRDefault="00DF040C" w:rsidP="00986700">
            <w:pPr>
              <w:jc w:val="center"/>
              <w:rPr>
                <w:sz w:val="16"/>
                <w:szCs w:val="16"/>
              </w:rPr>
            </w:pPr>
            <w:r w:rsidRPr="00665034">
              <w:rPr>
                <w:sz w:val="16"/>
                <w:szCs w:val="16"/>
              </w:rPr>
              <w:t>Programme 5</w:t>
            </w:r>
          </w:p>
        </w:tc>
      </w:tr>
      <w:tr w:rsidR="00DF040C" w:rsidRPr="00665034" w14:paraId="182E3F6B" w14:textId="77777777" w:rsidTr="00171C12">
        <w:trPr>
          <w:cantSplit/>
        </w:trPr>
        <w:tc>
          <w:tcPr>
            <w:tcW w:w="2960" w:type="dxa"/>
            <w:hideMark/>
          </w:tcPr>
          <w:p w14:paraId="619868F5" w14:textId="77777777" w:rsidR="00DF040C" w:rsidRPr="00665034" w:rsidRDefault="00DF040C" w:rsidP="00986700">
            <w:pPr>
              <w:rPr>
                <w:sz w:val="16"/>
                <w:szCs w:val="16"/>
              </w:rPr>
            </w:pPr>
          </w:p>
        </w:tc>
        <w:tc>
          <w:tcPr>
            <w:tcW w:w="3878" w:type="dxa"/>
            <w:hideMark/>
          </w:tcPr>
          <w:p w14:paraId="2EFF6E20" w14:textId="77777777" w:rsidR="00DF040C" w:rsidRPr="00665034" w:rsidRDefault="00DF040C" w:rsidP="00986700">
            <w:pPr>
              <w:rPr>
                <w:sz w:val="16"/>
                <w:szCs w:val="16"/>
              </w:rPr>
            </w:pPr>
            <w:r w:rsidRPr="00665034">
              <w:rPr>
                <w:sz w:val="16"/>
                <w:szCs w:val="16"/>
              </w:rPr>
              <w:t>Niveaux de service des systèmes d’information</w:t>
            </w:r>
          </w:p>
        </w:tc>
        <w:tc>
          <w:tcPr>
            <w:tcW w:w="2449" w:type="dxa"/>
            <w:hideMark/>
          </w:tcPr>
          <w:p w14:paraId="1830836A" w14:textId="77777777" w:rsidR="00DF040C" w:rsidRPr="00665034" w:rsidRDefault="00DF040C" w:rsidP="00986700">
            <w:pPr>
              <w:jc w:val="center"/>
              <w:rPr>
                <w:sz w:val="16"/>
                <w:szCs w:val="16"/>
              </w:rPr>
            </w:pPr>
            <w:r w:rsidRPr="00665034">
              <w:rPr>
                <w:sz w:val="16"/>
                <w:szCs w:val="16"/>
              </w:rPr>
              <w:t>Programme 5</w:t>
            </w:r>
          </w:p>
        </w:tc>
      </w:tr>
      <w:tr w:rsidR="00DF040C" w:rsidRPr="00665034" w14:paraId="0E2F6135" w14:textId="77777777" w:rsidTr="00171C12">
        <w:trPr>
          <w:cantSplit/>
        </w:trPr>
        <w:tc>
          <w:tcPr>
            <w:tcW w:w="2960" w:type="dxa"/>
            <w:vMerge w:val="restart"/>
            <w:hideMark/>
          </w:tcPr>
          <w:p w14:paraId="4143B168" w14:textId="77777777" w:rsidR="00DF040C" w:rsidRPr="00665034" w:rsidRDefault="00DF040C" w:rsidP="00986700">
            <w:pPr>
              <w:rPr>
                <w:sz w:val="16"/>
                <w:szCs w:val="16"/>
              </w:rPr>
            </w:pPr>
            <w:r w:rsidRPr="00665034">
              <w:rPr>
                <w:sz w:val="16"/>
                <w:szCs w:val="16"/>
              </w:rPr>
              <w:t>II.3 Utilisation élargie et plus efficace du système de La Haye, notamment par les pays en développement et les PMA</w:t>
            </w:r>
          </w:p>
        </w:tc>
        <w:tc>
          <w:tcPr>
            <w:tcW w:w="3878" w:type="dxa"/>
            <w:hideMark/>
          </w:tcPr>
          <w:p w14:paraId="5CF9ABD6" w14:textId="77777777" w:rsidR="00DF040C" w:rsidRPr="00665034" w:rsidRDefault="00DF040C" w:rsidP="00986700">
            <w:pPr>
              <w:rPr>
                <w:sz w:val="16"/>
                <w:szCs w:val="16"/>
              </w:rPr>
            </w:pPr>
            <w:r w:rsidRPr="00665034">
              <w:rPr>
                <w:sz w:val="16"/>
                <w:szCs w:val="16"/>
              </w:rPr>
              <w:t>Nombre de demandes déposées selon le système de La Haye émanant de pays en développement et de PMA</w:t>
            </w:r>
          </w:p>
        </w:tc>
        <w:tc>
          <w:tcPr>
            <w:tcW w:w="2449" w:type="dxa"/>
            <w:hideMark/>
          </w:tcPr>
          <w:p w14:paraId="71420E66" w14:textId="77777777" w:rsidR="00DF040C" w:rsidRPr="00665034" w:rsidRDefault="00DF040C" w:rsidP="00986700">
            <w:pPr>
              <w:jc w:val="center"/>
              <w:rPr>
                <w:sz w:val="16"/>
                <w:szCs w:val="16"/>
              </w:rPr>
            </w:pPr>
            <w:r w:rsidRPr="00665034">
              <w:rPr>
                <w:sz w:val="16"/>
                <w:szCs w:val="16"/>
              </w:rPr>
              <w:t>Programme 9</w:t>
            </w:r>
          </w:p>
        </w:tc>
      </w:tr>
      <w:tr w:rsidR="00DF040C" w:rsidRPr="00665034" w14:paraId="2D36D162" w14:textId="77777777" w:rsidTr="00171C12">
        <w:trPr>
          <w:cantSplit/>
        </w:trPr>
        <w:tc>
          <w:tcPr>
            <w:tcW w:w="2960" w:type="dxa"/>
            <w:vMerge/>
            <w:hideMark/>
          </w:tcPr>
          <w:p w14:paraId="4AB0F55C" w14:textId="77777777" w:rsidR="00DF040C" w:rsidRPr="00665034" w:rsidRDefault="00DF040C" w:rsidP="00986700">
            <w:pPr>
              <w:rPr>
                <w:sz w:val="16"/>
                <w:szCs w:val="16"/>
              </w:rPr>
            </w:pPr>
          </w:p>
        </w:tc>
        <w:tc>
          <w:tcPr>
            <w:tcW w:w="3878" w:type="dxa"/>
            <w:hideMark/>
          </w:tcPr>
          <w:p w14:paraId="01C1B2BA" w14:textId="77777777" w:rsidR="00DF040C" w:rsidRPr="00665034" w:rsidRDefault="00DF040C" w:rsidP="00986700">
            <w:pPr>
              <w:rPr>
                <w:sz w:val="16"/>
                <w:szCs w:val="16"/>
              </w:rPr>
            </w:pPr>
            <w:r w:rsidRPr="00665034">
              <w:rPr>
                <w:sz w:val="16"/>
                <w:szCs w:val="16"/>
              </w:rPr>
              <w:t>Nombre de demandes déposées selon le système de La Haye émanant de pays en transition et de pays développés</w:t>
            </w:r>
          </w:p>
        </w:tc>
        <w:tc>
          <w:tcPr>
            <w:tcW w:w="2449" w:type="dxa"/>
            <w:hideMark/>
          </w:tcPr>
          <w:p w14:paraId="7EF2370C" w14:textId="77777777" w:rsidR="00DF040C" w:rsidRPr="00665034" w:rsidRDefault="00DF040C" w:rsidP="00986700">
            <w:pPr>
              <w:jc w:val="center"/>
              <w:rPr>
                <w:sz w:val="16"/>
                <w:szCs w:val="16"/>
              </w:rPr>
            </w:pPr>
            <w:r w:rsidRPr="00665034">
              <w:rPr>
                <w:sz w:val="16"/>
                <w:szCs w:val="16"/>
              </w:rPr>
              <w:t>Programme 10</w:t>
            </w:r>
          </w:p>
        </w:tc>
      </w:tr>
      <w:tr w:rsidR="00DF040C" w:rsidRPr="00665034" w14:paraId="23DE3EB9" w14:textId="77777777" w:rsidTr="00171C12">
        <w:trPr>
          <w:cantSplit/>
        </w:trPr>
        <w:tc>
          <w:tcPr>
            <w:tcW w:w="2960" w:type="dxa"/>
            <w:hideMark/>
          </w:tcPr>
          <w:p w14:paraId="2B0B56F9" w14:textId="77777777" w:rsidR="00DF040C" w:rsidRPr="00665034" w:rsidRDefault="00DF040C" w:rsidP="00986700">
            <w:pPr>
              <w:rPr>
                <w:sz w:val="16"/>
                <w:szCs w:val="16"/>
              </w:rPr>
            </w:pPr>
          </w:p>
        </w:tc>
        <w:tc>
          <w:tcPr>
            <w:tcW w:w="3878" w:type="dxa"/>
            <w:hideMark/>
          </w:tcPr>
          <w:p w14:paraId="6D145509" w14:textId="77777777" w:rsidR="00DF040C" w:rsidRPr="00665034" w:rsidRDefault="00DF040C" w:rsidP="00986700">
            <w:pPr>
              <w:rPr>
                <w:sz w:val="16"/>
                <w:szCs w:val="16"/>
              </w:rPr>
            </w:pPr>
            <w:r w:rsidRPr="00665034">
              <w:rPr>
                <w:sz w:val="16"/>
                <w:szCs w:val="16"/>
              </w:rPr>
              <w:t>Pourcentage de décideurs, de fonctionnaires gouvernementaux, de spécialistes de la propriété intellectuelle et de participants à des séminaires ciblés ayant une meilleure connaissance du système de La Haye</w:t>
            </w:r>
          </w:p>
        </w:tc>
        <w:tc>
          <w:tcPr>
            <w:tcW w:w="2449" w:type="dxa"/>
            <w:hideMark/>
          </w:tcPr>
          <w:p w14:paraId="400F3E85" w14:textId="77777777" w:rsidR="00DF040C" w:rsidRPr="00665034" w:rsidRDefault="00DF040C" w:rsidP="00986700">
            <w:pPr>
              <w:jc w:val="center"/>
              <w:rPr>
                <w:sz w:val="16"/>
                <w:szCs w:val="16"/>
              </w:rPr>
            </w:pPr>
            <w:r w:rsidRPr="00665034">
              <w:rPr>
                <w:sz w:val="16"/>
                <w:szCs w:val="16"/>
              </w:rPr>
              <w:t>Programme 20</w:t>
            </w:r>
          </w:p>
        </w:tc>
      </w:tr>
      <w:tr w:rsidR="00DF040C" w:rsidRPr="00665034" w14:paraId="1DD6E758" w14:textId="77777777" w:rsidTr="00171C12">
        <w:trPr>
          <w:cantSplit/>
        </w:trPr>
        <w:tc>
          <w:tcPr>
            <w:tcW w:w="2960" w:type="dxa"/>
            <w:hideMark/>
          </w:tcPr>
          <w:p w14:paraId="201900D9" w14:textId="77777777" w:rsidR="00DF040C" w:rsidRPr="00665034" w:rsidRDefault="00DF040C" w:rsidP="00986700">
            <w:pPr>
              <w:rPr>
                <w:sz w:val="16"/>
                <w:szCs w:val="16"/>
              </w:rPr>
            </w:pPr>
          </w:p>
        </w:tc>
        <w:tc>
          <w:tcPr>
            <w:tcW w:w="3878" w:type="dxa"/>
            <w:hideMark/>
          </w:tcPr>
          <w:p w14:paraId="7A423CCD" w14:textId="77777777" w:rsidR="00DF040C" w:rsidRPr="00665034" w:rsidRDefault="00DF040C" w:rsidP="00986700">
            <w:pPr>
              <w:rPr>
                <w:sz w:val="16"/>
                <w:szCs w:val="16"/>
              </w:rPr>
            </w:pPr>
            <w:r w:rsidRPr="00665034">
              <w:rPr>
                <w:sz w:val="16"/>
                <w:szCs w:val="16"/>
              </w:rPr>
              <w:t xml:space="preserve">Parties contractantes à l’Acte de Genève (1999) </w:t>
            </w:r>
          </w:p>
        </w:tc>
        <w:tc>
          <w:tcPr>
            <w:tcW w:w="2449" w:type="dxa"/>
            <w:hideMark/>
          </w:tcPr>
          <w:p w14:paraId="1F9000B2" w14:textId="77777777" w:rsidR="00DF040C" w:rsidRDefault="00DF040C" w:rsidP="00986700">
            <w:pPr>
              <w:jc w:val="center"/>
              <w:rPr>
                <w:sz w:val="16"/>
                <w:szCs w:val="16"/>
              </w:rPr>
            </w:pPr>
            <w:r w:rsidRPr="00665034">
              <w:rPr>
                <w:sz w:val="16"/>
                <w:szCs w:val="16"/>
              </w:rPr>
              <w:t>Programme 20</w:t>
            </w:r>
          </w:p>
          <w:p w14:paraId="5A23789C" w14:textId="1525F9C5" w:rsidR="008771A6" w:rsidRPr="00665034" w:rsidRDefault="008771A6" w:rsidP="00986700">
            <w:pPr>
              <w:jc w:val="center"/>
              <w:rPr>
                <w:sz w:val="16"/>
                <w:szCs w:val="16"/>
              </w:rPr>
            </w:pPr>
            <w:r>
              <w:rPr>
                <w:sz w:val="16"/>
                <w:szCs w:val="16"/>
              </w:rPr>
              <w:t>Programme 31</w:t>
            </w:r>
          </w:p>
        </w:tc>
      </w:tr>
      <w:tr w:rsidR="00DF040C" w:rsidRPr="00665034" w14:paraId="66C2F6B3" w14:textId="77777777" w:rsidTr="00171C12">
        <w:trPr>
          <w:cantSplit/>
        </w:trPr>
        <w:tc>
          <w:tcPr>
            <w:tcW w:w="2960" w:type="dxa"/>
            <w:hideMark/>
          </w:tcPr>
          <w:p w14:paraId="36EBB459" w14:textId="77777777" w:rsidR="00DF040C" w:rsidRPr="00665034" w:rsidRDefault="00DF040C" w:rsidP="00986700">
            <w:pPr>
              <w:rPr>
                <w:sz w:val="16"/>
                <w:szCs w:val="16"/>
              </w:rPr>
            </w:pPr>
          </w:p>
        </w:tc>
        <w:tc>
          <w:tcPr>
            <w:tcW w:w="3878" w:type="dxa"/>
            <w:hideMark/>
          </w:tcPr>
          <w:p w14:paraId="0B7291ED" w14:textId="77777777" w:rsidR="00DF040C" w:rsidRPr="00665034" w:rsidRDefault="00DF040C" w:rsidP="00986700">
            <w:pPr>
              <w:rPr>
                <w:sz w:val="16"/>
                <w:szCs w:val="16"/>
              </w:rPr>
            </w:pPr>
            <w:r w:rsidRPr="00665034">
              <w:rPr>
                <w:sz w:val="16"/>
                <w:szCs w:val="16"/>
              </w:rPr>
              <w:t>Nombre de demandes déposées, de renouvellements et de décisions au titre du système de La Haye</w:t>
            </w:r>
          </w:p>
        </w:tc>
        <w:tc>
          <w:tcPr>
            <w:tcW w:w="2449" w:type="dxa"/>
            <w:hideMark/>
          </w:tcPr>
          <w:p w14:paraId="4554F189" w14:textId="77777777" w:rsidR="00DF040C" w:rsidRPr="00665034" w:rsidRDefault="00DF040C" w:rsidP="00986700">
            <w:pPr>
              <w:jc w:val="center"/>
              <w:rPr>
                <w:sz w:val="16"/>
                <w:szCs w:val="16"/>
              </w:rPr>
            </w:pPr>
            <w:r w:rsidRPr="00665034">
              <w:rPr>
                <w:sz w:val="16"/>
                <w:szCs w:val="16"/>
              </w:rPr>
              <w:t>Programme 31</w:t>
            </w:r>
          </w:p>
        </w:tc>
      </w:tr>
      <w:tr w:rsidR="00DF040C" w:rsidRPr="00665034" w14:paraId="00D4BBEA" w14:textId="77777777" w:rsidTr="00171C12">
        <w:trPr>
          <w:cantSplit/>
        </w:trPr>
        <w:tc>
          <w:tcPr>
            <w:tcW w:w="2960" w:type="dxa"/>
          </w:tcPr>
          <w:p w14:paraId="607F1A60" w14:textId="0BC62F0B" w:rsidR="00DF040C" w:rsidRPr="00665034" w:rsidRDefault="00DF040C" w:rsidP="00986700">
            <w:pPr>
              <w:rPr>
                <w:sz w:val="16"/>
                <w:szCs w:val="16"/>
              </w:rPr>
            </w:pPr>
          </w:p>
        </w:tc>
        <w:tc>
          <w:tcPr>
            <w:tcW w:w="3878" w:type="dxa"/>
            <w:hideMark/>
          </w:tcPr>
          <w:p w14:paraId="0723BD8E" w14:textId="77777777" w:rsidR="00DF040C" w:rsidRPr="00665034" w:rsidRDefault="00DF040C" w:rsidP="00986700">
            <w:pPr>
              <w:rPr>
                <w:sz w:val="16"/>
                <w:szCs w:val="16"/>
              </w:rPr>
            </w:pPr>
            <w:r w:rsidRPr="00665034">
              <w:rPr>
                <w:sz w:val="16"/>
                <w:szCs w:val="16"/>
              </w:rPr>
              <w:t>Prédominance de l’Acte de 1999 dans le Système</w:t>
            </w:r>
          </w:p>
        </w:tc>
        <w:tc>
          <w:tcPr>
            <w:tcW w:w="2449" w:type="dxa"/>
            <w:hideMark/>
          </w:tcPr>
          <w:p w14:paraId="012B9A8D" w14:textId="77777777" w:rsidR="00DF040C" w:rsidRPr="00665034" w:rsidRDefault="00DF040C" w:rsidP="00986700">
            <w:pPr>
              <w:jc w:val="center"/>
              <w:rPr>
                <w:sz w:val="16"/>
                <w:szCs w:val="16"/>
              </w:rPr>
            </w:pPr>
            <w:r w:rsidRPr="00665034">
              <w:rPr>
                <w:sz w:val="16"/>
                <w:szCs w:val="16"/>
              </w:rPr>
              <w:t>Programme 31</w:t>
            </w:r>
          </w:p>
        </w:tc>
      </w:tr>
      <w:tr w:rsidR="00171C12" w:rsidRPr="00665034" w14:paraId="432ADC8E" w14:textId="77777777" w:rsidTr="00171C12">
        <w:trPr>
          <w:cantSplit/>
        </w:trPr>
        <w:tc>
          <w:tcPr>
            <w:tcW w:w="2960" w:type="dxa"/>
            <w:hideMark/>
          </w:tcPr>
          <w:p w14:paraId="7C39A552" w14:textId="189AD6C2" w:rsidR="00171C12" w:rsidRPr="00665034" w:rsidRDefault="00171C12" w:rsidP="00986700">
            <w:pPr>
              <w:rPr>
                <w:sz w:val="16"/>
                <w:szCs w:val="16"/>
              </w:rPr>
            </w:pPr>
            <w:r w:rsidRPr="00665034">
              <w:rPr>
                <w:sz w:val="16"/>
                <w:szCs w:val="16"/>
              </w:rPr>
              <w:lastRenderedPageBreak/>
              <w:t>II.4 Amélioration de la productivité et de la qualité de service des opérations de La Haye</w:t>
            </w:r>
          </w:p>
        </w:tc>
        <w:tc>
          <w:tcPr>
            <w:tcW w:w="3878" w:type="dxa"/>
            <w:hideMark/>
          </w:tcPr>
          <w:p w14:paraId="4A8831A9" w14:textId="77777777" w:rsidR="00171C12" w:rsidRPr="00665034" w:rsidRDefault="00171C12" w:rsidP="00986700">
            <w:pPr>
              <w:rPr>
                <w:sz w:val="16"/>
                <w:szCs w:val="16"/>
              </w:rPr>
            </w:pPr>
            <w:r w:rsidRPr="00665034">
              <w:rPr>
                <w:sz w:val="16"/>
                <w:szCs w:val="16"/>
              </w:rPr>
              <w:t>Délai de traitement des demandes internationales d’enregistrement d’un dessin ou modèle déposées régulièrement</w:t>
            </w:r>
          </w:p>
        </w:tc>
        <w:tc>
          <w:tcPr>
            <w:tcW w:w="2449" w:type="dxa"/>
            <w:hideMark/>
          </w:tcPr>
          <w:p w14:paraId="65E5FD14" w14:textId="77777777" w:rsidR="00171C12" w:rsidRPr="00665034" w:rsidRDefault="00171C12" w:rsidP="00986700">
            <w:pPr>
              <w:jc w:val="center"/>
              <w:rPr>
                <w:sz w:val="16"/>
                <w:szCs w:val="16"/>
              </w:rPr>
            </w:pPr>
            <w:r w:rsidRPr="00665034">
              <w:rPr>
                <w:sz w:val="16"/>
                <w:szCs w:val="16"/>
              </w:rPr>
              <w:t>Programme 31</w:t>
            </w:r>
          </w:p>
        </w:tc>
      </w:tr>
      <w:tr w:rsidR="00171C12" w:rsidRPr="00665034" w14:paraId="26FE9D00" w14:textId="77777777" w:rsidTr="00171C12">
        <w:trPr>
          <w:cantSplit/>
        </w:trPr>
        <w:tc>
          <w:tcPr>
            <w:tcW w:w="2960" w:type="dxa"/>
            <w:hideMark/>
          </w:tcPr>
          <w:p w14:paraId="5E5C09D4" w14:textId="77777777" w:rsidR="00171C12" w:rsidRPr="00665034" w:rsidRDefault="00171C12" w:rsidP="00986700">
            <w:pPr>
              <w:rPr>
                <w:sz w:val="16"/>
                <w:szCs w:val="16"/>
              </w:rPr>
            </w:pPr>
          </w:p>
        </w:tc>
        <w:tc>
          <w:tcPr>
            <w:tcW w:w="3878" w:type="dxa"/>
            <w:hideMark/>
          </w:tcPr>
          <w:p w14:paraId="0BF1E67B" w14:textId="77777777" w:rsidR="00171C12" w:rsidRPr="00665034" w:rsidRDefault="00171C12" w:rsidP="00986700">
            <w:pPr>
              <w:rPr>
                <w:sz w:val="16"/>
                <w:szCs w:val="16"/>
              </w:rPr>
            </w:pPr>
            <w:r w:rsidRPr="00665034">
              <w:rPr>
                <w:sz w:val="16"/>
                <w:szCs w:val="16"/>
              </w:rPr>
              <w:t>Niveau d’utilisation des formulaires électroniques</w:t>
            </w:r>
          </w:p>
        </w:tc>
        <w:tc>
          <w:tcPr>
            <w:tcW w:w="2449" w:type="dxa"/>
            <w:hideMark/>
          </w:tcPr>
          <w:p w14:paraId="5A23B5B4" w14:textId="77777777" w:rsidR="00171C12" w:rsidRPr="00665034" w:rsidRDefault="00171C12" w:rsidP="00986700">
            <w:pPr>
              <w:jc w:val="center"/>
              <w:rPr>
                <w:sz w:val="16"/>
                <w:szCs w:val="16"/>
              </w:rPr>
            </w:pPr>
            <w:r w:rsidRPr="00665034">
              <w:rPr>
                <w:sz w:val="16"/>
                <w:szCs w:val="16"/>
              </w:rPr>
              <w:t>Programme 31</w:t>
            </w:r>
          </w:p>
        </w:tc>
      </w:tr>
      <w:tr w:rsidR="00171C12" w:rsidRPr="00665034" w14:paraId="18317E0B" w14:textId="77777777" w:rsidTr="00171C12">
        <w:trPr>
          <w:cantSplit/>
        </w:trPr>
        <w:tc>
          <w:tcPr>
            <w:tcW w:w="2960" w:type="dxa"/>
            <w:hideMark/>
          </w:tcPr>
          <w:p w14:paraId="10D9BDFA" w14:textId="77777777" w:rsidR="00171C12" w:rsidRPr="00665034" w:rsidRDefault="00171C12" w:rsidP="00986700">
            <w:pPr>
              <w:rPr>
                <w:sz w:val="16"/>
                <w:szCs w:val="16"/>
              </w:rPr>
            </w:pPr>
          </w:p>
        </w:tc>
        <w:tc>
          <w:tcPr>
            <w:tcW w:w="3878" w:type="dxa"/>
            <w:hideMark/>
          </w:tcPr>
          <w:p w14:paraId="0C59E369" w14:textId="77777777" w:rsidR="00171C12" w:rsidRPr="00665034" w:rsidRDefault="00171C12" w:rsidP="00986700">
            <w:pPr>
              <w:rPr>
                <w:sz w:val="16"/>
                <w:szCs w:val="16"/>
              </w:rPr>
            </w:pPr>
            <w:r w:rsidRPr="00665034">
              <w:rPr>
                <w:sz w:val="16"/>
                <w:szCs w:val="16"/>
              </w:rPr>
              <w:t>Délai pour communiquer un nouveau refus</w:t>
            </w:r>
          </w:p>
        </w:tc>
        <w:tc>
          <w:tcPr>
            <w:tcW w:w="2449" w:type="dxa"/>
            <w:hideMark/>
          </w:tcPr>
          <w:p w14:paraId="6F75E079" w14:textId="77777777" w:rsidR="00171C12" w:rsidRPr="00665034" w:rsidRDefault="00171C12" w:rsidP="00986700">
            <w:pPr>
              <w:jc w:val="center"/>
              <w:rPr>
                <w:sz w:val="16"/>
                <w:szCs w:val="16"/>
              </w:rPr>
            </w:pPr>
            <w:r w:rsidRPr="00665034">
              <w:rPr>
                <w:sz w:val="16"/>
                <w:szCs w:val="16"/>
              </w:rPr>
              <w:t>Programme 31</w:t>
            </w:r>
          </w:p>
        </w:tc>
      </w:tr>
      <w:tr w:rsidR="00171C12" w:rsidRPr="00665034" w14:paraId="112FCBE1" w14:textId="77777777" w:rsidTr="00171C12">
        <w:trPr>
          <w:cantSplit/>
        </w:trPr>
        <w:tc>
          <w:tcPr>
            <w:tcW w:w="2960" w:type="dxa"/>
            <w:hideMark/>
          </w:tcPr>
          <w:p w14:paraId="3DBD17AE" w14:textId="77777777" w:rsidR="00171C12" w:rsidRPr="00665034" w:rsidRDefault="00171C12" w:rsidP="00986700">
            <w:pPr>
              <w:rPr>
                <w:sz w:val="16"/>
                <w:szCs w:val="16"/>
              </w:rPr>
            </w:pPr>
          </w:p>
        </w:tc>
        <w:tc>
          <w:tcPr>
            <w:tcW w:w="3878" w:type="dxa"/>
            <w:hideMark/>
          </w:tcPr>
          <w:p w14:paraId="1A424415" w14:textId="77777777" w:rsidR="00171C12" w:rsidRPr="00665034" w:rsidRDefault="00171C12" w:rsidP="00986700">
            <w:pPr>
              <w:rPr>
                <w:sz w:val="16"/>
                <w:szCs w:val="16"/>
              </w:rPr>
            </w:pPr>
            <w:r w:rsidRPr="00665034">
              <w:rPr>
                <w:sz w:val="16"/>
                <w:szCs w:val="16"/>
              </w:rPr>
              <w:t>Le système informatique de La Haye fonctionne efficacement et est géré conformément aux bonnes pratiques</w:t>
            </w:r>
          </w:p>
        </w:tc>
        <w:tc>
          <w:tcPr>
            <w:tcW w:w="2449" w:type="dxa"/>
            <w:hideMark/>
          </w:tcPr>
          <w:p w14:paraId="7B3A933F" w14:textId="77777777" w:rsidR="00171C12" w:rsidRPr="00665034" w:rsidRDefault="00171C12" w:rsidP="00986700">
            <w:pPr>
              <w:jc w:val="center"/>
              <w:rPr>
                <w:sz w:val="16"/>
                <w:szCs w:val="16"/>
              </w:rPr>
            </w:pPr>
            <w:r w:rsidRPr="00665034">
              <w:rPr>
                <w:sz w:val="16"/>
                <w:szCs w:val="16"/>
              </w:rPr>
              <w:t>Programme 31</w:t>
            </w:r>
          </w:p>
        </w:tc>
      </w:tr>
      <w:tr w:rsidR="00171C12" w:rsidRPr="00665034" w14:paraId="664BD954" w14:textId="77777777" w:rsidTr="00171C12">
        <w:trPr>
          <w:cantSplit/>
        </w:trPr>
        <w:tc>
          <w:tcPr>
            <w:tcW w:w="2960" w:type="dxa"/>
            <w:hideMark/>
          </w:tcPr>
          <w:p w14:paraId="71AD311B" w14:textId="77777777" w:rsidR="00171C12" w:rsidRPr="00665034" w:rsidRDefault="00171C12" w:rsidP="00986700">
            <w:pPr>
              <w:rPr>
                <w:sz w:val="16"/>
                <w:szCs w:val="16"/>
              </w:rPr>
            </w:pPr>
          </w:p>
        </w:tc>
        <w:tc>
          <w:tcPr>
            <w:tcW w:w="3878" w:type="dxa"/>
            <w:hideMark/>
          </w:tcPr>
          <w:p w14:paraId="1C41C5C2" w14:textId="77777777" w:rsidR="00171C12" w:rsidRPr="00665034" w:rsidRDefault="00171C12" w:rsidP="00986700">
            <w:pPr>
              <w:rPr>
                <w:sz w:val="16"/>
                <w:szCs w:val="16"/>
              </w:rPr>
            </w:pPr>
            <w:r w:rsidRPr="00665034">
              <w:rPr>
                <w:sz w:val="16"/>
                <w:szCs w:val="16"/>
              </w:rPr>
              <w:t xml:space="preserve">Adéquation du cadre juridique au développement du système, notamment en vue d’assurer la viabilité financière du système </w:t>
            </w:r>
          </w:p>
        </w:tc>
        <w:tc>
          <w:tcPr>
            <w:tcW w:w="2449" w:type="dxa"/>
            <w:hideMark/>
          </w:tcPr>
          <w:p w14:paraId="224C5B00" w14:textId="77777777" w:rsidR="00171C12" w:rsidRPr="00665034" w:rsidRDefault="00171C12" w:rsidP="00986700">
            <w:pPr>
              <w:jc w:val="center"/>
              <w:rPr>
                <w:sz w:val="16"/>
                <w:szCs w:val="16"/>
              </w:rPr>
            </w:pPr>
            <w:r w:rsidRPr="00665034">
              <w:rPr>
                <w:sz w:val="16"/>
                <w:szCs w:val="16"/>
              </w:rPr>
              <w:t>Programme 31</w:t>
            </w:r>
          </w:p>
        </w:tc>
      </w:tr>
      <w:tr w:rsidR="00171C12" w:rsidRPr="00665034" w14:paraId="014DC1EC" w14:textId="77777777" w:rsidTr="00171C12">
        <w:trPr>
          <w:cantSplit/>
        </w:trPr>
        <w:tc>
          <w:tcPr>
            <w:tcW w:w="2960" w:type="dxa"/>
            <w:hideMark/>
          </w:tcPr>
          <w:p w14:paraId="06DD4C8D" w14:textId="77777777" w:rsidR="00171C12" w:rsidRPr="00665034" w:rsidRDefault="00171C12" w:rsidP="00986700">
            <w:pPr>
              <w:rPr>
                <w:sz w:val="16"/>
                <w:szCs w:val="16"/>
              </w:rPr>
            </w:pPr>
          </w:p>
        </w:tc>
        <w:tc>
          <w:tcPr>
            <w:tcW w:w="3878" w:type="dxa"/>
            <w:hideMark/>
          </w:tcPr>
          <w:p w14:paraId="72CE7950" w14:textId="77777777" w:rsidR="00171C12" w:rsidRPr="00665034" w:rsidRDefault="00171C12" w:rsidP="00986700">
            <w:pPr>
              <w:rPr>
                <w:sz w:val="16"/>
                <w:szCs w:val="16"/>
              </w:rPr>
            </w:pPr>
            <w:r w:rsidRPr="00665034">
              <w:rPr>
                <w:sz w:val="16"/>
                <w:szCs w:val="16"/>
              </w:rPr>
              <w:t>Flexibilité des données enregistrées dans le registre international</w:t>
            </w:r>
          </w:p>
        </w:tc>
        <w:tc>
          <w:tcPr>
            <w:tcW w:w="2449" w:type="dxa"/>
            <w:hideMark/>
          </w:tcPr>
          <w:p w14:paraId="7610E5D3" w14:textId="77777777" w:rsidR="00171C12" w:rsidRPr="00665034" w:rsidRDefault="00171C12" w:rsidP="00986700">
            <w:pPr>
              <w:jc w:val="center"/>
              <w:rPr>
                <w:sz w:val="16"/>
                <w:szCs w:val="16"/>
              </w:rPr>
            </w:pPr>
            <w:r w:rsidRPr="00665034">
              <w:rPr>
                <w:sz w:val="16"/>
                <w:szCs w:val="16"/>
              </w:rPr>
              <w:t>Programme 31</w:t>
            </w:r>
          </w:p>
        </w:tc>
      </w:tr>
      <w:tr w:rsidR="00171C12" w:rsidRPr="00665034" w14:paraId="24852F36" w14:textId="77777777" w:rsidTr="00171C12">
        <w:trPr>
          <w:cantSplit/>
        </w:trPr>
        <w:tc>
          <w:tcPr>
            <w:tcW w:w="2960" w:type="dxa"/>
            <w:hideMark/>
          </w:tcPr>
          <w:p w14:paraId="1F152E5D" w14:textId="77777777" w:rsidR="00171C12" w:rsidRPr="00665034" w:rsidRDefault="00171C12" w:rsidP="00986700">
            <w:pPr>
              <w:rPr>
                <w:sz w:val="16"/>
                <w:szCs w:val="16"/>
              </w:rPr>
            </w:pPr>
          </w:p>
        </w:tc>
        <w:tc>
          <w:tcPr>
            <w:tcW w:w="3878" w:type="dxa"/>
            <w:hideMark/>
          </w:tcPr>
          <w:p w14:paraId="0AA05F09" w14:textId="77777777" w:rsidR="00171C12" w:rsidRPr="00665034" w:rsidRDefault="00171C12" w:rsidP="00986700">
            <w:pPr>
              <w:rPr>
                <w:sz w:val="16"/>
                <w:szCs w:val="16"/>
              </w:rPr>
            </w:pPr>
            <w:r w:rsidRPr="00665034">
              <w:rPr>
                <w:sz w:val="16"/>
                <w:szCs w:val="16"/>
              </w:rPr>
              <w:t>Nombre d’offices communiquant par voie entièrement électronique, y compris l’utilisation de données structurées</w:t>
            </w:r>
          </w:p>
        </w:tc>
        <w:tc>
          <w:tcPr>
            <w:tcW w:w="2449" w:type="dxa"/>
            <w:hideMark/>
          </w:tcPr>
          <w:p w14:paraId="456A928E" w14:textId="77777777" w:rsidR="00171C12" w:rsidRPr="00665034" w:rsidRDefault="00171C12" w:rsidP="00986700">
            <w:pPr>
              <w:jc w:val="center"/>
              <w:rPr>
                <w:sz w:val="16"/>
                <w:szCs w:val="16"/>
              </w:rPr>
            </w:pPr>
            <w:r w:rsidRPr="00665034">
              <w:rPr>
                <w:sz w:val="16"/>
                <w:szCs w:val="16"/>
              </w:rPr>
              <w:t>Programme 31</w:t>
            </w:r>
          </w:p>
        </w:tc>
      </w:tr>
      <w:tr w:rsidR="00171C12" w:rsidRPr="00665034" w14:paraId="720641EB" w14:textId="77777777" w:rsidTr="00171C12">
        <w:trPr>
          <w:cantSplit/>
        </w:trPr>
        <w:tc>
          <w:tcPr>
            <w:tcW w:w="2960" w:type="dxa"/>
          </w:tcPr>
          <w:p w14:paraId="2470EFC7" w14:textId="7C339FCD" w:rsidR="00171C12" w:rsidRPr="00665034" w:rsidRDefault="00171C12" w:rsidP="00986700">
            <w:pPr>
              <w:rPr>
                <w:sz w:val="16"/>
                <w:szCs w:val="16"/>
              </w:rPr>
            </w:pPr>
          </w:p>
        </w:tc>
        <w:tc>
          <w:tcPr>
            <w:tcW w:w="3878" w:type="dxa"/>
            <w:hideMark/>
          </w:tcPr>
          <w:p w14:paraId="1BAB71DF" w14:textId="77777777" w:rsidR="00171C12" w:rsidRPr="00665034" w:rsidRDefault="00171C12" w:rsidP="00986700">
            <w:pPr>
              <w:rPr>
                <w:sz w:val="16"/>
                <w:szCs w:val="16"/>
              </w:rPr>
            </w:pPr>
            <w:r w:rsidRPr="00665034">
              <w:rPr>
                <w:sz w:val="16"/>
                <w:szCs w:val="16"/>
              </w:rPr>
              <w:t>Nombre total de membres du système de Madrid</w:t>
            </w:r>
          </w:p>
        </w:tc>
        <w:tc>
          <w:tcPr>
            <w:tcW w:w="2449" w:type="dxa"/>
            <w:hideMark/>
          </w:tcPr>
          <w:p w14:paraId="615D25E8" w14:textId="77777777" w:rsidR="00171C12" w:rsidRDefault="00171C12" w:rsidP="00986700">
            <w:pPr>
              <w:jc w:val="center"/>
              <w:rPr>
                <w:sz w:val="16"/>
                <w:szCs w:val="16"/>
              </w:rPr>
            </w:pPr>
            <w:r w:rsidRPr="00665034">
              <w:rPr>
                <w:sz w:val="16"/>
                <w:szCs w:val="16"/>
              </w:rPr>
              <w:t>Programme 6</w:t>
            </w:r>
          </w:p>
          <w:p w14:paraId="1B3C43EB" w14:textId="2751BE2B" w:rsidR="00171C12" w:rsidRPr="00665034" w:rsidRDefault="00171C12" w:rsidP="00986700">
            <w:pPr>
              <w:jc w:val="center"/>
              <w:rPr>
                <w:sz w:val="16"/>
                <w:szCs w:val="16"/>
              </w:rPr>
            </w:pPr>
            <w:r>
              <w:rPr>
                <w:sz w:val="16"/>
                <w:szCs w:val="16"/>
              </w:rPr>
              <w:t>Programme 20</w:t>
            </w:r>
          </w:p>
        </w:tc>
      </w:tr>
      <w:tr w:rsidR="00171C12" w:rsidRPr="00665034" w14:paraId="307880FD" w14:textId="77777777" w:rsidTr="00171C12">
        <w:trPr>
          <w:cantSplit/>
        </w:trPr>
        <w:tc>
          <w:tcPr>
            <w:tcW w:w="2960" w:type="dxa"/>
            <w:hideMark/>
          </w:tcPr>
          <w:p w14:paraId="751BD35F" w14:textId="6C987A6F" w:rsidR="00171C12" w:rsidRPr="00665034" w:rsidRDefault="00171C12" w:rsidP="00986700">
            <w:pPr>
              <w:rPr>
                <w:sz w:val="16"/>
                <w:szCs w:val="16"/>
              </w:rPr>
            </w:pPr>
            <w:r w:rsidRPr="00665034">
              <w:rPr>
                <w:sz w:val="16"/>
                <w:szCs w:val="16"/>
              </w:rPr>
              <w:t>II.5 Utilisation élargie et plus efficace du système de Madrid, notamment par les pays en développement et les PMA</w:t>
            </w:r>
          </w:p>
        </w:tc>
        <w:tc>
          <w:tcPr>
            <w:tcW w:w="3878" w:type="dxa"/>
            <w:hideMark/>
          </w:tcPr>
          <w:p w14:paraId="4788DF38" w14:textId="77777777" w:rsidR="00171C12" w:rsidRPr="00665034" w:rsidRDefault="00171C12" w:rsidP="00986700">
            <w:pPr>
              <w:rPr>
                <w:sz w:val="16"/>
                <w:szCs w:val="16"/>
              </w:rPr>
            </w:pPr>
            <w:r w:rsidRPr="00665034">
              <w:rPr>
                <w:sz w:val="16"/>
                <w:szCs w:val="16"/>
              </w:rPr>
              <w:t>Nombre de demandes déposées selon le système de Madrid émanant de pays en développement et de PMA</w:t>
            </w:r>
          </w:p>
        </w:tc>
        <w:tc>
          <w:tcPr>
            <w:tcW w:w="2449" w:type="dxa"/>
            <w:hideMark/>
          </w:tcPr>
          <w:p w14:paraId="68E83CFC" w14:textId="77777777" w:rsidR="00171C12" w:rsidRPr="00665034" w:rsidRDefault="00171C12" w:rsidP="00986700">
            <w:pPr>
              <w:jc w:val="center"/>
              <w:rPr>
                <w:sz w:val="16"/>
                <w:szCs w:val="16"/>
              </w:rPr>
            </w:pPr>
            <w:r w:rsidRPr="00665034">
              <w:rPr>
                <w:sz w:val="16"/>
                <w:szCs w:val="16"/>
              </w:rPr>
              <w:t>Programme 9</w:t>
            </w:r>
          </w:p>
        </w:tc>
      </w:tr>
      <w:tr w:rsidR="00171C12" w:rsidRPr="00665034" w14:paraId="72D22EC1" w14:textId="77777777" w:rsidTr="00171C12">
        <w:trPr>
          <w:cantSplit/>
        </w:trPr>
        <w:tc>
          <w:tcPr>
            <w:tcW w:w="2960" w:type="dxa"/>
            <w:hideMark/>
          </w:tcPr>
          <w:p w14:paraId="19F943E7" w14:textId="77777777" w:rsidR="00171C12" w:rsidRPr="00665034" w:rsidRDefault="00171C12" w:rsidP="00986700">
            <w:pPr>
              <w:rPr>
                <w:sz w:val="16"/>
                <w:szCs w:val="16"/>
              </w:rPr>
            </w:pPr>
          </w:p>
        </w:tc>
        <w:tc>
          <w:tcPr>
            <w:tcW w:w="3878" w:type="dxa"/>
            <w:hideMark/>
          </w:tcPr>
          <w:p w14:paraId="0AAEAE2B" w14:textId="77777777" w:rsidR="00171C12" w:rsidRPr="00665034" w:rsidRDefault="00171C12" w:rsidP="00986700">
            <w:pPr>
              <w:rPr>
                <w:sz w:val="16"/>
                <w:szCs w:val="16"/>
              </w:rPr>
            </w:pPr>
            <w:r w:rsidRPr="00665034">
              <w:rPr>
                <w:sz w:val="16"/>
                <w:szCs w:val="16"/>
              </w:rPr>
              <w:t>Nombre de demandes déposées selon le système de Madrid émanant de pays en transition et de pays développés</w:t>
            </w:r>
          </w:p>
        </w:tc>
        <w:tc>
          <w:tcPr>
            <w:tcW w:w="2449" w:type="dxa"/>
            <w:hideMark/>
          </w:tcPr>
          <w:p w14:paraId="6A5C5267" w14:textId="77777777" w:rsidR="00171C12" w:rsidRPr="00665034" w:rsidRDefault="00171C12" w:rsidP="00986700">
            <w:pPr>
              <w:jc w:val="center"/>
              <w:rPr>
                <w:sz w:val="16"/>
                <w:szCs w:val="16"/>
              </w:rPr>
            </w:pPr>
            <w:r w:rsidRPr="00665034">
              <w:rPr>
                <w:sz w:val="16"/>
                <w:szCs w:val="16"/>
              </w:rPr>
              <w:t>Programme 10</w:t>
            </w:r>
          </w:p>
        </w:tc>
      </w:tr>
      <w:tr w:rsidR="00171C12" w:rsidRPr="00665034" w14:paraId="0BB0BFE5" w14:textId="77777777" w:rsidTr="00171C12">
        <w:trPr>
          <w:cantSplit/>
        </w:trPr>
        <w:tc>
          <w:tcPr>
            <w:tcW w:w="2960" w:type="dxa"/>
            <w:hideMark/>
          </w:tcPr>
          <w:p w14:paraId="04588D31" w14:textId="77777777" w:rsidR="00171C12" w:rsidRPr="00665034" w:rsidRDefault="00171C12" w:rsidP="00986700">
            <w:pPr>
              <w:rPr>
                <w:sz w:val="16"/>
                <w:szCs w:val="16"/>
              </w:rPr>
            </w:pPr>
          </w:p>
        </w:tc>
        <w:tc>
          <w:tcPr>
            <w:tcW w:w="3878" w:type="dxa"/>
            <w:hideMark/>
          </w:tcPr>
          <w:p w14:paraId="542D33A4" w14:textId="77777777" w:rsidR="00171C12" w:rsidRPr="00665034" w:rsidRDefault="00171C12" w:rsidP="00986700">
            <w:pPr>
              <w:rPr>
                <w:sz w:val="16"/>
                <w:szCs w:val="16"/>
              </w:rPr>
            </w:pPr>
            <w:r w:rsidRPr="00665034">
              <w:rPr>
                <w:sz w:val="16"/>
                <w:szCs w:val="16"/>
              </w:rPr>
              <w:t xml:space="preserve">Pourcentage de décideurs, de fonctionnaires gouvernementaux, de spécialistes de la propriété intellectuelle et de participants à des séminaires ciblés ayant une meilleure connaissance du système de Madrid </w:t>
            </w:r>
          </w:p>
        </w:tc>
        <w:tc>
          <w:tcPr>
            <w:tcW w:w="2449" w:type="dxa"/>
            <w:hideMark/>
          </w:tcPr>
          <w:p w14:paraId="6523062C" w14:textId="77777777" w:rsidR="00171C12" w:rsidRPr="00665034" w:rsidRDefault="00171C12" w:rsidP="00986700">
            <w:pPr>
              <w:jc w:val="center"/>
              <w:rPr>
                <w:sz w:val="16"/>
                <w:szCs w:val="16"/>
              </w:rPr>
            </w:pPr>
            <w:r w:rsidRPr="00665034">
              <w:rPr>
                <w:sz w:val="16"/>
                <w:szCs w:val="16"/>
              </w:rPr>
              <w:t>Programme 20</w:t>
            </w:r>
          </w:p>
        </w:tc>
      </w:tr>
      <w:tr w:rsidR="00171C12" w:rsidRPr="00665034" w14:paraId="7C9CC0E3" w14:textId="77777777" w:rsidTr="00171C12">
        <w:trPr>
          <w:cantSplit/>
        </w:trPr>
        <w:tc>
          <w:tcPr>
            <w:tcW w:w="2960" w:type="dxa"/>
            <w:hideMark/>
          </w:tcPr>
          <w:p w14:paraId="16BE7BFA" w14:textId="77777777" w:rsidR="00171C12" w:rsidRPr="00665034" w:rsidRDefault="00171C12" w:rsidP="00986700">
            <w:pPr>
              <w:rPr>
                <w:sz w:val="16"/>
                <w:szCs w:val="16"/>
              </w:rPr>
            </w:pPr>
          </w:p>
        </w:tc>
        <w:tc>
          <w:tcPr>
            <w:tcW w:w="3878" w:type="dxa"/>
            <w:hideMark/>
          </w:tcPr>
          <w:p w14:paraId="24A6D9BF" w14:textId="77777777" w:rsidR="00171C12" w:rsidRPr="00665034" w:rsidRDefault="00171C12" w:rsidP="00986700">
            <w:pPr>
              <w:rPr>
                <w:sz w:val="16"/>
                <w:szCs w:val="16"/>
              </w:rPr>
            </w:pPr>
            <w:r w:rsidRPr="00665034">
              <w:rPr>
                <w:sz w:val="16"/>
                <w:szCs w:val="16"/>
              </w:rPr>
              <w:t>Taux de dépôt</w:t>
            </w:r>
          </w:p>
        </w:tc>
        <w:tc>
          <w:tcPr>
            <w:tcW w:w="2449" w:type="dxa"/>
            <w:hideMark/>
          </w:tcPr>
          <w:p w14:paraId="2FFC4982" w14:textId="77777777" w:rsidR="00171C12" w:rsidRPr="00665034" w:rsidRDefault="00171C12" w:rsidP="00986700">
            <w:pPr>
              <w:jc w:val="center"/>
              <w:rPr>
                <w:sz w:val="16"/>
                <w:szCs w:val="16"/>
              </w:rPr>
            </w:pPr>
            <w:r w:rsidRPr="00665034">
              <w:rPr>
                <w:sz w:val="16"/>
                <w:szCs w:val="16"/>
              </w:rPr>
              <w:t>Programme 6</w:t>
            </w:r>
          </w:p>
        </w:tc>
      </w:tr>
      <w:tr w:rsidR="00171C12" w:rsidRPr="00665034" w14:paraId="27A48199" w14:textId="77777777" w:rsidTr="00171C12">
        <w:trPr>
          <w:cantSplit/>
        </w:trPr>
        <w:tc>
          <w:tcPr>
            <w:tcW w:w="2960" w:type="dxa"/>
            <w:hideMark/>
          </w:tcPr>
          <w:p w14:paraId="24A0BB4E" w14:textId="77777777" w:rsidR="00171C12" w:rsidRPr="00665034" w:rsidRDefault="00171C12" w:rsidP="00986700">
            <w:pPr>
              <w:rPr>
                <w:sz w:val="16"/>
                <w:szCs w:val="16"/>
              </w:rPr>
            </w:pPr>
          </w:p>
        </w:tc>
        <w:tc>
          <w:tcPr>
            <w:tcW w:w="3878" w:type="dxa"/>
            <w:hideMark/>
          </w:tcPr>
          <w:p w14:paraId="453E55F5" w14:textId="77777777" w:rsidR="00171C12" w:rsidRPr="00665034" w:rsidRDefault="00171C12" w:rsidP="00986700">
            <w:pPr>
              <w:rPr>
                <w:sz w:val="16"/>
                <w:szCs w:val="16"/>
              </w:rPr>
            </w:pPr>
            <w:r w:rsidRPr="00665034">
              <w:rPr>
                <w:sz w:val="16"/>
                <w:szCs w:val="16"/>
              </w:rPr>
              <w:t>Enregistrements</w:t>
            </w:r>
          </w:p>
        </w:tc>
        <w:tc>
          <w:tcPr>
            <w:tcW w:w="2449" w:type="dxa"/>
            <w:hideMark/>
          </w:tcPr>
          <w:p w14:paraId="037481CF" w14:textId="77777777" w:rsidR="00171C12" w:rsidRPr="00665034" w:rsidRDefault="00171C12" w:rsidP="00986700">
            <w:pPr>
              <w:jc w:val="center"/>
              <w:rPr>
                <w:sz w:val="16"/>
                <w:szCs w:val="16"/>
              </w:rPr>
            </w:pPr>
            <w:r w:rsidRPr="00665034">
              <w:rPr>
                <w:sz w:val="16"/>
                <w:szCs w:val="16"/>
              </w:rPr>
              <w:t>Programme 6</w:t>
            </w:r>
          </w:p>
        </w:tc>
      </w:tr>
      <w:tr w:rsidR="00171C12" w:rsidRPr="00665034" w14:paraId="09AC84EB" w14:textId="77777777" w:rsidTr="00171C12">
        <w:trPr>
          <w:cantSplit/>
        </w:trPr>
        <w:tc>
          <w:tcPr>
            <w:tcW w:w="2960" w:type="dxa"/>
            <w:hideMark/>
          </w:tcPr>
          <w:p w14:paraId="6D0C822D" w14:textId="77777777" w:rsidR="00171C12" w:rsidRPr="00665034" w:rsidRDefault="00171C12" w:rsidP="00986700">
            <w:pPr>
              <w:rPr>
                <w:sz w:val="16"/>
                <w:szCs w:val="16"/>
              </w:rPr>
            </w:pPr>
          </w:p>
        </w:tc>
        <w:tc>
          <w:tcPr>
            <w:tcW w:w="3878" w:type="dxa"/>
            <w:hideMark/>
          </w:tcPr>
          <w:p w14:paraId="13EAF003" w14:textId="77777777" w:rsidR="00171C12" w:rsidRPr="00665034" w:rsidRDefault="00171C12" w:rsidP="00986700">
            <w:pPr>
              <w:rPr>
                <w:sz w:val="16"/>
                <w:szCs w:val="16"/>
              </w:rPr>
            </w:pPr>
            <w:r w:rsidRPr="00665034">
              <w:rPr>
                <w:sz w:val="16"/>
                <w:szCs w:val="16"/>
              </w:rPr>
              <w:t>Renouvellements</w:t>
            </w:r>
          </w:p>
        </w:tc>
        <w:tc>
          <w:tcPr>
            <w:tcW w:w="2449" w:type="dxa"/>
            <w:hideMark/>
          </w:tcPr>
          <w:p w14:paraId="370659B7" w14:textId="77777777" w:rsidR="00171C12" w:rsidRPr="00665034" w:rsidRDefault="00171C12" w:rsidP="00986700">
            <w:pPr>
              <w:jc w:val="center"/>
              <w:rPr>
                <w:sz w:val="16"/>
                <w:szCs w:val="16"/>
              </w:rPr>
            </w:pPr>
            <w:r w:rsidRPr="00665034">
              <w:rPr>
                <w:sz w:val="16"/>
                <w:szCs w:val="16"/>
              </w:rPr>
              <w:t>Programme 6</w:t>
            </w:r>
          </w:p>
        </w:tc>
      </w:tr>
      <w:tr w:rsidR="00171C12" w:rsidRPr="00665034" w14:paraId="7E218F4F" w14:textId="77777777" w:rsidTr="00171C12">
        <w:trPr>
          <w:cantSplit/>
        </w:trPr>
        <w:tc>
          <w:tcPr>
            <w:tcW w:w="2960" w:type="dxa"/>
            <w:hideMark/>
          </w:tcPr>
          <w:p w14:paraId="3A73F121" w14:textId="77777777" w:rsidR="00171C12" w:rsidRPr="00665034" w:rsidRDefault="00171C12" w:rsidP="00986700">
            <w:pPr>
              <w:rPr>
                <w:sz w:val="16"/>
                <w:szCs w:val="16"/>
              </w:rPr>
            </w:pPr>
          </w:p>
        </w:tc>
        <w:tc>
          <w:tcPr>
            <w:tcW w:w="3878" w:type="dxa"/>
            <w:hideMark/>
          </w:tcPr>
          <w:p w14:paraId="0CF65CF4" w14:textId="77777777" w:rsidR="00171C12" w:rsidRPr="00665034" w:rsidRDefault="00171C12" w:rsidP="00986700">
            <w:pPr>
              <w:rPr>
                <w:sz w:val="16"/>
                <w:szCs w:val="16"/>
              </w:rPr>
            </w:pPr>
            <w:r w:rsidRPr="00665034">
              <w:rPr>
                <w:sz w:val="16"/>
                <w:szCs w:val="16"/>
              </w:rPr>
              <w:t>Nombre total d’enregistrements internationaux actifs</w:t>
            </w:r>
          </w:p>
        </w:tc>
        <w:tc>
          <w:tcPr>
            <w:tcW w:w="2449" w:type="dxa"/>
            <w:hideMark/>
          </w:tcPr>
          <w:p w14:paraId="6258A793" w14:textId="77777777" w:rsidR="00171C12" w:rsidRPr="00665034" w:rsidRDefault="00171C12" w:rsidP="00986700">
            <w:pPr>
              <w:jc w:val="center"/>
              <w:rPr>
                <w:sz w:val="16"/>
                <w:szCs w:val="16"/>
              </w:rPr>
            </w:pPr>
            <w:r w:rsidRPr="00665034">
              <w:rPr>
                <w:sz w:val="16"/>
                <w:szCs w:val="16"/>
              </w:rPr>
              <w:t>Programme 6</w:t>
            </w:r>
          </w:p>
        </w:tc>
      </w:tr>
      <w:tr w:rsidR="00171C12" w:rsidRPr="00665034" w14:paraId="0DEDA756" w14:textId="77777777" w:rsidTr="00171C12">
        <w:trPr>
          <w:cantSplit/>
        </w:trPr>
        <w:tc>
          <w:tcPr>
            <w:tcW w:w="2960" w:type="dxa"/>
            <w:hideMark/>
          </w:tcPr>
          <w:p w14:paraId="6883D2E4" w14:textId="77777777" w:rsidR="00171C12" w:rsidRPr="00665034" w:rsidRDefault="00171C12" w:rsidP="00986700">
            <w:pPr>
              <w:rPr>
                <w:sz w:val="16"/>
                <w:szCs w:val="16"/>
              </w:rPr>
            </w:pPr>
          </w:p>
        </w:tc>
        <w:tc>
          <w:tcPr>
            <w:tcW w:w="3878" w:type="dxa"/>
            <w:hideMark/>
          </w:tcPr>
          <w:p w14:paraId="243E6526" w14:textId="77777777" w:rsidR="00171C12" w:rsidRPr="00665034" w:rsidRDefault="00171C12" w:rsidP="00986700">
            <w:pPr>
              <w:rPr>
                <w:sz w:val="16"/>
                <w:szCs w:val="16"/>
              </w:rPr>
            </w:pPr>
            <w:r w:rsidRPr="00665034">
              <w:rPr>
                <w:sz w:val="16"/>
                <w:szCs w:val="16"/>
              </w:rPr>
              <w:t>Nombre total de désignations</w:t>
            </w:r>
          </w:p>
        </w:tc>
        <w:tc>
          <w:tcPr>
            <w:tcW w:w="2449" w:type="dxa"/>
            <w:hideMark/>
          </w:tcPr>
          <w:p w14:paraId="08BB2100" w14:textId="77777777" w:rsidR="00171C12" w:rsidRPr="00665034" w:rsidRDefault="00171C12" w:rsidP="00986700">
            <w:pPr>
              <w:jc w:val="center"/>
              <w:rPr>
                <w:sz w:val="16"/>
                <w:szCs w:val="16"/>
              </w:rPr>
            </w:pPr>
            <w:r w:rsidRPr="00665034">
              <w:rPr>
                <w:sz w:val="16"/>
                <w:szCs w:val="16"/>
              </w:rPr>
              <w:t>Programme 6</w:t>
            </w:r>
          </w:p>
        </w:tc>
      </w:tr>
      <w:tr w:rsidR="00171C12" w:rsidRPr="00665034" w14:paraId="34FEB527" w14:textId="77777777" w:rsidTr="00171C12">
        <w:trPr>
          <w:cantSplit/>
        </w:trPr>
        <w:tc>
          <w:tcPr>
            <w:tcW w:w="2960" w:type="dxa"/>
            <w:hideMark/>
          </w:tcPr>
          <w:p w14:paraId="713959C4" w14:textId="77777777" w:rsidR="00171C12" w:rsidRPr="00665034" w:rsidRDefault="00171C12" w:rsidP="00986700">
            <w:pPr>
              <w:rPr>
                <w:sz w:val="16"/>
                <w:szCs w:val="16"/>
              </w:rPr>
            </w:pPr>
          </w:p>
        </w:tc>
        <w:tc>
          <w:tcPr>
            <w:tcW w:w="3878" w:type="dxa"/>
            <w:hideMark/>
          </w:tcPr>
          <w:p w14:paraId="4035B801" w14:textId="77777777" w:rsidR="00171C12" w:rsidRPr="00665034" w:rsidRDefault="00171C12" w:rsidP="00986700">
            <w:pPr>
              <w:rPr>
                <w:sz w:val="16"/>
                <w:szCs w:val="16"/>
              </w:rPr>
            </w:pPr>
            <w:r w:rsidRPr="00665034">
              <w:rPr>
                <w:sz w:val="16"/>
                <w:szCs w:val="16"/>
              </w:rPr>
              <w:t xml:space="preserve">Irrégularités concernant le classement (règles 12 et 13) </w:t>
            </w:r>
          </w:p>
        </w:tc>
        <w:tc>
          <w:tcPr>
            <w:tcW w:w="2449" w:type="dxa"/>
            <w:hideMark/>
          </w:tcPr>
          <w:p w14:paraId="67E0C551" w14:textId="77777777" w:rsidR="00171C12" w:rsidRPr="00665034" w:rsidRDefault="00171C12" w:rsidP="00986700">
            <w:pPr>
              <w:jc w:val="center"/>
              <w:rPr>
                <w:sz w:val="16"/>
                <w:szCs w:val="16"/>
              </w:rPr>
            </w:pPr>
            <w:r w:rsidRPr="00665034">
              <w:rPr>
                <w:sz w:val="16"/>
                <w:szCs w:val="16"/>
              </w:rPr>
              <w:t>Programme 6</w:t>
            </w:r>
          </w:p>
        </w:tc>
      </w:tr>
      <w:tr w:rsidR="00171C12" w:rsidRPr="00665034" w14:paraId="09F870BA" w14:textId="77777777" w:rsidTr="00171C12">
        <w:trPr>
          <w:cantSplit/>
        </w:trPr>
        <w:tc>
          <w:tcPr>
            <w:tcW w:w="2960" w:type="dxa"/>
          </w:tcPr>
          <w:p w14:paraId="2A787542" w14:textId="060981FC" w:rsidR="00171C12" w:rsidRPr="00665034" w:rsidRDefault="00171C12" w:rsidP="00986700">
            <w:pPr>
              <w:rPr>
                <w:sz w:val="16"/>
                <w:szCs w:val="16"/>
              </w:rPr>
            </w:pPr>
          </w:p>
        </w:tc>
        <w:tc>
          <w:tcPr>
            <w:tcW w:w="3878" w:type="dxa"/>
            <w:hideMark/>
          </w:tcPr>
          <w:p w14:paraId="6A372184" w14:textId="77777777" w:rsidR="00171C12" w:rsidRPr="00665034" w:rsidRDefault="00171C12" w:rsidP="00986700">
            <w:pPr>
              <w:rPr>
                <w:sz w:val="16"/>
                <w:szCs w:val="16"/>
              </w:rPr>
            </w:pPr>
            <w:r w:rsidRPr="00665034">
              <w:rPr>
                <w:sz w:val="16"/>
                <w:szCs w:val="16"/>
              </w:rPr>
              <w:t>Améliorations fonctionnelles du système de Madrid</w:t>
            </w:r>
          </w:p>
        </w:tc>
        <w:tc>
          <w:tcPr>
            <w:tcW w:w="2449" w:type="dxa"/>
            <w:hideMark/>
          </w:tcPr>
          <w:p w14:paraId="600DBC2A" w14:textId="77777777" w:rsidR="00171C12" w:rsidRPr="00665034" w:rsidRDefault="00171C12" w:rsidP="00986700">
            <w:pPr>
              <w:jc w:val="center"/>
              <w:rPr>
                <w:sz w:val="16"/>
                <w:szCs w:val="16"/>
              </w:rPr>
            </w:pPr>
            <w:r w:rsidRPr="00665034">
              <w:rPr>
                <w:sz w:val="16"/>
                <w:szCs w:val="16"/>
              </w:rPr>
              <w:t>Programme 6</w:t>
            </w:r>
          </w:p>
        </w:tc>
      </w:tr>
      <w:tr w:rsidR="00171C12" w:rsidRPr="00665034" w14:paraId="20257E44" w14:textId="77777777" w:rsidTr="00171C12">
        <w:trPr>
          <w:cantSplit/>
        </w:trPr>
        <w:tc>
          <w:tcPr>
            <w:tcW w:w="2960" w:type="dxa"/>
            <w:hideMark/>
          </w:tcPr>
          <w:p w14:paraId="1B093E67" w14:textId="68B440E6" w:rsidR="00171C12" w:rsidRPr="00665034" w:rsidRDefault="00171C12" w:rsidP="00986700">
            <w:pPr>
              <w:rPr>
                <w:sz w:val="16"/>
                <w:szCs w:val="16"/>
              </w:rPr>
            </w:pPr>
            <w:r w:rsidRPr="00665034">
              <w:rPr>
                <w:sz w:val="16"/>
                <w:szCs w:val="16"/>
              </w:rPr>
              <w:t>II.6 Amélioration de la productivité et de la qualité de service des opérations du système de Madrid</w:t>
            </w:r>
          </w:p>
        </w:tc>
        <w:tc>
          <w:tcPr>
            <w:tcW w:w="3878" w:type="dxa"/>
            <w:hideMark/>
          </w:tcPr>
          <w:p w14:paraId="4CABBD0D" w14:textId="77777777" w:rsidR="00171C12" w:rsidRPr="00665034" w:rsidRDefault="00171C12" w:rsidP="00986700">
            <w:pPr>
              <w:rPr>
                <w:sz w:val="16"/>
                <w:szCs w:val="16"/>
              </w:rPr>
            </w:pPr>
            <w:r w:rsidRPr="00665034">
              <w:rPr>
                <w:sz w:val="16"/>
                <w:szCs w:val="16"/>
              </w:rPr>
              <w:t>Satisfaction globale des clients à l’égard des services du système de Madrid</w:t>
            </w:r>
          </w:p>
        </w:tc>
        <w:tc>
          <w:tcPr>
            <w:tcW w:w="2449" w:type="dxa"/>
            <w:hideMark/>
          </w:tcPr>
          <w:p w14:paraId="73806812" w14:textId="77777777" w:rsidR="00171C12" w:rsidRPr="00665034" w:rsidRDefault="00171C12" w:rsidP="00986700">
            <w:pPr>
              <w:jc w:val="center"/>
              <w:rPr>
                <w:sz w:val="16"/>
                <w:szCs w:val="16"/>
              </w:rPr>
            </w:pPr>
            <w:r w:rsidRPr="00665034">
              <w:rPr>
                <w:sz w:val="16"/>
                <w:szCs w:val="16"/>
              </w:rPr>
              <w:t>Programme 6</w:t>
            </w:r>
          </w:p>
        </w:tc>
      </w:tr>
      <w:tr w:rsidR="00171C12" w:rsidRPr="00665034" w14:paraId="31978029" w14:textId="77777777" w:rsidTr="00171C12">
        <w:trPr>
          <w:cantSplit/>
        </w:trPr>
        <w:tc>
          <w:tcPr>
            <w:tcW w:w="2960" w:type="dxa"/>
            <w:hideMark/>
          </w:tcPr>
          <w:p w14:paraId="5969B69E" w14:textId="77777777" w:rsidR="00171C12" w:rsidRPr="00665034" w:rsidRDefault="00171C12" w:rsidP="00986700">
            <w:pPr>
              <w:rPr>
                <w:sz w:val="16"/>
                <w:szCs w:val="16"/>
              </w:rPr>
            </w:pPr>
          </w:p>
        </w:tc>
        <w:tc>
          <w:tcPr>
            <w:tcW w:w="3878" w:type="dxa"/>
            <w:hideMark/>
          </w:tcPr>
          <w:p w14:paraId="478FA2EA" w14:textId="77777777" w:rsidR="00171C12" w:rsidRPr="00665034" w:rsidRDefault="00171C12" w:rsidP="00986700">
            <w:pPr>
              <w:rPr>
                <w:sz w:val="16"/>
                <w:szCs w:val="16"/>
              </w:rPr>
            </w:pPr>
            <w:r w:rsidRPr="00665034">
              <w:rPr>
                <w:sz w:val="16"/>
                <w:szCs w:val="16"/>
              </w:rPr>
              <w:t>Qualité du développement de logiciels</w:t>
            </w:r>
          </w:p>
        </w:tc>
        <w:tc>
          <w:tcPr>
            <w:tcW w:w="2449" w:type="dxa"/>
            <w:hideMark/>
          </w:tcPr>
          <w:p w14:paraId="6C69CAD7" w14:textId="77777777" w:rsidR="00171C12" w:rsidRPr="00665034" w:rsidRDefault="00171C12" w:rsidP="00986700">
            <w:pPr>
              <w:jc w:val="center"/>
              <w:rPr>
                <w:sz w:val="16"/>
                <w:szCs w:val="16"/>
              </w:rPr>
            </w:pPr>
            <w:r w:rsidRPr="00665034">
              <w:rPr>
                <w:sz w:val="16"/>
                <w:szCs w:val="16"/>
              </w:rPr>
              <w:t>Programme 6</w:t>
            </w:r>
          </w:p>
        </w:tc>
      </w:tr>
      <w:tr w:rsidR="00171C12" w:rsidRPr="00665034" w14:paraId="6C497669" w14:textId="77777777" w:rsidTr="00171C12">
        <w:trPr>
          <w:cantSplit/>
        </w:trPr>
        <w:tc>
          <w:tcPr>
            <w:tcW w:w="2960" w:type="dxa"/>
            <w:hideMark/>
          </w:tcPr>
          <w:p w14:paraId="1C1C6782" w14:textId="77777777" w:rsidR="00171C12" w:rsidRPr="00665034" w:rsidRDefault="00171C12" w:rsidP="00986700">
            <w:pPr>
              <w:rPr>
                <w:sz w:val="16"/>
                <w:szCs w:val="16"/>
              </w:rPr>
            </w:pPr>
          </w:p>
        </w:tc>
        <w:tc>
          <w:tcPr>
            <w:tcW w:w="3878" w:type="dxa"/>
            <w:hideMark/>
          </w:tcPr>
          <w:p w14:paraId="08BBAC10" w14:textId="77777777" w:rsidR="00171C12" w:rsidRPr="00665034" w:rsidRDefault="00171C12" w:rsidP="00986700">
            <w:pPr>
              <w:rPr>
                <w:sz w:val="16"/>
                <w:szCs w:val="16"/>
              </w:rPr>
            </w:pPr>
            <w:r w:rsidRPr="00665034">
              <w:rPr>
                <w:sz w:val="16"/>
                <w:szCs w:val="16"/>
              </w:rPr>
              <w:t>Niveaux de service des systèmes informatiques</w:t>
            </w:r>
          </w:p>
        </w:tc>
        <w:tc>
          <w:tcPr>
            <w:tcW w:w="2449" w:type="dxa"/>
            <w:hideMark/>
          </w:tcPr>
          <w:p w14:paraId="22C4A061" w14:textId="77777777" w:rsidR="00171C12" w:rsidRPr="00665034" w:rsidRDefault="00171C12" w:rsidP="00986700">
            <w:pPr>
              <w:jc w:val="center"/>
              <w:rPr>
                <w:sz w:val="16"/>
                <w:szCs w:val="16"/>
              </w:rPr>
            </w:pPr>
            <w:r w:rsidRPr="00665034">
              <w:rPr>
                <w:sz w:val="16"/>
                <w:szCs w:val="16"/>
              </w:rPr>
              <w:t>Programme 6</w:t>
            </w:r>
          </w:p>
        </w:tc>
      </w:tr>
      <w:tr w:rsidR="00171C12" w:rsidRPr="00665034" w14:paraId="76AD9A8E" w14:textId="77777777" w:rsidTr="00171C12">
        <w:trPr>
          <w:cantSplit/>
        </w:trPr>
        <w:tc>
          <w:tcPr>
            <w:tcW w:w="2960" w:type="dxa"/>
            <w:hideMark/>
          </w:tcPr>
          <w:p w14:paraId="59509DCB" w14:textId="77777777" w:rsidR="00171C12" w:rsidRPr="00665034" w:rsidRDefault="00171C12" w:rsidP="00986700">
            <w:pPr>
              <w:rPr>
                <w:sz w:val="16"/>
                <w:szCs w:val="16"/>
              </w:rPr>
            </w:pPr>
          </w:p>
        </w:tc>
        <w:tc>
          <w:tcPr>
            <w:tcW w:w="3878" w:type="dxa"/>
            <w:hideMark/>
          </w:tcPr>
          <w:p w14:paraId="04C25422" w14:textId="77777777" w:rsidR="00171C12" w:rsidRPr="00665034" w:rsidRDefault="00171C12" w:rsidP="00986700">
            <w:pPr>
              <w:rPr>
                <w:sz w:val="16"/>
                <w:szCs w:val="16"/>
              </w:rPr>
            </w:pPr>
            <w:r w:rsidRPr="00665034">
              <w:rPr>
                <w:sz w:val="16"/>
                <w:szCs w:val="16"/>
              </w:rPr>
              <w:t>Coût unitaire</w:t>
            </w:r>
          </w:p>
        </w:tc>
        <w:tc>
          <w:tcPr>
            <w:tcW w:w="2449" w:type="dxa"/>
            <w:hideMark/>
          </w:tcPr>
          <w:p w14:paraId="2E225898" w14:textId="77777777" w:rsidR="00171C12" w:rsidRPr="00665034" w:rsidRDefault="00171C12" w:rsidP="00986700">
            <w:pPr>
              <w:jc w:val="center"/>
              <w:rPr>
                <w:sz w:val="16"/>
                <w:szCs w:val="16"/>
              </w:rPr>
            </w:pPr>
            <w:r w:rsidRPr="00665034">
              <w:rPr>
                <w:sz w:val="16"/>
                <w:szCs w:val="16"/>
              </w:rPr>
              <w:t>Programme 6</w:t>
            </w:r>
          </w:p>
        </w:tc>
      </w:tr>
      <w:tr w:rsidR="00171C12" w:rsidRPr="00665034" w14:paraId="72970031" w14:textId="77777777" w:rsidTr="00171C12">
        <w:trPr>
          <w:cantSplit/>
        </w:trPr>
        <w:tc>
          <w:tcPr>
            <w:tcW w:w="2960" w:type="dxa"/>
            <w:hideMark/>
          </w:tcPr>
          <w:p w14:paraId="7D0F2388" w14:textId="77777777" w:rsidR="00171C12" w:rsidRPr="00665034" w:rsidRDefault="00171C12" w:rsidP="00986700">
            <w:pPr>
              <w:rPr>
                <w:sz w:val="16"/>
                <w:szCs w:val="16"/>
              </w:rPr>
            </w:pPr>
          </w:p>
        </w:tc>
        <w:tc>
          <w:tcPr>
            <w:tcW w:w="3878" w:type="dxa"/>
            <w:hideMark/>
          </w:tcPr>
          <w:p w14:paraId="48D31277" w14:textId="77777777" w:rsidR="00171C12" w:rsidRPr="00665034" w:rsidRDefault="00171C12" w:rsidP="00986700">
            <w:pPr>
              <w:rPr>
                <w:sz w:val="16"/>
                <w:szCs w:val="16"/>
              </w:rPr>
            </w:pPr>
            <w:r w:rsidRPr="00665034">
              <w:rPr>
                <w:sz w:val="16"/>
                <w:szCs w:val="16"/>
              </w:rPr>
              <w:t xml:space="preserve">Rapidité des transactions </w:t>
            </w:r>
          </w:p>
        </w:tc>
        <w:tc>
          <w:tcPr>
            <w:tcW w:w="2449" w:type="dxa"/>
            <w:hideMark/>
          </w:tcPr>
          <w:p w14:paraId="64783505" w14:textId="77777777" w:rsidR="00171C12" w:rsidRPr="00665034" w:rsidRDefault="00171C12" w:rsidP="00986700">
            <w:pPr>
              <w:jc w:val="center"/>
              <w:rPr>
                <w:sz w:val="16"/>
                <w:szCs w:val="16"/>
              </w:rPr>
            </w:pPr>
            <w:r w:rsidRPr="00665034">
              <w:rPr>
                <w:sz w:val="16"/>
                <w:szCs w:val="16"/>
              </w:rPr>
              <w:t>Programme 6</w:t>
            </w:r>
          </w:p>
        </w:tc>
      </w:tr>
      <w:tr w:rsidR="00171C12" w:rsidRPr="00665034" w14:paraId="2F824F9D" w14:textId="77777777" w:rsidTr="00171C12">
        <w:trPr>
          <w:cantSplit/>
        </w:trPr>
        <w:tc>
          <w:tcPr>
            <w:tcW w:w="2960" w:type="dxa"/>
            <w:hideMark/>
          </w:tcPr>
          <w:p w14:paraId="25EF4FEA" w14:textId="77777777" w:rsidR="00171C12" w:rsidRPr="00665034" w:rsidRDefault="00171C12" w:rsidP="00986700">
            <w:pPr>
              <w:rPr>
                <w:sz w:val="16"/>
                <w:szCs w:val="16"/>
              </w:rPr>
            </w:pPr>
          </w:p>
        </w:tc>
        <w:tc>
          <w:tcPr>
            <w:tcW w:w="3878" w:type="dxa"/>
            <w:hideMark/>
          </w:tcPr>
          <w:p w14:paraId="68D97E13" w14:textId="77777777" w:rsidR="00171C12" w:rsidRPr="00665034" w:rsidRDefault="00171C12" w:rsidP="00986700">
            <w:pPr>
              <w:rPr>
                <w:sz w:val="16"/>
                <w:szCs w:val="16"/>
              </w:rPr>
            </w:pPr>
            <w:r w:rsidRPr="00665034">
              <w:rPr>
                <w:sz w:val="16"/>
                <w:szCs w:val="16"/>
              </w:rPr>
              <w:t>Nombre d’offices communiquant par voie entièrement électronique</w:t>
            </w:r>
          </w:p>
        </w:tc>
        <w:tc>
          <w:tcPr>
            <w:tcW w:w="2449" w:type="dxa"/>
            <w:hideMark/>
          </w:tcPr>
          <w:p w14:paraId="7AC69656" w14:textId="77777777" w:rsidR="00171C12" w:rsidRPr="00665034" w:rsidRDefault="00171C12" w:rsidP="00986700">
            <w:pPr>
              <w:jc w:val="center"/>
              <w:rPr>
                <w:sz w:val="16"/>
                <w:szCs w:val="16"/>
              </w:rPr>
            </w:pPr>
            <w:r w:rsidRPr="00665034">
              <w:rPr>
                <w:sz w:val="16"/>
                <w:szCs w:val="16"/>
              </w:rPr>
              <w:t>Programme 6</w:t>
            </w:r>
          </w:p>
        </w:tc>
      </w:tr>
      <w:tr w:rsidR="00171C12" w:rsidRPr="00665034" w14:paraId="4FFED126" w14:textId="77777777" w:rsidTr="00171C12">
        <w:trPr>
          <w:cantSplit/>
        </w:trPr>
        <w:tc>
          <w:tcPr>
            <w:tcW w:w="2960" w:type="dxa"/>
            <w:hideMark/>
          </w:tcPr>
          <w:p w14:paraId="353502F1" w14:textId="77777777" w:rsidR="00171C12" w:rsidRPr="00665034" w:rsidRDefault="00171C12" w:rsidP="00986700">
            <w:pPr>
              <w:rPr>
                <w:sz w:val="16"/>
                <w:szCs w:val="16"/>
              </w:rPr>
            </w:pPr>
          </w:p>
        </w:tc>
        <w:tc>
          <w:tcPr>
            <w:tcW w:w="3878" w:type="dxa"/>
            <w:hideMark/>
          </w:tcPr>
          <w:p w14:paraId="4DBEA746" w14:textId="77777777" w:rsidR="00171C12" w:rsidRPr="00665034" w:rsidRDefault="00171C12" w:rsidP="00986700">
            <w:pPr>
              <w:rPr>
                <w:sz w:val="16"/>
                <w:szCs w:val="16"/>
              </w:rPr>
            </w:pPr>
            <w:r w:rsidRPr="00665034">
              <w:rPr>
                <w:sz w:val="16"/>
                <w:szCs w:val="16"/>
              </w:rPr>
              <w:t>Qualité des services fournis</w:t>
            </w:r>
          </w:p>
        </w:tc>
        <w:tc>
          <w:tcPr>
            <w:tcW w:w="2449" w:type="dxa"/>
            <w:hideMark/>
          </w:tcPr>
          <w:p w14:paraId="26240C76" w14:textId="77777777" w:rsidR="00171C12" w:rsidRPr="00665034" w:rsidRDefault="00171C12" w:rsidP="00986700">
            <w:pPr>
              <w:jc w:val="center"/>
              <w:rPr>
                <w:sz w:val="16"/>
                <w:szCs w:val="16"/>
              </w:rPr>
            </w:pPr>
            <w:r w:rsidRPr="00665034">
              <w:rPr>
                <w:sz w:val="16"/>
                <w:szCs w:val="16"/>
              </w:rPr>
              <w:t>Programme 6</w:t>
            </w:r>
          </w:p>
        </w:tc>
      </w:tr>
      <w:tr w:rsidR="00171C12" w:rsidRPr="00665034" w14:paraId="24964629" w14:textId="77777777" w:rsidTr="00171C12">
        <w:trPr>
          <w:cantSplit/>
        </w:trPr>
        <w:tc>
          <w:tcPr>
            <w:tcW w:w="2960" w:type="dxa"/>
          </w:tcPr>
          <w:p w14:paraId="7DAA872D" w14:textId="2C11DAE6" w:rsidR="00171C12" w:rsidRPr="00665034" w:rsidRDefault="00171C12" w:rsidP="00986700">
            <w:pPr>
              <w:rPr>
                <w:sz w:val="16"/>
                <w:szCs w:val="16"/>
              </w:rPr>
            </w:pPr>
          </w:p>
        </w:tc>
        <w:tc>
          <w:tcPr>
            <w:tcW w:w="3878" w:type="dxa"/>
            <w:hideMark/>
          </w:tcPr>
          <w:p w14:paraId="1210CA87" w14:textId="77777777" w:rsidR="00171C12" w:rsidRPr="00665034" w:rsidRDefault="00171C12" w:rsidP="00986700">
            <w:pPr>
              <w:rPr>
                <w:sz w:val="16"/>
                <w:szCs w:val="16"/>
              </w:rPr>
            </w:pPr>
            <w:r w:rsidRPr="00665034">
              <w:rPr>
                <w:sz w:val="16"/>
                <w:szCs w:val="16"/>
              </w:rPr>
              <w:t>Utilisation accrue de services et de clauses de règlement extrajudiciaire des litiges dans les transactions et les enregistrements de titres de propriété intellectuelle, notamment par le recours aux procédures de l’OMPI</w:t>
            </w:r>
          </w:p>
        </w:tc>
        <w:tc>
          <w:tcPr>
            <w:tcW w:w="2449" w:type="dxa"/>
            <w:hideMark/>
          </w:tcPr>
          <w:p w14:paraId="41B90ED7" w14:textId="77777777" w:rsidR="00171C12" w:rsidRDefault="00171C12" w:rsidP="00986700">
            <w:pPr>
              <w:jc w:val="center"/>
              <w:rPr>
                <w:sz w:val="16"/>
                <w:szCs w:val="16"/>
              </w:rPr>
            </w:pPr>
            <w:r w:rsidRPr="00665034">
              <w:rPr>
                <w:sz w:val="16"/>
                <w:szCs w:val="16"/>
              </w:rPr>
              <w:t>Programme 7</w:t>
            </w:r>
          </w:p>
          <w:p w14:paraId="29365637" w14:textId="70E27324" w:rsidR="00171C12" w:rsidRPr="00665034" w:rsidRDefault="00171C12" w:rsidP="00986700">
            <w:pPr>
              <w:jc w:val="center"/>
              <w:rPr>
                <w:sz w:val="16"/>
                <w:szCs w:val="16"/>
              </w:rPr>
            </w:pPr>
            <w:r>
              <w:rPr>
                <w:sz w:val="16"/>
                <w:szCs w:val="16"/>
              </w:rPr>
              <w:t>Programme 10</w:t>
            </w:r>
          </w:p>
        </w:tc>
      </w:tr>
      <w:tr w:rsidR="00171C12" w:rsidRPr="00665034" w14:paraId="65880905" w14:textId="77777777" w:rsidTr="00171C12">
        <w:trPr>
          <w:cantSplit/>
        </w:trPr>
        <w:tc>
          <w:tcPr>
            <w:tcW w:w="2960" w:type="dxa"/>
            <w:hideMark/>
          </w:tcPr>
          <w:p w14:paraId="340E65FE" w14:textId="14D28CDC" w:rsidR="00171C12" w:rsidRPr="00665034" w:rsidRDefault="00171C12" w:rsidP="00986700">
            <w:pPr>
              <w:rPr>
                <w:sz w:val="16"/>
                <w:szCs w:val="16"/>
              </w:rPr>
            </w:pPr>
            <w:r w:rsidRPr="00665034">
              <w:rPr>
                <w:sz w:val="16"/>
                <w:szCs w:val="16"/>
              </w:rPr>
              <w:lastRenderedPageBreak/>
              <w:t>II.7 De plus en plus de litiges internationaux ou nationaux de propriété intellectuelle sont évités ou réglés par la médiation, l’arbitrage et d’autres modes extrajudiciaires de règlement des litiges de l’OMPI</w:t>
            </w:r>
          </w:p>
        </w:tc>
        <w:tc>
          <w:tcPr>
            <w:tcW w:w="3878" w:type="dxa"/>
            <w:hideMark/>
          </w:tcPr>
          <w:p w14:paraId="276B859C" w14:textId="77777777" w:rsidR="00171C12" w:rsidRPr="00665034" w:rsidRDefault="00171C12" w:rsidP="00986700">
            <w:pPr>
              <w:rPr>
                <w:sz w:val="16"/>
                <w:szCs w:val="16"/>
              </w:rPr>
            </w:pPr>
            <w:r w:rsidRPr="00665034">
              <w:rPr>
                <w:sz w:val="16"/>
                <w:szCs w:val="16"/>
              </w:rPr>
              <w:t>Politiques de règlement extrajudiciaire des litiges auxquelles le Centre a contribué pour ce qui est de leur élaboration ou de leur appui</w:t>
            </w:r>
          </w:p>
        </w:tc>
        <w:tc>
          <w:tcPr>
            <w:tcW w:w="2449" w:type="dxa"/>
            <w:hideMark/>
          </w:tcPr>
          <w:p w14:paraId="3A682E14" w14:textId="77777777" w:rsidR="00171C12" w:rsidRDefault="00171C12" w:rsidP="00986700">
            <w:pPr>
              <w:jc w:val="center"/>
              <w:rPr>
                <w:sz w:val="16"/>
                <w:szCs w:val="16"/>
              </w:rPr>
            </w:pPr>
            <w:r w:rsidRPr="00665034">
              <w:rPr>
                <w:sz w:val="16"/>
                <w:szCs w:val="16"/>
              </w:rPr>
              <w:t>Programme 7</w:t>
            </w:r>
          </w:p>
          <w:p w14:paraId="37BA21E4" w14:textId="77777777" w:rsidR="00171C12" w:rsidRDefault="00171C12" w:rsidP="00986700">
            <w:pPr>
              <w:jc w:val="center"/>
              <w:rPr>
                <w:sz w:val="16"/>
                <w:szCs w:val="16"/>
              </w:rPr>
            </w:pPr>
            <w:r>
              <w:rPr>
                <w:sz w:val="16"/>
                <w:szCs w:val="16"/>
              </w:rPr>
              <w:t>Programme 9</w:t>
            </w:r>
          </w:p>
          <w:p w14:paraId="62F17E52" w14:textId="441F999B" w:rsidR="00171C12" w:rsidRPr="00665034" w:rsidRDefault="00171C12" w:rsidP="00986700">
            <w:pPr>
              <w:jc w:val="center"/>
              <w:rPr>
                <w:sz w:val="16"/>
                <w:szCs w:val="16"/>
              </w:rPr>
            </w:pPr>
            <w:r>
              <w:rPr>
                <w:sz w:val="16"/>
                <w:szCs w:val="16"/>
              </w:rPr>
              <w:t>Programme 10</w:t>
            </w:r>
          </w:p>
        </w:tc>
      </w:tr>
      <w:tr w:rsidR="00171C12" w:rsidRPr="00665034" w14:paraId="4C1AA467" w14:textId="77777777" w:rsidTr="00171C12">
        <w:trPr>
          <w:cantSplit/>
        </w:trPr>
        <w:tc>
          <w:tcPr>
            <w:tcW w:w="2960" w:type="dxa"/>
          </w:tcPr>
          <w:p w14:paraId="578EFCDB" w14:textId="70F5BA9E" w:rsidR="00171C12" w:rsidRPr="00665034" w:rsidRDefault="00171C12" w:rsidP="00986700">
            <w:pPr>
              <w:rPr>
                <w:sz w:val="16"/>
                <w:szCs w:val="16"/>
              </w:rPr>
            </w:pPr>
          </w:p>
        </w:tc>
        <w:tc>
          <w:tcPr>
            <w:tcW w:w="3878" w:type="dxa"/>
            <w:hideMark/>
          </w:tcPr>
          <w:p w14:paraId="238740B1" w14:textId="77777777" w:rsidR="00171C12" w:rsidRPr="00665034" w:rsidRDefault="00171C12" w:rsidP="00986700">
            <w:pPr>
              <w:rPr>
                <w:sz w:val="16"/>
                <w:szCs w:val="16"/>
              </w:rPr>
            </w:pPr>
            <w:r w:rsidRPr="00665034">
              <w:rPr>
                <w:sz w:val="16"/>
                <w:szCs w:val="16"/>
              </w:rPr>
              <w:t>Nombre de litiges relatifs à des gTLD et des ccTLD administrés par le Centre au titre des principes UDRP</w:t>
            </w:r>
          </w:p>
        </w:tc>
        <w:tc>
          <w:tcPr>
            <w:tcW w:w="2449" w:type="dxa"/>
            <w:hideMark/>
          </w:tcPr>
          <w:p w14:paraId="16C985B1" w14:textId="77777777" w:rsidR="00171C12" w:rsidRPr="00665034" w:rsidRDefault="00171C12" w:rsidP="00986700">
            <w:pPr>
              <w:jc w:val="center"/>
              <w:rPr>
                <w:sz w:val="16"/>
                <w:szCs w:val="16"/>
              </w:rPr>
            </w:pPr>
            <w:r w:rsidRPr="00665034">
              <w:rPr>
                <w:sz w:val="16"/>
                <w:szCs w:val="16"/>
              </w:rPr>
              <w:t>Programme 7</w:t>
            </w:r>
          </w:p>
        </w:tc>
      </w:tr>
      <w:tr w:rsidR="00171C12" w:rsidRPr="00665034" w14:paraId="2F15645C" w14:textId="77777777" w:rsidTr="00171C12">
        <w:trPr>
          <w:cantSplit/>
        </w:trPr>
        <w:tc>
          <w:tcPr>
            <w:tcW w:w="2960" w:type="dxa"/>
            <w:hideMark/>
          </w:tcPr>
          <w:p w14:paraId="3521D9BD" w14:textId="77777777" w:rsidR="00171C12" w:rsidRPr="00665034" w:rsidRDefault="00171C12" w:rsidP="00986700">
            <w:pPr>
              <w:rPr>
                <w:sz w:val="16"/>
                <w:szCs w:val="16"/>
              </w:rPr>
            </w:pPr>
          </w:p>
        </w:tc>
        <w:tc>
          <w:tcPr>
            <w:tcW w:w="3878" w:type="dxa"/>
            <w:hideMark/>
          </w:tcPr>
          <w:p w14:paraId="6EAAE4B9" w14:textId="77777777" w:rsidR="00171C12" w:rsidRPr="00665034" w:rsidRDefault="00171C12" w:rsidP="00986700">
            <w:pPr>
              <w:rPr>
                <w:sz w:val="16"/>
                <w:szCs w:val="16"/>
              </w:rPr>
            </w:pPr>
            <w:r w:rsidRPr="00665034">
              <w:rPr>
                <w:sz w:val="16"/>
                <w:szCs w:val="16"/>
              </w:rPr>
              <w:t>Politiques de règlement des litiges dans le système des noms de domaine auxquelles le Centre a contribué pour ce qui est de leur élaboration ou de leur appui</w:t>
            </w:r>
          </w:p>
        </w:tc>
        <w:tc>
          <w:tcPr>
            <w:tcW w:w="2449" w:type="dxa"/>
            <w:hideMark/>
          </w:tcPr>
          <w:p w14:paraId="2D158ED6" w14:textId="77777777" w:rsidR="00171C12" w:rsidRPr="00665034" w:rsidRDefault="00171C12" w:rsidP="00986700">
            <w:pPr>
              <w:jc w:val="center"/>
              <w:rPr>
                <w:sz w:val="16"/>
                <w:szCs w:val="16"/>
              </w:rPr>
            </w:pPr>
            <w:r w:rsidRPr="00665034">
              <w:rPr>
                <w:sz w:val="16"/>
                <w:szCs w:val="16"/>
              </w:rPr>
              <w:t>Programme 7</w:t>
            </w:r>
          </w:p>
        </w:tc>
      </w:tr>
      <w:tr w:rsidR="00171C12" w:rsidRPr="00665034" w14:paraId="5BEA6A6F" w14:textId="77777777" w:rsidTr="00171C12">
        <w:trPr>
          <w:cantSplit/>
        </w:trPr>
        <w:tc>
          <w:tcPr>
            <w:tcW w:w="2960" w:type="dxa"/>
            <w:vMerge w:val="restart"/>
          </w:tcPr>
          <w:p w14:paraId="4647FA81" w14:textId="38B827E5" w:rsidR="00171C12" w:rsidRPr="00665034" w:rsidRDefault="00171C12" w:rsidP="00171C12">
            <w:pPr>
              <w:rPr>
                <w:sz w:val="16"/>
                <w:szCs w:val="16"/>
              </w:rPr>
            </w:pPr>
            <w:r w:rsidRPr="00665034">
              <w:rPr>
                <w:sz w:val="16"/>
                <w:szCs w:val="16"/>
              </w:rPr>
              <w:t>II.8 Protection efficace de la propriété intellectuelle dans les gTLD et les ccTLD</w:t>
            </w:r>
          </w:p>
        </w:tc>
        <w:tc>
          <w:tcPr>
            <w:tcW w:w="3878" w:type="dxa"/>
            <w:hideMark/>
          </w:tcPr>
          <w:p w14:paraId="5261FC6E" w14:textId="77777777" w:rsidR="00171C12" w:rsidRPr="00665034" w:rsidRDefault="00171C12" w:rsidP="00986700">
            <w:pPr>
              <w:rPr>
                <w:sz w:val="16"/>
                <w:szCs w:val="16"/>
              </w:rPr>
            </w:pPr>
            <w:r w:rsidRPr="00665034">
              <w:rPr>
                <w:sz w:val="16"/>
                <w:szCs w:val="16"/>
              </w:rPr>
              <w:t>Élargissement de la portée géographique du système de Lisbonne</w:t>
            </w:r>
          </w:p>
        </w:tc>
        <w:tc>
          <w:tcPr>
            <w:tcW w:w="2449" w:type="dxa"/>
            <w:hideMark/>
          </w:tcPr>
          <w:p w14:paraId="141DF270" w14:textId="77777777" w:rsidR="00171C12" w:rsidRPr="00665034" w:rsidRDefault="00171C12" w:rsidP="00986700">
            <w:pPr>
              <w:jc w:val="center"/>
              <w:rPr>
                <w:sz w:val="16"/>
                <w:szCs w:val="16"/>
              </w:rPr>
            </w:pPr>
            <w:r w:rsidRPr="00665034">
              <w:rPr>
                <w:sz w:val="16"/>
                <w:szCs w:val="16"/>
              </w:rPr>
              <w:t>Programme 32</w:t>
            </w:r>
          </w:p>
        </w:tc>
      </w:tr>
      <w:tr w:rsidR="00171C12" w:rsidRPr="00665034" w14:paraId="3DDC9105" w14:textId="77777777" w:rsidTr="00171C12">
        <w:trPr>
          <w:cantSplit/>
        </w:trPr>
        <w:tc>
          <w:tcPr>
            <w:tcW w:w="2960" w:type="dxa"/>
            <w:vMerge/>
            <w:hideMark/>
          </w:tcPr>
          <w:p w14:paraId="4B02038F" w14:textId="77777777" w:rsidR="00171C12" w:rsidRPr="00665034" w:rsidRDefault="00171C12" w:rsidP="00986700">
            <w:pPr>
              <w:rPr>
                <w:sz w:val="16"/>
                <w:szCs w:val="16"/>
              </w:rPr>
            </w:pPr>
          </w:p>
        </w:tc>
        <w:tc>
          <w:tcPr>
            <w:tcW w:w="3878" w:type="dxa"/>
            <w:hideMark/>
          </w:tcPr>
          <w:p w14:paraId="274F599F" w14:textId="77777777" w:rsidR="00171C12" w:rsidRPr="00665034" w:rsidRDefault="00171C12" w:rsidP="00986700">
            <w:pPr>
              <w:rPr>
                <w:sz w:val="16"/>
                <w:szCs w:val="16"/>
              </w:rPr>
            </w:pPr>
            <w:r w:rsidRPr="00665034">
              <w:rPr>
                <w:sz w:val="16"/>
                <w:szCs w:val="16"/>
              </w:rPr>
              <w:t xml:space="preserve">Nombre de demandes internationales et d’autres transactions </w:t>
            </w:r>
          </w:p>
        </w:tc>
        <w:tc>
          <w:tcPr>
            <w:tcW w:w="2449" w:type="dxa"/>
            <w:hideMark/>
          </w:tcPr>
          <w:p w14:paraId="2A2DE5FB" w14:textId="77777777" w:rsidR="00171C12" w:rsidRPr="00665034" w:rsidRDefault="00171C12" w:rsidP="00986700">
            <w:pPr>
              <w:jc w:val="center"/>
              <w:rPr>
                <w:sz w:val="16"/>
                <w:szCs w:val="16"/>
              </w:rPr>
            </w:pPr>
            <w:r w:rsidRPr="00665034">
              <w:rPr>
                <w:sz w:val="16"/>
                <w:szCs w:val="16"/>
              </w:rPr>
              <w:t>Programme 32</w:t>
            </w:r>
          </w:p>
        </w:tc>
      </w:tr>
      <w:tr w:rsidR="00171C12" w:rsidRPr="00665034" w14:paraId="09F19F51" w14:textId="77777777" w:rsidTr="00171C12">
        <w:trPr>
          <w:cantSplit/>
        </w:trPr>
        <w:tc>
          <w:tcPr>
            <w:tcW w:w="2960" w:type="dxa"/>
            <w:hideMark/>
          </w:tcPr>
          <w:p w14:paraId="51B4478E" w14:textId="1E7F985D" w:rsidR="00171C12" w:rsidRPr="00665034" w:rsidRDefault="00171C12" w:rsidP="00986700">
            <w:pPr>
              <w:rPr>
                <w:sz w:val="16"/>
                <w:szCs w:val="16"/>
              </w:rPr>
            </w:pPr>
            <w:r w:rsidRPr="00665034">
              <w:rPr>
                <w:sz w:val="16"/>
                <w:szCs w:val="16"/>
              </w:rPr>
              <w:t>II.9 Utilisation élargie et plus efficace du système de Lisbonne, notamment par les pays en développement et les PMA</w:t>
            </w:r>
          </w:p>
        </w:tc>
        <w:tc>
          <w:tcPr>
            <w:tcW w:w="3878" w:type="dxa"/>
            <w:hideMark/>
          </w:tcPr>
          <w:p w14:paraId="0C29EB28" w14:textId="77777777" w:rsidR="00171C12" w:rsidRPr="00665034" w:rsidRDefault="00171C12" w:rsidP="00986700">
            <w:pPr>
              <w:rPr>
                <w:sz w:val="16"/>
                <w:szCs w:val="16"/>
              </w:rPr>
            </w:pPr>
            <w:r w:rsidRPr="00665034">
              <w:rPr>
                <w:sz w:val="16"/>
                <w:szCs w:val="16"/>
              </w:rPr>
              <w:t xml:space="preserve">Nombre d’enregistrements internationaux en vigueur en vertu du système de Lisbonne concernant des pays en développement et des PMA </w:t>
            </w:r>
          </w:p>
        </w:tc>
        <w:tc>
          <w:tcPr>
            <w:tcW w:w="2449" w:type="dxa"/>
            <w:hideMark/>
          </w:tcPr>
          <w:p w14:paraId="3F2F0578" w14:textId="77777777" w:rsidR="00171C12" w:rsidRPr="00665034" w:rsidRDefault="00171C12" w:rsidP="00986700">
            <w:pPr>
              <w:jc w:val="center"/>
              <w:rPr>
                <w:sz w:val="16"/>
                <w:szCs w:val="16"/>
              </w:rPr>
            </w:pPr>
            <w:r w:rsidRPr="00665034">
              <w:rPr>
                <w:sz w:val="16"/>
                <w:szCs w:val="16"/>
              </w:rPr>
              <w:t>Programme 32</w:t>
            </w:r>
          </w:p>
        </w:tc>
      </w:tr>
      <w:tr w:rsidR="00171C12" w:rsidRPr="00665034" w14:paraId="7043EC56" w14:textId="77777777" w:rsidTr="00171C12">
        <w:trPr>
          <w:cantSplit/>
        </w:trPr>
        <w:tc>
          <w:tcPr>
            <w:tcW w:w="2960" w:type="dxa"/>
            <w:hideMark/>
          </w:tcPr>
          <w:p w14:paraId="1579AE49" w14:textId="77777777" w:rsidR="00171C12" w:rsidRPr="00665034" w:rsidRDefault="00171C12" w:rsidP="00986700">
            <w:pPr>
              <w:rPr>
                <w:sz w:val="16"/>
                <w:szCs w:val="16"/>
              </w:rPr>
            </w:pPr>
            <w:r w:rsidRPr="00665034">
              <w:rPr>
                <w:sz w:val="16"/>
                <w:szCs w:val="16"/>
              </w:rPr>
              <w:t>II.10 Amélioration de la productivité et de la qualité de service des opérations du système de Lisbonne</w:t>
            </w:r>
          </w:p>
        </w:tc>
        <w:tc>
          <w:tcPr>
            <w:tcW w:w="3878" w:type="dxa"/>
            <w:hideMark/>
          </w:tcPr>
          <w:p w14:paraId="781FE169" w14:textId="77777777" w:rsidR="00171C12" w:rsidRPr="00665034" w:rsidRDefault="00171C12" w:rsidP="00986700">
            <w:pPr>
              <w:rPr>
                <w:sz w:val="16"/>
                <w:szCs w:val="16"/>
              </w:rPr>
            </w:pPr>
            <w:r w:rsidRPr="00665034">
              <w:rPr>
                <w:sz w:val="16"/>
                <w:szCs w:val="16"/>
              </w:rPr>
              <w:t>Progrès accomplis en vue de l’amélioration du cadre juridique</w:t>
            </w:r>
          </w:p>
        </w:tc>
        <w:tc>
          <w:tcPr>
            <w:tcW w:w="2449" w:type="dxa"/>
            <w:hideMark/>
          </w:tcPr>
          <w:p w14:paraId="7A177081" w14:textId="77777777" w:rsidR="00171C12" w:rsidRPr="00665034" w:rsidRDefault="00171C12" w:rsidP="00986700">
            <w:pPr>
              <w:jc w:val="center"/>
              <w:rPr>
                <w:sz w:val="16"/>
                <w:szCs w:val="16"/>
              </w:rPr>
            </w:pPr>
            <w:r w:rsidRPr="00665034">
              <w:rPr>
                <w:sz w:val="16"/>
                <w:szCs w:val="16"/>
              </w:rPr>
              <w:t>Programme 32</w:t>
            </w:r>
          </w:p>
        </w:tc>
      </w:tr>
      <w:tr w:rsidR="00171C12" w:rsidRPr="00665034" w14:paraId="4EC642C6" w14:textId="77777777" w:rsidTr="00171C12">
        <w:trPr>
          <w:cantSplit/>
        </w:trPr>
        <w:tc>
          <w:tcPr>
            <w:tcW w:w="2960" w:type="dxa"/>
            <w:hideMark/>
          </w:tcPr>
          <w:p w14:paraId="78CE9999" w14:textId="77777777" w:rsidR="00171C12" w:rsidRPr="00665034" w:rsidRDefault="00171C12" w:rsidP="00986700">
            <w:pPr>
              <w:rPr>
                <w:sz w:val="16"/>
                <w:szCs w:val="16"/>
              </w:rPr>
            </w:pPr>
          </w:p>
        </w:tc>
        <w:tc>
          <w:tcPr>
            <w:tcW w:w="3878" w:type="dxa"/>
            <w:hideMark/>
          </w:tcPr>
          <w:p w14:paraId="28E77440" w14:textId="77777777" w:rsidR="00171C12" w:rsidRPr="00665034" w:rsidRDefault="00171C12" w:rsidP="00986700">
            <w:pPr>
              <w:rPr>
                <w:sz w:val="16"/>
                <w:szCs w:val="16"/>
              </w:rPr>
            </w:pPr>
            <w:r w:rsidRPr="00665034">
              <w:rPr>
                <w:sz w:val="16"/>
                <w:szCs w:val="16"/>
              </w:rPr>
              <w:t>Amélioration du fonctionnement du système d’enregistrement de Lisbonne, y compris des processus et procédures électroniques</w:t>
            </w:r>
          </w:p>
        </w:tc>
        <w:tc>
          <w:tcPr>
            <w:tcW w:w="2449" w:type="dxa"/>
            <w:hideMark/>
          </w:tcPr>
          <w:p w14:paraId="526383DB" w14:textId="77777777" w:rsidR="00171C12" w:rsidRPr="00665034" w:rsidRDefault="00171C12" w:rsidP="00986700">
            <w:pPr>
              <w:jc w:val="center"/>
              <w:rPr>
                <w:sz w:val="16"/>
                <w:szCs w:val="16"/>
              </w:rPr>
            </w:pPr>
            <w:r w:rsidRPr="00665034">
              <w:rPr>
                <w:sz w:val="16"/>
                <w:szCs w:val="16"/>
              </w:rPr>
              <w:t>Programme 32</w:t>
            </w:r>
          </w:p>
        </w:tc>
      </w:tr>
    </w:tbl>
    <w:p w14:paraId="26FC7415" w14:textId="77777777" w:rsidR="00DF040C" w:rsidRPr="00665034" w:rsidRDefault="00DF040C" w:rsidP="00986700">
      <w:pPr>
        <w:rPr>
          <w:sz w:val="16"/>
          <w:szCs w:val="16"/>
        </w:rPr>
      </w:pPr>
    </w:p>
    <w:p w14:paraId="567BC89B" w14:textId="77777777" w:rsidR="00DF040C" w:rsidRDefault="00DF040C" w:rsidP="00986700">
      <w:pPr>
        <w:rPr>
          <w:b/>
          <w:caps/>
          <w:sz w:val="22"/>
        </w:rPr>
      </w:pPr>
      <w:r>
        <w:br w:type="page"/>
      </w:r>
    </w:p>
    <w:p w14:paraId="11FF1121" w14:textId="3DFE0E6A" w:rsidR="0010526D" w:rsidRPr="0010526D" w:rsidRDefault="0010526D" w:rsidP="00986700">
      <w:pPr>
        <w:pStyle w:val="Heading2"/>
      </w:pPr>
      <w:bookmarkStart w:id="30" w:name="_Toc482979477"/>
      <w:r w:rsidRPr="0010526D">
        <w:lastRenderedPageBreak/>
        <w:t>Programme 5</w:t>
      </w:r>
      <w:r w:rsidRPr="0010526D">
        <w:tab/>
        <w:t>Système du PCT</w:t>
      </w:r>
      <w:bookmarkEnd w:id="30"/>
    </w:p>
    <w:p w14:paraId="0140DF48" w14:textId="77777777" w:rsidR="0010526D" w:rsidRPr="00620D81" w:rsidRDefault="0010526D" w:rsidP="00986700">
      <w:pPr>
        <w:pStyle w:val="StyleHeading3ComplexItalic"/>
        <w:rPr>
          <w:rStyle w:val="StyleStyleHeading3ComplexItalicLatin12ptChar"/>
          <w:rFonts w:asciiTheme="minorBidi" w:eastAsia="SimSun" w:hAnsiTheme="minorBidi" w:cstheme="minorBidi"/>
          <w:szCs w:val="20"/>
        </w:rPr>
      </w:pPr>
    </w:p>
    <w:p w14:paraId="30C27ACA" w14:textId="77777777" w:rsidR="0010526D" w:rsidRPr="00620D81" w:rsidRDefault="0010526D" w:rsidP="00986700">
      <w:pPr>
        <w:pStyle w:val="StyleHeading3ComplexItalic"/>
        <w:rPr>
          <w:rStyle w:val="StyleStyleHeading3ComplexItalicLatin12ptChar"/>
          <w:rFonts w:asciiTheme="minorBidi" w:eastAsia="SimSun" w:hAnsiTheme="minorBidi" w:cstheme="minorBidi"/>
          <w:szCs w:val="20"/>
        </w:rPr>
      </w:pPr>
    </w:p>
    <w:tbl>
      <w:tblPr>
        <w:tblW w:w="5000" w:type="pct"/>
        <w:tblCellMar>
          <w:top w:w="57" w:type="dxa"/>
          <w:bottom w:w="57" w:type="dxa"/>
        </w:tblCellMar>
        <w:tblLook w:val="01E0" w:firstRow="1" w:lastRow="1" w:firstColumn="1" w:lastColumn="1" w:noHBand="0" w:noVBand="0"/>
      </w:tblPr>
      <w:tblGrid>
        <w:gridCol w:w="9287"/>
      </w:tblGrid>
      <w:tr w:rsidR="0010526D" w:rsidRPr="00620D81" w14:paraId="40ECEE19" w14:textId="77777777" w:rsidTr="00D03C58">
        <w:trPr>
          <w:cantSplit/>
        </w:trPr>
        <w:tc>
          <w:tcPr>
            <w:tcW w:w="9287" w:type="dxa"/>
            <w:shd w:val="clear" w:color="auto" w:fill="C6D9F1" w:themeFill="text2" w:themeFillTint="33"/>
            <w:vAlign w:val="center"/>
          </w:tcPr>
          <w:p w14:paraId="2FED629D" w14:textId="77777777" w:rsidR="0010526D" w:rsidRPr="00620D81" w:rsidRDefault="0010526D" w:rsidP="00986700">
            <w:pPr>
              <w:keepNext/>
              <w:keepLines/>
              <w:jc w:val="center"/>
              <w:rPr>
                <w:rFonts w:asciiTheme="minorBidi" w:eastAsia="Times New Roman" w:hAnsiTheme="minorBidi"/>
                <w:b/>
                <w:bCs/>
                <w:szCs w:val="20"/>
                <w:lang w:eastAsia="en-US"/>
              </w:rPr>
            </w:pPr>
            <w:r w:rsidRPr="00620D81">
              <w:rPr>
                <w:rFonts w:asciiTheme="minorBidi" w:eastAsia="Times New Roman" w:hAnsiTheme="minorBidi"/>
                <w:b/>
                <w:bCs/>
                <w:szCs w:val="20"/>
                <w:lang w:eastAsia="en-US"/>
              </w:rPr>
              <w:t>Stratégies de mise en œuvre</w:t>
            </w:r>
          </w:p>
        </w:tc>
      </w:tr>
    </w:tbl>
    <w:p w14:paraId="5C771B18" w14:textId="27DC8B22" w:rsidR="0010526D" w:rsidRPr="00620D81" w:rsidRDefault="0010526D" w:rsidP="00986700">
      <w:pPr>
        <w:jc w:val="both"/>
        <w:rPr>
          <w:rFonts w:asciiTheme="minorBidi" w:hAnsiTheme="minorBidi"/>
          <w:szCs w:val="20"/>
        </w:rPr>
      </w:pPr>
    </w:p>
    <w:p w14:paraId="6057606D" w14:textId="1362CEB1"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Améliorer les caractéristiques actuelles du système du PCT, notamment au regard du partage des tâches entre les offices, grâce à des efforts sur le plan des procédures et au niveau des institutions en vue de renforcer l’efficacité du système et de faire en sorte que le traitement dans la phase internationale appuie effectivement le traitement dans la phase nationale;</w:t>
      </w:r>
    </w:p>
    <w:p w14:paraId="131B2758" w14:textId="77777777" w:rsidR="0010526D" w:rsidRPr="00620D81" w:rsidRDefault="0010526D" w:rsidP="00986700">
      <w:pPr>
        <w:ind w:left="567" w:hanging="567"/>
        <w:jc w:val="both"/>
        <w:rPr>
          <w:rFonts w:asciiTheme="minorBidi" w:hAnsiTheme="minorBidi"/>
          <w:szCs w:val="20"/>
        </w:rPr>
      </w:pPr>
    </w:p>
    <w:p w14:paraId="13C1041B" w14:textId="50A00523" w:rsidR="0010526D" w:rsidRPr="00620D81" w:rsidRDefault="00BA7527" w:rsidP="00616FD3">
      <w:pPr>
        <w:pStyle w:val="ListParagraph"/>
        <w:numPr>
          <w:ilvl w:val="0"/>
          <w:numId w:val="27"/>
        </w:numPr>
        <w:ind w:left="567" w:hanging="567"/>
        <w:jc w:val="both"/>
        <w:rPr>
          <w:rFonts w:asciiTheme="minorBidi" w:hAnsiTheme="minorBidi"/>
          <w:szCs w:val="20"/>
        </w:rPr>
      </w:pPr>
      <w:r w:rsidRPr="00D03C58">
        <w:rPr>
          <w:noProof/>
          <w:lang w:val="en-US" w:eastAsia="en-US"/>
        </w:rPr>
        <w:drawing>
          <wp:anchor distT="0" distB="0" distL="114300" distR="114300" simplePos="0" relativeHeight="251662336" behindDoc="1" locked="0" layoutInCell="1" allowOverlap="1" wp14:anchorId="05ECA5FF" wp14:editId="25F1E955">
            <wp:simplePos x="0" y="0"/>
            <wp:positionH relativeFrom="column">
              <wp:posOffset>4617720</wp:posOffset>
            </wp:positionH>
            <wp:positionV relativeFrom="paragraph">
              <wp:posOffset>327660</wp:posOffset>
            </wp:positionV>
            <wp:extent cx="1335405" cy="3365500"/>
            <wp:effectExtent l="0" t="0" r="0" b="6350"/>
            <wp:wrapTight wrapText="bothSides">
              <wp:wrapPolygon edited="0">
                <wp:start x="10476" y="0"/>
                <wp:lineTo x="8320" y="367"/>
                <wp:lineTo x="4930" y="1589"/>
                <wp:lineTo x="4930" y="2201"/>
                <wp:lineTo x="5238" y="3912"/>
                <wp:lineTo x="3081" y="4279"/>
                <wp:lineTo x="0" y="5502"/>
                <wp:lineTo x="0" y="8314"/>
                <wp:lineTo x="4314" y="9781"/>
                <wp:lineTo x="5546" y="9781"/>
                <wp:lineTo x="4930" y="11737"/>
                <wp:lineTo x="3081" y="12104"/>
                <wp:lineTo x="0" y="13327"/>
                <wp:lineTo x="0" y="16139"/>
                <wp:lineTo x="4314" y="17606"/>
                <wp:lineTo x="5546" y="17606"/>
                <wp:lineTo x="4930" y="18462"/>
                <wp:lineTo x="4930" y="20051"/>
                <wp:lineTo x="9860" y="21518"/>
                <wp:lineTo x="11401" y="21518"/>
                <wp:lineTo x="15098" y="21518"/>
                <wp:lineTo x="16639" y="21518"/>
                <wp:lineTo x="21261" y="20051"/>
                <wp:lineTo x="21261" y="17239"/>
                <wp:lineTo x="18488" y="16139"/>
                <wp:lineTo x="16639" y="15650"/>
                <wp:lineTo x="15715" y="13694"/>
                <wp:lineTo x="16947" y="13694"/>
                <wp:lineTo x="21261" y="12226"/>
                <wp:lineTo x="21261" y="9414"/>
                <wp:lineTo x="18180" y="8192"/>
                <wp:lineTo x="16023" y="7825"/>
                <wp:lineTo x="17255" y="5869"/>
                <wp:lineTo x="21261" y="4279"/>
                <wp:lineTo x="21261" y="1589"/>
                <wp:lineTo x="17872" y="367"/>
                <wp:lineTo x="15715" y="0"/>
                <wp:lineTo x="10476" y="0"/>
              </wp:wrapPolygon>
            </wp:wrapTight>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5405"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6D" w:rsidRPr="00620D81">
        <w:rPr>
          <w:rFonts w:asciiTheme="minorBidi" w:hAnsiTheme="minorBidi"/>
          <w:szCs w:val="20"/>
        </w:rPr>
        <w:t>Promouvoir une coopération fructueuse entre les offices et le Bureau international afin d’exploiter pleinement le potentiel des outils et services du système ePCT, dans la perspective d’une interaction plus efficace et de meilleure qualité des participants avec le système du PCT, et d’améliorer les exigences en matière de sécurité, indépendamment des capacités dans le domaine informatique des offices nationaux agissant en qualité d’office récepteur ou d’administration internationale;</w:t>
      </w:r>
    </w:p>
    <w:p w14:paraId="6EC74EEE" w14:textId="77777777" w:rsidR="0010526D" w:rsidRPr="00620D81" w:rsidRDefault="0010526D" w:rsidP="00986700">
      <w:pPr>
        <w:ind w:left="567" w:hanging="567"/>
        <w:jc w:val="both"/>
        <w:rPr>
          <w:rFonts w:asciiTheme="minorBidi" w:hAnsiTheme="minorBidi"/>
          <w:szCs w:val="20"/>
        </w:rPr>
      </w:pPr>
    </w:p>
    <w:p w14:paraId="6F2BF978"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Veiller à ce que les procédures de l’ensemble des offices (office récepteur, administration internationale et Bureau international) demeurent efficaces et produisent des résultats précis en temps voulu, de sorte qu’il soit possible de s’y fier lors des étapes postérieures du traitement des demandes dans les phases internationale et nationale;</w:t>
      </w:r>
    </w:p>
    <w:p w14:paraId="050E57EC" w14:textId="77777777" w:rsidR="0010526D" w:rsidRPr="00620D81" w:rsidRDefault="0010526D" w:rsidP="00986700">
      <w:pPr>
        <w:ind w:left="567" w:hanging="567"/>
        <w:jc w:val="both"/>
        <w:rPr>
          <w:rFonts w:asciiTheme="minorBidi" w:hAnsiTheme="minorBidi"/>
          <w:szCs w:val="20"/>
        </w:rPr>
      </w:pPr>
    </w:p>
    <w:p w14:paraId="124FBECC"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Aider les administrations internationales à améliorer la qualité et le respect des délais en ce qui concerne le produit de leurs activités, notamment l’élaboration d’indicateurs de qualité et la réalisation d’enquêtes sur la recherche et l’examen en collaboration des demandes selon le PCT;</w:t>
      </w:r>
    </w:p>
    <w:p w14:paraId="18574538" w14:textId="77777777" w:rsidR="0010526D" w:rsidRPr="00620D81" w:rsidRDefault="0010526D" w:rsidP="00986700">
      <w:pPr>
        <w:ind w:left="567" w:hanging="567"/>
        <w:jc w:val="both"/>
        <w:rPr>
          <w:rFonts w:asciiTheme="minorBidi" w:hAnsiTheme="minorBidi"/>
          <w:szCs w:val="20"/>
        </w:rPr>
      </w:pPr>
    </w:p>
    <w:p w14:paraId="67073628"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Continuer d’explorer de nouveaux moyens d’améliorer le système du PCT, tout en appliquant des mesures précises déjà approuvées par les États membres;</w:t>
      </w:r>
    </w:p>
    <w:p w14:paraId="1AB57AF2" w14:textId="77777777" w:rsidR="0010526D" w:rsidRPr="00620D81" w:rsidRDefault="0010526D" w:rsidP="00986700">
      <w:pPr>
        <w:ind w:left="567" w:hanging="567"/>
        <w:jc w:val="both"/>
        <w:rPr>
          <w:rFonts w:asciiTheme="minorBidi" w:hAnsiTheme="minorBidi"/>
          <w:szCs w:val="20"/>
        </w:rPr>
      </w:pPr>
    </w:p>
    <w:p w14:paraId="3F3A444C"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Renforcer la communication avec toutes les parties prenantes et les clients du PCT, au moyen d’enquêtes et d’actions d’information, afin de recenser les besoins et de renforcer l’efficacité des services du PCT;</w:t>
      </w:r>
    </w:p>
    <w:p w14:paraId="395ADBCB" w14:textId="77777777" w:rsidR="0010526D" w:rsidRPr="00620D81" w:rsidRDefault="0010526D" w:rsidP="00986700">
      <w:pPr>
        <w:ind w:left="567" w:hanging="567"/>
        <w:jc w:val="both"/>
        <w:rPr>
          <w:rFonts w:asciiTheme="minorBidi" w:hAnsiTheme="minorBidi"/>
          <w:szCs w:val="20"/>
        </w:rPr>
      </w:pPr>
    </w:p>
    <w:p w14:paraId="6DAEDFD2" w14:textId="0250FAE8"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Dispenser une formation aux utilisateurs du PCT</w:t>
      </w:r>
      <w:r w:rsidR="00AE7435">
        <w:rPr>
          <w:rFonts w:asciiTheme="minorBidi" w:hAnsiTheme="minorBidi"/>
          <w:szCs w:val="20"/>
        </w:rPr>
        <w:t>, notamment au moyen de séminaires sur le Web et de vidéoconférences</w:t>
      </w:r>
      <w:r w:rsidRPr="00620D81">
        <w:rPr>
          <w:rFonts w:asciiTheme="minorBidi" w:hAnsiTheme="minorBidi"/>
          <w:szCs w:val="20"/>
        </w:rPr>
        <w:t>;</w:t>
      </w:r>
    </w:p>
    <w:p w14:paraId="68CD7CC3" w14:textId="77777777" w:rsidR="0010526D" w:rsidRPr="00620D81" w:rsidRDefault="0010526D" w:rsidP="00986700">
      <w:pPr>
        <w:ind w:left="567" w:hanging="567"/>
        <w:jc w:val="both"/>
        <w:rPr>
          <w:rFonts w:asciiTheme="minorBidi" w:hAnsiTheme="minorBidi"/>
          <w:szCs w:val="20"/>
        </w:rPr>
      </w:pPr>
    </w:p>
    <w:p w14:paraId="2E384040" w14:textId="77777777" w:rsidR="0010526D"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Renforcer davantage la résilience et les niveaux de sécurité de l’infrastructure des TIC appuyant les systèmes informatiques et opérationnels du PCT en collaboration avec le programme 25 (TIC);</w:t>
      </w:r>
    </w:p>
    <w:p w14:paraId="57A0F82C" w14:textId="77777777" w:rsidR="0056581C" w:rsidRDefault="0056581C" w:rsidP="0056581C">
      <w:pPr>
        <w:pStyle w:val="ListParagraph"/>
        <w:ind w:left="567"/>
        <w:jc w:val="both"/>
        <w:rPr>
          <w:rFonts w:asciiTheme="minorBidi" w:hAnsiTheme="minorBidi"/>
          <w:szCs w:val="20"/>
        </w:rPr>
      </w:pPr>
    </w:p>
    <w:p w14:paraId="4D4B2A42" w14:textId="29088E00" w:rsidR="0056581C" w:rsidRPr="00620D81" w:rsidRDefault="0056581C" w:rsidP="00616FD3">
      <w:pPr>
        <w:pStyle w:val="ListParagraph"/>
        <w:numPr>
          <w:ilvl w:val="0"/>
          <w:numId w:val="27"/>
        </w:numPr>
        <w:ind w:left="567" w:hanging="567"/>
        <w:jc w:val="both"/>
        <w:rPr>
          <w:rFonts w:asciiTheme="minorBidi" w:hAnsiTheme="minorBidi"/>
          <w:szCs w:val="20"/>
        </w:rPr>
      </w:pPr>
      <w:r w:rsidRPr="00E0439D">
        <w:t>Continuer d’aligner les compétences du personnel sur les besoins, notamment en vue de satisfaire la demande linguistique et géographique en constante évolution;</w:t>
      </w:r>
    </w:p>
    <w:p w14:paraId="3F0590F2" w14:textId="77777777" w:rsidR="0010526D" w:rsidRPr="00620D81" w:rsidRDefault="0010526D" w:rsidP="00986700">
      <w:pPr>
        <w:ind w:left="567" w:hanging="567"/>
        <w:jc w:val="both"/>
        <w:rPr>
          <w:rFonts w:asciiTheme="minorBidi" w:hAnsiTheme="minorBidi"/>
          <w:szCs w:val="20"/>
        </w:rPr>
      </w:pPr>
    </w:p>
    <w:p w14:paraId="53966882"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Poursuivre l’automatisation, la rationalisation des procédures et l’amélioration de la gestion en vue de renforcer la productivité et la qualité de service des opérations du système du PCT;</w:t>
      </w:r>
    </w:p>
    <w:p w14:paraId="4C341FD6" w14:textId="77777777" w:rsidR="0010526D" w:rsidRPr="00620D81" w:rsidRDefault="0010526D" w:rsidP="00986700">
      <w:pPr>
        <w:ind w:left="567" w:hanging="567"/>
        <w:jc w:val="both"/>
        <w:rPr>
          <w:rFonts w:asciiTheme="minorBidi" w:hAnsiTheme="minorBidi"/>
          <w:szCs w:val="20"/>
        </w:rPr>
      </w:pPr>
    </w:p>
    <w:p w14:paraId="06B64211" w14:textId="77777777" w:rsidR="0010526D" w:rsidRPr="00620D81"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Déployer des efforts afin de renforcer les synergies entre les différents systèmes informatiques des systèmes mondiaux de propriété intellectuelle;</w:t>
      </w:r>
    </w:p>
    <w:p w14:paraId="19113A2E" w14:textId="77777777" w:rsidR="0010526D" w:rsidRPr="00620D81" w:rsidRDefault="0010526D" w:rsidP="00986700">
      <w:pPr>
        <w:ind w:left="567" w:hanging="567"/>
        <w:jc w:val="both"/>
        <w:rPr>
          <w:rFonts w:asciiTheme="minorBidi" w:hAnsiTheme="minorBidi"/>
          <w:szCs w:val="20"/>
        </w:rPr>
      </w:pPr>
    </w:p>
    <w:p w14:paraId="44F1AC6F" w14:textId="77777777" w:rsidR="0010526D" w:rsidRDefault="0010526D" w:rsidP="00616FD3">
      <w:pPr>
        <w:pStyle w:val="ListParagraph"/>
        <w:numPr>
          <w:ilvl w:val="0"/>
          <w:numId w:val="27"/>
        </w:numPr>
        <w:ind w:left="567" w:hanging="567"/>
        <w:jc w:val="both"/>
        <w:rPr>
          <w:rFonts w:asciiTheme="minorBidi" w:hAnsiTheme="minorBidi"/>
          <w:szCs w:val="20"/>
        </w:rPr>
      </w:pPr>
      <w:r w:rsidRPr="00620D81">
        <w:rPr>
          <w:rFonts w:asciiTheme="minorBidi" w:hAnsiTheme="minorBidi"/>
          <w:szCs w:val="20"/>
        </w:rPr>
        <w:t>Mettre en œuvre des procédures d’achat s’inscrivant dans une démarche volontariste et adopter rapidement les nouvelles technologies, afin de limiter l’augmentation des coûts de traduction</w:t>
      </w:r>
      <w:r>
        <w:rPr>
          <w:rFonts w:asciiTheme="minorBidi" w:hAnsiTheme="minorBidi"/>
          <w:szCs w:val="20"/>
        </w:rPr>
        <w:t>.</w:t>
      </w:r>
    </w:p>
    <w:p w14:paraId="220189C1" w14:textId="77777777" w:rsidR="0056581C" w:rsidRDefault="0056581C" w:rsidP="0056581C">
      <w:pPr>
        <w:pStyle w:val="ListParagraph"/>
        <w:ind w:left="567"/>
        <w:jc w:val="both"/>
        <w:rPr>
          <w:rFonts w:asciiTheme="minorBidi" w:hAnsiTheme="minorBidi"/>
          <w:szCs w:val="20"/>
        </w:rPr>
      </w:pPr>
    </w:p>
    <w:p w14:paraId="69E8C604" w14:textId="59564B84" w:rsidR="0056581C" w:rsidRPr="00620D81" w:rsidRDefault="0056581C" w:rsidP="00616FD3">
      <w:pPr>
        <w:pStyle w:val="ListParagraph"/>
        <w:numPr>
          <w:ilvl w:val="0"/>
          <w:numId w:val="27"/>
        </w:numPr>
        <w:ind w:left="567" w:hanging="567"/>
        <w:jc w:val="both"/>
        <w:rPr>
          <w:rFonts w:asciiTheme="minorBidi" w:hAnsiTheme="minorBidi"/>
          <w:szCs w:val="20"/>
        </w:rPr>
      </w:pPr>
      <w:r w:rsidRPr="00E0439D">
        <w:t>Poursuivre la coopération avec d’autres programmes en matière d’assistance technique et de renforcement des capacités dans le domaine du PCT pour les pays en développement et les pays les moins avancés.</w:t>
      </w:r>
    </w:p>
    <w:p w14:paraId="38490548" w14:textId="77777777" w:rsidR="0010526D" w:rsidRPr="00620D81" w:rsidRDefault="0010526D" w:rsidP="00986700">
      <w:pPr>
        <w:jc w:val="both"/>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9287"/>
      </w:tblGrid>
      <w:tr w:rsidR="0010526D" w:rsidRPr="00620D81" w14:paraId="02AD9AA4" w14:textId="77777777" w:rsidTr="0010526D">
        <w:trPr>
          <w:cantSplit/>
        </w:trPr>
        <w:tc>
          <w:tcPr>
            <w:tcW w:w="9571" w:type="dxa"/>
            <w:shd w:val="clear" w:color="auto" w:fill="C6D9F1" w:themeFill="text2" w:themeFillTint="33"/>
            <w:vAlign w:val="center"/>
          </w:tcPr>
          <w:p w14:paraId="49F2CCF4" w14:textId="37223CEB" w:rsidR="0010526D" w:rsidRPr="00620D81" w:rsidRDefault="0010526D" w:rsidP="00171C12">
            <w:pPr>
              <w:keepNext/>
              <w:keepLines/>
              <w:jc w:val="center"/>
              <w:rPr>
                <w:rFonts w:asciiTheme="minorBidi" w:eastAsia="Times New Roman" w:hAnsiTheme="minorBidi"/>
                <w:b/>
                <w:bCs/>
                <w:szCs w:val="20"/>
                <w:lang w:eastAsia="en-US"/>
              </w:rPr>
            </w:pPr>
            <w:r w:rsidRPr="00620D81">
              <w:rPr>
                <w:rFonts w:asciiTheme="minorBidi" w:hAnsiTheme="minorBidi"/>
                <w:b/>
                <w:szCs w:val="20"/>
              </w:rPr>
              <w:lastRenderedPageBreak/>
              <w:t xml:space="preserve">Collaboration interprogrammes </w:t>
            </w:r>
          </w:p>
        </w:tc>
      </w:tr>
    </w:tbl>
    <w:p w14:paraId="59122B91" w14:textId="77777777" w:rsidR="0010526D" w:rsidRPr="00620D81" w:rsidRDefault="0010526D" w:rsidP="005A64E3">
      <w:pPr>
        <w:keepNext/>
        <w:jc w:val="both"/>
        <w:rPr>
          <w:rFonts w:asciiTheme="minorBidi" w:hAnsiTheme="minorBidi"/>
          <w:szCs w:val="20"/>
        </w:rPr>
      </w:pPr>
    </w:p>
    <w:p w14:paraId="291E370A" w14:textId="72648D41" w:rsidR="0010526D" w:rsidRPr="00620D81" w:rsidRDefault="005A64E3" w:rsidP="005A64E3">
      <w:pPr>
        <w:jc w:val="center"/>
        <w:rPr>
          <w:rFonts w:asciiTheme="minorBidi" w:hAnsiTheme="minorBidi"/>
          <w:szCs w:val="20"/>
        </w:rPr>
      </w:pPr>
      <w:r w:rsidRPr="005A64E3">
        <w:rPr>
          <w:noProof/>
          <w:lang w:val="en-US" w:eastAsia="en-US"/>
        </w:rPr>
        <w:drawing>
          <wp:inline distT="0" distB="0" distL="0" distR="0" wp14:anchorId="5374BDBB" wp14:editId="04977FF4">
            <wp:extent cx="3641923" cy="3600000"/>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1923" cy="3600000"/>
                    </a:xfrm>
                    <a:prstGeom prst="rect">
                      <a:avLst/>
                    </a:prstGeom>
                    <a:noFill/>
                    <a:ln>
                      <a:noFill/>
                    </a:ln>
                  </pic:spPr>
                </pic:pic>
              </a:graphicData>
            </a:graphic>
          </wp:inline>
        </w:drawing>
      </w:r>
    </w:p>
    <w:p w14:paraId="306F5CAD" w14:textId="77777777" w:rsidR="0010526D" w:rsidRPr="00620D81" w:rsidRDefault="0010526D" w:rsidP="00986700">
      <w:pPr>
        <w:jc w:val="both"/>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4649"/>
        <w:gridCol w:w="4638"/>
      </w:tblGrid>
      <w:tr w:rsidR="0010526D" w:rsidRPr="00620D81" w14:paraId="61872517" w14:textId="77777777" w:rsidTr="0010526D">
        <w:trPr>
          <w:cantSplit/>
        </w:trPr>
        <w:tc>
          <w:tcPr>
            <w:tcW w:w="4785" w:type="dxa"/>
            <w:shd w:val="clear" w:color="auto" w:fill="C6D9F1" w:themeFill="text2" w:themeFillTint="33"/>
            <w:tcMar>
              <w:top w:w="57" w:type="dxa"/>
            </w:tcMar>
            <w:vAlign w:val="center"/>
          </w:tcPr>
          <w:p w14:paraId="3B431324" w14:textId="77777777" w:rsidR="0010526D" w:rsidRPr="00620D81" w:rsidRDefault="0010526D" w:rsidP="00986700">
            <w:pPr>
              <w:keepNext/>
              <w:keepLines/>
              <w:jc w:val="center"/>
              <w:rPr>
                <w:rFonts w:asciiTheme="minorBidi" w:hAnsiTheme="minorBidi"/>
                <w:b/>
                <w:bCs/>
                <w:sz w:val="18"/>
                <w:szCs w:val="18"/>
              </w:rPr>
            </w:pPr>
            <w:r w:rsidRPr="00620D81">
              <w:rPr>
                <w:rFonts w:cs="Arial"/>
                <w:b/>
                <w:bCs/>
                <w:sz w:val="18"/>
                <w:szCs w:val="18"/>
              </w:rPr>
              <w:t>Risques</w:t>
            </w:r>
          </w:p>
        </w:tc>
        <w:tc>
          <w:tcPr>
            <w:tcW w:w="4786" w:type="dxa"/>
            <w:shd w:val="clear" w:color="auto" w:fill="C6D9F1" w:themeFill="text2" w:themeFillTint="33"/>
            <w:tcMar>
              <w:top w:w="57" w:type="dxa"/>
            </w:tcMar>
            <w:vAlign w:val="center"/>
          </w:tcPr>
          <w:p w14:paraId="1742320F" w14:textId="77777777" w:rsidR="0010526D" w:rsidRPr="00620D81" w:rsidRDefault="0010526D" w:rsidP="00986700">
            <w:pPr>
              <w:keepNext/>
              <w:keepLines/>
              <w:jc w:val="center"/>
              <w:rPr>
                <w:rFonts w:asciiTheme="minorBidi" w:hAnsiTheme="minorBidi"/>
                <w:b/>
                <w:bCs/>
                <w:sz w:val="18"/>
                <w:szCs w:val="18"/>
              </w:rPr>
            </w:pPr>
            <w:r w:rsidRPr="00620D81">
              <w:rPr>
                <w:rFonts w:cs="Arial"/>
                <w:b/>
                <w:bCs/>
                <w:sz w:val="18"/>
                <w:szCs w:val="18"/>
              </w:rPr>
              <w:t>Mesures d’atténuation</w:t>
            </w:r>
          </w:p>
        </w:tc>
      </w:tr>
      <w:tr w:rsidR="0010526D" w:rsidRPr="00620D81" w14:paraId="273F1A55" w14:textId="77777777" w:rsidTr="0010526D">
        <w:trPr>
          <w:cantSplit/>
        </w:trPr>
        <w:tc>
          <w:tcPr>
            <w:tcW w:w="4785" w:type="dxa"/>
            <w:shd w:val="clear" w:color="auto" w:fill="auto"/>
            <w:tcMar>
              <w:top w:w="57" w:type="dxa"/>
              <w:bottom w:w="57" w:type="dxa"/>
            </w:tcMar>
          </w:tcPr>
          <w:p w14:paraId="18A6D3AD" w14:textId="77777777" w:rsidR="0010526D" w:rsidRPr="00620D81" w:rsidRDefault="0010526D" w:rsidP="00986700">
            <w:pPr>
              <w:keepNext/>
              <w:keepLines/>
              <w:rPr>
                <w:rFonts w:asciiTheme="minorBidi" w:hAnsiTheme="minorBidi"/>
                <w:sz w:val="16"/>
                <w:szCs w:val="16"/>
              </w:rPr>
            </w:pPr>
            <w:r w:rsidRPr="00620D81">
              <w:rPr>
                <w:rFonts w:asciiTheme="minorBidi" w:hAnsiTheme="minorBidi"/>
                <w:sz w:val="16"/>
                <w:szCs w:val="16"/>
              </w:rPr>
              <w:t>Diminution du nombre de dépôts de demandes selon le PCT, en termes absolus ou par rapport aux demandes déposées en vertu de la Convention de Paris</w:t>
            </w:r>
          </w:p>
        </w:tc>
        <w:tc>
          <w:tcPr>
            <w:tcW w:w="4786" w:type="dxa"/>
            <w:shd w:val="clear" w:color="auto" w:fill="auto"/>
            <w:tcMar>
              <w:top w:w="57" w:type="dxa"/>
              <w:bottom w:w="57" w:type="dxa"/>
            </w:tcMar>
          </w:tcPr>
          <w:p w14:paraId="5313520A" w14:textId="77777777" w:rsidR="0010526D" w:rsidRPr="00620D81" w:rsidRDefault="0010526D" w:rsidP="00986700">
            <w:pPr>
              <w:keepNext/>
              <w:keepLines/>
              <w:rPr>
                <w:rFonts w:asciiTheme="minorBidi" w:hAnsiTheme="minorBidi"/>
                <w:sz w:val="16"/>
                <w:szCs w:val="16"/>
              </w:rPr>
            </w:pPr>
            <w:r w:rsidRPr="00620D81">
              <w:rPr>
                <w:rFonts w:asciiTheme="minorBidi" w:hAnsiTheme="minorBidi"/>
                <w:sz w:val="16"/>
                <w:szCs w:val="16"/>
              </w:rPr>
              <w:t>Amélioration continue des services fournis dans la phase internationale selon le PCT et promotion du système auprès des utilisateurs actuels et potentiels.</w:t>
            </w:r>
          </w:p>
        </w:tc>
      </w:tr>
      <w:tr w:rsidR="0010526D" w:rsidRPr="00620D81" w14:paraId="447C3C3A" w14:textId="77777777" w:rsidTr="0010526D">
        <w:trPr>
          <w:cantSplit/>
        </w:trPr>
        <w:tc>
          <w:tcPr>
            <w:tcW w:w="4785" w:type="dxa"/>
            <w:shd w:val="clear" w:color="auto" w:fill="auto"/>
            <w:tcMar>
              <w:top w:w="57" w:type="dxa"/>
              <w:bottom w:w="57" w:type="dxa"/>
            </w:tcMar>
          </w:tcPr>
          <w:p w14:paraId="3AE1FA68" w14:textId="77777777" w:rsidR="0010526D" w:rsidRPr="00620D81" w:rsidRDefault="0010526D" w:rsidP="00986700">
            <w:pPr>
              <w:keepNext/>
              <w:keepLines/>
              <w:rPr>
                <w:rFonts w:asciiTheme="minorBidi" w:hAnsiTheme="minorBidi"/>
                <w:sz w:val="16"/>
                <w:szCs w:val="16"/>
              </w:rPr>
            </w:pPr>
            <w:r w:rsidRPr="00620D81">
              <w:rPr>
                <w:rFonts w:asciiTheme="minorBidi" w:hAnsiTheme="minorBidi"/>
                <w:color w:val="000000"/>
                <w:sz w:val="16"/>
                <w:szCs w:val="16"/>
              </w:rPr>
              <w:t>Indisponibilité prolongée des services du PCT en raison de dysfonctionnements des systèmes électroniques de traitement des données du PCT</w:t>
            </w:r>
          </w:p>
        </w:tc>
        <w:tc>
          <w:tcPr>
            <w:tcW w:w="4786" w:type="dxa"/>
            <w:shd w:val="clear" w:color="auto" w:fill="auto"/>
            <w:tcMar>
              <w:top w:w="57" w:type="dxa"/>
              <w:bottom w:w="57" w:type="dxa"/>
            </w:tcMar>
          </w:tcPr>
          <w:p w14:paraId="0A504538" w14:textId="77777777" w:rsidR="0010526D" w:rsidRPr="00620D81" w:rsidRDefault="0010526D" w:rsidP="00986700">
            <w:pPr>
              <w:keepNext/>
              <w:keepLines/>
              <w:rPr>
                <w:rFonts w:asciiTheme="minorBidi" w:hAnsiTheme="minorBidi"/>
                <w:color w:val="000000"/>
                <w:sz w:val="16"/>
                <w:szCs w:val="16"/>
              </w:rPr>
            </w:pPr>
            <w:r w:rsidRPr="00620D81">
              <w:rPr>
                <w:rFonts w:asciiTheme="minorBidi" w:hAnsiTheme="minorBidi"/>
                <w:color w:val="000000"/>
                <w:sz w:val="16"/>
                <w:szCs w:val="16"/>
              </w:rPr>
              <w:t xml:space="preserve">Suivi renforcé des données reçues des offices et administrations selon le PCT en vue d’assurer une détection, une </w:t>
            </w:r>
            <w:r w:rsidRPr="00620D81">
              <w:rPr>
                <w:rFonts w:asciiTheme="minorBidi" w:hAnsiTheme="minorBidi"/>
                <w:sz w:val="16"/>
                <w:szCs w:val="16"/>
              </w:rPr>
              <w:t>correction et un traitement rapides des défaillances du système</w:t>
            </w:r>
            <w:r w:rsidRPr="00620D81">
              <w:rPr>
                <w:rFonts w:asciiTheme="minorBidi" w:hAnsiTheme="minorBidi"/>
                <w:color w:val="000000"/>
                <w:sz w:val="16"/>
                <w:szCs w:val="16"/>
              </w:rPr>
              <w:t>.</w:t>
            </w:r>
          </w:p>
        </w:tc>
      </w:tr>
      <w:tr w:rsidR="0010526D" w:rsidRPr="00620D81" w14:paraId="7FC93C37" w14:textId="77777777" w:rsidTr="0010526D">
        <w:trPr>
          <w:cantSplit/>
        </w:trPr>
        <w:tc>
          <w:tcPr>
            <w:tcW w:w="4785" w:type="dxa"/>
            <w:shd w:val="clear" w:color="auto" w:fill="auto"/>
            <w:tcMar>
              <w:top w:w="57" w:type="dxa"/>
              <w:bottom w:w="57" w:type="dxa"/>
            </w:tcMar>
          </w:tcPr>
          <w:p w14:paraId="6D1F5077" w14:textId="77777777" w:rsidR="0010526D" w:rsidRPr="00620D81" w:rsidRDefault="0010526D" w:rsidP="00986700">
            <w:pPr>
              <w:keepNext/>
              <w:keepLines/>
              <w:rPr>
                <w:rFonts w:asciiTheme="minorBidi" w:hAnsiTheme="minorBidi"/>
                <w:color w:val="000000"/>
                <w:sz w:val="16"/>
                <w:szCs w:val="16"/>
              </w:rPr>
            </w:pPr>
            <w:r w:rsidRPr="00620D81">
              <w:rPr>
                <w:rFonts w:asciiTheme="minorBidi" w:hAnsiTheme="minorBidi"/>
                <w:color w:val="000000"/>
                <w:sz w:val="16"/>
                <w:szCs w:val="16"/>
              </w:rPr>
              <w:t>Divulgation malveillante ou involontaire d’informations confidentielles</w:t>
            </w:r>
          </w:p>
        </w:tc>
        <w:tc>
          <w:tcPr>
            <w:tcW w:w="4786" w:type="dxa"/>
            <w:shd w:val="clear" w:color="auto" w:fill="auto"/>
            <w:tcMar>
              <w:top w:w="57" w:type="dxa"/>
              <w:bottom w:w="57" w:type="dxa"/>
            </w:tcMar>
          </w:tcPr>
          <w:p w14:paraId="655EC570" w14:textId="5D3711FC" w:rsidR="0010526D" w:rsidRPr="00620D81" w:rsidRDefault="0010526D" w:rsidP="00986700">
            <w:pPr>
              <w:keepNext/>
              <w:keepLines/>
              <w:rPr>
                <w:rFonts w:asciiTheme="minorBidi" w:hAnsiTheme="minorBidi"/>
                <w:color w:val="000000"/>
                <w:sz w:val="16"/>
                <w:szCs w:val="16"/>
              </w:rPr>
            </w:pPr>
            <w:r w:rsidRPr="00620D81">
              <w:rPr>
                <w:rFonts w:asciiTheme="minorBidi" w:hAnsiTheme="minorBidi"/>
                <w:color w:val="000000"/>
                <w:sz w:val="16"/>
                <w:szCs w:val="16"/>
              </w:rPr>
              <w:t>Poursuite du programme de sensibilisation du personnel concerné : continuer d’appliquer des mesures de contrôle moderne dans l’environnement matériel et électronique;  continuer d’améliorer la surveillance stratégique;  continuer de surveiller de près la qualité des travaux confiés à des sous</w:t>
            </w:r>
            <w:r w:rsidR="00B441CA">
              <w:rPr>
                <w:rFonts w:asciiTheme="minorBidi" w:hAnsiTheme="minorBidi"/>
                <w:color w:val="000000"/>
                <w:sz w:val="16"/>
                <w:szCs w:val="16"/>
              </w:rPr>
              <w:noBreakHyphen/>
            </w:r>
            <w:r w:rsidRPr="00620D81">
              <w:rPr>
                <w:rFonts w:asciiTheme="minorBidi" w:hAnsiTheme="minorBidi"/>
                <w:color w:val="000000"/>
                <w:sz w:val="16"/>
                <w:szCs w:val="16"/>
              </w:rPr>
              <w:t>traitants.</w:t>
            </w:r>
          </w:p>
        </w:tc>
      </w:tr>
      <w:tr w:rsidR="0010526D" w:rsidRPr="00620D81" w14:paraId="50360CC2" w14:textId="77777777" w:rsidTr="0010526D">
        <w:trPr>
          <w:cantSplit/>
        </w:trPr>
        <w:tc>
          <w:tcPr>
            <w:tcW w:w="4785" w:type="dxa"/>
            <w:shd w:val="clear" w:color="auto" w:fill="auto"/>
            <w:tcMar>
              <w:top w:w="57" w:type="dxa"/>
              <w:bottom w:w="57" w:type="dxa"/>
            </w:tcMar>
          </w:tcPr>
          <w:p w14:paraId="661804B6" w14:textId="77777777" w:rsidR="0010526D" w:rsidRPr="00620D81" w:rsidRDefault="0010526D" w:rsidP="00986700">
            <w:pPr>
              <w:keepNext/>
              <w:keepLines/>
              <w:rPr>
                <w:rFonts w:asciiTheme="minorBidi" w:hAnsiTheme="minorBidi"/>
                <w:color w:val="000000"/>
                <w:sz w:val="16"/>
                <w:szCs w:val="16"/>
              </w:rPr>
            </w:pPr>
            <w:r w:rsidRPr="00620D81">
              <w:rPr>
                <w:rFonts w:asciiTheme="minorBidi" w:hAnsiTheme="minorBidi"/>
                <w:sz w:val="16"/>
                <w:szCs w:val="16"/>
                <w:lang w:eastAsia="zh-CN"/>
              </w:rPr>
              <w:t>Baisse de qualité des résultats des travaux réalisés au niveau international</w:t>
            </w:r>
          </w:p>
        </w:tc>
        <w:tc>
          <w:tcPr>
            <w:tcW w:w="4786" w:type="dxa"/>
            <w:shd w:val="clear" w:color="auto" w:fill="auto"/>
            <w:tcMar>
              <w:top w:w="57" w:type="dxa"/>
              <w:bottom w:w="57" w:type="dxa"/>
            </w:tcMar>
          </w:tcPr>
          <w:p w14:paraId="4279A830" w14:textId="77777777" w:rsidR="0010526D" w:rsidRPr="00620D81" w:rsidRDefault="0010526D" w:rsidP="00986700">
            <w:pPr>
              <w:keepNext/>
              <w:keepLines/>
              <w:rPr>
                <w:rFonts w:asciiTheme="minorBidi" w:hAnsiTheme="minorBidi"/>
                <w:b/>
                <w:i/>
                <w:color w:val="000000"/>
                <w:sz w:val="16"/>
                <w:szCs w:val="16"/>
              </w:rPr>
            </w:pPr>
            <w:r w:rsidRPr="00620D81">
              <w:rPr>
                <w:rFonts w:asciiTheme="minorBidi" w:hAnsiTheme="minorBidi"/>
                <w:color w:val="000000"/>
                <w:sz w:val="16"/>
                <w:szCs w:val="16"/>
              </w:rPr>
              <w:t xml:space="preserve">Poursuite du renforcement des procédures de contrôle de la qualité au Bureau international et encouragement de l’amélioration des procédures et du contrôle de la qualité dans les offices nationaux, en particulier ceux agissant en qualité d’administration internationale.  </w:t>
            </w:r>
          </w:p>
        </w:tc>
      </w:tr>
    </w:tbl>
    <w:p w14:paraId="449447B7" w14:textId="77777777" w:rsidR="0010526D" w:rsidRPr="00620D81" w:rsidRDefault="0010526D" w:rsidP="00986700">
      <w:pPr>
        <w:jc w:val="both"/>
        <w:rPr>
          <w:rFonts w:asciiTheme="minorBidi" w:hAnsiTheme="minorBidi"/>
          <w:szCs w:val="20"/>
        </w:rPr>
      </w:pPr>
    </w:p>
    <w:p w14:paraId="07901E23" w14:textId="77777777" w:rsidR="0010526D" w:rsidRPr="00620D81" w:rsidRDefault="0010526D" w:rsidP="00986700">
      <w:pPr>
        <w:jc w:val="both"/>
        <w:rPr>
          <w:rFonts w:asciiTheme="minorBidi" w:hAnsiTheme="minorBidi"/>
          <w:szCs w:val="20"/>
        </w:rPr>
      </w:pPr>
    </w:p>
    <w:tbl>
      <w:tblPr>
        <w:tblW w:w="5000" w:type="pct"/>
        <w:tblCellMar>
          <w:top w:w="57" w:type="dxa"/>
          <w:bottom w:w="57" w:type="dxa"/>
        </w:tblCellMar>
        <w:tblLook w:val="04A0" w:firstRow="1" w:lastRow="0" w:firstColumn="1" w:lastColumn="0" w:noHBand="0" w:noVBand="1"/>
      </w:tblPr>
      <w:tblGrid>
        <w:gridCol w:w="2392"/>
        <w:gridCol w:w="2303"/>
        <w:gridCol w:w="2308"/>
        <w:gridCol w:w="2284"/>
      </w:tblGrid>
      <w:tr w:rsidR="0010526D" w:rsidRPr="00620D81" w14:paraId="1E7EE6EC" w14:textId="77777777" w:rsidTr="00171C12">
        <w:trPr>
          <w:cantSplit/>
          <w:tblHeader/>
        </w:trPr>
        <w:tc>
          <w:tcPr>
            <w:tcW w:w="2392" w:type="dxa"/>
            <w:shd w:val="clear" w:color="000000" w:fill="C5D9F1"/>
            <w:tcMar>
              <w:top w:w="57" w:type="dxa"/>
            </w:tcMar>
            <w:vAlign w:val="center"/>
            <w:hideMark/>
          </w:tcPr>
          <w:p w14:paraId="3EE0D259" w14:textId="77777777" w:rsidR="0010526D" w:rsidRPr="00620D81" w:rsidRDefault="0010526D" w:rsidP="00986700">
            <w:pPr>
              <w:jc w:val="center"/>
              <w:rPr>
                <w:rFonts w:asciiTheme="minorBidi" w:eastAsia="Times New Roman" w:hAnsiTheme="minorBidi"/>
                <w:b/>
                <w:bCs/>
                <w:color w:val="000000"/>
                <w:sz w:val="18"/>
                <w:szCs w:val="18"/>
                <w:lang w:eastAsia="en-US"/>
              </w:rPr>
            </w:pPr>
            <w:r w:rsidRPr="00620D81">
              <w:rPr>
                <w:rFonts w:eastAsia="Times New Roman" w:cs="Arial"/>
                <w:b/>
                <w:bCs/>
                <w:color w:val="000000"/>
                <w:sz w:val="18"/>
                <w:szCs w:val="18"/>
                <w:lang w:eastAsia="en-US"/>
              </w:rPr>
              <w:t>Résultat escompté</w:t>
            </w:r>
          </w:p>
        </w:tc>
        <w:tc>
          <w:tcPr>
            <w:tcW w:w="2303" w:type="dxa"/>
            <w:shd w:val="clear" w:color="000000" w:fill="C5D9F1"/>
            <w:tcMar>
              <w:top w:w="57" w:type="dxa"/>
            </w:tcMar>
            <w:vAlign w:val="center"/>
            <w:hideMark/>
          </w:tcPr>
          <w:p w14:paraId="51F26B8F" w14:textId="77777777" w:rsidR="0010526D" w:rsidRPr="00620D81" w:rsidRDefault="0010526D" w:rsidP="00986700">
            <w:pPr>
              <w:jc w:val="center"/>
              <w:rPr>
                <w:rFonts w:asciiTheme="minorBidi" w:eastAsia="Times New Roman" w:hAnsiTheme="minorBidi"/>
                <w:b/>
                <w:bCs/>
                <w:color w:val="000000"/>
                <w:sz w:val="18"/>
                <w:szCs w:val="18"/>
                <w:lang w:eastAsia="en-US"/>
              </w:rPr>
            </w:pPr>
            <w:r w:rsidRPr="00620D81">
              <w:rPr>
                <w:rFonts w:eastAsia="Times New Roman" w:cs="Arial"/>
                <w:b/>
                <w:bCs/>
                <w:color w:val="000000"/>
                <w:sz w:val="18"/>
                <w:szCs w:val="18"/>
                <w:lang w:eastAsia="en-US"/>
              </w:rPr>
              <w:t>Indicateurs d’exécution</w:t>
            </w:r>
          </w:p>
        </w:tc>
        <w:tc>
          <w:tcPr>
            <w:tcW w:w="2308" w:type="dxa"/>
            <w:shd w:val="clear" w:color="000000" w:fill="C5D9F1"/>
            <w:tcMar>
              <w:top w:w="57" w:type="dxa"/>
            </w:tcMar>
            <w:vAlign w:val="center"/>
            <w:hideMark/>
          </w:tcPr>
          <w:p w14:paraId="5C1534E0" w14:textId="77777777" w:rsidR="0010526D" w:rsidRPr="00620D81" w:rsidRDefault="0010526D" w:rsidP="00986700">
            <w:pPr>
              <w:jc w:val="center"/>
              <w:rPr>
                <w:rFonts w:asciiTheme="minorBidi" w:eastAsia="Times New Roman" w:hAnsiTheme="minorBidi"/>
                <w:b/>
                <w:bCs/>
                <w:color w:val="000000"/>
                <w:sz w:val="18"/>
                <w:szCs w:val="18"/>
                <w:lang w:eastAsia="en-US"/>
              </w:rPr>
            </w:pPr>
            <w:r w:rsidRPr="00620D81">
              <w:rPr>
                <w:rFonts w:eastAsia="Times New Roman" w:cs="Arial"/>
                <w:b/>
                <w:bCs/>
                <w:color w:val="000000"/>
                <w:sz w:val="18"/>
                <w:szCs w:val="18"/>
                <w:lang w:eastAsia="en-US"/>
              </w:rPr>
              <w:t>Niveaux de référence</w:t>
            </w:r>
          </w:p>
        </w:tc>
        <w:tc>
          <w:tcPr>
            <w:tcW w:w="2284" w:type="dxa"/>
            <w:shd w:val="clear" w:color="000000" w:fill="C5D9F1"/>
            <w:tcMar>
              <w:top w:w="57" w:type="dxa"/>
            </w:tcMar>
            <w:vAlign w:val="center"/>
            <w:hideMark/>
          </w:tcPr>
          <w:p w14:paraId="349A4CBE" w14:textId="77777777" w:rsidR="0010526D" w:rsidRPr="00620D81" w:rsidRDefault="0010526D" w:rsidP="00986700">
            <w:pPr>
              <w:jc w:val="center"/>
              <w:rPr>
                <w:rFonts w:asciiTheme="minorBidi" w:eastAsia="Times New Roman" w:hAnsiTheme="minorBidi"/>
                <w:b/>
                <w:bCs/>
                <w:color w:val="000000"/>
                <w:sz w:val="18"/>
                <w:szCs w:val="18"/>
                <w:lang w:eastAsia="en-US"/>
              </w:rPr>
            </w:pPr>
            <w:r w:rsidRPr="00620D81">
              <w:rPr>
                <w:rFonts w:eastAsia="Times New Roman" w:cs="Arial"/>
                <w:b/>
                <w:bCs/>
                <w:color w:val="000000"/>
                <w:sz w:val="18"/>
                <w:szCs w:val="18"/>
                <w:lang w:eastAsia="en-US"/>
              </w:rPr>
              <w:t>Objectifs visés</w:t>
            </w:r>
          </w:p>
        </w:tc>
      </w:tr>
      <w:tr w:rsidR="00171C12" w:rsidRPr="00620D81" w14:paraId="4D27AF98" w14:textId="77777777" w:rsidTr="00171C12">
        <w:trPr>
          <w:cantSplit/>
        </w:trPr>
        <w:tc>
          <w:tcPr>
            <w:tcW w:w="2392" w:type="dxa"/>
            <w:shd w:val="clear" w:color="000000" w:fill="FFFFFF"/>
            <w:tcMar>
              <w:top w:w="57" w:type="dxa"/>
            </w:tcMar>
            <w:hideMark/>
          </w:tcPr>
          <w:p w14:paraId="056DB3AB"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II.1 Utilisation élargie et plus efficace du système du PCT pour le dépôt des demandes internationales de brevet</w:t>
            </w:r>
          </w:p>
        </w:tc>
        <w:tc>
          <w:tcPr>
            <w:tcW w:w="2303" w:type="dxa"/>
            <w:shd w:val="clear" w:color="000000" w:fill="FFFFFF"/>
            <w:tcMar>
              <w:top w:w="57" w:type="dxa"/>
            </w:tcMar>
            <w:hideMark/>
          </w:tcPr>
          <w:p w14:paraId="5C9268FB"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Degré de satisfaction des utilisateurs du PCT à l’égard des conseils juridiques, des informations, des formations et du service clients du PCT</w:t>
            </w:r>
          </w:p>
        </w:tc>
        <w:tc>
          <w:tcPr>
            <w:tcW w:w="2308" w:type="dxa"/>
            <w:shd w:val="clear" w:color="000000" w:fill="FFFFFF"/>
            <w:tcMar>
              <w:top w:w="57" w:type="dxa"/>
            </w:tcMar>
            <w:hideMark/>
          </w:tcPr>
          <w:p w14:paraId="77D2586C"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Satisfaction de 89% de l’ensemble des utilisateurs du PCT à l’égard des services fournis par l’OMPI dans le cadre du PCT (enquête menée en 2015)</w:t>
            </w:r>
          </w:p>
        </w:tc>
        <w:tc>
          <w:tcPr>
            <w:tcW w:w="2284" w:type="dxa"/>
            <w:shd w:val="clear" w:color="000000" w:fill="FFFFFF"/>
            <w:tcMar>
              <w:top w:w="57" w:type="dxa"/>
            </w:tcMar>
          </w:tcPr>
          <w:p w14:paraId="5B970F02" w14:textId="5A172DD0" w:rsidR="00171C12" w:rsidRPr="00620D81" w:rsidRDefault="00171C12" w:rsidP="00986700">
            <w:pPr>
              <w:rPr>
                <w:rFonts w:asciiTheme="minorBidi" w:eastAsia="Times New Roman" w:hAnsiTheme="minorBidi"/>
                <w:sz w:val="16"/>
                <w:szCs w:val="16"/>
                <w:lang w:eastAsia="en-US"/>
              </w:rPr>
            </w:pPr>
            <w:r>
              <w:rPr>
                <w:rFonts w:asciiTheme="minorBidi" w:eastAsia="Times New Roman" w:hAnsiTheme="minorBidi"/>
                <w:sz w:val="16"/>
                <w:szCs w:val="16"/>
                <w:lang w:eastAsia="en-US"/>
              </w:rPr>
              <w:t xml:space="preserve">90% </w:t>
            </w:r>
            <w:r>
              <w:rPr>
                <w:rFonts w:asciiTheme="minorBidi" w:eastAsia="Times New Roman" w:hAnsiTheme="minorBidi"/>
                <w:color w:val="000000"/>
                <w:sz w:val="16"/>
                <w:szCs w:val="16"/>
                <w:lang w:eastAsia="en-US"/>
              </w:rPr>
              <w:t>(+/-2%)</w:t>
            </w:r>
          </w:p>
        </w:tc>
      </w:tr>
      <w:tr w:rsidR="00171C12" w:rsidRPr="00620D81" w14:paraId="36CA72D0" w14:textId="77777777" w:rsidTr="00171C12">
        <w:trPr>
          <w:cantSplit/>
        </w:trPr>
        <w:tc>
          <w:tcPr>
            <w:tcW w:w="2392" w:type="dxa"/>
            <w:shd w:val="clear" w:color="000000" w:fill="FFFFFF"/>
            <w:tcMar>
              <w:top w:w="57" w:type="dxa"/>
            </w:tcMar>
            <w:vAlign w:val="bottom"/>
            <w:hideMark/>
          </w:tcPr>
          <w:p w14:paraId="06883B54"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 </w:t>
            </w:r>
          </w:p>
        </w:tc>
        <w:tc>
          <w:tcPr>
            <w:tcW w:w="2303" w:type="dxa"/>
            <w:shd w:val="clear" w:color="000000" w:fill="FFFFFF"/>
            <w:tcMar>
              <w:top w:w="57" w:type="dxa"/>
            </w:tcMar>
            <w:hideMark/>
          </w:tcPr>
          <w:p w14:paraId="3358C894"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Degré de satisfaction des offices et des administrations internationales à l’égard des activités de coopération dans le cadre du PCT</w:t>
            </w:r>
          </w:p>
        </w:tc>
        <w:tc>
          <w:tcPr>
            <w:tcW w:w="2308" w:type="dxa"/>
            <w:shd w:val="clear" w:color="000000" w:fill="FFFFFF"/>
            <w:tcMar>
              <w:top w:w="57" w:type="dxa"/>
            </w:tcMar>
            <w:hideMark/>
          </w:tcPr>
          <w:p w14:paraId="70139F0B" w14:textId="08FD2DF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96% (58 sur 60</w:t>
            </w:r>
            <w:r>
              <w:rPr>
                <w:rFonts w:asciiTheme="minorBidi" w:eastAsia="Times New Roman" w:hAnsiTheme="minorBidi"/>
                <w:sz w:val="16"/>
                <w:szCs w:val="16"/>
                <w:lang w:eastAsia="en-US"/>
              </w:rPr>
              <w:t> </w:t>
            </w:r>
            <w:r w:rsidRPr="00620D81">
              <w:rPr>
                <w:rFonts w:asciiTheme="minorBidi" w:eastAsia="Times New Roman" w:hAnsiTheme="minorBidi"/>
                <w:sz w:val="16"/>
                <w:szCs w:val="16"/>
                <w:lang w:eastAsia="en-US"/>
              </w:rPr>
              <w:t>bénéficiaires des activités de coopération dans le cadre du PCT ayant répondu à l’enquête menée en 2014</w:t>
            </w:r>
            <w:r>
              <w:rPr>
                <w:rFonts w:asciiTheme="minorBidi" w:eastAsia="Times New Roman" w:hAnsiTheme="minorBidi"/>
                <w:sz w:val="16"/>
                <w:szCs w:val="16"/>
                <w:lang w:eastAsia="en-US"/>
              </w:rPr>
              <w:noBreakHyphen/>
            </w:r>
            <w:r w:rsidRPr="00620D81">
              <w:rPr>
                <w:rFonts w:asciiTheme="minorBidi" w:eastAsia="Times New Roman" w:hAnsiTheme="minorBidi"/>
                <w:sz w:val="16"/>
                <w:szCs w:val="16"/>
                <w:lang w:eastAsia="en-US"/>
              </w:rPr>
              <w:t xml:space="preserve">2015) </w:t>
            </w:r>
          </w:p>
        </w:tc>
        <w:tc>
          <w:tcPr>
            <w:tcW w:w="2284" w:type="dxa"/>
            <w:shd w:val="clear" w:color="auto" w:fill="auto"/>
            <w:tcMar>
              <w:top w:w="57" w:type="dxa"/>
            </w:tcMar>
          </w:tcPr>
          <w:p w14:paraId="3BC95B90" w14:textId="46456705" w:rsidR="00171C12" w:rsidRPr="00620D81" w:rsidRDefault="00171C12" w:rsidP="00986700">
            <w:pPr>
              <w:rPr>
                <w:rFonts w:asciiTheme="minorBidi" w:eastAsia="Times New Roman" w:hAnsiTheme="minorBidi"/>
                <w:sz w:val="16"/>
                <w:szCs w:val="16"/>
                <w:lang w:eastAsia="en-US"/>
              </w:rPr>
            </w:pPr>
            <w:r>
              <w:rPr>
                <w:rFonts w:asciiTheme="minorBidi" w:eastAsia="Times New Roman" w:hAnsiTheme="minorBidi"/>
                <w:color w:val="000000"/>
                <w:sz w:val="16"/>
                <w:szCs w:val="16"/>
                <w:lang w:eastAsia="en-US"/>
              </w:rPr>
              <w:t>95% (+/-2%)</w:t>
            </w:r>
          </w:p>
        </w:tc>
      </w:tr>
      <w:tr w:rsidR="00171C12" w:rsidRPr="00620D81" w14:paraId="3B1C6506" w14:textId="77777777" w:rsidTr="00171C12">
        <w:trPr>
          <w:cantSplit/>
        </w:trPr>
        <w:tc>
          <w:tcPr>
            <w:tcW w:w="2392" w:type="dxa"/>
            <w:shd w:val="clear" w:color="auto" w:fill="auto"/>
            <w:noWrap/>
            <w:tcMar>
              <w:top w:w="57" w:type="dxa"/>
            </w:tcMar>
            <w:vAlign w:val="bottom"/>
            <w:hideMark/>
          </w:tcPr>
          <w:p w14:paraId="0FA364B1" w14:textId="77777777" w:rsidR="00171C12" w:rsidRPr="00620D81" w:rsidRDefault="00171C12" w:rsidP="00986700">
            <w:pPr>
              <w:rPr>
                <w:rFonts w:asciiTheme="minorBidi" w:eastAsia="Times New Roman" w:hAnsiTheme="minorBidi"/>
                <w:color w:val="000000"/>
                <w:lang w:eastAsia="en-US"/>
              </w:rPr>
            </w:pPr>
          </w:p>
        </w:tc>
        <w:tc>
          <w:tcPr>
            <w:tcW w:w="2303" w:type="dxa"/>
            <w:shd w:val="clear" w:color="000000" w:fill="FFFFFF"/>
            <w:tcMar>
              <w:top w:w="57" w:type="dxa"/>
            </w:tcMar>
            <w:hideMark/>
          </w:tcPr>
          <w:p w14:paraId="0A5A8696"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Satisfaction des offices à l’égard des activités en rapport avec l’examen des demandes de brevet (ICE, aide dans le cadre de l’examen des brevets)</w:t>
            </w:r>
          </w:p>
        </w:tc>
        <w:tc>
          <w:tcPr>
            <w:tcW w:w="2308" w:type="dxa"/>
            <w:shd w:val="clear" w:color="000000" w:fill="FFFFFF"/>
            <w:tcMar>
              <w:top w:w="57" w:type="dxa"/>
            </w:tcMar>
            <w:hideMark/>
          </w:tcPr>
          <w:p w14:paraId="4DE9E961" w14:textId="77777777"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À</w:t>
            </w:r>
            <w:r w:rsidRPr="00620D81">
              <w:rPr>
                <w:rFonts w:asciiTheme="minorBidi" w:eastAsia="Times New Roman" w:hAnsiTheme="minorBidi"/>
                <w:color w:val="000000"/>
                <w:sz w:val="16"/>
                <w:szCs w:val="16"/>
                <w:lang w:eastAsia="en-US"/>
              </w:rPr>
              <w:t xml:space="preserve"> déterminer</w:t>
            </w:r>
          </w:p>
        </w:tc>
        <w:tc>
          <w:tcPr>
            <w:tcW w:w="2284" w:type="dxa"/>
            <w:shd w:val="clear" w:color="000000" w:fill="FFFFFF"/>
            <w:tcMar>
              <w:top w:w="57" w:type="dxa"/>
            </w:tcMar>
            <w:hideMark/>
          </w:tcPr>
          <w:p w14:paraId="21AB139E" w14:textId="77777777"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À</w:t>
            </w:r>
            <w:r w:rsidRPr="00620D81">
              <w:rPr>
                <w:rFonts w:asciiTheme="minorBidi" w:eastAsia="Times New Roman" w:hAnsiTheme="minorBidi"/>
                <w:color w:val="000000"/>
                <w:sz w:val="16"/>
                <w:szCs w:val="16"/>
                <w:lang w:eastAsia="en-US"/>
              </w:rPr>
              <w:t xml:space="preserve"> déterminer</w:t>
            </w:r>
          </w:p>
        </w:tc>
      </w:tr>
      <w:tr w:rsidR="00171C12" w:rsidRPr="00620D81" w14:paraId="18F6A9FD" w14:textId="77777777" w:rsidTr="00171C12">
        <w:trPr>
          <w:cantSplit/>
        </w:trPr>
        <w:tc>
          <w:tcPr>
            <w:tcW w:w="2392" w:type="dxa"/>
            <w:shd w:val="clear" w:color="000000" w:fill="FFFFFF"/>
            <w:tcMar>
              <w:top w:w="57" w:type="dxa"/>
            </w:tcMar>
            <w:vAlign w:val="bottom"/>
            <w:hideMark/>
          </w:tcPr>
          <w:p w14:paraId="4B5C5BBD"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 </w:t>
            </w:r>
          </w:p>
        </w:tc>
        <w:tc>
          <w:tcPr>
            <w:tcW w:w="2303" w:type="dxa"/>
            <w:shd w:val="clear" w:color="000000" w:fill="FFFFFF"/>
            <w:tcMar>
              <w:top w:w="57" w:type="dxa"/>
            </w:tcMar>
            <w:hideMark/>
          </w:tcPr>
          <w:p w14:paraId="31384338"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Amélioration du système du PCT, notamment mise en œuvre des recommandations des lignes directrices du PCT approuvées par les États membres du PCT</w:t>
            </w:r>
          </w:p>
        </w:tc>
        <w:tc>
          <w:tcPr>
            <w:tcW w:w="2308" w:type="dxa"/>
            <w:shd w:val="clear" w:color="000000" w:fill="FFFFFF"/>
            <w:tcMar>
              <w:top w:w="57" w:type="dxa"/>
            </w:tcMar>
            <w:hideMark/>
          </w:tcPr>
          <w:p w14:paraId="567781DA"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Décisions prises par les organes appropriés du PCT jusqu’à la fin de 2017</w:t>
            </w:r>
          </w:p>
        </w:tc>
        <w:tc>
          <w:tcPr>
            <w:tcW w:w="2284" w:type="dxa"/>
            <w:shd w:val="clear" w:color="000000" w:fill="FFFFFF"/>
            <w:tcMar>
              <w:top w:w="57" w:type="dxa"/>
            </w:tcMar>
            <w:hideMark/>
          </w:tcPr>
          <w:p w14:paraId="41BD5F1D"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Décisions prises par les organes appropriés du PCT jusqu’à la fin de 2019</w:t>
            </w:r>
          </w:p>
        </w:tc>
      </w:tr>
      <w:tr w:rsidR="00171C12" w:rsidRPr="00620D81" w14:paraId="517CA51A" w14:textId="77777777" w:rsidTr="00171C12">
        <w:trPr>
          <w:cantSplit/>
        </w:trPr>
        <w:tc>
          <w:tcPr>
            <w:tcW w:w="2392" w:type="dxa"/>
            <w:shd w:val="clear" w:color="000000" w:fill="FFFFFF"/>
            <w:tcMar>
              <w:top w:w="57" w:type="dxa"/>
            </w:tcMar>
            <w:vAlign w:val="bottom"/>
            <w:hideMark/>
          </w:tcPr>
          <w:p w14:paraId="49E40934" w14:textId="77777777" w:rsidR="00171C12" w:rsidRPr="00620D81" w:rsidRDefault="00171C12" w:rsidP="00986700">
            <w:pPr>
              <w:jc w:val="right"/>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 </w:t>
            </w:r>
          </w:p>
        </w:tc>
        <w:tc>
          <w:tcPr>
            <w:tcW w:w="2303" w:type="dxa"/>
            <w:shd w:val="clear" w:color="000000" w:fill="FFFFFF"/>
            <w:tcMar>
              <w:top w:w="57" w:type="dxa"/>
            </w:tcMar>
            <w:hideMark/>
          </w:tcPr>
          <w:p w14:paraId="4C41F5DE"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Amélioration des services électroniques pour les déposants, les tiers, les offices et les administrations</w:t>
            </w:r>
          </w:p>
        </w:tc>
        <w:tc>
          <w:tcPr>
            <w:tcW w:w="2308" w:type="dxa"/>
            <w:shd w:val="clear" w:color="000000" w:fill="FFFFFF"/>
            <w:tcMar>
              <w:top w:w="57" w:type="dxa"/>
            </w:tcMar>
            <w:hideMark/>
          </w:tcPr>
          <w:p w14:paraId="198227A8" w14:textId="694F92EC"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Nombre de transactions par différents moyens (sur papier, ePCT, PCT</w:t>
            </w:r>
            <w:r>
              <w:rPr>
                <w:rFonts w:asciiTheme="minorBidi" w:eastAsia="Times New Roman" w:hAnsiTheme="minorBidi"/>
                <w:color w:val="000000"/>
                <w:sz w:val="16"/>
                <w:szCs w:val="16"/>
                <w:lang w:eastAsia="en-US"/>
              </w:rPr>
              <w:noBreakHyphen/>
            </w:r>
            <w:r w:rsidRPr="00620D81">
              <w:rPr>
                <w:rFonts w:asciiTheme="minorBidi" w:eastAsia="Times New Roman" w:hAnsiTheme="minorBidi"/>
                <w:color w:val="000000"/>
                <w:sz w:val="16"/>
                <w:szCs w:val="16"/>
                <w:lang w:eastAsia="en-US"/>
              </w:rPr>
              <w:t>EDI, etc.) réalisées à la fin de 2017 par différents type</w:t>
            </w:r>
            <w:r>
              <w:rPr>
                <w:rFonts w:asciiTheme="minorBidi" w:eastAsia="Times New Roman" w:hAnsiTheme="minorBidi"/>
                <w:color w:val="000000"/>
                <w:sz w:val="16"/>
                <w:szCs w:val="16"/>
                <w:lang w:eastAsia="en-US"/>
              </w:rPr>
              <w:t xml:space="preserve">s </w:t>
            </w:r>
            <w:r w:rsidRPr="00620D81">
              <w:rPr>
                <w:rFonts w:asciiTheme="minorBidi" w:eastAsia="Times New Roman" w:hAnsiTheme="minorBidi"/>
                <w:color w:val="000000"/>
                <w:sz w:val="16"/>
                <w:szCs w:val="16"/>
                <w:lang w:eastAsia="en-US"/>
              </w:rPr>
              <w:t>d’utilisateurs;  disponibilité au niveau géographique des services électroniques</w:t>
            </w:r>
          </w:p>
        </w:tc>
        <w:tc>
          <w:tcPr>
            <w:tcW w:w="2284" w:type="dxa"/>
            <w:shd w:val="clear" w:color="000000" w:fill="FFFFFF"/>
            <w:tcMar>
              <w:top w:w="57" w:type="dxa"/>
            </w:tcMar>
            <w:hideMark/>
          </w:tcPr>
          <w:p w14:paraId="313821FD"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 xml:space="preserve">Utilisation accrue du système ePCT ou des systèmes automatisés financés par le Bureau international;  augmentation du nombre d’offices nationaux et régionaux fournissant des services électroniques;  augmentation du nombre de transactions dans lesquelles sont communiquées des données lisibles par ordinateur </w:t>
            </w:r>
          </w:p>
        </w:tc>
      </w:tr>
      <w:tr w:rsidR="00171C12" w:rsidRPr="00620D81" w14:paraId="6B84A618" w14:textId="77777777" w:rsidTr="00171C12">
        <w:trPr>
          <w:cantSplit/>
        </w:trPr>
        <w:tc>
          <w:tcPr>
            <w:tcW w:w="2392" w:type="dxa"/>
            <w:vMerge w:val="restart"/>
            <w:shd w:val="clear" w:color="000000" w:fill="FFFFFF"/>
            <w:tcMar>
              <w:top w:w="57" w:type="dxa"/>
            </w:tcMar>
            <w:hideMark/>
          </w:tcPr>
          <w:p w14:paraId="563C9621"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II.2 Amélioration de la productivité et de la qualité de service des opérations du système du PCT</w:t>
            </w:r>
          </w:p>
          <w:p w14:paraId="5280F647" w14:textId="6D58519E" w:rsidR="00171C12" w:rsidRPr="00620D81" w:rsidRDefault="00171C12" w:rsidP="00986700">
            <w:pPr>
              <w:jc w:val="right"/>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 </w:t>
            </w:r>
          </w:p>
        </w:tc>
        <w:tc>
          <w:tcPr>
            <w:tcW w:w="2303" w:type="dxa"/>
            <w:shd w:val="clear" w:color="000000" w:fill="FFFFFF"/>
            <w:tcMar>
              <w:top w:w="57" w:type="dxa"/>
            </w:tcMar>
            <w:hideMark/>
          </w:tcPr>
          <w:p w14:paraId="3874ED77"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Coût unitaire du traitement d’une demande</w:t>
            </w:r>
          </w:p>
        </w:tc>
        <w:tc>
          <w:tcPr>
            <w:tcW w:w="2308" w:type="dxa"/>
            <w:shd w:val="clear" w:color="000000" w:fill="FFFFFF"/>
            <w:tcMar>
              <w:top w:w="57" w:type="dxa"/>
            </w:tcMar>
            <w:hideMark/>
          </w:tcPr>
          <w:p w14:paraId="78C6C8BE"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 xml:space="preserve">685 francs suisses (2016) </w:t>
            </w:r>
          </w:p>
        </w:tc>
        <w:tc>
          <w:tcPr>
            <w:tcW w:w="2284" w:type="dxa"/>
            <w:shd w:val="clear" w:color="000000" w:fill="FFFFFF"/>
            <w:tcMar>
              <w:top w:w="57" w:type="dxa"/>
            </w:tcMar>
          </w:tcPr>
          <w:p w14:paraId="7D100B0B" w14:textId="0412F35A" w:rsidR="00171C12" w:rsidRPr="00620D81" w:rsidRDefault="00171C12" w:rsidP="00171C12">
            <w:pPr>
              <w:rPr>
                <w:rFonts w:asciiTheme="minorBidi" w:eastAsia="Times New Roman" w:hAnsiTheme="minorBidi"/>
                <w:color w:val="000000"/>
                <w:sz w:val="16"/>
                <w:szCs w:val="16"/>
                <w:lang w:eastAsia="en-US"/>
              </w:rPr>
            </w:pPr>
            <w:r>
              <w:rPr>
                <w:rFonts w:asciiTheme="minorBidi" w:eastAsia="Times New Roman" w:hAnsiTheme="minorBidi"/>
                <w:sz w:val="16"/>
                <w:szCs w:val="16"/>
                <w:lang w:eastAsia="en-US"/>
              </w:rPr>
              <w:t>690 francs suisses</w:t>
            </w:r>
          </w:p>
        </w:tc>
      </w:tr>
      <w:tr w:rsidR="00171C12" w:rsidRPr="00620D81" w14:paraId="7ADCA3AA" w14:textId="77777777" w:rsidTr="00171C12">
        <w:trPr>
          <w:cantSplit/>
        </w:trPr>
        <w:tc>
          <w:tcPr>
            <w:tcW w:w="2392" w:type="dxa"/>
            <w:vMerge/>
            <w:shd w:val="clear" w:color="000000" w:fill="FFFFFF"/>
            <w:tcMar>
              <w:top w:w="57" w:type="dxa"/>
            </w:tcMar>
            <w:vAlign w:val="bottom"/>
            <w:hideMark/>
          </w:tcPr>
          <w:p w14:paraId="5AE4E5B9" w14:textId="172A8BA9" w:rsidR="00171C12" w:rsidRPr="00620D81" w:rsidRDefault="00171C12" w:rsidP="00986700">
            <w:pPr>
              <w:jc w:val="right"/>
              <w:rPr>
                <w:rFonts w:asciiTheme="minorBidi" w:eastAsia="Times New Roman" w:hAnsiTheme="minorBidi"/>
                <w:color w:val="000000"/>
                <w:sz w:val="16"/>
                <w:szCs w:val="16"/>
                <w:lang w:eastAsia="en-US"/>
              </w:rPr>
            </w:pPr>
          </w:p>
        </w:tc>
        <w:tc>
          <w:tcPr>
            <w:tcW w:w="2303" w:type="dxa"/>
            <w:shd w:val="clear" w:color="000000" w:fill="FFFFFF"/>
            <w:tcMar>
              <w:top w:w="57" w:type="dxa"/>
            </w:tcMar>
            <w:hideMark/>
          </w:tcPr>
          <w:p w14:paraId="1A4DBF8E"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Qualité globale de l’examen de forme (y compris les délais)</w:t>
            </w:r>
          </w:p>
        </w:tc>
        <w:tc>
          <w:tcPr>
            <w:tcW w:w="2308" w:type="dxa"/>
            <w:shd w:val="clear" w:color="000000" w:fill="FFFFFF"/>
            <w:tcMar>
              <w:top w:w="57" w:type="dxa"/>
            </w:tcMar>
            <w:hideMark/>
          </w:tcPr>
          <w:p w14:paraId="33BA59CB"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95,1% (2016)</w:t>
            </w:r>
          </w:p>
        </w:tc>
        <w:tc>
          <w:tcPr>
            <w:tcW w:w="2284" w:type="dxa"/>
            <w:shd w:val="clear" w:color="000000" w:fill="FFFFFF"/>
            <w:tcMar>
              <w:top w:w="57" w:type="dxa"/>
            </w:tcMar>
          </w:tcPr>
          <w:p w14:paraId="0F1384DC" w14:textId="7D8DDA12"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95 (+/-2%)</w:t>
            </w:r>
          </w:p>
        </w:tc>
      </w:tr>
      <w:tr w:rsidR="00171C12" w:rsidRPr="00620D81" w14:paraId="6E560E31" w14:textId="77777777" w:rsidTr="00171C12">
        <w:trPr>
          <w:cantSplit/>
        </w:trPr>
        <w:tc>
          <w:tcPr>
            <w:tcW w:w="2392" w:type="dxa"/>
            <w:vMerge/>
            <w:shd w:val="clear" w:color="000000" w:fill="FFFFFF"/>
            <w:tcMar>
              <w:top w:w="57" w:type="dxa"/>
            </w:tcMar>
            <w:vAlign w:val="bottom"/>
            <w:hideMark/>
          </w:tcPr>
          <w:p w14:paraId="7D7FB65A" w14:textId="72CBD9B5" w:rsidR="00171C12" w:rsidRPr="00620D81" w:rsidRDefault="00171C12" w:rsidP="00986700">
            <w:pPr>
              <w:jc w:val="right"/>
              <w:rPr>
                <w:rFonts w:asciiTheme="minorBidi" w:eastAsia="Times New Roman" w:hAnsiTheme="minorBidi"/>
                <w:color w:val="000000"/>
                <w:sz w:val="16"/>
                <w:szCs w:val="16"/>
                <w:lang w:eastAsia="en-US"/>
              </w:rPr>
            </w:pPr>
          </w:p>
        </w:tc>
        <w:tc>
          <w:tcPr>
            <w:tcW w:w="2303" w:type="dxa"/>
            <w:shd w:val="clear" w:color="000000" w:fill="FFFFFF"/>
            <w:tcMar>
              <w:top w:w="57" w:type="dxa"/>
            </w:tcMar>
            <w:hideMark/>
          </w:tcPr>
          <w:p w14:paraId="278395CE"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Délais de traduction des rapports</w:t>
            </w:r>
          </w:p>
        </w:tc>
        <w:tc>
          <w:tcPr>
            <w:tcW w:w="2308" w:type="dxa"/>
            <w:shd w:val="clear" w:color="000000" w:fill="FFFFFF"/>
            <w:tcMar>
              <w:top w:w="57" w:type="dxa"/>
            </w:tcMar>
            <w:hideMark/>
          </w:tcPr>
          <w:p w14:paraId="7E16C418" w14:textId="7F8414E9"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89</w:t>
            </w:r>
            <w:r w:rsidR="00585678">
              <w:rPr>
                <w:rFonts w:asciiTheme="minorBidi" w:eastAsia="Times New Roman" w:hAnsiTheme="minorBidi"/>
                <w:sz w:val="16"/>
                <w:szCs w:val="16"/>
                <w:lang w:eastAsia="en-US"/>
              </w:rPr>
              <w:t>,1</w:t>
            </w:r>
            <w:r w:rsidRPr="00620D81">
              <w:rPr>
                <w:rFonts w:asciiTheme="minorBidi" w:eastAsia="Times New Roman" w:hAnsiTheme="minorBidi"/>
                <w:sz w:val="16"/>
                <w:szCs w:val="16"/>
                <w:lang w:eastAsia="en-US"/>
              </w:rPr>
              <w:t>% (2016)</w:t>
            </w:r>
          </w:p>
        </w:tc>
        <w:tc>
          <w:tcPr>
            <w:tcW w:w="2284" w:type="dxa"/>
            <w:shd w:val="clear" w:color="000000" w:fill="FFFFFF"/>
            <w:tcMar>
              <w:top w:w="57" w:type="dxa"/>
            </w:tcMar>
          </w:tcPr>
          <w:p w14:paraId="4A6DB8C4" w14:textId="45F3E9E9"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90% (+/- 2%)</w:t>
            </w:r>
          </w:p>
        </w:tc>
      </w:tr>
      <w:tr w:rsidR="00171C12" w:rsidRPr="00620D81" w14:paraId="47204BA2" w14:textId="77777777" w:rsidTr="00171C12">
        <w:trPr>
          <w:cantSplit/>
        </w:trPr>
        <w:tc>
          <w:tcPr>
            <w:tcW w:w="2392" w:type="dxa"/>
            <w:vMerge/>
            <w:shd w:val="clear" w:color="000000" w:fill="FFFFFF"/>
            <w:tcMar>
              <w:top w:w="57" w:type="dxa"/>
            </w:tcMar>
            <w:vAlign w:val="bottom"/>
            <w:hideMark/>
          </w:tcPr>
          <w:p w14:paraId="766B6994" w14:textId="3009DF0E" w:rsidR="00171C12" w:rsidRPr="00620D81" w:rsidRDefault="00171C12" w:rsidP="00986700">
            <w:pPr>
              <w:jc w:val="right"/>
              <w:rPr>
                <w:rFonts w:asciiTheme="minorBidi" w:eastAsia="Times New Roman" w:hAnsiTheme="minorBidi"/>
                <w:color w:val="000000"/>
                <w:sz w:val="16"/>
                <w:szCs w:val="16"/>
                <w:lang w:eastAsia="en-US"/>
              </w:rPr>
            </w:pPr>
          </w:p>
        </w:tc>
        <w:tc>
          <w:tcPr>
            <w:tcW w:w="2303" w:type="dxa"/>
            <w:shd w:val="clear" w:color="000000" w:fill="FFFFFF"/>
            <w:tcMar>
              <w:top w:w="57" w:type="dxa"/>
            </w:tcMar>
            <w:hideMark/>
          </w:tcPr>
          <w:p w14:paraId="11BE55AB"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Qualité des traductions</w:t>
            </w:r>
          </w:p>
        </w:tc>
        <w:tc>
          <w:tcPr>
            <w:tcW w:w="2308" w:type="dxa"/>
            <w:shd w:val="clear" w:color="000000" w:fill="FFFFFF"/>
            <w:tcMar>
              <w:top w:w="57" w:type="dxa"/>
            </w:tcMar>
            <w:hideMark/>
          </w:tcPr>
          <w:p w14:paraId="4DE9412F"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86% (2016)</w:t>
            </w:r>
          </w:p>
        </w:tc>
        <w:tc>
          <w:tcPr>
            <w:tcW w:w="2284" w:type="dxa"/>
            <w:shd w:val="clear" w:color="000000" w:fill="FFFFFF"/>
            <w:tcMar>
              <w:top w:w="57" w:type="dxa"/>
            </w:tcMar>
          </w:tcPr>
          <w:p w14:paraId="08768D88" w14:textId="396175C6"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88% (+/- 3%)</w:t>
            </w:r>
          </w:p>
        </w:tc>
      </w:tr>
      <w:tr w:rsidR="00171C12" w:rsidRPr="00620D81" w14:paraId="4516300A" w14:textId="77777777" w:rsidTr="00171C12">
        <w:trPr>
          <w:cantSplit/>
        </w:trPr>
        <w:tc>
          <w:tcPr>
            <w:tcW w:w="2392" w:type="dxa"/>
            <w:vMerge/>
            <w:shd w:val="clear" w:color="000000" w:fill="FFFFFF"/>
            <w:tcMar>
              <w:top w:w="57" w:type="dxa"/>
            </w:tcMar>
            <w:vAlign w:val="bottom"/>
            <w:hideMark/>
          </w:tcPr>
          <w:p w14:paraId="3D026CA7" w14:textId="3F215EDC" w:rsidR="00171C12" w:rsidRPr="00620D81" w:rsidRDefault="00171C12" w:rsidP="00986700">
            <w:pPr>
              <w:jc w:val="right"/>
              <w:rPr>
                <w:rFonts w:asciiTheme="minorBidi" w:eastAsia="Times New Roman" w:hAnsiTheme="minorBidi"/>
                <w:color w:val="000000"/>
                <w:sz w:val="16"/>
                <w:szCs w:val="16"/>
                <w:lang w:eastAsia="en-US"/>
              </w:rPr>
            </w:pPr>
          </w:p>
        </w:tc>
        <w:tc>
          <w:tcPr>
            <w:tcW w:w="2303" w:type="dxa"/>
            <w:shd w:val="clear" w:color="000000" w:fill="FFFFFF"/>
            <w:tcMar>
              <w:top w:w="57" w:type="dxa"/>
            </w:tcMar>
            <w:hideMark/>
          </w:tcPr>
          <w:p w14:paraId="210F249A"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Qualité de la mise au point de logiciels</w:t>
            </w:r>
          </w:p>
        </w:tc>
        <w:tc>
          <w:tcPr>
            <w:tcW w:w="2308" w:type="dxa"/>
            <w:shd w:val="clear" w:color="000000" w:fill="FFFFFF"/>
            <w:tcMar>
              <w:top w:w="57" w:type="dxa"/>
            </w:tcMar>
            <w:hideMark/>
          </w:tcPr>
          <w:p w14:paraId="5CFBEAEE"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93,3% (2016)</w:t>
            </w:r>
          </w:p>
        </w:tc>
        <w:tc>
          <w:tcPr>
            <w:tcW w:w="2284" w:type="dxa"/>
            <w:shd w:val="clear" w:color="000000" w:fill="FFFFFF"/>
            <w:tcMar>
              <w:top w:w="57" w:type="dxa"/>
            </w:tcMar>
          </w:tcPr>
          <w:p w14:paraId="47709523" w14:textId="6AEFF682"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94 (+/-2%)</w:t>
            </w:r>
          </w:p>
        </w:tc>
      </w:tr>
      <w:tr w:rsidR="00171C12" w:rsidRPr="00620D81" w14:paraId="66FF3438" w14:textId="77777777" w:rsidTr="00171C12">
        <w:trPr>
          <w:cantSplit/>
        </w:trPr>
        <w:tc>
          <w:tcPr>
            <w:tcW w:w="2392" w:type="dxa"/>
            <w:vMerge/>
            <w:shd w:val="clear" w:color="000000" w:fill="FFFFFF"/>
            <w:tcMar>
              <w:top w:w="57" w:type="dxa"/>
            </w:tcMar>
            <w:vAlign w:val="bottom"/>
            <w:hideMark/>
          </w:tcPr>
          <w:p w14:paraId="7F3DBEAE" w14:textId="4D9966CE" w:rsidR="00171C12" w:rsidRPr="00620D81" w:rsidRDefault="00171C12" w:rsidP="00986700">
            <w:pPr>
              <w:jc w:val="right"/>
              <w:rPr>
                <w:rFonts w:asciiTheme="minorBidi" w:eastAsia="Times New Roman" w:hAnsiTheme="minorBidi"/>
                <w:color w:val="000000"/>
                <w:sz w:val="16"/>
                <w:szCs w:val="16"/>
                <w:lang w:eastAsia="en-US"/>
              </w:rPr>
            </w:pPr>
          </w:p>
        </w:tc>
        <w:tc>
          <w:tcPr>
            <w:tcW w:w="2303" w:type="dxa"/>
            <w:shd w:val="clear" w:color="000000" w:fill="FFFFFF"/>
            <w:tcMar>
              <w:top w:w="57" w:type="dxa"/>
            </w:tcMar>
            <w:hideMark/>
          </w:tcPr>
          <w:p w14:paraId="7EC90B40" w14:textId="77777777" w:rsidR="00171C12" w:rsidRPr="00620D81" w:rsidRDefault="00171C12" w:rsidP="00986700">
            <w:pPr>
              <w:rPr>
                <w:rFonts w:asciiTheme="minorBidi" w:eastAsia="Times New Roman" w:hAnsiTheme="minorBidi"/>
                <w:color w:val="000000"/>
                <w:sz w:val="16"/>
                <w:szCs w:val="16"/>
                <w:lang w:eastAsia="en-US"/>
              </w:rPr>
            </w:pPr>
            <w:r w:rsidRPr="00620D81">
              <w:rPr>
                <w:rFonts w:asciiTheme="minorBidi" w:eastAsia="Times New Roman" w:hAnsiTheme="minorBidi"/>
                <w:color w:val="000000"/>
                <w:sz w:val="16"/>
                <w:szCs w:val="16"/>
                <w:lang w:eastAsia="en-US"/>
              </w:rPr>
              <w:t>Niveau de service des systèmes d’information</w:t>
            </w:r>
          </w:p>
        </w:tc>
        <w:tc>
          <w:tcPr>
            <w:tcW w:w="2308" w:type="dxa"/>
            <w:shd w:val="clear" w:color="000000" w:fill="FFFFFF"/>
            <w:tcMar>
              <w:top w:w="57" w:type="dxa"/>
            </w:tcMar>
            <w:hideMark/>
          </w:tcPr>
          <w:p w14:paraId="01C181A0" w14:textId="77777777" w:rsidR="00171C12" w:rsidRPr="00620D81" w:rsidRDefault="00171C12" w:rsidP="00986700">
            <w:pPr>
              <w:rPr>
                <w:rFonts w:asciiTheme="minorBidi" w:eastAsia="Times New Roman" w:hAnsiTheme="minorBidi"/>
                <w:sz w:val="16"/>
                <w:szCs w:val="16"/>
                <w:lang w:eastAsia="en-US"/>
              </w:rPr>
            </w:pPr>
            <w:r w:rsidRPr="00620D81">
              <w:rPr>
                <w:rFonts w:asciiTheme="minorBidi" w:eastAsia="Times New Roman" w:hAnsiTheme="minorBidi"/>
                <w:sz w:val="16"/>
                <w:szCs w:val="16"/>
                <w:lang w:eastAsia="en-US"/>
              </w:rPr>
              <w:t>97,1% (2016)</w:t>
            </w:r>
          </w:p>
        </w:tc>
        <w:tc>
          <w:tcPr>
            <w:tcW w:w="2284" w:type="dxa"/>
            <w:shd w:val="clear" w:color="000000" w:fill="FFFFFF"/>
            <w:tcMar>
              <w:top w:w="57" w:type="dxa"/>
            </w:tcMar>
          </w:tcPr>
          <w:p w14:paraId="779695D6" w14:textId="12D0C14E" w:rsidR="00171C12" w:rsidRPr="00620D81" w:rsidRDefault="00171C12"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97(+/-2%)</w:t>
            </w:r>
          </w:p>
        </w:tc>
      </w:tr>
    </w:tbl>
    <w:p w14:paraId="67833450" w14:textId="77777777" w:rsidR="0010526D" w:rsidRPr="00620D81" w:rsidRDefault="0010526D" w:rsidP="00986700">
      <w:pPr>
        <w:jc w:val="both"/>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3F0BF909" w14:textId="77777777" w:rsidTr="00EE0227">
        <w:trPr>
          <w:cantSplit/>
        </w:trPr>
        <w:tc>
          <w:tcPr>
            <w:tcW w:w="9571" w:type="dxa"/>
            <w:shd w:val="clear" w:color="auto" w:fill="C6D9F1" w:themeFill="text2" w:themeFillTint="33"/>
            <w:vAlign w:val="center"/>
          </w:tcPr>
          <w:p w14:paraId="28FE4E3B" w14:textId="77777777" w:rsidR="005E30D2" w:rsidRPr="00821D15" w:rsidRDefault="005E30D2" w:rsidP="00986700">
            <w:pPr>
              <w:jc w:val="center"/>
              <w:rPr>
                <w:rFonts w:cs="Arial"/>
                <w:b/>
                <w:szCs w:val="20"/>
              </w:rPr>
            </w:pPr>
            <w:r w:rsidRPr="00821D15">
              <w:rPr>
                <w:rFonts w:cs="Arial"/>
                <w:b/>
                <w:szCs w:val="20"/>
              </w:rPr>
              <w:t>Ressources allouées au programme 5</w:t>
            </w:r>
          </w:p>
        </w:tc>
      </w:tr>
    </w:tbl>
    <w:p w14:paraId="495DB2AC" w14:textId="77777777" w:rsidR="005E30D2" w:rsidRPr="00821D15" w:rsidRDefault="005E30D2" w:rsidP="00986700">
      <w:pPr>
        <w:rPr>
          <w:rFonts w:cs="Arial"/>
          <w:szCs w:val="20"/>
        </w:rPr>
      </w:pPr>
    </w:p>
    <w:p w14:paraId="2A9C599C" w14:textId="77777777" w:rsidR="005E30D2" w:rsidRPr="00821D15" w:rsidRDefault="005E30D2" w:rsidP="00616FD3">
      <w:pPr>
        <w:pStyle w:val="ListParagraph"/>
        <w:numPr>
          <w:ilvl w:val="0"/>
          <w:numId w:val="64"/>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2,4% par rapport au budget approuvé pour 2016</w:t>
      </w:r>
      <w:r w:rsidRPr="00821D15">
        <w:rPr>
          <w:rFonts w:cs="Arial"/>
          <w:szCs w:val="20"/>
        </w:rPr>
        <w:noBreakHyphen/>
        <w:t>2017.</w:t>
      </w:r>
    </w:p>
    <w:p w14:paraId="4B268971" w14:textId="77777777" w:rsidR="005E30D2" w:rsidRPr="00821D15" w:rsidRDefault="005E30D2" w:rsidP="00986700">
      <w:pPr>
        <w:rPr>
          <w:rFonts w:cs="Arial"/>
          <w:szCs w:val="20"/>
        </w:rPr>
      </w:pPr>
    </w:p>
    <w:p w14:paraId="207390BD" w14:textId="77777777" w:rsidR="005E30D2" w:rsidRPr="00821D15" w:rsidRDefault="005E30D2" w:rsidP="00616FD3">
      <w:pPr>
        <w:pStyle w:val="ListParagraph"/>
        <w:numPr>
          <w:ilvl w:val="0"/>
          <w:numId w:val="64"/>
        </w:numPr>
        <w:ind w:left="0" w:firstLine="0"/>
        <w:jc w:val="both"/>
        <w:rPr>
          <w:rFonts w:cs="Arial"/>
          <w:szCs w:val="20"/>
        </w:rPr>
      </w:pPr>
      <w:r w:rsidRPr="00821D15">
        <w:rPr>
          <w:rFonts w:cs="Arial"/>
          <w:szCs w:val="20"/>
        </w:rPr>
        <w:t>L’augmentation des dépenses autres que les dépenses de personnel est principalement due à la provision supplémentaire pour les coûts de traduction du PCT en 2018</w:t>
      </w:r>
      <w:r w:rsidRPr="00821D15">
        <w:rPr>
          <w:rFonts w:cs="Arial"/>
          <w:szCs w:val="20"/>
        </w:rPr>
        <w:noBreakHyphen/>
        <w:t>2019 afin de pouvoir continuer à relever les défis liés à l’évolution de la composition géographique de la demande relative aux services du PCT.</w:t>
      </w:r>
    </w:p>
    <w:p w14:paraId="0C847097" w14:textId="77777777" w:rsidR="005E30D2" w:rsidRPr="00821D15" w:rsidRDefault="005E30D2" w:rsidP="00986700">
      <w:pPr>
        <w:rPr>
          <w:rFonts w:cs="Arial"/>
          <w:szCs w:val="20"/>
        </w:rPr>
      </w:pPr>
    </w:p>
    <w:p w14:paraId="4FE000BC" w14:textId="77777777" w:rsidR="005E30D2" w:rsidRPr="00821D15" w:rsidRDefault="005E30D2" w:rsidP="00616FD3">
      <w:pPr>
        <w:pStyle w:val="ListParagraph"/>
        <w:numPr>
          <w:ilvl w:val="0"/>
          <w:numId w:val="64"/>
        </w:numPr>
        <w:ind w:left="0" w:firstLine="0"/>
        <w:jc w:val="both"/>
        <w:rPr>
          <w:rFonts w:cs="Arial"/>
          <w:szCs w:val="20"/>
        </w:rPr>
      </w:pPr>
      <w:r w:rsidRPr="00821D15">
        <w:rPr>
          <w:rFonts w:cs="Arial"/>
          <w:szCs w:val="20"/>
        </w:rPr>
        <w:t>La diminution du nombre de postes et des dépenses de personnel correspondantes résulte principalement d’une volonté, sur le long terme, d’augmenter la productivité des opérations relatives au PCT malgré l’augmentation du nombre de demandes et de renforcer la promotion du système du PCT dans les bureaux extérieurs.</w:t>
      </w:r>
    </w:p>
    <w:p w14:paraId="0E0B44DC" w14:textId="77777777" w:rsidR="00674550" w:rsidRDefault="00674550" w:rsidP="00986700">
      <w:pPr>
        <w:rPr>
          <w:lang w:eastAsia="en-US"/>
        </w:rPr>
      </w:pPr>
    </w:p>
    <w:p w14:paraId="615D5FFF" w14:textId="32FC4A37"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5 : </w:t>
      </w:r>
      <w:r w:rsidRPr="00674550">
        <w:rPr>
          <w:rFonts w:eastAsia="Times New Roman" w:cs="Arial"/>
          <w:b/>
          <w:szCs w:val="20"/>
          <w:lang w:eastAsia="en-US"/>
        </w:rPr>
        <w:t>Ressources par résultat</w:t>
      </w:r>
    </w:p>
    <w:p w14:paraId="56389CB1"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77363276" w14:textId="77777777" w:rsidR="00717231" w:rsidRDefault="00717231" w:rsidP="00E61AC7">
      <w:pPr>
        <w:keepNext/>
        <w:rPr>
          <w:lang w:eastAsia="en-US"/>
        </w:rPr>
      </w:pPr>
    </w:p>
    <w:p w14:paraId="753AD120" w14:textId="26AE03CE" w:rsidR="00717231" w:rsidRDefault="00717231" w:rsidP="00986700">
      <w:pPr>
        <w:jc w:val="center"/>
        <w:rPr>
          <w:lang w:eastAsia="en-US"/>
        </w:rPr>
      </w:pPr>
      <w:r w:rsidRPr="00717231">
        <w:rPr>
          <w:noProof/>
          <w:lang w:val="en-US" w:eastAsia="en-US"/>
        </w:rPr>
        <w:drawing>
          <wp:inline distT="0" distB="0" distL="0" distR="0" wp14:anchorId="4E18D0FD" wp14:editId="096EADD5">
            <wp:extent cx="5400000" cy="1230785"/>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1230785"/>
                    </a:xfrm>
                    <a:prstGeom prst="rect">
                      <a:avLst/>
                    </a:prstGeom>
                    <a:noFill/>
                    <a:ln>
                      <a:noFill/>
                    </a:ln>
                  </pic:spPr>
                </pic:pic>
              </a:graphicData>
            </a:graphic>
          </wp:inline>
        </w:drawing>
      </w:r>
    </w:p>
    <w:p w14:paraId="6C75A6FE" w14:textId="77777777" w:rsidR="00717231" w:rsidRDefault="00717231" w:rsidP="00986700">
      <w:pPr>
        <w:rPr>
          <w:lang w:eastAsia="en-US"/>
        </w:rPr>
      </w:pPr>
    </w:p>
    <w:p w14:paraId="37B59BED"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5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0E599BB2" w14:textId="4D2B9E1A"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1EB6C579" w14:textId="77777777" w:rsidR="008778B5" w:rsidRDefault="008778B5" w:rsidP="00986700">
      <w:pPr>
        <w:keepNext/>
        <w:rPr>
          <w:lang w:eastAsia="en-US"/>
        </w:rPr>
      </w:pPr>
    </w:p>
    <w:p w14:paraId="6035E1E8" w14:textId="04812664" w:rsidR="00B55ECC" w:rsidRDefault="008778B5" w:rsidP="00986700">
      <w:pPr>
        <w:jc w:val="center"/>
        <w:rPr>
          <w:lang w:eastAsia="en-US"/>
        </w:rPr>
      </w:pPr>
      <w:r w:rsidRPr="008778B5">
        <w:rPr>
          <w:noProof/>
          <w:lang w:val="en-US" w:eastAsia="en-US"/>
        </w:rPr>
        <w:drawing>
          <wp:inline distT="0" distB="0" distL="0" distR="0" wp14:anchorId="674C2D72" wp14:editId="6409C73C">
            <wp:extent cx="5400000" cy="6031770"/>
            <wp:effectExtent l="0" t="0" r="0" b="762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0E2874C0" w14:textId="77777777" w:rsidR="00B55ECC" w:rsidRPr="00E16214" w:rsidRDefault="00B55ECC" w:rsidP="00986700">
      <w:pPr>
        <w:rPr>
          <w:lang w:eastAsia="en-US"/>
        </w:rPr>
      </w:pPr>
    </w:p>
    <w:p w14:paraId="1FA185B3" w14:textId="2F7AD773" w:rsidR="0010526D" w:rsidRDefault="0010526D" w:rsidP="00986700">
      <w:pPr>
        <w:rPr>
          <w:lang w:eastAsia="en-US"/>
        </w:rPr>
      </w:pPr>
      <w:r>
        <w:rPr>
          <w:lang w:eastAsia="en-US"/>
        </w:rPr>
        <w:br w:type="page"/>
      </w:r>
    </w:p>
    <w:p w14:paraId="191B2902" w14:textId="77777777" w:rsidR="0010526D" w:rsidRPr="0060494B" w:rsidRDefault="0010526D" w:rsidP="00986700">
      <w:pPr>
        <w:pStyle w:val="Heading3"/>
      </w:pPr>
      <w:bookmarkStart w:id="31" w:name="_Toc480815245"/>
      <w:bookmarkStart w:id="32" w:name="_Toc482979478"/>
      <w:r w:rsidRPr="0060494B">
        <w:lastRenderedPageBreak/>
        <w:t xml:space="preserve">Programme 5 Annexe : </w:t>
      </w:r>
      <w:r w:rsidRPr="0060494B">
        <w:tab/>
        <w:t>Indicateurs relatifs aux opérations du </w:t>
      </w:r>
      <w:bookmarkEnd w:id="31"/>
      <w:r w:rsidRPr="0060494B">
        <w:t>PCT</w:t>
      </w:r>
      <w:bookmarkEnd w:id="32"/>
    </w:p>
    <w:p w14:paraId="420103D9" w14:textId="77777777" w:rsidR="0010526D" w:rsidRPr="00F657D1" w:rsidRDefault="0010526D" w:rsidP="00986700">
      <w:pPr>
        <w:rPr>
          <w:rFonts w:asciiTheme="minorBidi" w:eastAsiaTheme="minorHAnsi" w:hAnsiTheme="minorBidi"/>
          <w:bCs/>
          <w:szCs w:val="20"/>
        </w:rPr>
      </w:pPr>
    </w:p>
    <w:p w14:paraId="3BFD78AB" w14:textId="77777777" w:rsidR="0010526D" w:rsidRPr="00F657D1" w:rsidRDefault="0010526D" w:rsidP="00986700">
      <w:pPr>
        <w:rPr>
          <w:rFonts w:asciiTheme="minorBidi" w:eastAsiaTheme="minorHAnsi" w:hAnsiTheme="minorBidi"/>
          <w:bCs/>
          <w:szCs w:val="20"/>
        </w:rPr>
      </w:pPr>
    </w:p>
    <w:p w14:paraId="060B13FD" w14:textId="77777777" w:rsidR="0010526D" w:rsidRPr="00F657D1" w:rsidRDefault="0010526D" w:rsidP="00986700">
      <w:pPr>
        <w:rPr>
          <w:rFonts w:asciiTheme="minorBidi" w:eastAsia="SimSun" w:hAnsiTheme="minorBidi"/>
          <w:szCs w:val="20"/>
          <w:lang w:eastAsia="zh-CN"/>
        </w:rPr>
      </w:pPr>
      <w:r w:rsidRPr="00F657D1">
        <w:rPr>
          <w:rFonts w:asciiTheme="minorBidi" w:eastAsia="SimSun" w:hAnsiTheme="minorBidi"/>
          <w:szCs w:val="20"/>
          <w:lang w:eastAsia="zh-CN"/>
        </w:rPr>
        <w:t>INDICATEURS D</w:t>
      </w:r>
      <w:r>
        <w:rPr>
          <w:rFonts w:asciiTheme="minorBidi" w:eastAsia="SimSun" w:hAnsiTheme="minorBidi"/>
          <w:szCs w:val="20"/>
          <w:lang w:eastAsia="zh-CN"/>
        </w:rPr>
        <w:t>’</w:t>
      </w:r>
      <w:r w:rsidRPr="00F657D1">
        <w:rPr>
          <w:rFonts w:asciiTheme="minorBidi" w:eastAsia="SimSun" w:hAnsiTheme="minorBidi"/>
          <w:szCs w:val="20"/>
          <w:lang w:eastAsia="zh-CN"/>
        </w:rPr>
        <w:t>EXÉCUTION POUR LE RÉSULTAT ESCOMPTÉ</w:t>
      </w:r>
    </w:p>
    <w:p w14:paraId="720A788B" w14:textId="77777777" w:rsidR="0010526D" w:rsidRPr="00F657D1" w:rsidRDefault="0010526D" w:rsidP="00986700">
      <w:pPr>
        <w:rPr>
          <w:rFonts w:asciiTheme="minorBidi" w:eastAsia="SimSun" w:hAnsiTheme="minorBidi"/>
          <w:szCs w:val="20"/>
          <w:lang w:eastAsia="zh-CN"/>
        </w:rPr>
      </w:pPr>
      <w:r w:rsidRPr="00F657D1">
        <w:rPr>
          <w:rFonts w:asciiTheme="minorBidi" w:eastAsia="SimSun" w:hAnsiTheme="minorBidi"/>
          <w:szCs w:val="20"/>
          <w:lang w:eastAsia="zh-CN"/>
        </w:rPr>
        <w:t>“AMÉLIORATION DE LA PRODUCTIVITÉ ET DE LA QUALITÉ DE SERVICE DES OPÉRATIONS DU PCT”</w:t>
      </w:r>
    </w:p>
    <w:p w14:paraId="16BF7013" w14:textId="77777777" w:rsidR="0010526D" w:rsidRPr="00F657D1" w:rsidRDefault="0010526D" w:rsidP="00986700">
      <w:pPr>
        <w:rPr>
          <w:rFonts w:asciiTheme="minorBidi" w:hAnsiTheme="minorBidi"/>
          <w:bCs/>
          <w:szCs w:val="20"/>
        </w:rPr>
      </w:pPr>
    </w:p>
    <w:p w14:paraId="493B3AE1" w14:textId="77777777" w:rsidR="0010526D" w:rsidRPr="00F657D1" w:rsidRDefault="0010526D" w:rsidP="00986700">
      <w:pPr>
        <w:rPr>
          <w:rFonts w:asciiTheme="minorBidi" w:eastAsia="SimSun" w:hAnsiTheme="minorBidi"/>
          <w:b/>
          <w:szCs w:val="20"/>
          <w:lang w:eastAsia="zh-CN"/>
        </w:rPr>
      </w:pPr>
      <w:r w:rsidRPr="00F657D1">
        <w:rPr>
          <w:rFonts w:asciiTheme="minorBidi" w:eastAsia="SimSun" w:hAnsiTheme="minorBidi"/>
          <w:b/>
          <w:szCs w:val="20"/>
          <w:lang w:eastAsia="zh-CN"/>
        </w:rPr>
        <w:t>Généralités</w:t>
      </w:r>
    </w:p>
    <w:p w14:paraId="004EA980" w14:textId="77777777" w:rsidR="0010526D" w:rsidRPr="00F657D1" w:rsidRDefault="0010526D" w:rsidP="00986700">
      <w:pPr>
        <w:rPr>
          <w:rFonts w:asciiTheme="minorBidi" w:hAnsiTheme="minorBidi"/>
          <w:bCs/>
          <w:szCs w:val="20"/>
        </w:rPr>
      </w:pPr>
    </w:p>
    <w:p w14:paraId="64C94C38" w14:textId="77777777" w:rsidR="0010526D" w:rsidRDefault="0010526D" w:rsidP="00616FD3">
      <w:pPr>
        <w:numPr>
          <w:ilvl w:val="0"/>
          <w:numId w:val="30"/>
        </w:numPr>
        <w:jc w:val="both"/>
        <w:rPr>
          <w:rFonts w:asciiTheme="minorBidi" w:hAnsiTheme="minorBidi"/>
          <w:szCs w:val="20"/>
        </w:rPr>
      </w:pPr>
      <w:r w:rsidRPr="00F657D1">
        <w:rPr>
          <w:rFonts w:asciiTheme="minorBidi" w:hAnsiTheme="minorBidi"/>
          <w:szCs w:val="20"/>
        </w:rPr>
        <w:t>À titre d</w:t>
      </w:r>
      <w:r>
        <w:rPr>
          <w:rFonts w:asciiTheme="minorBidi" w:hAnsiTheme="minorBidi"/>
          <w:szCs w:val="20"/>
        </w:rPr>
        <w:t>’</w:t>
      </w:r>
      <w:r w:rsidRPr="00F657D1">
        <w:rPr>
          <w:rFonts w:asciiTheme="minorBidi" w:hAnsiTheme="minorBidi"/>
          <w:szCs w:val="20"/>
        </w:rPr>
        <w:t>introduction en ce qui concerne les indicateurs d</w:t>
      </w:r>
      <w:r>
        <w:rPr>
          <w:rFonts w:asciiTheme="minorBidi" w:hAnsiTheme="minorBidi"/>
          <w:szCs w:val="20"/>
        </w:rPr>
        <w:t>’</w:t>
      </w:r>
      <w:r w:rsidRPr="00F657D1">
        <w:rPr>
          <w:rFonts w:asciiTheme="minorBidi" w:hAnsiTheme="minorBidi"/>
          <w:szCs w:val="20"/>
        </w:rPr>
        <w:t>exécution pour le résultat escompté “Amélioration de la productivité et de la qualité de service des opérations</w:t>
      </w:r>
      <w:r w:rsidRPr="00DD4AAC">
        <w:rPr>
          <w:rFonts w:asciiTheme="minorBidi" w:hAnsiTheme="minorBidi"/>
          <w:szCs w:val="20"/>
        </w:rPr>
        <w:t xml:space="preserve"> du PCT</w:t>
      </w:r>
      <w:r w:rsidRPr="00F657D1">
        <w:rPr>
          <w:rFonts w:asciiTheme="minorBidi" w:hAnsiTheme="minorBidi"/>
          <w:szCs w:val="20"/>
        </w:rPr>
        <w:t>”, il y a lieu d</w:t>
      </w:r>
      <w:r>
        <w:rPr>
          <w:rFonts w:asciiTheme="minorBidi" w:hAnsiTheme="minorBidi"/>
          <w:szCs w:val="20"/>
        </w:rPr>
        <w:t>’</w:t>
      </w:r>
      <w:r w:rsidRPr="00F657D1">
        <w:rPr>
          <w:rFonts w:asciiTheme="minorBidi" w:hAnsiTheme="minorBidi"/>
          <w:szCs w:val="20"/>
        </w:rPr>
        <w:t>examiner l</w:t>
      </w:r>
      <w:r>
        <w:rPr>
          <w:rFonts w:asciiTheme="minorBidi" w:hAnsiTheme="minorBidi"/>
          <w:szCs w:val="20"/>
        </w:rPr>
        <w:t>’</w:t>
      </w:r>
      <w:r w:rsidRPr="00F657D1">
        <w:rPr>
          <w:rFonts w:asciiTheme="minorBidi" w:hAnsiTheme="minorBidi"/>
          <w:szCs w:val="20"/>
        </w:rPr>
        <w:t>évolution des facteurs suivants</w:t>
      </w:r>
      <w:r>
        <w:rPr>
          <w:rFonts w:asciiTheme="minorBidi" w:hAnsiTheme="minorBidi"/>
          <w:szCs w:val="20"/>
        </w:rPr>
        <w:t> :</w:t>
      </w:r>
    </w:p>
    <w:p w14:paraId="197DED72" w14:textId="77777777" w:rsidR="0010526D" w:rsidRPr="00F657D1" w:rsidRDefault="0010526D" w:rsidP="00986700">
      <w:pPr>
        <w:rPr>
          <w:rFonts w:asciiTheme="minorBidi" w:hAnsiTheme="minorBidi"/>
          <w:szCs w:val="20"/>
        </w:rPr>
      </w:pPr>
    </w:p>
    <w:p w14:paraId="0F0ADBE6" w14:textId="77777777" w:rsidR="0010526D" w:rsidRPr="00F657D1" w:rsidRDefault="0010526D" w:rsidP="00616FD3">
      <w:pPr>
        <w:numPr>
          <w:ilvl w:val="0"/>
          <w:numId w:val="29"/>
        </w:numPr>
        <w:tabs>
          <w:tab w:val="clear" w:pos="720"/>
          <w:tab w:val="num" w:pos="1134"/>
        </w:tabs>
        <w:spacing w:after="120"/>
        <w:ind w:left="567" w:firstLine="0"/>
        <w:jc w:val="both"/>
        <w:rPr>
          <w:rFonts w:asciiTheme="minorBidi" w:eastAsiaTheme="minorHAnsi" w:hAnsiTheme="minorBidi"/>
          <w:szCs w:val="20"/>
        </w:rPr>
      </w:pPr>
      <w:r w:rsidRPr="00F657D1">
        <w:rPr>
          <w:rFonts w:asciiTheme="minorBidi" w:eastAsiaTheme="minorHAnsi" w:hAnsiTheme="minorBidi"/>
          <w:szCs w:val="20"/>
        </w:rPr>
        <w:t>la charge de travail</w:t>
      </w:r>
      <w:r w:rsidRPr="00DD4AAC">
        <w:rPr>
          <w:rFonts w:asciiTheme="minorBidi" w:eastAsiaTheme="minorHAnsi" w:hAnsiTheme="minorBidi"/>
          <w:szCs w:val="20"/>
        </w:rPr>
        <w:t xml:space="preserve"> du PCT</w:t>
      </w:r>
      <w:r w:rsidRPr="00F657D1">
        <w:rPr>
          <w:rFonts w:asciiTheme="minorBidi" w:eastAsiaTheme="minorHAnsi" w:hAnsiTheme="minorBidi"/>
          <w:szCs w:val="20"/>
        </w:rPr>
        <w:t>;</w:t>
      </w:r>
    </w:p>
    <w:p w14:paraId="2EA2C3D9" w14:textId="77777777" w:rsidR="0010526D" w:rsidRPr="00F657D1" w:rsidRDefault="0010526D" w:rsidP="00616FD3">
      <w:pPr>
        <w:numPr>
          <w:ilvl w:val="0"/>
          <w:numId w:val="29"/>
        </w:numPr>
        <w:tabs>
          <w:tab w:val="clear" w:pos="720"/>
          <w:tab w:val="num" w:pos="1134"/>
        </w:tabs>
        <w:spacing w:after="120"/>
        <w:ind w:left="567" w:firstLine="0"/>
        <w:jc w:val="both"/>
        <w:rPr>
          <w:rFonts w:asciiTheme="minorBidi" w:eastAsiaTheme="minorHAnsi" w:hAnsiTheme="minorBidi"/>
          <w:szCs w:val="20"/>
        </w:rPr>
      </w:pPr>
      <w:r w:rsidRPr="00F657D1">
        <w:rPr>
          <w:rFonts w:asciiTheme="minorBidi" w:eastAsiaTheme="minorHAnsi" w:hAnsiTheme="minorBidi"/>
          <w:szCs w:val="20"/>
        </w:rPr>
        <w:t>la répartition linguistique de cette charge de travail;</w:t>
      </w:r>
    </w:p>
    <w:p w14:paraId="354025A3" w14:textId="77777777" w:rsidR="0010526D" w:rsidRPr="00F657D1" w:rsidRDefault="0010526D" w:rsidP="00616FD3">
      <w:pPr>
        <w:numPr>
          <w:ilvl w:val="0"/>
          <w:numId w:val="29"/>
        </w:numPr>
        <w:tabs>
          <w:tab w:val="clear" w:pos="720"/>
          <w:tab w:val="num" w:pos="1134"/>
        </w:tabs>
        <w:spacing w:after="120"/>
        <w:ind w:left="567" w:firstLine="0"/>
        <w:jc w:val="both"/>
        <w:rPr>
          <w:rFonts w:asciiTheme="minorBidi" w:eastAsiaTheme="minorHAnsi" w:hAnsiTheme="minorBidi"/>
          <w:szCs w:val="20"/>
        </w:rPr>
      </w:pPr>
      <w:r w:rsidRPr="00F657D1">
        <w:rPr>
          <w:rFonts w:asciiTheme="minorBidi" w:eastAsiaTheme="minorHAnsi" w:hAnsiTheme="minorBidi"/>
          <w:szCs w:val="20"/>
        </w:rPr>
        <w:t>les effectifs affectés au traitement de cette charge de travail;  et</w:t>
      </w:r>
    </w:p>
    <w:p w14:paraId="78F0B4D4" w14:textId="77777777" w:rsidR="0010526D" w:rsidRPr="00F657D1" w:rsidRDefault="0010526D" w:rsidP="00616FD3">
      <w:pPr>
        <w:numPr>
          <w:ilvl w:val="0"/>
          <w:numId w:val="29"/>
        </w:numPr>
        <w:tabs>
          <w:tab w:val="clear" w:pos="720"/>
          <w:tab w:val="num" w:pos="1134"/>
        </w:tabs>
        <w:spacing w:after="120"/>
        <w:ind w:left="567" w:firstLine="0"/>
        <w:jc w:val="both"/>
        <w:rPr>
          <w:rFonts w:asciiTheme="minorBidi" w:eastAsiaTheme="minorHAnsi" w:hAnsiTheme="minorBidi"/>
          <w:szCs w:val="20"/>
        </w:rPr>
      </w:pPr>
      <w:r w:rsidRPr="00F657D1">
        <w:rPr>
          <w:rFonts w:asciiTheme="minorBidi" w:eastAsiaTheme="minorHAnsi" w:hAnsiTheme="minorBidi"/>
          <w:szCs w:val="20"/>
        </w:rPr>
        <w:t>le niveau d</w:t>
      </w:r>
      <w:r>
        <w:rPr>
          <w:rFonts w:asciiTheme="minorBidi" w:eastAsiaTheme="minorHAnsi" w:hAnsiTheme="minorBidi"/>
          <w:szCs w:val="20"/>
        </w:rPr>
        <w:t>’</w:t>
      </w:r>
      <w:r w:rsidRPr="00F657D1">
        <w:rPr>
          <w:rFonts w:asciiTheme="minorBidi" w:eastAsiaTheme="minorHAnsi" w:hAnsiTheme="minorBidi"/>
          <w:szCs w:val="20"/>
        </w:rPr>
        <w:t>automatisation.</w:t>
      </w:r>
    </w:p>
    <w:p w14:paraId="45562852" w14:textId="77777777" w:rsidR="0010526D" w:rsidRPr="00F657D1" w:rsidRDefault="0010526D" w:rsidP="00986700">
      <w:pPr>
        <w:tabs>
          <w:tab w:val="num" w:pos="1100"/>
        </w:tabs>
        <w:ind w:left="1210" w:hanging="660"/>
        <w:rPr>
          <w:rFonts w:asciiTheme="minorBidi" w:hAnsiTheme="minorBidi"/>
          <w:szCs w:val="20"/>
        </w:rPr>
      </w:pPr>
    </w:p>
    <w:p w14:paraId="15559CA5" w14:textId="77777777" w:rsidR="0010526D" w:rsidRPr="00F657D1" w:rsidRDefault="0010526D" w:rsidP="00986700">
      <w:pPr>
        <w:rPr>
          <w:rFonts w:asciiTheme="minorBidi" w:hAnsiTheme="minorBidi"/>
          <w:i/>
          <w:szCs w:val="20"/>
        </w:rPr>
      </w:pPr>
      <w:r w:rsidRPr="00F657D1">
        <w:rPr>
          <w:rFonts w:asciiTheme="minorBidi" w:hAnsiTheme="minorBidi"/>
          <w:i/>
          <w:szCs w:val="20"/>
        </w:rPr>
        <w:t>Charge de travail</w:t>
      </w:r>
    </w:p>
    <w:p w14:paraId="10672B07" w14:textId="77777777" w:rsidR="0010526D" w:rsidRPr="00F657D1" w:rsidRDefault="0010526D" w:rsidP="00986700">
      <w:pPr>
        <w:rPr>
          <w:rFonts w:asciiTheme="minorBidi" w:hAnsiTheme="minorBidi"/>
          <w:szCs w:val="20"/>
        </w:rPr>
      </w:pPr>
    </w:p>
    <w:p w14:paraId="60EA7126" w14:textId="77777777" w:rsidR="0010526D" w:rsidRPr="00F657D1" w:rsidRDefault="0010526D" w:rsidP="00616FD3">
      <w:pPr>
        <w:numPr>
          <w:ilvl w:val="0"/>
          <w:numId w:val="30"/>
        </w:numPr>
        <w:rPr>
          <w:rFonts w:asciiTheme="minorBidi" w:hAnsiTheme="minorBidi"/>
          <w:szCs w:val="20"/>
        </w:rPr>
      </w:pPr>
      <w:r w:rsidRPr="00F657D1">
        <w:rPr>
          <w:rFonts w:asciiTheme="minorBidi" w:hAnsiTheme="minorBidi"/>
          <w:szCs w:val="20"/>
        </w:rPr>
        <w:t>La charge de travail est mesurée sur la base du nombre d</w:t>
      </w:r>
      <w:r>
        <w:rPr>
          <w:rFonts w:asciiTheme="minorBidi" w:hAnsiTheme="minorBidi"/>
          <w:szCs w:val="20"/>
        </w:rPr>
        <w:t>’</w:t>
      </w:r>
      <w:r w:rsidRPr="00F657D1">
        <w:rPr>
          <w:rFonts w:asciiTheme="minorBidi" w:hAnsiTheme="minorBidi"/>
          <w:szCs w:val="20"/>
        </w:rPr>
        <w:t>exemplaires originaux reçus chaque année par le Bureau international</w:t>
      </w:r>
      <w:r w:rsidRPr="00F657D1">
        <w:rPr>
          <w:rStyle w:val="FootnoteReference"/>
          <w:rFonts w:asciiTheme="minorBidi" w:hAnsiTheme="minorBidi"/>
          <w:szCs w:val="20"/>
        </w:rPr>
        <w:footnoteReference w:id="13"/>
      </w:r>
      <w:r w:rsidRPr="00F657D1">
        <w:rPr>
          <w:rFonts w:asciiTheme="minorBidi" w:hAnsiTheme="minorBidi"/>
          <w:szCs w:val="20"/>
        </w:rPr>
        <w:t>.</w:t>
      </w:r>
    </w:p>
    <w:p w14:paraId="1D03B532" w14:textId="77777777" w:rsidR="0010526D" w:rsidRPr="00F657D1" w:rsidRDefault="0010526D" w:rsidP="00986700">
      <w:pPr>
        <w:jc w:val="center"/>
        <w:rPr>
          <w:rFonts w:asciiTheme="minorBidi" w:hAnsiTheme="minorBidi"/>
          <w:b/>
          <w:bCs/>
          <w:szCs w:val="20"/>
        </w:rPr>
      </w:pPr>
    </w:p>
    <w:p w14:paraId="324AF257" w14:textId="77777777" w:rsidR="0010526D" w:rsidRPr="00F657D1" w:rsidRDefault="0010526D" w:rsidP="00986700">
      <w:pPr>
        <w:jc w:val="center"/>
        <w:rPr>
          <w:rFonts w:asciiTheme="minorBidi" w:hAnsiTheme="minorBidi"/>
          <w:b/>
          <w:bCs/>
          <w:szCs w:val="20"/>
        </w:rPr>
      </w:pPr>
      <w:r w:rsidRPr="00F657D1">
        <w:rPr>
          <w:rFonts w:asciiTheme="minorBidi" w:hAnsiTheme="minorBidi"/>
          <w:b/>
          <w:bCs/>
          <w:szCs w:val="20"/>
        </w:rPr>
        <w:t>Évolution du nombre d</w:t>
      </w:r>
      <w:r>
        <w:rPr>
          <w:rFonts w:asciiTheme="minorBidi" w:hAnsiTheme="minorBidi"/>
          <w:b/>
          <w:bCs/>
          <w:szCs w:val="20"/>
        </w:rPr>
        <w:t>’</w:t>
      </w:r>
      <w:r w:rsidRPr="00F657D1">
        <w:rPr>
          <w:rFonts w:asciiTheme="minorBidi" w:hAnsiTheme="minorBidi"/>
          <w:b/>
          <w:bCs/>
          <w:szCs w:val="20"/>
        </w:rPr>
        <w:t>exemplaires originaux par moyen de dépôt</w:t>
      </w:r>
    </w:p>
    <w:p w14:paraId="2B127C14" w14:textId="01F161E0" w:rsidR="0010526D" w:rsidRDefault="00A306EE" w:rsidP="00986700">
      <w:pPr>
        <w:jc w:val="center"/>
        <w:rPr>
          <w:rFonts w:asciiTheme="minorBidi" w:hAnsiTheme="minorBidi"/>
          <w:b/>
          <w:bCs/>
          <w:szCs w:val="20"/>
        </w:rPr>
      </w:pPr>
      <w:r w:rsidRPr="00A306EE">
        <w:rPr>
          <w:noProof/>
          <w:lang w:val="en-US" w:eastAsia="en-US"/>
        </w:rPr>
        <w:drawing>
          <wp:inline distT="0" distB="0" distL="0" distR="0" wp14:anchorId="1373C997" wp14:editId="09BC3834">
            <wp:extent cx="5760085" cy="2476774"/>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476774"/>
                    </a:xfrm>
                    <a:prstGeom prst="rect">
                      <a:avLst/>
                    </a:prstGeom>
                    <a:noFill/>
                    <a:ln>
                      <a:noFill/>
                    </a:ln>
                  </pic:spPr>
                </pic:pic>
              </a:graphicData>
            </a:graphic>
          </wp:inline>
        </w:drawing>
      </w:r>
    </w:p>
    <w:p w14:paraId="14C4C80F" w14:textId="77777777" w:rsidR="00A306EE" w:rsidRPr="00F657D1" w:rsidRDefault="00A306EE" w:rsidP="00986700">
      <w:pPr>
        <w:rPr>
          <w:rFonts w:asciiTheme="minorBidi" w:hAnsiTheme="minorBidi"/>
          <w:b/>
          <w:bCs/>
          <w:szCs w:val="20"/>
        </w:rPr>
      </w:pPr>
    </w:p>
    <w:p w14:paraId="7F2ED7FD" w14:textId="77777777" w:rsidR="0010526D" w:rsidRPr="00F657D1" w:rsidRDefault="0010526D" w:rsidP="00616FD3">
      <w:pPr>
        <w:numPr>
          <w:ilvl w:val="0"/>
          <w:numId w:val="28"/>
        </w:numPr>
        <w:tabs>
          <w:tab w:val="clear" w:pos="720"/>
          <w:tab w:val="num" w:pos="1134"/>
        </w:tabs>
        <w:ind w:left="1134" w:hanging="567"/>
        <w:jc w:val="both"/>
        <w:rPr>
          <w:rFonts w:asciiTheme="minorBidi" w:eastAsiaTheme="minorHAnsi" w:hAnsiTheme="minorBidi"/>
          <w:szCs w:val="20"/>
        </w:rPr>
      </w:pPr>
      <w:r w:rsidRPr="00F657D1">
        <w:rPr>
          <w:rFonts w:asciiTheme="minorBidi" w:eastAsiaTheme="minorHAnsi" w:hAnsiTheme="minorBidi"/>
          <w:szCs w:val="20"/>
        </w:rPr>
        <w:t>En</w:t>
      </w:r>
      <w:r>
        <w:rPr>
          <w:rFonts w:asciiTheme="minorBidi" w:eastAsiaTheme="minorHAnsi" w:hAnsiTheme="minorBidi"/>
          <w:szCs w:val="20"/>
        </w:rPr>
        <w:t> </w:t>
      </w:r>
      <w:r w:rsidRPr="00F657D1">
        <w:rPr>
          <w:rFonts w:asciiTheme="minorBidi" w:eastAsiaTheme="minorHAnsi" w:hAnsiTheme="minorBidi"/>
          <w:szCs w:val="20"/>
        </w:rPr>
        <w:t>2016, le Bureau international a reçu environ 233</w:t>
      </w:r>
      <w:r>
        <w:rPr>
          <w:rFonts w:asciiTheme="minorBidi" w:eastAsiaTheme="minorHAnsi" w:hAnsiTheme="minorBidi"/>
          <w:szCs w:val="20"/>
        </w:rPr>
        <w:t> </w:t>
      </w:r>
      <w:r w:rsidRPr="00F657D1">
        <w:rPr>
          <w:rFonts w:asciiTheme="minorBidi" w:eastAsiaTheme="minorHAnsi" w:hAnsiTheme="minorBidi"/>
          <w:szCs w:val="20"/>
        </w:rPr>
        <w:t>000</w:t>
      </w:r>
      <w:r>
        <w:rPr>
          <w:rFonts w:asciiTheme="minorBidi" w:eastAsiaTheme="minorHAnsi" w:hAnsiTheme="minorBidi"/>
          <w:szCs w:val="20"/>
        </w:rPr>
        <w:t> </w:t>
      </w:r>
      <w:r w:rsidRPr="00F657D1">
        <w:rPr>
          <w:rFonts w:asciiTheme="minorBidi" w:eastAsiaTheme="minorHAnsi" w:hAnsiTheme="minorBidi"/>
          <w:szCs w:val="20"/>
        </w:rPr>
        <w:t>exemplaires originaux, soit une augmentation de 7,4% par rapport à 2015.</w:t>
      </w:r>
    </w:p>
    <w:p w14:paraId="43211380" w14:textId="77777777" w:rsidR="0010526D" w:rsidRPr="00F657D1" w:rsidRDefault="0010526D" w:rsidP="00986700">
      <w:pPr>
        <w:ind w:left="1134"/>
        <w:jc w:val="both"/>
        <w:rPr>
          <w:rFonts w:asciiTheme="minorBidi" w:eastAsiaTheme="minorHAnsi" w:hAnsiTheme="minorBidi"/>
          <w:szCs w:val="20"/>
        </w:rPr>
      </w:pPr>
    </w:p>
    <w:p w14:paraId="66F5E273" w14:textId="77777777" w:rsidR="0010526D" w:rsidRPr="00F657D1" w:rsidRDefault="0010526D" w:rsidP="00616FD3">
      <w:pPr>
        <w:numPr>
          <w:ilvl w:val="0"/>
          <w:numId w:val="28"/>
        </w:numPr>
        <w:tabs>
          <w:tab w:val="clear" w:pos="720"/>
          <w:tab w:val="num" w:pos="1134"/>
        </w:tabs>
        <w:ind w:left="1134" w:hanging="567"/>
        <w:jc w:val="both"/>
        <w:rPr>
          <w:rFonts w:asciiTheme="minorBidi" w:eastAsiaTheme="minorHAnsi" w:hAnsiTheme="minorBidi"/>
          <w:szCs w:val="20"/>
        </w:rPr>
      </w:pPr>
      <w:r w:rsidRPr="00F657D1">
        <w:rPr>
          <w:rFonts w:asciiTheme="minorBidi" w:eastAsiaTheme="minorHAnsi" w:hAnsiTheme="minorBidi"/>
          <w:szCs w:val="20"/>
        </w:rPr>
        <w:t>La part de dépôts entièrement électroniques a continué d</w:t>
      </w:r>
      <w:r>
        <w:rPr>
          <w:rFonts w:asciiTheme="minorBidi" w:eastAsiaTheme="minorHAnsi" w:hAnsiTheme="minorBidi"/>
          <w:szCs w:val="20"/>
        </w:rPr>
        <w:t>’</w:t>
      </w:r>
      <w:r w:rsidRPr="00F657D1">
        <w:rPr>
          <w:rFonts w:asciiTheme="minorBidi" w:eastAsiaTheme="minorHAnsi" w:hAnsiTheme="minorBidi"/>
          <w:szCs w:val="20"/>
        </w:rPr>
        <w:t>augmenter en</w:t>
      </w:r>
      <w:r>
        <w:rPr>
          <w:rFonts w:asciiTheme="minorBidi" w:eastAsiaTheme="minorHAnsi" w:hAnsiTheme="minorBidi"/>
          <w:szCs w:val="20"/>
        </w:rPr>
        <w:t> </w:t>
      </w:r>
      <w:r w:rsidRPr="00F657D1">
        <w:rPr>
          <w:rFonts w:asciiTheme="minorBidi" w:eastAsiaTheme="minorHAnsi" w:hAnsiTheme="minorBidi"/>
          <w:szCs w:val="20"/>
        </w:rPr>
        <w:t>2016 et représente actuellement 95% de l</w:t>
      </w:r>
      <w:r>
        <w:rPr>
          <w:rFonts w:asciiTheme="minorBidi" w:eastAsiaTheme="minorHAnsi" w:hAnsiTheme="minorBidi"/>
          <w:szCs w:val="20"/>
        </w:rPr>
        <w:t>’</w:t>
      </w:r>
      <w:r w:rsidRPr="00F657D1">
        <w:rPr>
          <w:rFonts w:asciiTheme="minorBidi" w:eastAsiaTheme="minorHAnsi" w:hAnsiTheme="minorBidi"/>
          <w:szCs w:val="20"/>
        </w:rPr>
        <w:t>ensemble des dépôts.</w:t>
      </w:r>
    </w:p>
    <w:p w14:paraId="01FD4487" w14:textId="77777777" w:rsidR="0010526D" w:rsidRPr="00F657D1" w:rsidRDefault="0010526D" w:rsidP="00986700">
      <w:pPr>
        <w:pStyle w:val="BodyText2"/>
        <w:spacing w:after="0" w:line="240" w:lineRule="auto"/>
        <w:ind w:left="1100"/>
        <w:jc w:val="both"/>
        <w:rPr>
          <w:rFonts w:asciiTheme="minorBidi" w:hAnsiTheme="minorBidi"/>
          <w:szCs w:val="20"/>
        </w:rPr>
      </w:pPr>
    </w:p>
    <w:p w14:paraId="6C3A8DFC" w14:textId="77777777" w:rsidR="0010526D" w:rsidRPr="00F657D1" w:rsidRDefault="0010526D" w:rsidP="00986700">
      <w:pPr>
        <w:keepNext/>
        <w:rPr>
          <w:rFonts w:asciiTheme="minorBidi" w:hAnsiTheme="minorBidi"/>
          <w:i/>
          <w:szCs w:val="20"/>
        </w:rPr>
      </w:pPr>
      <w:r w:rsidRPr="00F657D1">
        <w:rPr>
          <w:rFonts w:asciiTheme="minorBidi" w:hAnsiTheme="minorBidi"/>
          <w:i/>
          <w:szCs w:val="20"/>
        </w:rPr>
        <w:lastRenderedPageBreak/>
        <w:t>Répartition linguistique</w:t>
      </w:r>
    </w:p>
    <w:p w14:paraId="1D65FD6E" w14:textId="77777777" w:rsidR="0010526D" w:rsidRPr="00F657D1" w:rsidRDefault="0010526D" w:rsidP="00986700">
      <w:pPr>
        <w:keepNext/>
        <w:rPr>
          <w:rFonts w:asciiTheme="minorBidi" w:hAnsiTheme="minorBidi"/>
          <w:i/>
          <w:szCs w:val="20"/>
        </w:rPr>
      </w:pPr>
    </w:p>
    <w:p w14:paraId="6CB8192F" w14:textId="77777777" w:rsidR="0010526D" w:rsidRPr="00F657D1" w:rsidRDefault="0010526D" w:rsidP="00616FD3">
      <w:pPr>
        <w:pStyle w:val="ListParagraph"/>
        <w:numPr>
          <w:ilvl w:val="0"/>
          <w:numId w:val="30"/>
        </w:numPr>
        <w:tabs>
          <w:tab w:val="left" w:pos="0"/>
          <w:tab w:val="left" w:pos="567"/>
        </w:tabs>
        <w:jc w:val="both"/>
        <w:rPr>
          <w:rFonts w:asciiTheme="minorBidi" w:eastAsiaTheme="minorHAnsi" w:hAnsiTheme="minorBidi"/>
        </w:rPr>
      </w:pPr>
      <w:r w:rsidRPr="00F657D1">
        <w:rPr>
          <w:rFonts w:asciiTheme="minorBidi" w:eastAsiaTheme="minorHAnsi" w:hAnsiTheme="minorBidi"/>
        </w:rPr>
        <w:t>L</w:t>
      </w:r>
      <w:r>
        <w:rPr>
          <w:rFonts w:asciiTheme="minorBidi" w:eastAsiaTheme="minorHAnsi" w:hAnsiTheme="minorBidi"/>
        </w:rPr>
        <w:t>’</w:t>
      </w:r>
      <w:r w:rsidRPr="00F657D1">
        <w:rPr>
          <w:rFonts w:asciiTheme="minorBidi" w:eastAsiaTheme="minorHAnsi" w:hAnsiTheme="minorBidi"/>
        </w:rPr>
        <w:t>une des tendances fondamentales au sein du Bureau international est l</w:t>
      </w:r>
      <w:r>
        <w:rPr>
          <w:rFonts w:asciiTheme="minorBidi" w:eastAsiaTheme="minorHAnsi" w:hAnsiTheme="minorBidi"/>
        </w:rPr>
        <w:t>’</w:t>
      </w:r>
      <w:r w:rsidRPr="00F657D1">
        <w:rPr>
          <w:rFonts w:asciiTheme="minorBidi" w:eastAsiaTheme="minorHAnsi" w:hAnsiTheme="minorBidi"/>
        </w:rPr>
        <w:t>augmentation de la diversité linguistique des dépôts, sous l</w:t>
      </w:r>
      <w:r>
        <w:rPr>
          <w:rFonts w:asciiTheme="minorBidi" w:eastAsiaTheme="minorHAnsi" w:hAnsiTheme="minorBidi"/>
        </w:rPr>
        <w:t>’</w:t>
      </w:r>
      <w:r w:rsidRPr="00F657D1">
        <w:rPr>
          <w:rFonts w:asciiTheme="minorBidi" w:eastAsiaTheme="minorHAnsi" w:hAnsiTheme="minorBidi"/>
        </w:rPr>
        <w:t>effet notamment d</w:t>
      </w:r>
      <w:r>
        <w:rPr>
          <w:rFonts w:asciiTheme="minorBidi" w:eastAsiaTheme="minorHAnsi" w:hAnsiTheme="minorBidi"/>
        </w:rPr>
        <w:t>’</w:t>
      </w:r>
      <w:r w:rsidRPr="00F657D1">
        <w:rPr>
          <w:rFonts w:asciiTheme="minorBidi" w:eastAsiaTheme="minorHAnsi" w:hAnsiTheme="minorBidi"/>
        </w:rPr>
        <w:t>une augmentation continue de l</w:t>
      </w:r>
      <w:r>
        <w:rPr>
          <w:rFonts w:asciiTheme="minorBidi" w:eastAsiaTheme="minorHAnsi" w:hAnsiTheme="minorBidi"/>
        </w:rPr>
        <w:t>’</w:t>
      </w:r>
      <w:r w:rsidRPr="00F657D1">
        <w:rPr>
          <w:rFonts w:asciiTheme="minorBidi" w:eastAsiaTheme="minorHAnsi" w:hAnsiTheme="minorBidi"/>
        </w:rPr>
        <w:t>utilisation du système</w:t>
      </w:r>
      <w:r w:rsidRPr="00DD4AAC">
        <w:rPr>
          <w:rFonts w:asciiTheme="minorBidi" w:eastAsiaTheme="minorHAnsi" w:hAnsiTheme="minorBidi"/>
        </w:rPr>
        <w:t xml:space="preserve"> du PCT</w:t>
      </w:r>
      <w:r w:rsidRPr="00F657D1">
        <w:rPr>
          <w:rFonts w:asciiTheme="minorBidi" w:eastAsiaTheme="minorHAnsi" w:hAnsiTheme="minorBidi"/>
        </w:rPr>
        <w:t xml:space="preserve"> dans les pays d</w:t>
      </w:r>
      <w:r>
        <w:rPr>
          <w:rFonts w:asciiTheme="minorBidi" w:eastAsiaTheme="minorHAnsi" w:hAnsiTheme="minorBidi"/>
        </w:rPr>
        <w:t>’</w:t>
      </w:r>
      <w:r w:rsidRPr="00F657D1">
        <w:rPr>
          <w:rFonts w:asciiTheme="minorBidi" w:eastAsiaTheme="minorHAnsi" w:hAnsiTheme="minorBidi"/>
        </w:rPr>
        <w:t>Asie orientale.</w:t>
      </w:r>
    </w:p>
    <w:p w14:paraId="6DAB1110" w14:textId="77777777" w:rsidR="0010526D" w:rsidRDefault="0010526D" w:rsidP="00986700">
      <w:pPr>
        <w:pStyle w:val="ListParagraph"/>
        <w:tabs>
          <w:tab w:val="left" w:pos="0"/>
          <w:tab w:val="left" w:pos="567"/>
        </w:tabs>
        <w:ind w:left="0"/>
        <w:jc w:val="both"/>
        <w:rPr>
          <w:rFonts w:asciiTheme="minorBidi" w:eastAsiaTheme="minorHAnsi" w:hAnsiTheme="minorBidi"/>
        </w:rPr>
      </w:pPr>
    </w:p>
    <w:p w14:paraId="646F0CF4" w14:textId="77777777" w:rsidR="0010526D" w:rsidRPr="00F657D1" w:rsidRDefault="0010526D" w:rsidP="00986700">
      <w:pPr>
        <w:pStyle w:val="ListParagraph"/>
        <w:tabs>
          <w:tab w:val="left" w:pos="0"/>
          <w:tab w:val="left" w:pos="567"/>
        </w:tabs>
        <w:ind w:left="0"/>
        <w:jc w:val="both"/>
        <w:rPr>
          <w:rFonts w:asciiTheme="minorBidi" w:eastAsiaTheme="minorHAnsi" w:hAnsiTheme="minorBidi"/>
        </w:rPr>
      </w:pPr>
    </w:p>
    <w:p w14:paraId="56BA8FB8" w14:textId="77777777" w:rsidR="0010526D" w:rsidRPr="00F657D1" w:rsidRDefault="0010526D" w:rsidP="00986700">
      <w:pPr>
        <w:keepNext/>
        <w:keepLines/>
        <w:spacing w:after="120"/>
        <w:jc w:val="center"/>
        <w:rPr>
          <w:rFonts w:asciiTheme="minorBidi" w:hAnsiTheme="minorBidi"/>
          <w:i/>
          <w:szCs w:val="20"/>
        </w:rPr>
      </w:pPr>
      <w:r w:rsidRPr="00F657D1">
        <w:rPr>
          <w:rFonts w:asciiTheme="minorBidi" w:hAnsiTheme="minorBidi"/>
          <w:b/>
          <w:bCs/>
          <w:szCs w:val="20"/>
        </w:rPr>
        <w:t xml:space="preserve">Langues de dépôt </w:t>
      </w:r>
      <w:r w:rsidRPr="00F657D1">
        <w:rPr>
          <w:rFonts w:asciiTheme="minorBidi" w:hAnsiTheme="minorBidi"/>
          <w:bCs/>
          <w:i/>
          <w:szCs w:val="20"/>
        </w:rPr>
        <w:t>(toutes les langues)</w:t>
      </w:r>
    </w:p>
    <w:p w14:paraId="4E2857E4" w14:textId="77777777" w:rsidR="0010526D" w:rsidRPr="00F657D1" w:rsidRDefault="0010526D" w:rsidP="00986700">
      <w:pPr>
        <w:keepNext/>
        <w:keepLines/>
        <w:spacing w:after="120"/>
        <w:jc w:val="center"/>
        <w:rPr>
          <w:rFonts w:asciiTheme="minorBidi" w:hAnsiTheme="minorBidi"/>
          <w:szCs w:val="20"/>
          <w:highlight w:val="yellow"/>
        </w:rPr>
      </w:pPr>
      <w:r w:rsidRPr="00777C1A">
        <w:rPr>
          <w:noProof/>
          <w:lang w:val="en-US" w:eastAsia="en-US"/>
        </w:rPr>
        <w:drawing>
          <wp:inline distT="0" distB="0" distL="0" distR="0" wp14:anchorId="43D7C303" wp14:editId="4761286D">
            <wp:extent cx="5760085" cy="289339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893397"/>
                    </a:xfrm>
                    <a:prstGeom prst="rect">
                      <a:avLst/>
                    </a:prstGeom>
                    <a:noFill/>
                    <a:ln>
                      <a:noFill/>
                    </a:ln>
                  </pic:spPr>
                </pic:pic>
              </a:graphicData>
            </a:graphic>
          </wp:inline>
        </w:drawing>
      </w:r>
    </w:p>
    <w:p w14:paraId="7CC09BB1" w14:textId="77777777" w:rsidR="0010526D" w:rsidRPr="00F657D1" w:rsidRDefault="0010526D" w:rsidP="00986700">
      <w:pPr>
        <w:spacing w:after="120"/>
        <w:rPr>
          <w:rFonts w:asciiTheme="minorBidi" w:hAnsiTheme="minorBidi"/>
          <w:i/>
          <w:szCs w:val="20"/>
        </w:rPr>
      </w:pPr>
    </w:p>
    <w:p w14:paraId="0421DBA7" w14:textId="102765EB" w:rsidR="0010526D" w:rsidRPr="00F657D1" w:rsidRDefault="0010526D" w:rsidP="00616FD3">
      <w:pPr>
        <w:pStyle w:val="ListParagraph"/>
        <w:numPr>
          <w:ilvl w:val="0"/>
          <w:numId w:val="30"/>
        </w:numPr>
        <w:tabs>
          <w:tab w:val="left" w:pos="0"/>
          <w:tab w:val="left" w:pos="567"/>
        </w:tabs>
        <w:jc w:val="both"/>
        <w:rPr>
          <w:rFonts w:asciiTheme="minorBidi" w:eastAsiaTheme="minorHAnsi" w:hAnsiTheme="minorBidi"/>
        </w:rPr>
      </w:pPr>
      <w:r w:rsidRPr="00F657D1">
        <w:rPr>
          <w:rFonts w:asciiTheme="minorBidi" w:eastAsiaTheme="minorHAnsi" w:hAnsiTheme="minorBidi"/>
        </w:rPr>
        <w:t>Ainsi qu</w:t>
      </w:r>
      <w:r>
        <w:rPr>
          <w:rFonts w:asciiTheme="minorBidi" w:eastAsiaTheme="minorHAnsi" w:hAnsiTheme="minorBidi"/>
        </w:rPr>
        <w:t>’</w:t>
      </w:r>
      <w:r w:rsidRPr="00F657D1">
        <w:rPr>
          <w:rFonts w:asciiTheme="minorBidi" w:eastAsiaTheme="minorHAnsi" w:hAnsiTheme="minorBidi"/>
        </w:rPr>
        <w:t>il ressort de ce graphique, alors que l</w:t>
      </w:r>
      <w:r>
        <w:rPr>
          <w:rFonts w:asciiTheme="minorBidi" w:eastAsiaTheme="minorHAnsi" w:hAnsiTheme="minorBidi"/>
        </w:rPr>
        <w:t>’</w:t>
      </w:r>
      <w:r w:rsidRPr="00F657D1">
        <w:rPr>
          <w:rFonts w:asciiTheme="minorBidi" w:eastAsiaTheme="minorHAnsi" w:hAnsiTheme="minorBidi"/>
        </w:rPr>
        <w:t xml:space="preserve">essentiel des demandes </w:t>
      </w:r>
      <w:r w:rsidR="001A722F">
        <w:rPr>
          <w:rFonts w:asciiTheme="minorBidi" w:eastAsiaTheme="minorHAnsi" w:hAnsiTheme="minorBidi"/>
        </w:rPr>
        <w:t>e</w:t>
      </w:r>
      <w:r w:rsidRPr="00F657D1">
        <w:rPr>
          <w:rFonts w:asciiTheme="minorBidi" w:eastAsiaTheme="minorHAnsi" w:hAnsiTheme="minorBidi"/>
        </w:rPr>
        <w:t>st déposée en anglais (45% des dépôts en</w:t>
      </w:r>
      <w:r>
        <w:rPr>
          <w:rFonts w:asciiTheme="minorBidi" w:eastAsiaTheme="minorHAnsi" w:hAnsiTheme="minorBidi"/>
        </w:rPr>
        <w:t> </w:t>
      </w:r>
      <w:r w:rsidRPr="00F657D1">
        <w:rPr>
          <w:rFonts w:asciiTheme="minorBidi" w:eastAsiaTheme="minorHAnsi" w:hAnsiTheme="minorBidi"/>
        </w:rPr>
        <w:t>2016), les parts des langues asiatiques ont augmenté au cours de la dernière décennie</w:t>
      </w:r>
      <w:r>
        <w:rPr>
          <w:rFonts w:asciiTheme="minorBidi" w:eastAsiaTheme="minorHAnsi" w:hAnsiTheme="minorBidi"/>
        </w:rPr>
        <w:t xml:space="preserve">.  </w:t>
      </w:r>
      <w:r w:rsidRPr="00F657D1">
        <w:rPr>
          <w:rFonts w:asciiTheme="minorBidi" w:eastAsiaTheme="minorHAnsi" w:hAnsiTheme="minorBidi"/>
        </w:rPr>
        <w:t>La part combinée des demandes selon</w:t>
      </w:r>
      <w:r w:rsidRPr="00DD4AAC">
        <w:rPr>
          <w:rFonts w:asciiTheme="minorBidi" w:eastAsiaTheme="minorHAnsi" w:hAnsiTheme="minorBidi"/>
        </w:rPr>
        <w:t xml:space="preserve"> le PCT</w:t>
      </w:r>
      <w:r w:rsidRPr="00F657D1">
        <w:rPr>
          <w:rFonts w:asciiTheme="minorBidi" w:eastAsiaTheme="minorHAnsi" w:hAnsiTheme="minorBidi"/>
        </w:rPr>
        <w:t xml:space="preserve"> déposées en japonais, chinois et coréen est passée de 29,5% en</w:t>
      </w:r>
      <w:r>
        <w:rPr>
          <w:rFonts w:asciiTheme="minorBidi" w:eastAsiaTheme="minorHAnsi" w:hAnsiTheme="minorBidi"/>
        </w:rPr>
        <w:t> </w:t>
      </w:r>
      <w:r w:rsidRPr="00F657D1">
        <w:rPr>
          <w:rFonts w:asciiTheme="minorBidi" w:eastAsiaTheme="minorHAnsi" w:hAnsiTheme="minorBidi"/>
        </w:rPr>
        <w:t>2010 à 42% en</w:t>
      </w:r>
      <w:r>
        <w:rPr>
          <w:rFonts w:asciiTheme="minorBidi" w:eastAsiaTheme="minorHAnsi" w:hAnsiTheme="minorBidi"/>
        </w:rPr>
        <w:t> </w:t>
      </w:r>
      <w:r w:rsidRPr="00F657D1">
        <w:rPr>
          <w:rFonts w:asciiTheme="minorBidi" w:eastAsiaTheme="minorHAnsi" w:hAnsiTheme="minorBidi"/>
        </w:rPr>
        <w:t>2016.  Le graphique ci</w:t>
      </w:r>
      <w:r w:rsidR="00B441CA">
        <w:rPr>
          <w:rFonts w:asciiTheme="minorBidi" w:eastAsiaTheme="minorHAnsi" w:hAnsiTheme="minorBidi"/>
        </w:rPr>
        <w:noBreakHyphen/>
      </w:r>
      <w:r w:rsidRPr="00F657D1">
        <w:rPr>
          <w:rFonts w:asciiTheme="minorBidi" w:eastAsiaTheme="minorHAnsi" w:hAnsiTheme="minorBidi"/>
        </w:rPr>
        <w:t>après présente en détail l</w:t>
      </w:r>
      <w:r>
        <w:rPr>
          <w:rFonts w:asciiTheme="minorBidi" w:eastAsiaTheme="minorHAnsi" w:hAnsiTheme="minorBidi"/>
        </w:rPr>
        <w:t>’</w:t>
      </w:r>
      <w:r w:rsidRPr="00F657D1">
        <w:rPr>
          <w:rFonts w:asciiTheme="minorBidi" w:eastAsiaTheme="minorHAnsi" w:hAnsiTheme="minorBidi"/>
        </w:rPr>
        <w:t>évolution des langues de dépôt autres que l</w:t>
      </w:r>
      <w:r>
        <w:rPr>
          <w:rFonts w:asciiTheme="minorBidi" w:eastAsiaTheme="minorHAnsi" w:hAnsiTheme="minorBidi"/>
        </w:rPr>
        <w:t>’</w:t>
      </w:r>
      <w:r w:rsidRPr="00F657D1">
        <w:rPr>
          <w:rFonts w:asciiTheme="minorBidi" w:eastAsiaTheme="minorHAnsi" w:hAnsiTheme="minorBidi"/>
        </w:rPr>
        <w:t>anglais</w:t>
      </w:r>
      <w:r>
        <w:rPr>
          <w:rFonts w:asciiTheme="minorBidi" w:eastAsiaTheme="minorHAnsi" w:hAnsiTheme="minorBidi"/>
        </w:rPr>
        <w:t> :</w:t>
      </w:r>
    </w:p>
    <w:p w14:paraId="21F43D02" w14:textId="77777777" w:rsidR="0010526D" w:rsidRPr="00F657D1" w:rsidRDefault="0010526D" w:rsidP="00986700">
      <w:pPr>
        <w:spacing w:after="200"/>
        <w:rPr>
          <w:rFonts w:asciiTheme="minorBidi" w:hAnsiTheme="minorBidi"/>
          <w:szCs w:val="20"/>
        </w:rPr>
      </w:pPr>
    </w:p>
    <w:p w14:paraId="31D53711" w14:textId="77777777" w:rsidR="0010526D" w:rsidRPr="00F657D1" w:rsidRDefault="0010526D" w:rsidP="00986700">
      <w:pPr>
        <w:spacing w:after="120"/>
        <w:jc w:val="center"/>
        <w:rPr>
          <w:rFonts w:asciiTheme="minorBidi" w:hAnsiTheme="minorBidi"/>
          <w:szCs w:val="20"/>
        </w:rPr>
      </w:pPr>
      <w:r w:rsidRPr="00F657D1">
        <w:rPr>
          <w:rFonts w:asciiTheme="minorBidi" w:hAnsiTheme="minorBidi"/>
          <w:b/>
          <w:bCs/>
          <w:szCs w:val="20"/>
        </w:rPr>
        <w:t xml:space="preserve">Langues de dépôt </w:t>
      </w:r>
      <w:r w:rsidRPr="00F657D1">
        <w:rPr>
          <w:rFonts w:asciiTheme="minorBidi" w:hAnsiTheme="minorBidi"/>
          <w:bCs/>
          <w:i/>
          <w:szCs w:val="20"/>
        </w:rPr>
        <w:t>(toutes les langues sauf l</w:t>
      </w:r>
      <w:r>
        <w:rPr>
          <w:rFonts w:asciiTheme="minorBidi" w:hAnsiTheme="minorBidi"/>
          <w:bCs/>
          <w:i/>
          <w:szCs w:val="20"/>
        </w:rPr>
        <w:t>’</w:t>
      </w:r>
      <w:r w:rsidRPr="00F657D1">
        <w:rPr>
          <w:rFonts w:asciiTheme="minorBidi" w:hAnsiTheme="minorBidi"/>
          <w:bCs/>
          <w:i/>
          <w:szCs w:val="20"/>
        </w:rPr>
        <w:t>anglais)</w:t>
      </w:r>
    </w:p>
    <w:p w14:paraId="5BAE49A3" w14:textId="77777777" w:rsidR="0010526D" w:rsidRPr="00F657D1" w:rsidRDefault="0010526D" w:rsidP="00986700">
      <w:pPr>
        <w:spacing w:after="120"/>
        <w:jc w:val="center"/>
        <w:rPr>
          <w:rFonts w:asciiTheme="minorBidi" w:hAnsiTheme="minorBidi"/>
          <w:szCs w:val="20"/>
        </w:rPr>
      </w:pPr>
      <w:r w:rsidRPr="00777C1A">
        <w:rPr>
          <w:noProof/>
          <w:lang w:val="en-US" w:eastAsia="en-US"/>
        </w:rPr>
        <w:drawing>
          <wp:inline distT="0" distB="0" distL="0" distR="0" wp14:anchorId="7558AB5F" wp14:editId="65B34A2E">
            <wp:extent cx="5760085" cy="309697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3096973"/>
                    </a:xfrm>
                    <a:prstGeom prst="rect">
                      <a:avLst/>
                    </a:prstGeom>
                    <a:noFill/>
                    <a:ln>
                      <a:noFill/>
                    </a:ln>
                  </pic:spPr>
                </pic:pic>
              </a:graphicData>
            </a:graphic>
          </wp:inline>
        </w:drawing>
      </w:r>
    </w:p>
    <w:p w14:paraId="484BD079" w14:textId="77777777" w:rsidR="0010526D" w:rsidRPr="00F657D1" w:rsidRDefault="0010526D" w:rsidP="00986700">
      <w:pPr>
        <w:spacing w:after="120"/>
        <w:jc w:val="center"/>
        <w:rPr>
          <w:rFonts w:asciiTheme="minorBidi" w:hAnsiTheme="minorBidi"/>
          <w:szCs w:val="20"/>
        </w:rPr>
      </w:pPr>
    </w:p>
    <w:p w14:paraId="1F899F21"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lastRenderedPageBreak/>
        <w:t>La forte augmentation du nombre de demandes déposées dans des langues asiatiques au cours de ces dernières années pèse lourdement sur le Bureau international en raison du nombre limité de membres du personnel pouvant travailler dans ces langues</w:t>
      </w:r>
      <w:r>
        <w:rPr>
          <w:rFonts w:asciiTheme="minorBidi" w:hAnsiTheme="minorBidi"/>
          <w:szCs w:val="20"/>
        </w:rPr>
        <w:t xml:space="preserve">.  </w:t>
      </w:r>
      <w:r w:rsidRPr="00F657D1">
        <w:rPr>
          <w:rFonts w:asciiTheme="minorBidi" w:hAnsiTheme="minorBidi"/>
          <w:szCs w:val="20"/>
        </w:rPr>
        <w:t>L</w:t>
      </w:r>
      <w:r>
        <w:rPr>
          <w:rFonts w:asciiTheme="minorBidi" w:hAnsiTheme="minorBidi"/>
          <w:szCs w:val="20"/>
        </w:rPr>
        <w:t>’</w:t>
      </w:r>
      <w:r w:rsidRPr="00F657D1">
        <w:rPr>
          <w:rFonts w:asciiTheme="minorBidi" w:hAnsiTheme="minorBidi"/>
          <w:szCs w:val="20"/>
        </w:rPr>
        <w:t>atténuation de cet effet passe par l</w:t>
      </w:r>
      <w:r>
        <w:rPr>
          <w:rFonts w:asciiTheme="minorBidi" w:hAnsiTheme="minorBidi"/>
          <w:szCs w:val="20"/>
        </w:rPr>
        <w:t>’</w:t>
      </w:r>
      <w:r w:rsidRPr="00F657D1">
        <w:rPr>
          <w:rFonts w:asciiTheme="minorBidi" w:hAnsiTheme="minorBidi"/>
          <w:szCs w:val="20"/>
        </w:rPr>
        <w:t>automatisation de certaines tâches et le recrutement de fonctionnaires capables de travailler dans ces langues.</w:t>
      </w:r>
    </w:p>
    <w:p w14:paraId="7DAA8169" w14:textId="77777777" w:rsidR="0010526D" w:rsidRDefault="0010526D" w:rsidP="00986700">
      <w:pPr>
        <w:rPr>
          <w:rFonts w:asciiTheme="minorBidi" w:hAnsiTheme="minorBidi"/>
          <w:szCs w:val="20"/>
        </w:rPr>
      </w:pPr>
    </w:p>
    <w:p w14:paraId="1350E1E8" w14:textId="77777777" w:rsidR="0010526D" w:rsidRPr="00F657D1" w:rsidRDefault="0010526D" w:rsidP="00986700">
      <w:pPr>
        <w:rPr>
          <w:rFonts w:asciiTheme="minorBidi" w:hAnsiTheme="minorBidi"/>
          <w:szCs w:val="20"/>
        </w:rPr>
      </w:pPr>
    </w:p>
    <w:p w14:paraId="1133A3D7"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Effectifs</w:t>
      </w:r>
    </w:p>
    <w:p w14:paraId="05212AFA" w14:textId="77777777" w:rsidR="0010526D" w:rsidRPr="00F657D1" w:rsidRDefault="0010526D" w:rsidP="00986700">
      <w:pPr>
        <w:keepNext/>
        <w:keepLines/>
        <w:rPr>
          <w:rFonts w:asciiTheme="minorBidi" w:hAnsiTheme="minorBidi"/>
          <w:i/>
          <w:szCs w:val="20"/>
        </w:rPr>
      </w:pPr>
    </w:p>
    <w:p w14:paraId="647A7150" w14:textId="7E3CE211" w:rsidR="0010526D" w:rsidRPr="00F657D1" w:rsidRDefault="0010526D" w:rsidP="00616FD3">
      <w:pPr>
        <w:keepNext/>
        <w:keepLines/>
        <w:numPr>
          <w:ilvl w:val="0"/>
          <w:numId w:val="30"/>
        </w:numPr>
        <w:jc w:val="both"/>
        <w:rPr>
          <w:rFonts w:asciiTheme="minorBidi" w:hAnsiTheme="minorBidi"/>
          <w:szCs w:val="20"/>
        </w:rPr>
      </w:pPr>
      <w:r w:rsidRPr="00F657D1">
        <w:rPr>
          <w:rFonts w:asciiTheme="minorBidi" w:hAnsiTheme="minorBidi"/>
          <w:szCs w:val="20"/>
        </w:rPr>
        <w:t>Le diagramme ci</w:t>
      </w:r>
      <w:r w:rsidR="00B441CA">
        <w:rPr>
          <w:rFonts w:asciiTheme="minorBidi" w:hAnsiTheme="minorBidi"/>
          <w:szCs w:val="20"/>
        </w:rPr>
        <w:noBreakHyphen/>
      </w:r>
      <w:r w:rsidRPr="00F657D1">
        <w:rPr>
          <w:rFonts w:asciiTheme="minorBidi" w:hAnsiTheme="minorBidi"/>
          <w:szCs w:val="20"/>
        </w:rPr>
        <w:t>après indique les effectifs de la Division des opérations</w:t>
      </w:r>
      <w:r w:rsidRPr="00DD4AAC">
        <w:rPr>
          <w:rFonts w:asciiTheme="minorBidi" w:hAnsiTheme="minorBidi"/>
          <w:szCs w:val="20"/>
        </w:rPr>
        <w:t xml:space="preserve"> du PCT</w:t>
      </w:r>
      <w:r w:rsidRPr="00F657D1">
        <w:rPr>
          <w:rFonts w:asciiTheme="minorBidi" w:hAnsiTheme="minorBidi"/>
          <w:szCs w:val="20"/>
        </w:rPr>
        <w:t xml:space="preserve"> depuis</w:t>
      </w:r>
      <w:r>
        <w:rPr>
          <w:rFonts w:asciiTheme="minorBidi" w:hAnsiTheme="minorBidi"/>
          <w:szCs w:val="20"/>
        </w:rPr>
        <w:t> </w:t>
      </w:r>
      <w:r w:rsidRPr="00F657D1">
        <w:rPr>
          <w:rFonts w:asciiTheme="minorBidi" w:hAnsiTheme="minorBidi"/>
          <w:szCs w:val="20"/>
        </w:rPr>
        <w:t>2001, en équivalent personnel à plein temps (EPPT – effectif total à plein temps plus équivalent à plein temps du personnel à temps partiel).</w:t>
      </w:r>
    </w:p>
    <w:p w14:paraId="485A089E" w14:textId="77777777" w:rsidR="0010526D" w:rsidRPr="00F657D1" w:rsidRDefault="0010526D" w:rsidP="00986700">
      <w:pPr>
        <w:rPr>
          <w:rFonts w:asciiTheme="minorBidi" w:hAnsiTheme="minorBidi"/>
          <w:szCs w:val="20"/>
        </w:rPr>
      </w:pPr>
    </w:p>
    <w:p w14:paraId="41096738" w14:textId="77777777" w:rsidR="0010526D" w:rsidRPr="00F657D1" w:rsidRDefault="0010526D" w:rsidP="00986700">
      <w:pPr>
        <w:jc w:val="center"/>
        <w:rPr>
          <w:rFonts w:asciiTheme="minorBidi" w:hAnsiTheme="minorBidi"/>
          <w:b/>
          <w:szCs w:val="20"/>
        </w:rPr>
      </w:pPr>
      <w:r w:rsidRPr="00F657D1">
        <w:rPr>
          <w:rFonts w:asciiTheme="minorBidi" w:hAnsiTheme="minorBidi"/>
          <w:b/>
          <w:szCs w:val="20"/>
        </w:rPr>
        <w:t>Effectifs affectés aux opérations</w:t>
      </w:r>
      <w:r w:rsidRPr="00DD4AAC">
        <w:rPr>
          <w:rFonts w:asciiTheme="minorBidi" w:hAnsiTheme="minorBidi"/>
          <w:b/>
          <w:szCs w:val="20"/>
        </w:rPr>
        <w:t xml:space="preserve"> du PCT</w:t>
      </w:r>
    </w:p>
    <w:p w14:paraId="20C9B6AC" w14:textId="77777777" w:rsidR="0010526D" w:rsidRPr="00F657D1" w:rsidRDefault="0010526D" w:rsidP="00986700">
      <w:pPr>
        <w:jc w:val="center"/>
        <w:rPr>
          <w:rFonts w:asciiTheme="minorBidi" w:hAnsiTheme="minorBidi"/>
          <w:b/>
          <w:szCs w:val="20"/>
        </w:rPr>
      </w:pPr>
      <w:r w:rsidRPr="00777C1A">
        <w:rPr>
          <w:noProof/>
          <w:lang w:val="en-US" w:eastAsia="en-US"/>
        </w:rPr>
        <w:drawing>
          <wp:inline distT="0" distB="0" distL="0" distR="0" wp14:anchorId="2A31AB7E" wp14:editId="4E8CC003">
            <wp:extent cx="5760085" cy="346200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3462004"/>
                    </a:xfrm>
                    <a:prstGeom prst="rect">
                      <a:avLst/>
                    </a:prstGeom>
                    <a:noFill/>
                    <a:ln>
                      <a:noFill/>
                    </a:ln>
                  </pic:spPr>
                </pic:pic>
              </a:graphicData>
            </a:graphic>
          </wp:inline>
        </w:drawing>
      </w:r>
    </w:p>
    <w:p w14:paraId="7571AA77" w14:textId="77777777" w:rsidR="0010526D" w:rsidRPr="00F657D1" w:rsidRDefault="0010526D" w:rsidP="00986700">
      <w:pPr>
        <w:rPr>
          <w:rFonts w:asciiTheme="minorBidi" w:hAnsiTheme="minorBidi"/>
          <w:szCs w:val="20"/>
        </w:rPr>
      </w:pPr>
    </w:p>
    <w:p w14:paraId="24A58A19" w14:textId="77777777" w:rsidR="0010526D" w:rsidRPr="00F657D1" w:rsidRDefault="0010526D" w:rsidP="00616FD3">
      <w:pPr>
        <w:numPr>
          <w:ilvl w:val="0"/>
          <w:numId w:val="28"/>
        </w:numPr>
        <w:tabs>
          <w:tab w:val="clear" w:pos="720"/>
          <w:tab w:val="num" w:pos="1134"/>
        </w:tabs>
        <w:ind w:left="1134" w:hanging="567"/>
        <w:jc w:val="both"/>
        <w:rPr>
          <w:rFonts w:asciiTheme="minorBidi" w:eastAsiaTheme="minorHAnsi" w:hAnsiTheme="minorBidi"/>
          <w:szCs w:val="20"/>
        </w:rPr>
      </w:pPr>
      <w:r w:rsidRPr="00F657D1">
        <w:rPr>
          <w:rFonts w:asciiTheme="minorBidi" w:eastAsiaTheme="minorHAnsi" w:hAnsiTheme="minorBidi"/>
          <w:szCs w:val="20"/>
        </w:rPr>
        <w:t>Les effectifs de la Division des opérations</w:t>
      </w:r>
      <w:r w:rsidRPr="00DD4AAC">
        <w:rPr>
          <w:rFonts w:asciiTheme="minorBidi" w:eastAsiaTheme="minorHAnsi" w:hAnsiTheme="minorBidi"/>
          <w:szCs w:val="20"/>
        </w:rPr>
        <w:t xml:space="preserve"> du PCT</w:t>
      </w:r>
      <w:r w:rsidRPr="00F657D1">
        <w:rPr>
          <w:rFonts w:asciiTheme="minorBidi" w:eastAsiaTheme="minorHAnsi" w:hAnsiTheme="minorBidi"/>
          <w:szCs w:val="20"/>
        </w:rPr>
        <w:t xml:space="preserve"> ont encore diminué en</w:t>
      </w:r>
      <w:r>
        <w:rPr>
          <w:rFonts w:asciiTheme="minorBidi" w:eastAsiaTheme="minorHAnsi" w:hAnsiTheme="minorBidi"/>
          <w:szCs w:val="20"/>
        </w:rPr>
        <w:t> </w:t>
      </w:r>
      <w:r w:rsidRPr="00F657D1">
        <w:rPr>
          <w:rFonts w:asciiTheme="minorBidi" w:eastAsiaTheme="minorHAnsi" w:hAnsiTheme="minorBidi"/>
          <w:szCs w:val="20"/>
        </w:rPr>
        <w:t>2016.</w:t>
      </w:r>
    </w:p>
    <w:p w14:paraId="7DAFA616" w14:textId="77777777" w:rsidR="0010526D" w:rsidRDefault="0010526D" w:rsidP="00986700">
      <w:pPr>
        <w:jc w:val="both"/>
        <w:rPr>
          <w:rFonts w:asciiTheme="minorBidi" w:hAnsiTheme="minorBidi"/>
          <w:i/>
          <w:szCs w:val="20"/>
        </w:rPr>
      </w:pPr>
    </w:p>
    <w:p w14:paraId="20F73F06" w14:textId="77777777" w:rsidR="0010526D" w:rsidRPr="00F657D1" w:rsidRDefault="0010526D" w:rsidP="00986700">
      <w:pPr>
        <w:jc w:val="both"/>
        <w:rPr>
          <w:rFonts w:asciiTheme="minorBidi" w:hAnsiTheme="minorBidi"/>
          <w:i/>
          <w:szCs w:val="20"/>
        </w:rPr>
      </w:pPr>
    </w:p>
    <w:p w14:paraId="5683A55C"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Coût unitaire du traitement d</w:t>
      </w:r>
      <w:r>
        <w:rPr>
          <w:rFonts w:asciiTheme="minorBidi" w:hAnsiTheme="minorBidi"/>
          <w:i/>
          <w:szCs w:val="20"/>
        </w:rPr>
        <w:t>’</w:t>
      </w:r>
      <w:r w:rsidRPr="00F657D1">
        <w:rPr>
          <w:rFonts w:asciiTheme="minorBidi" w:hAnsiTheme="minorBidi"/>
          <w:i/>
          <w:szCs w:val="20"/>
        </w:rPr>
        <w:t>une demande</w:t>
      </w:r>
    </w:p>
    <w:p w14:paraId="136B8E92" w14:textId="77777777" w:rsidR="0010526D" w:rsidRPr="00F657D1" w:rsidRDefault="0010526D" w:rsidP="00986700">
      <w:pPr>
        <w:keepNext/>
        <w:keepLines/>
        <w:rPr>
          <w:rFonts w:asciiTheme="minorBidi" w:hAnsiTheme="minorBidi"/>
          <w:i/>
          <w:szCs w:val="20"/>
        </w:rPr>
      </w:pPr>
    </w:p>
    <w:p w14:paraId="204929D8" w14:textId="77777777" w:rsidR="0010526D" w:rsidRDefault="0010526D" w:rsidP="00616FD3">
      <w:pPr>
        <w:pStyle w:val="ListParagraph"/>
        <w:numPr>
          <w:ilvl w:val="0"/>
          <w:numId w:val="30"/>
        </w:numPr>
        <w:contextualSpacing w:val="0"/>
        <w:jc w:val="both"/>
        <w:rPr>
          <w:rFonts w:asciiTheme="minorBidi" w:hAnsiTheme="minorBidi"/>
        </w:rPr>
      </w:pPr>
      <w:r w:rsidRPr="00F657D1">
        <w:rPr>
          <w:rFonts w:asciiTheme="minorBidi" w:hAnsiTheme="minorBidi"/>
        </w:rPr>
        <w:t>L</w:t>
      </w:r>
      <w:r>
        <w:rPr>
          <w:rFonts w:asciiTheme="minorBidi" w:hAnsiTheme="minorBidi"/>
        </w:rPr>
        <w:t>’</w:t>
      </w:r>
      <w:r w:rsidRPr="00F657D1">
        <w:rPr>
          <w:rFonts w:asciiTheme="minorBidi" w:hAnsiTheme="minorBidi"/>
        </w:rPr>
        <w:t>efficacité du Bureau international dans le traitement des demandes selon le PCT peut être mesurée à l</w:t>
      </w:r>
      <w:r>
        <w:rPr>
          <w:rFonts w:asciiTheme="minorBidi" w:hAnsiTheme="minorBidi"/>
        </w:rPr>
        <w:t>’</w:t>
      </w:r>
      <w:r w:rsidRPr="00F657D1">
        <w:rPr>
          <w:rFonts w:asciiTheme="minorBidi" w:hAnsiTheme="minorBidi"/>
        </w:rPr>
        <w:t>aide du coût unitaire, défini comme le coût moyen d</w:t>
      </w:r>
      <w:r>
        <w:rPr>
          <w:rFonts w:asciiTheme="minorBidi" w:hAnsiTheme="minorBidi"/>
        </w:rPr>
        <w:t>’</w:t>
      </w:r>
      <w:r w:rsidRPr="00F657D1">
        <w:rPr>
          <w:rFonts w:asciiTheme="minorBidi" w:hAnsiTheme="minorBidi"/>
        </w:rPr>
        <w:t>une unité produite</w:t>
      </w:r>
      <w:r>
        <w:rPr>
          <w:rFonts w:asciiTheme="minorBidi" w:hAnsiTheme="minorBidi"/>
        </w:rPr>
        <w:t xml:space="preserve">.  </w:t>
      </w:r>
      <w:r w:rsidRPr="00F657D1">
        <w:rPr>
          <w:rFonts w:asciiTheme="minorBidi" w:hAnsiTheme="minorBidi"/>
        </w:rPr>
        <w:t>Le coût total de production comprend les dépenses liées exclusivement au système du PCT et les dépenses liées aux activités à l</w:t>
      </w:r>
      <w:r>
        <w:rPr>
          <w:rFonts w:asciiTheme="minorBidi" w:hAnsiTheme="minorBidi"/>
        </w:rPr>
        <w:t>’</w:t>
      </w:r>
      <w:r w:rsidRPr="00F657D1">
        <w:rPr>
          <w:rFonts w:asciiTheme="minorBidi" w:hAnsiTheme="minorBidi"/>
        </w:rPr>
        <w:t>appui du système.</w:t>
      </w:r>
    </w:p>
    <w:p w14:paraId="31D6FCCA" w14:textId="77777777" w:rsidR="0010526D" w:rsidRPr="00F657D1" w:rsidRDefault="0010526D" w:rsidP="00986700">
      <w:pPr>
        <w:jc w:val="both"/>
        <w:rPr>
          <w:rFonts w:asciiTheme="minorBidi" w:hAnsiTheme="minorBidi"/>
          <w:szCs w:val="20"/>
        </w:rPr>
      </w:pPr>
    </w:p>
    <w:p w14:paraId="1FACA980" w14:textId="3D82878A"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 xml:space="preserve">Les dépenses liées exclusivement au système du PCT englobent celles du programme 5 (système </w:t>
      </w:r>
      <w:r w:rsidR="001A722F">
        <w:rPr>
          <w:rFonts w:asciiTheme="minorBidi" w:hAnsiTheme="minorBidi"/>
          <w:szCs w:val="20"/>
        </w:rPr>
        <w:t>du </w:t>
      </w:r>
      <w:r w:rsidRPr="00F657D1">
        <w:rPr>
          <w:rFonts w:asciiTheme="minorBidi" w:hAnsiTheme="minorBidi"/>
          <w:szCs w:val="20"/>
        </w:rPr>
        <w:t>PCT).</w:t>
      </w:r>
    </w:p>
    <w:p w14:paraId="3DEF5E5B" w14:textId="77777777" w:rsidR="0010526D" w:rsidRPr="00F657D1" w:rsidRDefault="0010526D" w:rsidP="00986700">
      <w:pPr>
        <w:jc w:val="both"/>
        <w:rPr>
          <w:rFonts w:asciiTheme="minorBidi" w:hAnsiTheme="minorBidi"/>
          <w:szCs w:val="20"/>
        </w:rPr>
      </w:pPr>
    </w:p>
    <w:p w14:paraId="23038E25"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Les dépenses liées aux activités à l</w:t>
      </w:r>
      <w:r>
        <w:rPr>
          <w:rFonts w:asciiTheme="minorBidi" w:hAnsiTheme="minorBidi"/>
          <w:szCs w:val="20"/>
        </w:rPr>
        <w:t>’</w:t>
      </w:r>
      <w:r w:rsidRPr="00F657D1">
        <w:rPr>
          <w:rFonts w:asciiTheme="minorBidi" w:hAnsiTheme="minorBidi"/>
          <w:szCs w:val="20"/>
        </w:rPr>
        <w:t>appui du système du PCT comprennent les dépenses des services suivants</w:t>
      </w:r>
      <w:r>
        <w:rPr>
          <w:rFonts w:asciiTheme="minorBidi" w:hAnsiTheme="minorBidi"/>
          <w:szCs w:val="20"/>
        </w:rPr>
        <w:t> :</w:t>
      </w:r>
      <w:r w:rsidRPr="00F657D1">
        <w:rPr>
          <w:rFonts w:asciiTheme="minorBidi" w:hAnsiTheme="minorBidi"/>
          <w:szCs w:val="20"/>
        </w:rPr>
        <w:t xml:space="preserve"> services de conférence et services linguistiques, construction, direction générale, finances et budget, services d</w:t>
      </w:r>
      <w:r>
        <w:rPr>
          <w:rFonts w:asciiTheme="minorBidi" w:hAnsiTheme="minorBidi"/>
          <w:szCs w:val="20"/>
        </w:rPr>
        <w:t>’</w:t>
      </w:r>
      <w:r w:rsidRPr="00F657D1">
        <w:rPr>
          <w:rFonts w:asciiTheme="minorBidi" w:hAnsiTheme="minorBidi"/>
          <w:szCs w:val="20"/>
        </w:rPr>
        <w:t>appui généraux, gestion des ressources humaines, supervision interne, informatique et sûreté et sécurité</w:t>
      </w:r>
      <w:r>
        <w:rPr>
          <w:rFonts w:asciiTheme="minorBidi" w:hAnsiTheme="minorBidi"/>
          <w:szCs w:val="20"/>
        </w:rPr>
        <w:t xml:space="preserve">.  </w:t>
      </w:r>
      <w:r w:rsidRPr="00F657D1">
        <w:rPr>
          <w:rFonts w:asciiTheme="minorBidi" w:hAnsiTheme="minorBidi"/>
          <w:szCs w:val="20"/>
        </w:rPr>
        <w:t>Une petite partie de ces dépenses (coût de l</w:t>
      </w:r>
      <w:r>
        <w:rPr>
          <w:rFonts w:asciiTheme="minorBidi" w:hAnsiTheme="minorBidi"/>
          <w:szCs w:val="20"/>
        </w:rPr>
        <w:t>’</w:t>
      </w:r>
      <w:r w:rsidRPr="00F657D1">
        <w:rPr>
          <w:rFonts w:asciiTheme="minorBidi" w:hAnsiTheme="minorBidi"/>
          <w:szCs w:val="20"/>
        </w:rPr>
        <w:t>hébergement du serveur au CIC, coût estimé de la source authentique des demandes selon le PCT publiées (PATENTSCOPE) et part des coûts de la Section des recettes dans la Division des finances) est directement attribuée au système du PCT, tandis que le reste des dépenses attribuables au système du PCT est calculé en fonction de l</w:t>
      </w:r>
      <w:r>
        <w:rPr>
          <w:rFonts w:asciiTheme="minorBidi" w:hAnsiTheme="minorBidi"/>
          <w:szCs w:val="20"/>
        </w:rPr>
        <w:t>’</w:t>
      </w:r>
      <w:r w:rsidRPr="00F657D1">
        <w:rPr>
          <w:rFonts w:asciiTheme="minorBidi" w:hAnsiTheme="minorBidi"/>
          <w:szCs w:val="20"/>
        </w:rPr>
        <w:t>effectif (fonctionnaires titulaires de contrats de durée déterminée, fonctionnaires temporaires et boursiers).</w:t>
      </w:r>
    </w:p>
    <w:p w14:paraId="5A70E70C" w14:textId="77777777" w:rsidR="0010526D" w:rsidRPr="00F657D1" w:rsidRDefault="0010526D" w:rsidP="00986700">
      <w:pPr>
        <w:jc w:val="both"/>
        <w:rPr>
          <w:rFonts w:asciiTheme="minorBidi" w:hAnsiTheme="minorBidi"/>
          <w:szCs w:val="20"/>
        </w:rPr>
      </w:pPr>
    </w:p>
    <w:p w14:paraId="385CADBF" w14:textId="77777777" w:rsidR="0010526D" w:rsidRPr="00F657D1" w:rsidRDefault="0010526D" w:rsidP="00986700">
      <w:pPr>
        <w:jc w:val="both"/>
        <w:rPr>
          <w:rFonts w:asciiTheme="minorBidi" w:hAnsiTheme="minorBidi"/>
          <w:szCs w:val="20"/>
        </w:rPr>
      </w:pPr>
      <w:r w:rsidRPr="00F657D1">
        <w:rPr>
          <w:rFonts w:asciiTheme="minorBidi" w:hAnsiTheme="minorBidi"/>
          <w:szCs w:val="20"/>
        </w:rPr>
        <w:lastRenderedPageBreak/>
        <w:t>10.</w:t>
      </w:r>
      <w:r w:rsidRPr="00F657D1">
        <w:rPr>
          <w:rFonts w:asciiTheme="minorBidi" w:hAnsiTheme="minorBidi"/>
          <w:szCs w:val="20"/>
        </w:rPr>
        <w:tab/>
        <w:t>La méthodologie employée pour imputer les coûts unitaires a été révisée en</w:t>
      </w:r>
      <w:r>
        <w:rPr>
          <w:rFonts w:asciiTheme="minorBidi" w:hAnsiTheme="minorBidi"/>
          <w:szCs w:val="20"/>
        </w:rPr>
        <w:t> </w:t>
      </w:r>
      <w:r w:rsidRPr="00F657D1">
        <w:rPr>
          <w:rFonts w:asciiTheme="minorBidi" w:hAnsiTheme="minorBidi"/>
          <w:szCs w:val="20"/>
        </w:rPr>
        <w:t>2013, afin de l</w:t>
      </w:r>
      <w:r>
        <w:rPr>
          <w:rFonts w:asciiTheme="minorBidi" w:hAnsiTheme="minorBidi"/>
          <w:szCs w:val="20"/>
        </w:rPr>
        <w:t>’</w:t>
      </w:r>
      <w:r w:rsidRPr="00F657D1">
        <w:rPr>
          <w:rFonts w:asciiTheme="minorBidi" w:hAnsiTheme="minorBidi"/>
          <w:szCs w:val="20"/>
        </w:rPr>
        <w:t>aligner sur les autres calculs de coûts unitaires/de l</w:t>
      </w:r>
      <w:r>
        <w:rPr>
          <w:rFonts w:asciiTheme="minorBidi" w:hAnsiTheme="minorBidi"/>
          <w:szCs w:val="20"/>
        </w:rPr>
        <w:t>’</w:t>
      </w:r>
      <w:r w:rsidRPr="00F657D1">
        <w:rPr>
          <w:rFonts w:asciiTheme="minorBidi" w:hAnsiTheme="minorBidi"/>
          <w:szCs w:val="20"/>
        </w:rPr>
        <w:t>Union et de mieux rendre compte de l</w:t>
      </w:r>
      <w:r>
        <w:rPr>
          <w:rFonts w:asciiTheme="minorBidi" w:hAnsiTheme="minorBidi"/>
          <w:szCs w:val="20"/>
        </w:rPr>
        <w:t>’</w:t>
      </w:r>
      <w:r w:rsidRPr="00F657D1">
        <w:rPr>
          <w:rFonts w:asciiTheme="minorBidi" w:hAnsiTheme="minorBidi"/>
          <w:szCs w:val="20"/>
        </w:rPr>
        <w:t>environnement en rapide évolution</w:t>
      </w:r>
      <w:r>
        <w:rPr>
          <w:rFonts w:asciiTheme="minorBidi" w:hAnsiTheme="minorBidi"/>
          <w:szCs w:val="20"/>
        </w:rPr>
        <w:t xml:space="preserve">.  </w:t>
      </w:r>
      <w:r w:rsidRPr="00F657D1">
        <w:rPr>
          <w:rFonts w:asciiTheme="minorBidi" w:hAnsiTheme="minorBidi"/>
          <w:szCs w:val="20"/>
        </w:rPr>
        <w:t>À titre d</w:t>
      </w:r>
      <w:r>
        <w:rPr>
          <w:rFonts w:asciiTheme="minorBidi" w:hAnsiTheme="minorBidi"/>
          <w:szCs w:val="20"/>
        </w:rPr>
        <w:t>’</w:t>
      </w:r>
      <w:r w:rsidRPr="00F657D1">
        <w:rPr>
          <w:rFonts w:asciiTheme="minorBidi" w:hAnsiTheme="minorBidi"/>
          <w:szCs w:val="20"/>
        </w:rPr>
        <w:t>exemple, l</w:t>
      </w:r>
      <w:r>
        <w:rPr>
          <w:rFonts w:asciiTheme="minorBidi" w:hAnsiTheme="minorBidi"/>
          <w:szCs w:val="20"/>
        </w:rPr>
        <w:t>’</w:t>
      </w:r>
      <w:r w:rsidRPr="00F657D1">
        <w:rPr>
          <w:rFonts w:asciiTheme="minorBidi" w:hAnsiTheme="minorBidi"/>
          <w:szCs w:val="20"/>
        </w:rPr>
        <w:t>ancienne méthode, qui avait été conçue en</w:t>
      </w:r>
      <w:r>
        <w:rPr>
          <w:rFonts w:asciiTheme="minorBidi" w:hAnsiTheme="minorBidi"/>
          <w:szCs w:val="20"/>
        </w:rPr>
        <w:t> </w:t>
      </w:r>
      <w:r w:rsidRPr="00F657D1">
        <w:rPr>
          <w:rFonts w:asciiTheme="minorBidi" w:hAnsiTheme="minorBidi"/>
          <w:szCs w:val="20"/>
        </w:rPr>
        <w:t>2007, comprenait un coût de stockage (sur 30</w:t>
      </w:r>
      <w:r>
        <w:rPr>
          <w:rFonts w:asciiTheme="minorBidi" w:hAnsiTheme="minorBidi"/>
          <w:szCs w:val="20"/>
        </w:rPr>
        <w:t> </w:t>
      </w:r>
      <w:r w:rsidRPr="00F657D1">
        <w:rPr>
          <w:rFonts w:asciiTheme="minorBidi" w:hAnsiTheme="minorBidi"/>
          <w:szCs w:val="20"/>
        </w:rPr>
        <w:t>ans) en entrepôts, alors que les dépôts au format papier (</w:t>
      </w:r>
      <w:r>
        <w:rPr>
          <w:rFonts w:asciiTheme="minorBidi" w:hAnsiTheme="minorBidi"/>
          <w:szCs w:val="20"/>
        </w:rPr>
        <w:t>y compris</w:t>
      </w:r>
      <w:r w:rsidRPr="00F657D1">
        <w:rPr>
          <w:rFonts w:asciiTheme="minorBidi" w:hAnsiTheme="minorBidi"/>
          <w:szCs w:val="20"/>
        </w:rPr>
        <w:t xml:space="preserve"> les dépôts du système PCT EASY) représentaient moins de 10% des dépôts en</w:t>
      </w:r>
      <w:r>
        <w:rPr>
          <w:rFonts w:asciiTheme="minorBidi" w:hAnsiTheme="minorBidi"/>
          <w:szCs w:val="20"/>
        </w:rPr>
        <w:t> </w:t>
      </w:r>
      <w:r w:rsidRPr="00F657D1">
        <w:rPr>
          <w:rFonts w:asciiTheme="minorBidi" w:hAnsiTheme="minorBidi"/>
          <w:szCs w:val="20"/>
        </w:rPr>
        <w:t>2013.  Le coût unitaire</w:t>
      </w:r>
      <w:r w:rsidRPr="00DD4AAC">
        <w:rPr>
          <w:rFonts w:asciiTheme="minorBidi" w:hAnsiTheme="minorBidi"/>
          <w:szCs w:val="20"/>
        </w:rPr>
        <w:t xml:space="preserve"> du PCT</w:t>
      </w:r>
      <w:r w:rsidRPr="00F657D1">
        <w:rPr>
          <w:rFonts w:asciiTheme="minorBidi" w:hAnsiTheme="minorBidi"/>
          <w:szCs w:val="20"/>
        </w:rPr>
        <w:t xml:space="preserve"> en</w:t>
      </w:r>
      <w:r>
        <w:rPr>
          <w:rFonts w:asciiTheme="minorBidi" w:hAnsiTheme="minorBidi"/>
          <w:szCs w:val="20"/>
        </w:rPr>
        <w:t> </w:t>
      </w:r>
      <w:r w:rsidRPr="00F657D1">
        <w:rPr>
          <w:rFonts w:asciiTheme="minorBidi" w:hAnsiTheme="minorBidi"/>
          <w:szCs w:val="20"/>
        </w:rPr>
        <w:t>2012 a été calculé au moyen de deux</w:t>
      </w:r>
      <w:r>
        <w:rPr>
          <w:rFonts w:asciiTheme="minorBidi" w:hAnsiTheme="minorBidi"/>
          <w:szCs w:val="20"/>
        </w:rPr>
        <w:t> </w:t>
      </w:r>
      <w:r w:rsidRPr="00F657D1">
        <w:rPr>
          <w:rFonts w:asciiTheme="minorBidi" w:hAnsiTheme="minorBidi"/>
          <w:szCs w:val="20"/>
        </w:rPr>
        <w:t>méthodes</w:t>
      </w:r>
      <w:r>
        <w:rPr>
          <w:rFonts w:asciiTheme="minorBidi" w:hAnsiTheme="minorBidi"/>
          <w:szCs w:val="20"/>
        </w:rPr>
        <w:t xml:space="preserve">.  </w:t>
      </w:r>
      <w:r w:rsidRPr="00F657D1">
        <w:rPr>
          <w:rFonts w:asciiTheme="minorBidi" w:hAnsiTheme="minorBidi"/>
          <w:szCs w:val="20"/>
        </w:rPr>
        <w:t>Il s</w:t>
      </w:r>
      <w:r>
        <w:rPr>
          <w:rFonts w:asciiTheme="minorBidi" w:hAnsiTheme="minorBidi"/>
          <w:szCs w:val="20"/>
        </w:rPr>
        <w:t>’</w:t>
      </w:r>
      <w:r w:rsidRPr="00F657D1">
        <w:rPr>
          <w:rFonts w:asciiTheme="minorBidi" w:hAnsiTheme="minorBidi"/>
          <w:szCs w:val="20"/>
        </w:rPr>
        <w:t>élevait à 680</w:t>
      </w:r>
      <w:r>
        <w:rPr>
          <w:rFonts w:asciiTheme="minorBidi" w:hAnsiTheme="minorBidi"/>
          <w:szCs w:val="20"/>
        </w:rPr>
        <w:t> </w:t>
      </w:r>
      <w:r w:rsidRPr="00F657D1">
        <w:rPr>
          <w:rFonts w:asciiTheme="minorBidi" w:hAnsiTheme="minorBidi"/>
          <w:szCs w:val="20"/>
        </w:rPr>
        <w:t>francs suisses avec l</w:t>
      </w:r>
      <w:r>
        <w:rPr>
          <w:rFonts w:asciiTheme="minorBidi" w:hAnsiTheme="minorBidi"/>
          <w:szCs w:val="20"/>
        </w:rPr>
        <w:t>’</w:t>
      </w:r>
      <w:r w:rsidRPr="00F657D1">
        <w:rPr>
          <w:rFonts w:asciiTheme="minorBidi" w:hAnsiTheme="minorBidi"/>
          <w:szCs w:val="20"/>
        </w:rPr>
        <w:t>ancienne méthode et à 712</w:t>
      </w:r>
      <w:r>
        <w:rPr>
          <w:rFonts w:asciiTheme="minorBidi" w:hAnsiTheme="minorBidi"/>
          <w:szCs w:val="20"/>
        </w:rPr>
        <w:t> </w:t>
      </w:r>
      <w:r w:rsidRPr="00F657D1">
        <w:rPr>
          <w:rFonts w:asciiTheme="minorBidi" w:hAnsiTheme="minorBidi"/>
          <w:szCs w:val="20"/>
        </w:rPr>
        <w:t>francs suisses avec la nouvelle</w:t>
      </w:r>
      <w:r>
        <w:rPr>
          <w:rFonts w:asciiTheme="minorBidi" w:hAnsiTheme="minorBidi"/>
          <w:szCs w:val="20"/>
        </w:rPr>
        <w:t xml:space="preserve">.  </w:t>
      </w:r>
      <w:r w:rsidRPr="00F657D1">
        <w:rPr>
          <w:rFonts w:asciiTheme="minorBidi" w:hAnsiTheme="minorBidi"/>
          <w:szCs w:val="20"/>
        </w:rPr>
        <w:t>La différence de 32</w:t>
      </w:r>
      <w:r>
        <w:rPr>
          <w:rFonts w:asciiTheme="minorBidi" w:hAnsiTheme="minorBidi"/>
          <w:szCs w:val="20"/>
        </w:rPr>
        <w:t> </w:t>
      </w:r>
      <w:r w:rsidRPr="00F657D1">
        <w:rPr>
          <w:rFonts w:asciiTheme="minorBidi" w:hAnsiTheme="minorBidi"/>
          <w:szCs w:val="20"/>
        </w:rPr>
        <w:t>francs suisses tient à la nouvelle méthode d</w:t>
      </w:r>
      <w:r>
        <w:rPr>
          <w:rFonts w:asciiTheme="minorBidi" w:hAnsiTheme="minorBidi"/>
          <w:szCs w:val="20"/>
        </w:rPr>
        <w:t>’</w:t>
      </w:r>
      <w:r w:rsidRPr="00F657D1">
        <w:rPr>
          <w:rFonts w:asciiTheme="minorBidi" w:hAnsiTheme="minorBidi"/>
          <w:szCs w:val="20"/>
        </w:rPr>
        <w:t>affectation des coûts indirects.</w:t>
      </w:r>
    </w:p>
    <w:p w14:paraId="568251ED" w14:textId="77777777" w:rsidR="0010526D" w:rsidRPr="00F657D1" w:rsidRDefault="0010526D" w:rsidP="00986700">
      <w:pPr>
        <w:jc w:val="both"/>
        <w:rPr>
          <w:rFonts w:asciiTheme="minorBidi" w:hAnsiTheme="minorBidi"/>
          <w:szCs w:val="20"/>
        </w:rPr>
      </w:pPr>
    </w:p>
    <w:p w14:paraId="608DCD42"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De manière formelle, le coût unitaire est défini comme suit</w:t>
      </w:r>
      <w:r>
        <w:rPr>
          <w:rFonts w:asciiTheme="minorBidi" w:hAnsiTheme="minorBidi"/>
          <w:szCs w:val="20"/>
        </w:rPr>
        <w:t> :</w:t>
      </w:r>
    </w:p>
    <w:p w14:paraId="3B0846DA" w14:textId="77777777" w:rsidR="0010526D" w:rsidRDefault="0010526D" w:rsidP="00986700"/>
    <w:tbl>
      <w:tblPr>
        <w:tblStyle w:val="TableGrid"/>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2449"/>
      </w:tblGrid>
      <w:tr w:rsidR="0010526D" w14:paraId="2437A114" w14:textId="77777777" w:rsidTr="0060494B">
        <w:tc>
          <w:tcPr>
            <w:tcW w:w="1662" w:type="dxa"/>
            <w:vMerge w:val="restart"/>
            <w:vAlign w:val="center"/>
          </w:tcPr>
          <w:p w14:paraId="4792E5EC" w14:textId="77777777" w:rsidR="0010526D" w:rsidRDefault="0010526D" w:rsidP="00986700">
            <w:pPr>
              <w:jc w:val="right"/>
            </w:pPr>
            <w:r>
              <w:t xml:space="preserve">Coût unitaire = </w:t>
            </w:r>
          </w:p>
        </w:tc>
        <w:tc>
          <w:tcPr>
            <w:tcW w:w="2449" w:type="dxa"/>
            <w:tcBorders>
              <w:bottom w:val="single" w:sz="4" w:space="0" w:color="auto"/>
            </w:tcBorders>
          </w:tcPr>
          <w:p w14:paraId="698B6892" w14:textId="77777777" w:rsidR="0010526D" w:rsidRDefault="0010526D" w:rsidP="00986700">
            <w:pPr>
              <w:jc w:val="center"/>
            </w:pPr>
            <w:r>
              <w:t>Coût total de production</w:t>
            </w:r>
          </w:p>
        </w:tc>
      </w:tr>
      <w:tr w:rsidR="0010526D" w14:paraId="0617D3B7" w14:textId="77777777" w:rsidTr="0060494B">
        <w:tc>
          <w:tcPr>
            <w:tcW w:w="1662" w:type="dxa"/>
            <w:vMerge/>
          </w:tcPr>
          <w:p w14:paraId="052B2F4C" w14:textId="77777777" w:rsidR="0010526D" w:rsidRDefault="0010526D" w:rsidP="00986700"/>
        </w:tc>
        <w:tc>
          <w:tcPr>
            <w:tcW w:w="2449" w:type="dxa"/>
            <w:tcBorders>
              <w:top w:val="single" w:sz="4" w:space="0" w:color="auto"/>
            </w:tcBorders>
          </w:tcPr>
          <w:p w14:paraId="64C21E78" w14:textId="77777777" w:rsidR="0010526D" w:rsidRDefault="0010526D" w:rsidP="00986700">
            <w:pPr>
              <w:jc w:val="center"/>
            </w:pPr>
            <w:r>
              <w:t>Nombre de publications</w:t>
            </w:r>
          </w:p>
        </w:tc>
      </w:tr>
    </w:tbl>
    <w:p w14:paraId="5B21B918" w14:textId="77777777" w:rsidR="0010526D" w:rsidRPr="00F657D1" w:rsidRDefault="0010526D" w:rsidP="00986700"/>
    <w:p w14:paraId="37C6AE9A" w14:textId="77777777" w:rsidR="0010526D" w:rsidRPr="00F657D1" w:rsidRDefault="0010526D" w:rsidP="00986700"/>
    <w:p w14:paraId="5C251E77" w14:textId="6E3EDCD3"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Les diagrammes ci</w:t>
      </w:r>
      <w:r w:rsidR="00B441CA">
        <w:rPr>
          <w:rFonts w:asciiTheme="minorBidi" w:hAnsiTheme="minorBidi"/>
          <w:szCs w:val="20"/>
        </w:rPr>
        <w:noBreakHyphen/>
      </w:r>
      <w:r w:rsidRPr="00F657D1">
        <w:rPr>
          <w:rFonts w:asciiTheme="minorBidi" w:hAnsiTheme="minorBidi"/>
          <w:szCs w:val="20"/>
        </w:rPr>
        <w:t>dessous illustrent l</w:t>
      </w:r>
      <w:r>
        <w:rPr>
          <w:rFonts w:asciiTheme="minorBidi" w:hAnsiTheme="minorBidi"/>
          <w:szCs w:val="20"/>
        </w:rPr>
        <w:t>’</w:t>
      </w:r>
      <w:r w:rsidRPr="00F657D1">
        <w:rPr>
          <w:rFonts w:asciiTheme="minorBidi" w:hAnsiTheme="minorBidi"/>
          <w:szCs w:val="20"/>
        </w:rPr>
        <w:t>évolution du coût unitaire du traitement entre 2004 et 2012, calculé avec l</w:t>
      </w:r>
      <w:r>
        <w:rPr>
          <w:rFonts w:asciiTheme="minorBidi" w:hAnsiTheme="minorBidi"/>
          <w:szCs w:val="20"/>
        </w:rPr>
        <w:t>’</w:t>
      </w:r>
      <w:r w:rsidRPr="00F657D1">
        <w:rPr>
          <w:rFonts w:asciiTheme="minorBidi" w:hAnsiTheme="minorBidi"/>
          <w:szCs w:val="20"/>
        </w:rPr>
        <w:t xml:space="preserve">ancienne méthode, et entre 2012 et 2016, avec la nouvelle méthode, </w:t>
      </w:r>
      <w:r>
        <w:rPr>
          <w:rFonts w:asciiTheme="minorBidi" w:hAnsiTheme="minorBidi"/>
          <w:szCs w:val="20"/>
        </w:rPr>
        <w:t>y compris</w:t>
      </w:r>
      <w:r w:rsidRPr="00F657D1">
        <w:rPr>
          <w:rFonts w:asciiTheme="minorBidi" w:hAnsiTheme="minorBidi"/>
          <w:szCs w:val="20"/>
        </w:rPr>
        <w:t xml:space="preserve"> la répartition de la contribution des coûts directs et indirects.</w:t>
      </w:r>
    </w:p>
    <w:p w14:paraId="170E90E0" w14:textId="77777777" w:rsidR="0010526D" w:rsidRPr="00F657D1" w:rsidRDefault="0010526D" w:rsidP="00986700">
      <w:pPr>
        <w:rPr>
          <w:rFonts w:asciiTheme="minorBidi" w:hAnsiTheme="minorBidi"/>
          <w:szCs w:val="20"/>
          <w:highlight w:val="lightGray"/>
        </w:rPr>
      </w:pPr>
    </w:p>
    <w:p w14:paraId="24D8AC75" w14:textId="77777777" w:rsidR="0010526D" w:rsidRPr="00F657D1" w:rsidRDefault="0010526D" w:rsidP="00986700">
      <w:pPr>
        <w:keepNext/>
        <w:keepLines/>
        <w:jc w:val="center"/>
        <w:rPr>
          <w:rFonts w:asciiTheme="minorBidi" w:hAnsiTheme="minorBidi"/>
          <w:b/>
          <w:szCs w:val="20"/>
        </w:rPr>
      </w:pPr>
      <w:r w:rsidRPr="00F657D1">
        <w:rPr>
          <w:rFonts w:asciiTheme="minorBidi" w:hAnsiTheme="minorBidi"/>
          <w:b/>
          <w:szCs w:val="20"/>
        </w:rPr>
        <w:t>Coût unitaire du traitement d</w:t>
      </w:r>
      <w:r>
        <w:rPr>
          <w:rFonts w:asciiTheme="minorBidi" w:hAnsiTheme="minorBidi"/>
          <w:b/>
          <w:szCs w:val="20"/>
        </w:rPr>
        <w:t>’</w:t>
      </w:r>
      <w:r w:rsidRPr="00F657D1">
        <w:rPr>
          <w:rFonts w:asciiTheme="minorBidi" w:hAnsiTheme="minorBidi"/>
          <w:b/>
          <w:szCs w:val="20"/>
        </w:rPr>
        <w:t>une demande selon</w:t>
      </w:r>
      <w:r w:rsidRPr="00DD4AAC">
        <w:rPr>
          <w:rFonts w:asciiTheme="minorBidi" w:hAnsiTheme="minorBidi"/>
          <w:b/>
          <w:szCs w:val="20"/>
        </w:rPr>
        <w:t xml:space="preserve"> le PCT</w:t>
      </w:r>
      <w:r w:rsidRPr="00F657D1">
        <w:rPr>
          <w:rFonts w:asciiTheme="minorBidi" w:hAnsiTheme="minorBidi"/>
          <w:b/>
          <w:szCs w:val="20"/>
        </w:rPr>
        <w:t xml:space="preserve"> publiée</w:t>
      </w:r>
    </w:p>
    <w:p w14:paraId="275CB822" w14:textId="77777777" w:rsidR="0010526D" w:rsidRPr="00F657D1" w:rsidRDefault="0010526D" w:rsidP="00986700">
      <w:pPr>
        <w:keepNext/>
        <w:keepLines/>
        <w:jc w:val="center"/>
        <w:rPr>
          <w:rFonts w:asciiTheme="minorBidi" w:hAnsiTheme="minorBidi"/>
          <w:b/>
          <w:szCs w:val="20"/>
          <w:highlight w:val="lightGray"/>
        </w:rPr>
      </w:pP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10526D" w:rsidRPr="00F657D1" w14:paraId="79328BE8" w14:textId="77777777" w:rsidTr="0060494B">
        <w:trPr>
          <w:jc w:val="center"/>
        </w:trPr>
        <w:tc>
          <w:tcPr>
            <w:tcW w:w="9088" w:type="dxa"/>
            <w:shd w:val="clear" w:color="auto" w:fill="auto"/>
          </w:tcPr>
          <w:p w14:paraId="2B10A999" w14:textId="77777777" w:rsidR="0010526D" w:rsidRPr="00F657D1" w:rsidRDefault="0010526D" w:rsidP="00986700">
            <w:pPr>
              <w:keepNext/>
              <w:keepLines/>
              <w:spacing w:before="120"/>
              <w:jc w:val="center"/>
              <w:rPr>
                <w:rFonts w:asciiTheme="minorBidi" w:hAnsiTheme="minorBidi"/>
                <w:b/>
                <w:szCs w:val="20"/>
              </w:rPr>
            </w:pPr>
            <w:r w:rsidRPr="00F657D1">
              <w:rPr>
                <w:rFonts w:asciiTheme="minorBidi" w:hAnsiTheme="minorBidi"/>
                <w:b/>
                <w:szCs w:val="20"/>
              </w:rPr>
              <w:t>Ancienne méthode</w:t>
            </w:r>
          </w:p>
          <w:p w14:paraId="394723BB" w14:textId="77777777" w:rsidR="0010526D" w:rsidRPr="00F657D1" w:rsidRDefault="0010526D" w:rsidP="00986700">
            <w:pPr>
              <w:keepNext/>
              <w:keepLines/>
              <w:jc w:val="center"/>
              <w:rPr>
                <w:rFonts w:asciiTheme="minorBidi" w:hAnsiTheme="minorBidi"/>
                <w:b/>
                <w:szCs w:val="20"/>
              </w:rPr>
            </w:pPr>
          </w:p>
        </w:tc>
      </w:tr>
      <w:tr w:rsidR="0010526D" w:rsidRPr="00F657D1" w14:paraId="66377DBB" w14:textId="77777777" w:rsidTr="0060494B">
        <w:trPr>
          <w:trHeight w:val="4940"/>
          <w:jc w:val="center"/>
        </w:trPr>
        <w:tc>
          <w:tcPr>
            <w:tcW w:w="9088" w:type="dxa"/>
            <w:shd w:val="clear" w:color="auto" w:fill="auto"/>
          </w:tcPr>
          <w:p w14:paraId="232E2E5B" w14:textId="77777777" w:rsidR="0010526D" w:rsidRDefault="0010526D" w:rsidP="00986700">
            <w:pPr>
              <w:keepNext/>
              <w:keepLines/>
              <w:jc w:val="center"/>
              <w:rPr>
                <w:rFonts w:asciiTheme="minorBidi" w:hAnsiTheme="minorBidi"/>
                <w:szCs w:val="20"/>
              </w:rPr>
            </w:pPr>
          </w:p>
          <w:p w14:paraId="3DB52244" w14:textId="7C14525F" w:rsidR="0010526D" w:rsidRPr="00F657D1" w:rsidRDefault="00A306EE" w:rsidP="00986700">
            <w:pPr>
              <w:keepNext/>
              <w:keepLines/>
              <w:jc w:val="center"/>
              <w:rPr>
                <w:rFonts w:asciiTheme="minorBidi" w:hAnsiTheme="minorBidi"/>
                <w:szCs w:val="20"/>
              </w:rPr>
            </w:pPr>
            <w:r>
              <w:rPr>
                <w:rFonts w:asciiTheme="minorBidi" w:hAnsiTheme="minorBidi"/>
                <w:noProof/>
                <w:szCs w:val="20"/>
                <w:lang w:val="en-US" w:eastAsia="en-US"/>
              </w:rPr>
              <w:drawing>
                <wp:inline distT="0" distB="0" distL="0" distR="0" wp14:anchorId="3FAF6F90" wp14:editId="630619B0">
                  <wp:extent cx="5756910" cy="3039110"/>
                  <wp:effectExtent l="0" t="0" r="0" b="889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3039110"/>
                          </a:xfrm>
                          <a:prstGeom prst="rect">
                            <a:avLst/>
                          </a:prstGeom>
                          <a:noFill/>
                          <a:ln>
                            <a:noFill/>
                          </a:ln>
                        </pic:spPr>
                      </pic:pic>
                    </a:graphicData>
                  </a:graphic>
                </wp:inline>
              </w:drawing>
            </w:r>
          </w:p>
          <w:p w14:paraId="68F04FEF" w14:textId="77777777" w:rsidR="0010526D" w:rsidRPr="00F657D1" w:rsidRDefault="0010526D" w:rsidP="00986700">
            <w:pPr>
              <w:keepNext/>
              <w:keepLines/>
              <w:jc w:val="center"/>
              <w:rPr>
                <w:rFonts w:asciiTheme="minorBidi" w:hAnsiTheme="minorBidi"/>
                <w:szCs w:val="20"/>
              </w:rPr>
            </w:pPr>
          </w:p>
        </w:tc>
      </w:tr>
    </w:tbl>
    <w:p w14:paraId="79DF5D13" w14:textId="77777777" w:rsidR="0010526D" w:rsidRPr="00F657D1" w:rsidRDefault="0010526D" w:rsidP="00986700">
      <w:pPr>
        <w:rPr>
          <w:rFonts w:asciiTheme="minorBidi" w:hAnsiTheme="minorBidi"/>
          <w:szCs w:val="20"/>
          <w:highlight w:val="lightGray"/>
        </w:rPr>
      </w:pPr>
    </w:p>
    <w:tbl>
      <w:tblPr>
        <w:tblStyle w:val="TableGrid"/>
        <w:tblW w:w="0" w:type="auto"/>
        <w:tblInd w:w="108" w:type="dxa"/>
        <w:tblLayout w:type="fixed"/>
        <w:tblLook w:val="04A0" w:firstRow="1" w:lastRow="0" w:firstColumn="1" w:lastColumn="0" w:noHBand="0" w:noVBand="1"/>
      </w:tblPr>
      <w:tblGrid>
        <w:gridCol w:w="9072"/>
      </w:tblGrid>
      <w:tr w:rsidR="0010526D" w:rsidRPr="00F657D1" w14:paraId="69621E49" w14:textId="77777777" w:rsidTr="0060494B">
        <w:tc>
          <w:tcPr>
            <w:tcW w:w="9072" w:type="dxa"/>
          </w:tcPr>
          <w:p w14:paraId="0902A28F" w14:textId="77777777" w:rsidR="0010526D" w:rsidRPr="00F657D1" w:rsidRDefault="0010526D" w:rsidP="00986700">
            <w:pPr>
              <w:keepNext/>
              <w:keepLines/>
              <w:spacing w:before="120"/>
              <w:ind w:left="142"/>
              <w:jc w:val="center"/>
              <w:rPr>
                <w:rFonts w:asciiTheme="minorBidi" w:hAnsiTheme="minorBidi"/>
                <w:b/>
                <w:szCs w:val="20"/>
              </w:rPr>
            </w:pPr>
            <w:r w:rsidRPr="00F657D1">
              <w:rPr>
                <w:rFonts w:asciiTheme="minorBidi" w:hAnsiTheme="minorBidi"/>
                <w:b/>
                <w:szCs w:val="20"/>
              </w:rPr>
              <w:lastRenderedPageBreak/>
              <w:t>Nouvelle méthode</w:t>
            </w:r>
          </w:p>
          <w:p w14:paraId="4522F6C8" w14:textId="77777777" w:rsidR="0010526D" w:rsidRPr="00F657D1" w:rsidRDefault="0010526D" w:rsidP="00986700">
            <w:pPr>
              <w:rPr>
                <w:rFonts w:asciiTheme="minorBidi" w:hAnsiTheme="minorBidi"/>
                <w:szCs w:val="20"/>
                <w:highlight w:val="lightGray"/>
              </w:rPr>
            </w:pPr>
          </w:p>
        </w:tc>
      </w:tr>
      <w:tr w:rsidR="0010526D" w:rsidRPr="00F657D1" w14:paraId="0EA4E029" w14:textId="77777777" w:rsidTr="0060494B">
        <w:tc>
          <w:tcPr>
            <w:tcW w:w="9072" w:type="dxa"/>
          </w:tcPr>
          <w:p w14:paraId="7430C93B" w14:textId="1CFC47B3" w:rsidR="0010526D" w:rsidRPr="00F657D1" w:rsidRDefault="00A306EE" w:rsidP="00986700">
            <w:pPr>
              <w:rPr>
                <w:rFonts w:asciiTheme="minorBidi" w:hAnsiTheme="minorBidi"/>
                <w:szCs w:val="20"/>
                <w:highlight w:val="lightGray"/>
              </w:rPr>
            </w:pPr>
            <w:r>
              <w:rPr>
                <w:rFonts w:asciiTheme="minorBidi" w:hAnsiTheme="minorBidi"/>
                <w:noProof/>
                <w:szCs w:val="20"/>
                <w:lang w:val="en-US"/>
              </w:rPr>
              <w:drawing>
                <wp:inline distT="0" distB="0" distL="0" distR="0" wp14:anchorId="6A5DC706" wp14:editId="26A82E13">
                  <wp:extent cx="5621655" cy="3503295"/>
                  <wp:effectExtent l="0" t="0" r="0" b="190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1655" cy="3503295"/>
                          </a:xfrm>
                          <a:prstGeom prst="rect">
                            <a:avLst/>
                          </a:prstGeom>
                          <a:noFill/>
                          <a:ln>
                            <a:noFill/>
                          </a:ln>
                        </pic:spPr>
                      </pic:pic>
                    </a:graphicData>
                  </a:graphic>
                </wp:inline>
              </w:drawing>
            </w:r>
          </w:p>
        </w:tc>
      </w:tr>
    </w:tbl>
    <w:p w14:paraId="663844CE" w14:textId="77777777" w:rsidR="0010526D" w:rsidRPr="00F657D1" w:rsidRDefault="0010526D" w:rsidP="00986700">
      <w:pPr>
        <w:tabs>
          <w:tab w:val="num" w:pos="1134"/>
        </w:tabs>
        <w:ind w:left="1134"/>
        <w:rPr>
          <w:rFonts w:asciiTheme="minorBidi" w:hAnsiTheme="minorBidi"/>
          <w:szCs w:val="20"/>
        </w:rPr>
      </w:pPr>
    </w:p>
    <w:p w14:paraId="17B490B8" w14:textId="77777777" w:rsidR="0010526D" w:rsidRPr="00F657D1" w:rsidRDefault="0010526D" w:rsidP="00616FD3">
      <w:pPr>
        <w:numPr>
          <w:ilvl w:val="0"/>
          <w:numId w:val="28"/>
        </w:numPr>
        <w:tabs>
          <w:tab w:val="clear" w:pos="720"/>
          <w:tab w:val="num" w:pos="1134"/>
        </w:tabs>
        <w:ind w:left="1134" w:hanging="567"/>
        <w:jc w:val="both"/>
        <w:rPr>
          <w:rFonts w:asciiTheme="minorBidi" w:eastAsiaTheme="minorHAnsi" w:hAnsiTheme="minorBidi"/>
          <w:szCs w:val="20"/>
        </w:rPr>
      </w:pPr>
      <w:r w:rsidRPr="00F657D1">
        <w:rPr>
          <w:rFonts w:asciiTheme="minorBidi" w:eastAsiaTheme="minorHAnsi" w:hAnsiTheme="minorBidi"/>
          <w:szCs w:val="20"/>
        </w:rPr>
        <w:t>Le coût moyen du traitement d</w:t>
      </w:r>
      <w:r>
        <w:rPr>
          <w:rFonts w:asciiTheme="minorBidi" w:eastAsiaTheme="minorHAnsi" w:hAnsiTheme="minorBidi"/>
          <w:szCs w:val="20"/>
        </w:rPr>
        <w:t>’</w:t>
      </w:r>
      <w:r w:rsidRPr="00F657D1">
        <w:rPr>
          <w:rFonts w:asciiTheme="minorBidi" w:eastAsiaTheme="minorHAnsi" w:hAnsiTheme="minorBidi"/>
          <w:szCs w:val="20"/>
        </w:rPr>
        <w:t>une demande selon</w:t>
      </w:r>
      <w:r w:rsidRPr="00DD4AAC">
        <w:rPr>
          <w:rFonts w:asciiTheme="minorBidi" w:eastAsiaTheme="minorHAnsi" w:hAnsiTheme="minorBidi"/>
          <w:szCs w:val="20"/>
        </w:rPr>
        <w:t xml:space="preserve"> le PCT</w:t>
      </w:r>
      <w:r w:rsidRPr="00F657D1">
        <w:rPr>
          <w:rFonts w:asciiTheme="minorBidi" w:eastAsiaTheme="minorHAnsi" w:hAnsiTheme="minorBidi"/>
          <w:szCs w:val="20"/>
        </w:rPr>
        <w:t xml:space="preserve"> publiée était de 685</w:t>
      </w:r>
      <w:r>
        <w:rPr>
          <w:rFonts w:asciiTheme="minorBidi" w:eastAsiaTheme="minorHAnsi" w:hAnsiTheme="minorBidi"/>
          <w:szCs w:val="20"/>
        </w:rPr>
        <w:t> </w:t>
      </w:r>
      <w:r w:rsidRPr="00F657D1">
        <w:rPr>
          <w:rFonts w:asciiTheme="minorBidi" w:eastAsiaTheme="minorHAnsi" w:hAnsiTheme="minorBidi"/>
          <w:szCs w:val="20"/>
        </w:rPr>
        <w:t>francs suisses en</w:t>
      </w:r>
      <w:r>
        <w:rPr>
          <w:rFonts w:asciiTheme="minorBidi" w:eastAsiaTheme="minorHAnsi" w:hAnsiTheme="minorBidi"/>
          <w:szCs w:val="20"/>
        </w:rPr>
        <w:t> </w:t>
      </w:r>
      <w:r w:rsidRPr="00F657D1">
        <w:rPr>
          <w:rFonts w:asciiTheme="minorBidi" w:eastAsiaTheme="minorHAnsi" w:hAnsiTheme="minorBidi"/>
          <w:szCs w:val="20"/>
        </w:rPr>
        <w:t>2016, soit une diminution de 6,8% par rapport à 2015.  Cette diminution s</w:t>
      </w:r>
      <w:r>
        <w:rPr>
          <w:rFonts w:asciiTheme="minorBidi" w:eastAsiaTheme="minorHAnsi" w:hAnsiTheme="minorBidi"/>
          <w:szCs w:val="20"/>
        </w:rPr>
        <w:t>’</w:t>
      </w:r>
      <w:r w:rsidRPr="00F657D1">
        <w:rPr>
          <w:rFonts w:asciiTheme="minorBidi" w:eastAsiaTheme="minorHAnsi" w:hAnsiTheme="minorBidi"/>
          <w:szCs w:val="20"/>
        </w:rPr>
        <w:t>explique par une diminution du coût total de production, malgré une augmentation du nombre total de demandes selon</w:t>
      </w:r>
      <w:r w:rsidRPr="00DD4AAC">
        <w:rPr>
          <w:rFonts w:asciiTheme="minorBidi" w:eastAsiaTheme="minorHAnsi" w:hAnsiTheme="minorBidi"/>
          <w:szCs w:val="20"/>
        </w:rPr>
        <w:t xml:space="preserve"> le PCT</w:t>
      </w:r>
      <w:r w:rsidRPr="00F657D1">
        <w:rPr>
          <w:rFonts w:asciiTheme="minorBidi" w:eastAsiaTheme="minorHAnsi" w:hAnsiTheme="minorBidi"/>
          <w:szCs w:val="20"/>
        </w:rPr>
        <w:t xml:space="preserve"> publiées</w:t>
      </w:r>
      <w:r>
        <w:rPr>
          <w:rFonts w:asciiTheme="minorBidi" w:eastAsiaTheme="minorHAnsi" w:hAnsiTheme="minorBidi"/>
          <w:szCs w:val="20"/>
        </w:rPr>
        <w:t xml:space="preserve">.  </w:t>
      </w:r>
      <w:r w:rsidRPr="00F657D1">
        <w:rPr>
          <w:rFonts w:asciiTheme="minorBidi" w:eastAsiaTheme="minorHAnsi" w:hAnsiTheme="minorBidi"/>
          <w:szCs w:val="20"/>
        </w:rPr>
        <w:t>Ce chiffre correspond au coût moyen le plus bas pour la période allant de</w:t>
      </w:r>
      <w:r>
        <w:rPr>
          <w:rFonts w:asciiTheme="minorBidi" w:eastAsiaTheme="minorHAnsi" w:hAnsiTheme="minorBidi"/>
          <w:szCs w:val="20"/>
        </w:rPr>
        <w:t> </w:t>
      </w:r>
      <w:r w:rsidRPr="00F657D1">
        <w:rPr>
          <w:rFonts w:asciiTheme="minorBidi" w:eastAsiaTheme="minorHAnsi" w:hAnsiTheme="minorBidi"/>
          <w:szCs w:val="20"/>
        </w:rPr>
        <w:t>2012 à 2016, après le coût unitaire exceptionnellement bas de</w:t>
      </w:r>
      <w:r>
        <w:rPr>
          <w:rFonts w:asciiTheme="minorBidi" w:eastAsiaTheme="minorHAnsi" w:hAnsiTheme="minorBidi"/>
          <w:szCs w:val="20"/>
        </w:rPr>
        <w:t> </w:t>
      </w:r>
      <w:r w:rsidRPr="00F657D1">
        <w:rPr>
          <w:rFonts w:asciiTheme="minorBidi" w:eastAsiaTheme="minorHAnsi" w:hAnsiTheme="minorBidi"/>
          <w:szCs w:val="20"/>
        </w:rPr>
        <w:t>2014.</w:t>
      </w:r>
    </w:p>
    <w:p w14:paraId="05209C51" w14:textId="77777777" w:rsidR="0010526D" w:rsidRPr="00F657D1" w:rsidRDefault="0010526D" w:rsidP="00986700">
      <w:pPr>
        <w:rPr>
          <w:rFonts w:asciiTheme="minorBidi" w:hAnsiTheme="minorBidi"/>
        </w:rPr>
      </w:pPr>
    </w:p>
    <w:p w14:paraId="4F198F1D"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Productivité en matière d</w:t>
      </w:r>
      <w:r>
        <w:rPr>
          <w:rFonts w:asciiTheme="minorBidi" w:hAnsiTheme="minorBidi"/>
          <w:i/>
          <w:szCs w:val="20"/>
        </w:rPr>
        <w:t>’</w:t>
      </w:r>
      <w:r w:rsidRPr="00F657D1">
        <w:rPr>
          <w:rFonts w:asciiTheme="minorBidi" w:hAnsiTheme="minorBidi"/>
          <w:i/>
          <w:szCs w:val="20"/>
        </w:rPr>
        <w:t>examen de forme</w:t>
      </w:r>
    </w:p>
    <w:p w14:paraId="22943483" w14:textId="77777777" w:rsidR="0010526D" w:rsidRPr="00F657D1" w:rsidRDefault="0010526D" w:rsidP="00986700">
      <w:pPr>
        <w:keepNext/>
        <w:keepLines/>
        <w:rPr>
          <w:rFonts w:asciiTheme="minorBidi" w:hAnsiTheme="minorBidi"/>
          <w:iCs/>
          <w:szCs w:val="20"/>
        </w:rPr>
      </w:pPr>
    </w:p>
    <w:p w14:paraId="2AAF4B6D" w14:textId="08E4346B"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La productivité du personnel est calculée en divisant la production (c</w:t>
      </w:r>
      <w:r>
        <w:rPr>
          <w:rFonts w:asciiTheme="minorBidi" w:hAnsiTheme="minorBidi"/>
          <w:szCs w:val="20"/>
        </w:rPr>
        <w:t>’</w:t>
      </w:r>
      <w:r w:rsidRPr="00F657D1">
        <w:rPr>
          <w:rFonts w:asciiTheme="minorBidi" w:hAnsiTheme="minorBidi"/>
          <w:szCs w:val="20"/>
        </w:rPr>
        <w:t>est</w:t>
      </w:r>
      <w:r w:rsidR="00B441CA">
        <w:rPr>
          <w:rFonts w:asciiTheme="minorBidi" w:hAnsiTheme="minorBidi"/>
          <w:szCs w:val="20"/>
        </w:rPr>
        <w:noBreakHyphen/>
      </w:r>
      <w:r w:rsidRPr="00F657D1">
        <w:rPr>
          <w:rFonts w:asciiTheme="minorBidi" w:hAnsiTheme="minorBidi"/>
          <w:szCs w:val="20"/>
        </w:rPr>
        <w:t>à</w:t>
      </w:r>
      <w:r w:rsidR="00B441CA">
        <w:rPr>
          <w:rFonts w:asciiTheme="minorBidi" w:hAnsiTheme="minorBidi"/>
          <w:szCs w:val="20"/>
        </w:rPr>
        <w:noBreakHyphen/>
      </w:r>
      <w:r w:rsidRPr="00F657D1">
        <w:rPr>
          <w:rFonts w:asciiTheme="minorBidi" w:hAnsiTheme="minorBidi"/>
          <w:szCs w:val="20"/>
        </w:rPr>
        <w:t>dire le nombre de publications</w:t>
      </w:r>
      <w:r w:rsidRPr="00DD4AAC">
        <w:rPr>
          <w:rFonts w:asciiTheme="minorBidi" w:hAnsiTheme="minorBidi"/>
          <w:szCs w:val="20"/>
        </w:rPr>
        <w:t xml:space="preserve"> du PCT</w:t>
      </w:r>
      <w:r w:rsidRPr="00F657D1">
        <w:rPr>
          <w:rFonts w:asciiTheme="minorBidi" w:hAnsiTheme="minorBidi"/>
          <w:szCs w:val="20"/>
        </w:rPr>
        <w:t>) par les effectifs aux fins de l</w:t>
      </w:r>
      <w:r>
        <w:rPr>
          <w:rFonts w:asciiTheme="minorBidi" w:hAnsiTheme="minorBidi"/>
          <w:szCs w:val="20"/>
        </w:rPr>
        <w:t>’</w:t>
      </w:r>
      <w:r w:rsidRPr="00F657D1">
        <w:rPr>
          <w:rFonts w:asciiTheme="minorBidi" w:hAnsiTheme="minorBidi"/>
          <w:szCs w:val="20"/>
        </w:rPr>
        <w:t>examen de forme.</w:t>
      </w:r>
    </w:p>
    <w:p w14:paraId="21ED532A" w14:textId="77777777" w:rsidR="0010526D" w:rsidRPr="00F657D1" w:rsidRDefault="0010526D" w:rsidP="00986700">
      <w:pPr>
        <w:jc w:val="both"/>
        <w:rPr>
          <w:rFonts w:asciiTheme="minorBidi" w:hAnsiTheme="minorBidi"/>
          <w:szCs w:val="20"/>
        </w:rPr>
      </w:pPr>
    </w:p>
    <w:p w14:paraId="289C3F70" w14:textId="77777777" w:rsidR="0010526D" w:rsidRPr="00F657D1" w:rsidRDefault="0010526D" w:rsidP="00986700">
      <w:pPr>
        <w:keepNext/>
        <w:keepLines/>
        <w:jc w:val="center"/>
        <w:rPr>
          <w:rFonts w:asciiTheme="minorBidi" w:hAnsiTheme="minorBidi"/>
          <w:b/>
          <w:szCs w:val="20"/>
        </w:rPr>
      </w:pPr>
      <w:r w:rsidRPr="00F657D1">
        <w:rPr>
          <w:rFonts w:asciiTheme="minorBidi" w:hAnsiTheme="minorBidi"/>
          <w:b/>
          <w:szCs w:val="20"/>
        </w:rPr>
        <w:t>Productivité en matière d</w:t>
      </w:r>
      <w:r>
        <w:rPr>
          <w:rFonts w:asciiTheme="minorBidi" w:hAnsiTheme="minorBidi"/>
          <w:b/>
          <w:szCs w:val="20"/>
        </w:rPr>
        <w:t>’</w:t>
      </w:r>
      <w:r w:rsidRPr="00F657D1">
        <w:rPr>
          <w:rFonts w:asciiTheme="minorBidi" w:hAnsiTheme="minorBidi"/>
          <w:b/>
          <w:szCs w:val="20"/>
        </w:rPr>
        <w:t>examen de forme</w:t>
      </w:r>
    </w:p>
    <w:p w14:paraId="0D3A629D" w14:textId="77777777" w:rsidR="0010526D" w:rsidRPr="00F657D1" w:rsidRDefault="0010526D" w:rsidP="00986700">
      <w:pPr>
        <w:jc w:val="center"/>
        <w:rPr>
          <w:rFonts w:asciiTheme="minorBidi" w:hAnsiTheme="minorBidi"/>
          <w:b/>
          <w:szCs w:val="20"/>
        </w:rPr>
      </w:pPr>
      <w:r w:rsidRPr="00C31998">
        <w:rPr>
          <w:noProof/>
          <w:lang w:val="en-US" w:eastAsia="en-US"/>
        </w:rPr>
        <w:drawing>
          <wp:inline distT="0" distB="0" distL="0" distR="0" wp14:anchorId="1434DC92" wp14:editId="4AFE7ABF">
            <wp:extent cx="5760085" cy="287169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871698"/>
                    </a:xfrm>
                    <a:prstGeom prst="rect">
                      <a:avLst/>
                    </a:prstGeom>
                    <a:noFill/>
                    <a:ln>
                      <a:noFill/>
                    </a:ln>
                  </pic:spPr>
                </pic:pic>
              </a:graphicData>
            </a:graphic>
          </wp:inline>
        </w:drawing>
      </w:r>
    </w:p>
    <w:p w14:paraId="73E84DD1" w14:textId="77777777" w:rsidR="0010526D" w:rsidRPr="00F657D1" w:rsidRDefault="0010526D" w:rsidP="00616FD3">
      <w:pPr>
        <w:numPr>
          <w:ilvl w:val="0"/>
          <w:numId w:val="28"/>
        </w:numPr>
        <w:tabs>
          <w:tab w:val="clear" w:pos="720"/>
          <w:tab w:val="num" w:pos="1134"/>
        </w:tabs>
        <w:ind w:left="1134" w:hanging="567"/>
        <w:jc w:val="both"/>
        <w:rPr>
          <w:rFonts w:asciiTheme="minorBidi" w:hAnsiTheme="minorBidi"/>
          <w:szCs w:val="20"/>
        </w:rPr>
      </w:pPr>
      <w:r w:rsidRPr="00F657D1">
        <w:rPr>
          <w:rFonts w:asciiTheme="minorBidi" w:hAnsiTheme="minorBidi"/>
          <w:szCs w:val="20"/>
        </w:rPr>
        <w:lastRenderedPageBreak/>
        <w:t>La productivité en matière d</w:t>
      </w:r>
      <w:r>
        <w:rPr>
          <w:rFonts w:asciiTheme="minorBidi" w:hAnsiTheme="minorBidi"/>
          <w:szCs w:val="20"/>
        </w:rPr>
        <w:t>’</w:t>
      </w:r>
      <w:r w:rsidRPr="00F657D1">
        <w:rPr>
          <w:rFonts w:asciiTheme="minorBidi" w:hAnsiTheme="minorBidi"/>
          <w:szCs w:val="20"/>
        </w:rPr>
        <w:t>examen de forme augmente chaque année, en raison essentiellement de l</w:t>
      </w:r>
      <w:r>
        <w:rPr>
          <w:rFonts w:asciiTheme="minorBidi" w:hAnsiTheme="minorBidi"/>
          <w:szCs w:val="20"/>
        </w:rPr>
        <w:t>’</w:t>
      </w:r>
      <w:r w:rsidRPr="00F657D1">
        <w:rPr>
          <w:rFonts w:asciiTheme="minorBidi" w:hAnsiTheme="minorBidi"/>
          <w:szCs w:val="20"/>
        </w:rPr>
        <w:t>automatisation qui a permis le traitement d</w:t>
      </w:r>
      <w:r>
        <w:rPr>
          <w:rFonts w:asciiTheme="minorBidi" w:hAnsiTheme="minorBidi"/>
          <w:szCs w:val="20"/>
        </w:rPr>
        <w:t>’</w:t>
      </w:r>
      <w:r w:rsidRPr="00F657D1">
        <w:rPr>
          <w:rFonts w:asciiTheme="minorBidi" w:hAnsiTheme="minorBidi"/>
          <w:szCs w:val="20"/>
        </w:rPr>
        <w:t>une charge de travail beaucoup plus importante avec moins ou autant de personnel.</w:t>
      </w:r>
    </w:p>
    <w:p w14:paraId="31FE50C0" w14:textId="77777777" w:rsidR="0010526D" w:rsidRPr="00F657D1" w:rsidRDefault="0010526D" w:rsidP="00616FD3">
      <w:pPr>
        <w:numPr>
          <w:ilvl w:val="0"/>
          <w:numId w:val="28"/>
        </w:numPr>
        <w:tabs>
          <w:tab w:val="clear" w:pos="720"/>
          <w:tab w:val="num" w:pos="1134"/>
        </w:tabs>
        <w:ind w:left="1134" w:hanging="567"/>
        <w:jc w:val="both"/>
        <w:rPr>
          <w:rFonts w:asciiTheme="minorBidi" w:hAnsiTheme="minorBidi"/>
          <w:szCs w:val="20"/>
        </w:rPr>
      </w:pPr>
      <w:r w:rsidRPr="00F657D1">
        <w:rPr>
          <w:rFonts w:asciiTheme="minorBidi" w:hAnsiTheme="minorBidi"/>
          <w:szCs w:val="20"/>
        </w:rPr>
        <w:t>En</w:t>
      </w:r>
      <w:r>
        <w:rPr>
          <w:rFonts w:asciiTheme="minorBidi" w:hAnsiTheme="minorBidi"/>
          <w:szCs w:val="20"/>
        </w:rPr>
        <w:t> </w:t>
      </w:r>
      <w:r w:rsidRPr="00F657D1">
        <w:rPr>
          <w:rFonts w:asciiTheme="minorBidi" w:hAnsiTheme="minorBidi"/>
          <w:szCs w:val="20"/>
        </w:rPr>
        <w:t>2016, la productivité en matière d</w:t>
      </w:r>
      <w:r>
        <w:rPr>
          <w:rFonts w:asciiTheme="minorBidi" w:hAnsiTheme="minorBidi"/>
          <w:szCs w:val="20"/>
        </w:rPr>
        <w:t>’</w:t>
      </w:r>
      <w:r w:rsidRPr="00F657D1">
        <w:rPr>
          <w:rFonts w:asciiTheme="minorBidi" w:hAnsiTheme="minorBidi"/>
          <w:szCs w:val="20"/>
        </w:rPr>
        <w:t>examen de forme a augmenté de 5,4% par rapport à 2015.</w:t>
      </w:r>
    </w:p>
    <w:p w14:paraId="046C98F7" w14:textId="77777777" w:rsidR="0010526D" w:rsidRPr="00F657D1" w:rsidRDefault="0010526D" w:rsidP="00986700">
      <w:pPr>
        <w:keepNext/>
        <w:keepLines/>
        <w:rPr>
          <w:rFonts w:asciiTheme="minorBidi" w:hAnsiTheme="minorBidi"/>
          <w:iCs/>
          <w:szCs w:val="20"/>
        </w:rPr>
      </w:pPr>
    </w:p>
    <w:p w14:paraId="5534EC95"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Indicateur de qualité agrégé en matière d</w:t>
      </w:r>
      <w:r>
        <w:rPr>
          <w:rFonts w:asciiTheme="minorBidi" w:hAnsiTheme="minorBidi"/>
          <w:i/>
          <w:szCs w:val="20"/>
        </w:rPr>
        <w:t>’</w:t>
      </w:r>
      <w:r w:rsidRPr="00F657D1">
        <w:rPr>
          <w:rFonts w:asciiTheme="minorBidi" w:hAnsiTheme="minorBidi"/>
          <w:i/>
          <w:szCs w:val="20"/>
        </w:rPr>
        <w:t>examen de forme</w:t>
      </w:r>
    </w:p>
    <w:p w14:paraId="6A64FA73" w14:textId="77777777" w:rsidR="0010526D" w:rsidRPr="00F657D1" w:rsidRDefault="0010526D" w:rsidP="00986700">
      <w:pPr>
        <w:keepNext/>
        <w:keepLines/>
        <w:rPr>
          <w:rFonts w:asciiTheme="minorBidi" w:hAnsiTheme="minorBidi"/>
          <w:iCs/>
          <w:szCs w:val="20"/>
        </w:rPr>
      </w:pPr>
    </w:p>
    <w:p w14:paraId="3EE90450"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Pour mesurer d</w:t>
      </w:r>
      <w:r>
        <w:rPr>
          <w:rFonts w:asciiTheme="minorBidi" w:hAnsiTheme="minorBidi"/>
          <w:szCs w:val="20"/>
        </w:rPr>
        <w:t>’</w:t>
      </w:r>
      <w:r w:rsidRPr="00F657D1">
        <w:rPr>
          <w:rFonts w:asciiTheme="minorBidi" w:hAnsiTheme="minorBidi"/>
          <w:szCs w:val="20"/>
        </w:rPr>
        <w:t>une manière simple et globale la qualité du travail qu</w:t>
      </w:r>
      <w:r>
        <w:rPr>
          <w:rFonts w:asciiTheme="minorBidi" w:hAnsiTheme="minorBidi"/>
          <w:szCs w:val="20"/>
        </w:rPr>
        <w:t>’</w:t>
      </w:r>
      <w:r w:rsidRPr="00F657D1">
        <w:rPr>
          <w:rFonts w:asciiTheme="minorBidi" w:hAnsiTheme="minorBidi"/>
          <w:szCs w:val="20"/>
        </w:rPr>
        <w:t>il exécute, le Bureau international a mis au point un indicateur de qualité agrégé qui est la moyenne de quatre</w:t>
      </w:r>
      <w:r>
        <w:rPr>
          <w:rFonts w:asciiTheme="minorBidi" w:hAnsiTheme="minorBidi"/>
          <w:szCs w:val="20"/>
        </w:rPr>
        <w:t> </w:t>
      </w:r>
      <w:r w:rsidRPr="00F657D1">
        <w:rPr>
          <w:rFonts w:asciiTheme="minorBidi" w:hAnsiTheme="minorBidi"/>
          <w:szCs w:val="20"/>
        </w:rPr>
        <w:t>indicateurs de qualité principaux</w:t>
      </w:r>
      <w:r>
        <w:rPr>
          <w:rFonts w:asciiTheme="minorBidi" w:hAnsiTheme="minorBidi"/>
          <w:szCs w:val="20"/>
        </w:rPr>
        <w:t xml:space="preserve">.  </w:t>
      </w:r>
      <w:r w:rsidRPr="00F657D1">
        <w:rPr>
          <w:rFonts w:asciiTheme="minorBidi" w:hAnsiTheme="minorBidi"/>
          <w:szCs w:val="20"/>
        </w:rPr>
        <w:t>Trois</w:t>
      </w:r>
      <w:r>
        <w:rPr>
          <w:rFonts w:asciiTheme="minorBidi" w:hAnsiTheme="minorBidi"/>
          <w:szCs w:val="20"/>
        </w:rPr>
        <w:t> </w:t>
      </w:r>
      <w:r w:rsidRPr="00F657D1">
        <w:rPr>
          <w:rFonts w:asciiTheme="minorBidi" w:hAnsiTheme="minorBidi"/>
          <w:szCs w:val="20"/>
        </w:rPr>
        <w:t>sont fondés sur les délais pour les principales transactions entrant dans le cadre du système</w:t>
      </w:r>
      <w:r w:rsidRPr="00DD4AAC">
        <w:rPr>
          <w:rFonts w:asciiTheme="minorBidi" w:hAnsiTheme="minorBidi"/>
          <w:szCs w:val="20"/>
        </w:rPr>
        <w:t xml:space="preserve"> du PCT</w:t>
      </w:r>
      <w:r>
        <w:rPr>
          <w:rFonts w:asciiTheme="minorBidi" w:hAnsiTheme="minorBidi"/>
          <w:szCs w:val="20"/>
        </w:rPr>
        <w:t> :</w:t>
      </w:r>
      <w:r w:rsidRPr="00F657D1">
        <w:rPr>
          <w:rFonts w:asciiTheme="minorBidi" w:hAnsiTheme="minorBidi"/>
          <w:szCs w:val="20"/>
        </w:rPr>
        <w:t xml:space="preserve"> accusé de réception de la demande selon</w:t>
      </w:r>
      <w:r w:rsidRPr="00DD4AAC">
        <w:rPr>
          <w:rFonts w:asciiTheme="minorBidi" w:hAnsiTheme="minorBidi"/>
          <w:szCs w:val="20"/>
        </w:rPr>
        <w:t xml:space="preserve"> le PCT</w:t>
      </w:r>
      <w:r w:rsidRPr="00F657D1">
        <w:rPr>
          <w:rFonts w:asciiTheme="minorBidi" w:hAnsiTheme="minorBidi"/>
          <w:szCs w:val="20"/>
        </w:rPr>
        <w:t>, publication et nouvelle publication</w:t>
      </w:r>
      <w:r>
        <w:rPr>
          <w:rFonts w:asciiTheme="minorBidi" w:hAnsiTheme="minorBidi"/>
          <w:szCs w:val="20"/>
        </w:rPr>
        <w:t xml:space="preserve">.  </w:t>
      </w:r>
      <w:r w:rsidRPr="00F657D1">
        <w:rPr>
          <w:rFonts w:asciiTheme="minorBidi" w:hAnsiTheme="minorBidi"/>
          <w:szCs w:val="20"/>
        </w:rPr>
        <w:t>Le quatrième indicateur concerne les erreurs commises pendant le traitement des demandes selon</w:t>
      </w:r>
      <w:r w:rsidRPr="00DD4AAC">
        <w:rPr>
          <w:rFonts w:asciiTheme="minorBidi" w:hAnsiTheme="minorBidi"/>
          <w:szCs w:val="20"/>
        </w:rPr>
        <w:t xml:space="preserve"> le PCT</w:t>
      </w:r>
      <w:r w:rsidRPr="00F657D1">
        <w:rPr>
          <w:rFonts w:asciiTheme="minorBidi" w:hAnsiTheme="minorBidi"/>
          <w:szCs w:val="20"/>
        </w:rPr>
        <w:t>.</w:t>
      </w:r>
    </w:p>
    <w:p w14:paraId="0C57588B" w14:textId="77777777" w:rsidR="0010526D" w:rsidRDefault="0010526D" w:rsidP="00986700">
      <w:pPr>
        <w:rPr>
          <w:rFonts w:asciiTheme="minorBidi" w:hAnsiTheme="minorBidi"/>
          <w:szCs w:val="20"/>
        </w:rPr>
      </w:pPr>
    </w:p>
    <w:p w14:paraId="4839966E" w14:textId="77777777" w:rsidR="0010526D" w:rsidRPr="00F657D1" w:rsidRDefault="0010526D" w:rsidP="00986700">
      <w:pPr>
        <w:rPr>
          <w:rFonts w:asciiTheme="minorBidi" w:hAnsiTheme="minorBidi"/>
          <w:szCs w:val="20"/>
        </w:rPr>
      </w:pPr>
    </w:p>
    <w:p w14:paraId="0DEC7A0E" w14:textId="77777777" w:rsidR="0010526D" w:rsidRPr="00F657D1" w:rsidRDefault="0010526D" w:rsidP="00986700">
      <w:pPr>
        <w:pStyle w:val="BodyText2"/>
        <w:keepNext/>
        <w:keepLines/>
        <w:spacing w:line="240" w:lineRule="auto"/>
        <w:jc w:val="center"/>
        <w:rPr>
          <w:rFonts w:asciiTheme="minorBidi" w:hAnsiTheme="minorBidi"/>
          <w:b/>
          <w:bCs/>
          <w:szCs w:val="20"/>
        </w:rPr>
      </w:pPr>
      <w:r w:rsidRPr="00F657D1">
        <w:rPr>
          <w:rFonts w:asciiTheme="minorBidi" w:hAnsiTheme="minorBidi"/>
          <w:b/>
          <w:bCs/>
          <w:szCs w:val="20"/>
        </w:rPr>
        <w:t>Indicateur de qualité en matière d</w:t>
      </w:r>
      <w:r>
        <w:rPr>
          <w:rFonts w:asciiTheme="minorBidi" w:hAnsiTheme="minorBidi"/>
          <w:b/>
          <w:bCs/>
          <w:szCs w:val="20"/>
        </w:rPr>
        <w:t>’</w:t>
      </w:r>
      <w:r w:rsidRPr="00F657D1">
        <w:rPr>
          <w:rFonts w:asciiTheme="minorBidi" w:hAnsiTheme="minorBidi"/>
          <w:b/>
          <w:bCs/>
          <w:szCs w:val="20"/>
        </w:rPr>
        <w:t>examen de forme</w:t>
      </w:r>
    </w:p>
    <w:p w14:paraId="44132F58" w14:textId="77777777" w:rsidR="0010526D" w:rsidRPr="00F657D1" w:rsidRDefault="0010526D" w:rsidP="00986700">
      <w:pPr>
        <w:pStyle w:val="BodyText2"/>
        <w:keepNext/>
        <w:keepLines/>
        <w:spacing w:line="240" w:lineRule="auto"/>
        <w:jc w:val="center"/>
        <w:rPr>
          <w:rFonts w:asciiTheme="minorBidi" w:hAnsiTheme="minorBidi"/>
          <w:b/>
          <w:bCs/>
          <w:szCs w:val="20"/>
        </w:rPr>
      </w:pPr>
      <w:r w:rsidRPr="00C31998">
        <w:rPr>
          <w:noProof/>
          <w:lang w:val="en-US" w:eastAsia="en-US"/>
        </w:rPr>
        <w:drawing>
          <wp:inline distT="0" distB="0" distL="0" distR="0" wp14:anchorId="1FB7C396" wp14:editId="01900E8A">
            <wp:extent cx="5760000" cy="2607127"/>
            <wp:effectExtent l="0" t="0" r="0" b="317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00" cy="2607127"/>
                    </a:xfrm>
                    <a:prstGeom prst="rect">
                      <a:avLst/>
                    </a:prstGeom>
                    <a:noFill/>
                    <a:ln>
                      <a:noFill/>
                    </a:ln>
                  </pic:spPr>
                </pic:pic>
              </a:graphicData>
            </a:graphic>
          </wp:inline>
        </w:drawing>
      </w:r>
    </w:p>
    <w:p w14:paraId="2F0C2F04" w14:textId="77777777" w:rsidR="0010526D" w:rsidRPr="00F657D1" w:rsidRDefault="0010526D" w:rsidP="00986700">
      <w:pPr>
        <w:pStyle w:val="BodyText2"/>
        <w:keepNext/>
        <w:keepLines/>
        <w:spacing w:line="240" w:lineRule="auto"/>
        <w:jc w:val="center"/>
        <w:rPr>
          <w:rFonts w:asciiTheme="minorBidi" w:hAnsiTheme="minorBidi"/>
          <w:b/>
          <w:bCs/>
          <w:szCs w:val="20"/>
        </w:rPr>
      </w:pPr>
    </w:p>
    <w:p w14:paraId="01748373" w14:textId="77777777" w:rsidR="0010526D" w:rsidRPr="00F657D1" w:rsidRDefault="0010526D" w:rsidP="00616FD3">
      <w:pPr>
        <w:numPr>
          <w:ilvl w:val="0"/>
          <w:numId w:val="28"/>
        </w:numPr>
        <w:tabs>
          <w:tab w:val="clear" w:pos="720"/>
          <w:tab w:val="num" w:pos="1134"/>
        </w:tabs>
        <w:ind w:left="1134" w:hanging="567"/>
        <w:jc w:val="both"/>
        <w:rPr>
          <w:rFonts w:asciiTheme="minorBidi" w:hAnsiTheme="minorBidi"/>
          <w:szCs w:val="20"/>
        </w:rPr>
      </w:pPr>
      <w:r w:rsidRPr="00F657D1">
        <w:rPr>
          <w:rFonts w:asciiTheme="minorBidi" w:hAnsiTheme="minorBidi"/>
          <w:szCs w:val="20"/>
        </w:rPr>
        <w:t>La qualité globale telle que mesurée par l</w:t>
      </w:r>
      <w:r>
        <w:rPr>
          <w:rFonts w:asciiTheme="minorBidi" w:hAnsiTheme="minorBidi"/>
          <w:szCs w:val="20"/>
        </w:rPr>
        <w:t>’</w:t>
      </w:r>
      <w:r w:rsidRPr="00F657D1">
        <w:rPr>
          <w:rFonts w:asciiTheme="minorBidi" w:hAnsiTheme="minorBidi"/>
          <w:szCs w:val="20"/>
        </w:rPr>
        <w:t>indice agrégé s</w:t>
      </w:r>
      <w:r>
        <w:rPr>
          <w:rFonts w:asciiTheme="minorBidi" w:hAnsiTheme="minorBidi"/>
          <w:szCs w:val="20"/>
        </w:rPr>
        <w:t>’</w:t>
      </w:r>
      <w:r w:rsidRPr="00F657D1">
        <w:rPr>
          <w:rFonts w:asciiTheme="minorBidi" w:hAnsiTheme="minorBidi"/>
          <w:szCs w:val="20"/>
        </w:rPr>
        <w:t>est notablement améliorée, passant d</w:t>
      </w:r>
      <w:r>
        <w:rPr>
          <w:rFonts w:asciiTheme="minorBidi" w:hAnsiTheme="minorBidi"/>
          <w:szCs w:val="20"/>
        </w:rPr>
        <w:t>’</w:t>
      </w:r>
      <w:r w:rsidRPr="00F657D1">
        <w:rPr>
          <w:rFonts w:asciiTheme="minorBidi" w:hAnsiTheme="minorBidi"/>
          <w:szCs w:val="20"/>
        </w:rPr>
        <w:t>une moyenne de 81% en</w:t>
      </w:r>
      <w:r>
        <w:rPr>
          <w:rFonts w:asciiTheme="minorBidi" w:hAnsiTheme="minorBidi"/>
          <w:szCs w:val="20"/>
        </w:rPr>
        <w:t> </w:t>
      </w:r>
      <w:r w:rsidRPr="00F657D1">
        <w:rPr>
          <w:rFonts w:asciiTheme="minorBidi" w:hAnsiTheme="minorBidi"/>
          <w:szCs w:val="20"/>
        </w:rPr>
        <w:t>2007 à 95,1% en</w:t>
      </w:r>
      <w:r>
        <w:rPr>
          <w:rFonts w:asciiTheme="minorBidi" w:hAnsiTheme="minorBidi"/>
          <w:szCs w:val="20"/>
        </w:rPr>
        <w:t> </w:t>
      </w:r>
      <w:r w:rsidRPr="00F657D1">
        <w:rPr>
          <w:rFonts w:asciiTheme="minorBidi" w:hAnsiTheme="minorBidi"/>
          <w:szCs w:val="20"/>
        </w:rPr>
        <w:t>2016.</w:t>
      </w:r>
    </w:p>
    <w:p w14:paraId="6DE381D4" w14:textId="77777777" w:rsidR="0010526D" w:rsidRPr="00F657D1" w:rsidRDefault="0010526D" w:rsidP="00986700">
      <w:pPr>
        <w:jc w:val="both"/>
        <w:rPr>
          <w:rFonts w:asciiTheme="minorBidi" w:hAnsiTheme="minorBidi"/>
          <w:i/>
          <w:szCs w:val="20"/>
        </w:rPr>
      </w:pPr>
    </w:p>
    <w:p w14:paraId="4BF8A4EB"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Délai de l</w:t>
      </w:r>
      <w:r>
        <w:rPr>
          <w:rFonts w:asciiTheme="minorBidi" w:hAnsiTheme="minorBidi"/>
          <w:i/>
          <w:szCs w:val="20"/>
        </w:rPr>
        <w:t>’</w:t>
      </w:r>
      <w:r w:rsidRPr="00F657D1">
        <w:rPr>
          <w:rFonts w:asciiTheme="minorBidi" w:hAnsiTheme="minorBidi"/>
          <w:i/>
          <w:szCs w:val="20"/>
        </w:rPr>
        <w:t>examen de forme</w:t>
      </w:r>
    </w:p>
    <w:p w14:paraId="1CDB96D4" w14:textId="77777777" w:rsidR="0010526D" w:rsidRPr="00F657D1" w:rsidRDefault="0010526D" w:rsidP="00986700">
      <w:pPr>
        <w:keepNext/>
        <w:keepLines/>
        <w:rPr>
          <w:rFonts w:asciiTheme="minorBidi" w:hAnsiTheme="minorBidi"/>
          <w:iCs/>
          <w:szCs w:val="20"/>
        </w:rPr>
      </w:pPr>
    </w:p>
    <w:p w14:paraId="2F35F31F" w14:textId="77777777" w:rsidR="0010526D" w:rsidRPr="00F657D1" w:rsidRDefault="0010526D" w:rsidP="00616FD3">
      <w:pPr>
        <w:numPr>
          <w:ilvl w:val="0"/>
          <w:numId w:val="30"/>
        </w:numPr>
        <w:jc w:val="both"/>
        <w:rPr>
          <w:rFonts w:asciiTheme="minorBidi" w:hAnsiTheme="minorBidi"/>
          <w:b/>
          <w:szCs w:val="20"/>
        </w:rPr>
      </w:pPr>
      <w:r w:rsidRPr="00F657D1">
        <w:rPr>
          <w:rFonts w:asciiTheme="minorBidi" w:hAnsiTheme="minorBidi"/>
          <w:szCs w:val="20"/>
        </w:rPr>
        <w:t>Cet indicateur présente de manière plus détaillée l</w:t>
      </w:r>
      <w:r>
        <w:rPr>
          <w:rFonts w:asciiTheme="minorBidi" w:hAnsiTheme="minorBidi"/>
          <w:szCs w:val="20"/>
        </w:rPr>
        <w:t>’</w:t>
      </w:r>
      <w:r w:rsidRPr="00F657D1">
        <w:rPr>
          <w:rFonts w:asciiTheme="minorBidi" w:hAnsiTheme="minorBidi"/>
          <w:szCs w:val="20"/>
        </w:rPr>
        <w:t>une des composantes de l</w:t>
      </w:r>
      <w:r>
        <w:rPr>
          <w:rFonts w:asciiTheme="minorBidi" w:hAnsiTheme="minorBidi"/>
          <w:szCs w:val="20"/>
        </w:rPr>
        <w:t>’</w:t>
      </w:r>
      <w:r w:rsidRPr="00F657D1">
        <w:rPr>
          <w:rFonts w:asciiTheme="minorBidi" w:hAnsiTheme="minorBidi"/>
          <w:szCs w:val="20"/>
        </w:rPr>
        <w:t xml:space="preserve">indicateur de qualité agrégé, </w:t>
      </w:r>
      <w:r>
        <w:rPr>
          <w:rFonts w:asciiTheme="minorBidi" w:hAnsiTheme="minorBidi"/>
          <w:szCs w:val="20"/>
        </w:rPr>
        <w:t>à savoir</w:t>
      </w:r>
      <w:r w:rsidRPr="00F657D1">
        <w:rPr>
          <w:rFonts w:asciiTheme="minorBidi" w:hAnsiTheme="minorBidi"/>
          <w:szCs w:val="20"/>
        </w:rPr>
        <w:t xml:space="preserve"> le temps qu</w:t>
      </w:r>
      <w:r>
        <w:rPr>
          <w:rFonts w:asciiTheme="minorBidi" w:hAnsiTheme="minorBidi"/>
          <w:szCs w:val="20"/>
        </w:rPr>
        <w:t>’</w:t>
      </w:r>
      <w:r w:rsidRPr="00F657D1">
        <w:rPr>
          <w:rFonts w:asciiTheme="minorBidi" w:hAnsiTheme="minorBidi"/>
          <w:szCs w:val="20"/>
        </w:rPr>
        <w:t>il faut au Bureau international pour émettre le formulaire</w:t>
      </w:r>
      <w:r>
        <w:rPr>
          <w:rFonts w:asciiTheme="minorBidi" w:hAnsiTheme="minorBidi"/>
          <w:szCs w:val="20"/>
        </w:rPr>
        <w:t> </w:t>
      </w:r>
      <w:r w:rsidRPr="00F657D1">
        <w:rPr>
          <w:rFonts w:asciiTheme="minorBidi" w:hAnsiTheme="minorBidi"/>
          <w:szCs w:val="20"/>
        </w:rPr>
        <w:t>301.  Ce formulaire est émis une fois l</w:t>
      </w:r>
      <w:r>
        <w:rPr>
          <w:rFonts w:asciiTheme="minorBidi" w:hAnsiTheme="minorBidi"/>
          <w:szCs w:val="20"/>
        </w:rPr>
        <w:t>’</w:t>
      </w:r>
      <w:r w:rsidRPr="00F657D1">
        <w:rPr>
          <w:rFonts w:asciiTheme="minorBidi" w:hAnsiTheme="minorBidi"/>
          <w:szCs w:val="20"/>
        </w:rPr>
        <w:t>examen de forme de la demande terminé</w:t>
      </w:r>
      <w:r>
        <w:rPr>
          <w:rFonts w:asciiTheme="minorBidi" w:hAnsiTheme="minorBidi"/>
          <w:szCs w:val="20"/>
        </w:rPr>
        <w:t xml:space="preserve">.  </w:t>
      </w:r>
      <w:r w:rsidRPr="00F657D1">
        <w:rPr>
          <w:rFonts w:asciiTheme="minorBidi" w:hAnsiTheme="minorBidi"/>
          <w:szCs w:val="20"/>
        </w:rPr>
        <w:t>Les déposants apprécient de recevoir ce formulaire le plus rapidement possible car il fait office d</w:t>
      </w:r>
      <w:r>
        <w:rPr>
          <w:rFonts w:asciiTheme="minorBidi" w:hAnsiTheme="minorBidi"/>
          <w:szCs w:val="20"/>
        </w:rPr>
        <w:t>’</w:t>
      </w:r>
      <w:r w:rsidRPr="00F657D1">
        <w:rPr>
          <w:rFonts w:asciiTheme="minorBidi" w:hAnsiTheme="minorBidi"/>
          <w:szCs w:val="20"/>
        </w:rPr>
        <w:t>accusé de réception de la demande par le Bureau international et leur permet de savoir si leur demande contient des vices de forme.</w:t>
      </w:r>
    </w:p>
    <w:p w14:paraId="43BCB744" w14:textId="77777777" w:rsidR="0010526D" w:rsidRPr="00F657D1" w:rsidRDefault="0010526D" w:rsidP="00986700">
      <w:pPr>
        <w:jc w:val="both"/>
        <w:rPr>
          <w:rFonts w:asciiTheme="minorBidi" w:hAnsiTheme="minorBidi"/>
          <w:b/>
          <w:szCs w:val="20"/>
        </w:rPr>
      </w:pPr>
    </w:p>
    <w:p w14:paraId="39CF7EB9" w14:textId="77777777" w:rsidR="0010526D" w:rsidRPr="00F657D1" w:rsidRDefault="0010526D" w:rsidP="00986700">
      <w:pPr>
        <w:keepNext/>
        <w:ind w:left="142"/>
        <w:jc w:val="center"/>
        <w:rPr>
          <w:rFonts w:asciiTheme="minorBidi" w:hAnsiTheme="minorBidi"/>
          <w:b/>
          <w:szCs w:val="20"/>
        </w:rPr>
      </w:pPr>
      <w:r w:rsidRPr="00F657D1">
        <w:rPr>
          <w:rFonts w:asciiTheme="minorBidi" w:hAnsiTheme="minorBidi"/>
          <w:b/>
          <w:szCs w:val="20"/>
        </w:rPr>
        <w:lastRenderedPageBreak/>
        <w:t>Délai de l</w:t>
      </w:r>
      <w:r>
        <w:rPr>
          <w:rFonts w:asciiTheme="minorBidi" w:hAnsiTheme="minorBidi"/>
          <w:b/>
          <w:szCs w:val="20"/>
        </w:rPr>
        <w:t>’</w:t>
      </w:r>
      <w:r w:rsidRPr="00F657D1">
        <w:rPr>
          <w:rFonts w:asciiTheme="minorBidi" w:hAnsiTheme="minorBidi"/>
          <w:b/>
          <w:szCs w:val="20"/>
        </w:rPr>
        <w:t>examen de forme</w:t>
      </w:r>
    </w:p>
    <w:p w14:paraId="683D62EF" w14:textId="77777777" w:rsidR="0010526D" w:rsidRPr="00F657D1" w:rsidRDefault="0010526D" w:rsidP="00986700">
      <w:pPr>
        <w:jc w:val="center"/>
        <w:rPr>
          <w:rFonts w:asciiTheme="minorBidi" w:hAnsiTheme="minorBidi"/>
          <w:i/>
          <w:szCs w:val="20"/>
        </w:rPr>
      </w:pPr>
      <w:r w:rsidRPr="00C31998">
        <w:rPr>
          <w:noProof/>
          <w:lang w:val="en-US" w:eastAsia="en-US"/>
        </w:rPr>
        <w:drawing>
          <wp:inline distT="0" distB="0" distL="0" distR="0" wp14:anchorId="4064BE91" wp14:editId="2B27C1B6">
            <wp:extent cx="5760000" cy="2493841"/>
            <wp:effectExtent l="0" t="0" r="0" b="190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493841"/>
                    </a:xfrm>
                    <a:prstGeom prst="rect">
                      <a:avLst/>
                    </a:prstGeom>
                    <a:noFill/>
                    <a:ln>
                      <a:noFill/>
                    </a:ln>
                  </pic:spPr>
                </pic:pic>
              </a:graphicData>
            </a:graphic>
          </wp:inline>
        </w:drawing>
      </w:r>
    </w:p>
    <w:p w14:paraId="160961F7" w14:textId="77777777" w:rsidR="0010526D" w:rsidRDefault="0010526D" w:rsidP="00986700">
      <w:pPr>
        <w:rPr>
          <w:rFonts w:asciiTheme="minorBidi" w:hAnsiTheme="minorBidi"/>
          <w:i/>
          <w:szCs w:val="20"/>
        </w:rPr>
      </w:pPr>
    </w:p>
    <w:p w14:paraId="2F3F267B" w14:textId="77777777" w:rsidR="0010526D" w:rsidRPr="00F657D1" w:rsidRDefault="0010526D" w:rsidP="00986700">
      <w:pPr>
        <w:rPr>
          <w:rFonts w:asciiTheme="minorBidi" w:hAnsiTheme="minorBidi"/>
          <w:i/>
          <w:szCs w:val="20"/>
        </w:rPr>
      </w:pPr>
    </w:p>
    <w:p w14:paraId="00FFECDE"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Délai de publication</w:t>
      </w:r>
    </w:p>
    <w:p w14:paraId="752EB399" w14:textId="77777777" w:rsidR="0010526D" w:rsidRPr="00F657D1" w:rsidRDefault="0010526D" w:rsidP="00986700">
      <w:pPr>
        <w:keepNext/>
        <w:keepLines/>
        <w:rPr>
          <w:rFonts w:asciiTheme="minorBidi" w:hAnsiTheme="minorBidi"/>
          <w:iCs/>
          <w:szCs w:val="20"/>
        </w:rPr>
      </w:pPr>
    </w:p>
    <w:p w14:paraId="1BACE235" w14:textId="77777777" w:rsidR="0010526D" w:rsidRPr="00F657D1" w:rsidRDefault="0010526D" w:rsidP="00616FD3">
      <w:pPr>
        <w:keepNext/>
        <w:keepLines/>
        <w:numPr>
          <w:ilvl w:val="0"/>
          <w:numId w:val="30"/>
        </w:numPr>
        <w:jc w:val="both"/>
        <w:rPr>
          <w:rFonts w:asciiTheme="minorBidi" w:hAnsiTheme="minorBidi"/>
          <w:szCs w:val="20"/>
        </w:rPr>
      </w:pPr>
      <w:r w:rsidRPr="00F657D1">
        <w:rPr>
          <w:rFonts w:asciiTheme="minorBidi" w:hAnsiTheme="minorBidi"/>
          <w:szCs w:val="20"/>
        </w:rPr>
        <w:t>Cet indicateur présente de manière plus détaillée l</w:t>
      </w:r>
      <w:r>
        <w:rPr>
          <w:rFonts w:asciiTheme="minorBidi" w:hAnsiTheme="minorBidi"/>
          <w:szCs w:val="20"/>
        </w:rPr>
        <w:t>’</w:t>
      </w:r>
      <w:r w:rsidRPr="00F657D1">
        <w:rPr>
          <w:rFonts w:asciiTheme="minorBidi" w:hAnsiTheme="minorBidi"/>
          <w:szCs w:val="20"/>
        </w:rPr>
        <w:t>une des composantes de l</w:t>
      </w:r>
      <w:r>
        <w:rPr>
          <w:rFonts w:asciiTheme="minorBidi" w:hAnsiTheme="minorBidi"/>
          <w:szCs w:val="20"/>
        </w:rPr>
        <w:t>’</w:t>
      </w:r>
      <w:r w:rsidRPr="00F657D1">
        <w:rPr>
          <w:rFonts w:asciiTheme="minorBidi" w:hAnsiTheme="minorBidi"/>
          <w:szCs w:val="20"/>
        </w:rPr>
        <w:t xml:space="preserve">indicateur de qualité agrégé, </w:t>
      </w:r>
      <w:r>
        <w:rPr>
          <w:rFonts w:asciiTheme="minorBidi" w:hAnsiTheme="minorBidi"/>
          <w:szCs w:val="20"/>
        </w:rPr>
        <w:t>à savoir</w:t>
      </w:r>
      <w:r w:rsidRPr="00F657D1">
        <w:rPr>
          <w:rFonts w:asciiTheme="minorBidi" w:hAnsiTheme="minorBidi"/>
          <w:szCs w:val="20"/>
        </w:rPr>
        <w:t xml:space="preserve"> le temps qu</w:t>
      </w:r>
      <w:r>
        <w:rPr>
          <w:rFonts w:asciiTheme="minorBidi" w:hAnsiTheme="minorBidi"/>
          <w:szCs w:val="20"/>
        </w:rPr>
        <w:t>’</w:t>
      </w:r>
      <w:r w:rsidRPr="00F657D1">
        <w:rPr>
          <w:rFonts w:asciiTheme="minorBidi" w:hAnsiTheme="minorBidi"/>
          <w:szCs w:val="20"/>
        </w:rPr>
        <w:t>il faut au Bureau international pour publier la demande</w:t>
      </w:r>
      <w:r>
        <w:rPr>
          <w:rFonts w:asciiTheme="minorBidi" w:hAnsiTheme="minorBidi"/>
          <w:szCs w:val="20"/>
        </w:rPr>
        <w:t xml:space="preserve">.  </w:t>
      </w:r>
      <w:r w:rsidRPr="00F657D1">
        <w:rPr>
          <w:rFonts w:asciiTheme="minorBidi" w:hAnsiTheme="minorBidi"/>
          <w:szCs w:val="20"/>
        </w:rPr>
        <w:t>L</w:t>
      </w:r>
      <w:r>
        <w:rPr>
          <w:rFonts w:asciiTheme="minorBidi" w:hAnsiTheme="minorBidi"/>
          <w:szCs w:val="20"/>
        </w:rPr>
        <w:t>’</w:t>
      </w:r>
      <w:r w:rsidRPr="00F657D1">
        <w:rPr>
          <w:rFonts w:asciiTheme="minorBidi" w:hAnsiTheme="minorBidi"/>
          <w:szCs w:val="20"/>
        </w:rPr>
        <w:t>article</w:t>
      </w:r>
      <w:r>
        <w:rPr>
          <w:rFonts w:asciiTheme="minorBidi" w:hAnsiTheme="minorBidi"/>
          <w:szCs w:val="20"/>
        </w:rPr>
        <w:t> </w:t>
      </w:r>
      <w:r w:rsidRPr="00F657D1">
        <w:rPr>
          <w:rFonts w:asciiTheme="minorBidi" w:hAnsiTheme="minorBidi"/>
          <w:szCs w:val="20"/>
        </w:rPr>
        <w:t>21.2)a)</w:t>
      </w:r>
      <w:r w:rsidRPr="00DD4AAC">
        <w:rPr>
          <w:rFonts w:asciiTheme="minorBidi" w:hAnsiTheme="minorBidi"/>
          <w:szCs w:val="20"/>
        </w:rPr>
        <w:t xml:space="preserve"> du PCT</w:t>
      </w:r>
      <w:r w:rsidRPr="00F657D1">
        <w:rPr>
          <w:rFonts w:asciiTheme="minorBidi" w:hAnsiTheme="minorBidi"/>
          <w:szCs w:val="20"/>
        </w:rPr>
        <w:t xml:space="preserve"> prévoit que “… la publication internationale de la demande internationale a lieu à bref délai après l</w:t>
      </w:r>
      <w:r>
        <w:rPr>
          <w:rFonts w:asciiTheme="minorBidi" w:hAnsiTheme="minorBidi"/>
          <w:szCs w:val="20"/>
        </w:rPr>
        <w:t>’</w:t>
      </w:r>
      <w:r w:rsidRPr="00F657D1">
        <w:rPr>
          <w:rFonts w:asciiTheme="minorBidi" w:hAnsiTheme="minorBidi"/>
          <w:szCs w:val="20"/>
        </w:rPr>
        <w:t>expiration d</w:t>
      </w:r>
      <w:r>
        <w:rPr>
          <w:rFonts w:asciiTheme="minorBidi" w:hAnsiTheme="minorBidi"/>
          <w:szCs w:val="20"/>
        </w:rPr>
        <w:t>’</w:t>
      </w:r>
      <w:r w:rsidRPr="00F657D1">
        <w:rPr>
          <w:rFonts w:asciiTheme="minorBidi" w:hAnsiTheme="minorBidi"/>
          <w:szCs w:val="20"/>
        </w:rPr>
        <w:t>un délai de 18</w:t>
      </w:r>
      <w:r>
        <w:rPr>
          <w:rFonts w:asciiTheme="minorBidi" w:hAnsiTheme="minorBidi"/>
          <w:szCs w:val="20"/>
        </w:rPr>
        <w:t> </w:t>
      </w:r>
      <w:r w:rsidRPr="00F657D1">
        <w:rPr>
          <w:rFonts w:asciiTheme="minorBidi" w:hAnsiTheme="minorBidi"/>
          <w:szCs w:val="20"/>
        </w:rPr>
        <w:t>mois à compter de la date de priorité de cette demande”.</w:t>
      </w:r>
    </w:p>
    <w:p w14:paraId="526EC03A" w14:textId="77777777" w:rsidR="0010526D" w:rsidRPr="00F657D1" w:rsidRDefault="0010526D" w:rsidP="00986700">
      <w:pPr>
        <w:pStyle w:val="BodyText2"/>
        <w:keepNext/>
        <w:keepLines/>
        <w:spacing w:line="240" w:lineRule="auto"/>
        <w:rPr>
          <w:rFonts w:asciiTheme="minorBidi" w:hAnsiTheme="minorBidi"/>
          <w:szCs w:val="20"/>
        </w:rPr>
      </w:pPr>
    </w:p>
    <w:p w14:paraId="7DD15B04" w14:textId="77777777" w:rsidR="0010526D" w:rsidRPr="00F657D1" w:rsidRDefault="0010526D" w:rsidP="00986700">
      <w:pPr>
        <w:keepNext/>
        <w:keepLines/>
        <w:ind w:left="142"/>
        <w:jc w:val="center"/>
        <w:rPr>
          <w:rFonts w:asciiTheme="minorBidi" w:hAnsiTheme="minorBidi"/>
          <w:b/>
          <w:szCs w:val="20"/>
        </w:rPr>
      </w:pPr>
      <w:r w:rsidRPr="00F657D1">
        <w:rPr>
          <w:rFonts w:asciiTheme="minorBidi" w:hAnsiTheme="minorBidi"/>
          <w:b/>
          <w:szCs w:val="20"/>
        </w:rPr>
        <w:t>Délai de publication</w:t>
      </w:r>
    </w:p>
    <w:p w14:paraId="639DA282" w14:textId="77777777" w:rsidR="0010526D" w:rsidRPr="00F657D1" w:rsidRDefault="0010526D" w:rsidP="00986700">
      <w:pPr>
        <w:pStyle w:val="BodyText2"/>
        <w:keepNext/>
        <w:keepLines/>
        <w:spacing w:line="240" w:lineRule="auto"/>
        <w:jc w:val="center"/>
        <w:rPr>
          <w:rFonts w:asciiTheme="minorBidi" w:hAnsiTheme="minorBidi"/>
          <w:b/>
          <w:bCs/>
          <w:szCs w:val="20"/>
          <w:highlight w:val="yellow"/>
        </w:rPr>
      </w:pPr>
      <w:r w:rsidRPr="00C31998">
        <w:rPr>
          <w:noProof/>
          <w:lang w:val="en-US" w:eastAsia="en-US"/>
        </w:rPr>
        <w:drawing>
          <wp:inline distT="0" distB="0" distL="0" distR="0" wp14:anchorId="484FBF69" wp14:editId="366F0952">
            <wp:extent cx="5760085" cy="2638830"/>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2638830"/>
                    </a:xfrm>
                    <a:prstGeom prst="rect">
                      <a:avLst/>
                    </a:prstGeom>
                    <a:noFill/>
                    <a:ln>
                      <a:noFill/>
                    </a:ln>
                  </pic:spPr>
                </pic:pic>
              </a:graphicData>
            </a:graphic>
          </wp:inline>
        </w:drawing>
      </w:r>
    </w:p>
    <w:p w14:paraId="31705162" w14:textId="77777777" w:rsidR="0010526D" w:rsidRDefault="0010526D" w:rsidP="00986700">
      <w:pPr>
        <w:rPr>
          <w:rFonts w:asciiTheme="minorBidi" w:hAnsiTheme="minorBidi"/>
          <w:i/>
          <w:szCs w:val="20"/>
        </w:rPr>
      </w:pPr>
    </w:p>
    <w:p w14:paraId="24B3FB7A" w14:textId="77777777" w:rsidR="0010526D" w:rsidRPr="00F657D1" w:rsidRDefault="0010526D" w:rsidP="00986700">
      <w:pPr>
        <w:rPr>
          <w:rFonts w:asciiTheme="minorBidi" w:hAnsiTheme="minorBidi"/>
          <w:i/>
          <w:szCs w:val="20"/>
        </w:rPr>
      </w:pPr>
    </w:p>
    <w:p w14:paraId="3CEEF59E"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Délai de republication</w:t>
      </w:r>
    </w:p>
    <w:p w14:paraId="36518025" w14:textId="77777777" w:rsidR="0010526D" w:rsidRPr="00F657D1" w:rsidRDefault="0010526D" w:rsidP="00986700">
      <w:pPr>
        <w:keepNext/>
        <w:keepLines/>
        <w:rPr>
          <w:rFonts w:asciiTheme="minorBidi" w:hAnsiTheme="minorBidi"/>
          <w:iCs/>
          <w:szCs w:val="20"/>
        </w:rPr>
      </w:pPr>
    </w:p>
    <w:p w14:paraId="6FADEBCC"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Cet indicateur présente de manière plus détaillée l</w:t>
      </w:r>
      <w:r>
        <w:rPr>
          <w:rFonts w:asciiTheme="minorBidi" w:hAnsiTheme="minorBidi"/>
          <w:szCs w:val="20"/>
        </w:rPr>
        <w:t>’</w:t>
      </w:r>
      <w:r w:rsidRPr="00F657D1">
        <w:rPr>
          <w:rFonts w:asciiTheme="minorBidi" w:hAnsiTheme="minorBidi"/>
          <w:szCs w:val="20"/>
        </w:rPr>
        <w:t>une des composantes de l</w:t>
      </w:r>
      <w:r>
        <w:rPr>
          <w:rFonts w:asciiTheme="minorBidi" w:hAnsiTheme="minorBidi"/>
          <w:szCs w:val="20"/>
        </w:rPr>
        <w:t>’</w:t>
      </w:r>
      <w:r w:rsidRPr="00F657D1">
        <w:rPr>
          <w:rFonts w:asciiTheme="minorBidi" w:hAnsiTheme="minorBidi"/>
          <w:szCs w:val="20"/>
        </w:rPr>
        <w:t xml:space="preserve">indicateur de qualité agrégé, </w:t>
      </w:r>
      <w:r>
        <w:rPr>
          <w:rFonts w:asciiTheme="minorBidi" w:hAnsiTheme="minorBidi"/>
          <w:szCs w:val="20"/>
        </w:rPr>
        <w:t>à savoir</w:t>
      </w:r>
      <w:r w:rsidRPr="00F657D1">
        <w:rPr>
          <w:rFonts w:asciiTheme="minorBidi" w:hAnsiTheme="minorBidi"/>
          <w:szCs w:val="20"/>
        </w:rPr>
        <w:t xml:space="preserve"> le temps qu</w:t>
      </w:r>
      <w:r>
        <w:rPr>
          <w:rFonts w:asciiTheme="minorBidi" w:hAnsiTheme="minorBidi"/>
          <w:szCs w:val="20"/>
        </w:rPr>
        <w:t>’</w:t>
      </w:r>
      <w:r w:rsidRPr="00F657D1">
        <w:rPr>
          <w:rFonts w:asciiTheme="minorBidi" w:hAnsiTheme="minorBidi"/>
          <w:szCs w:val="20"/>
        </w:rPr>
        <w:t>il faut au Bureau international pour republier la demande avec le rapport de recherche internationale</w:t>
      </w:r>
      <w:r>
        <w:rPr>
          <w:rFonts w:asciiTheme="minorBidi" w:hAnsiTheme="minorBidi"/>
          <w:szCs w:val="20"/>
        </w:rPr>
        <w:t xml:space="preserve">.  </w:t>
      </w:r>
      <w:r w:rsidRPr="00F657D1">
        <w:rPr>
          <w:rFonts w:asciiTheme="minorBidi" w:hAnsiTheme="minorBidi"/>
          <w:szCs w:val="20"/>
        </w:rPr>
        <w:t>En raison des retards de communication de ces rapports par les administrations chargées de la recherche internationale, un certain nombre de demandes internationales sont publiées sans le rapport</w:t>
      </w:r>
      <w:r>
        <w:rPr>
          <w:rFonts w:asciiTheme="minorBidi" w:hAnsiTheme="minorBidi"/>
          <w:szCs w:val="20"/>
        </w:rPr>
        <w:t xml:space="preserve">.  </w:t>
      </w:r>
      <w:r w:rsidRPr="00F657D1">
        <w:rPr>
          <w:rFonts w:asciiTheme="minorBidi" w:hAnsiTheme="minorBidi"/>
          <w:szCs w:val="20"/>
        </w:rPr>
        <w:t>Lorsque ce rapport est disponible, la demande internationale doit être republiée le plus vite possible avec le rapport afin de compléter la publication internationale.</w:t>
      </w:r>
    </w:p>
    <w:p w14:paraId="7E3BE193" w14:textId="77777777" w:rsidR="0010526D" w:rsidRPr="00F657D1" w:rsidRDefault="0010526D" w:rsidP="00986700">
      <w:pPr>
        <w:rPr>
          <w:rFonts w:asciiTheme="minorBidi" w:hAnsiTheme="minorBidi"/>
          <w:szCs w:val="20"/>
        </w:rPr>
      </w:pPr>
    </w:p>
    <w:p w14:paraId="5A49B6F7" w14:textId="77777777" w:rsidR="0010526D" w:rsidRPr="00F657D1" w:rsidRDefault="0010526D" w:rsidP="00986700">
      <w:pPr>
        <w:keepNext/>
        <w:ind w:left="142"/>
        <w:jc w:val="center"/>
        <w:rPr>
          <w:rFonts w:asciiTheme="minorBidi" w:hAnsiTheme="minorBidi"/>
          <w:b/>
          <w:szCs w:val="20"/>
        </w:rPr>
      </w:pPr>
      <w:r w:rsidRPr="00F657D1">
        <w:rPr>
          <w:rFonts w:asciiTheme="minorBidi" w:hAnsiTheme="minorBidi"/>
          <w:b/>
          <w:szCs w:val="20"/>
        </w:rPr>
        <w:lastRenderedPageBreak/>
        <w:t>Délai de republication</w:t>
      </w:r>
    </w:p>
    <w:p w14:paraId="58FD1797" w14:textId="77777777" w:rsidR="0010526D" w:rsidRPr="00F657D1" w:rsidRDefault="0010526D" w:rsidP="00986700">
      <w:pPr>
        <w:rPr>
          <w:rFonts w:asciiTheme="minorBidi" w:hAnsiTheme="minorBidi"/>
          <w:b/>
          <w:szCs w:val="20"/>
        </w:rPr>
      </w:pPr>
      <w:r w:rsidRPr="00C31998">
        <w:rPr>
          <w:noProof/>
          <w:lang w:val="en-US" w:eastAsia="en-US"/>
        </w:rPr>
        <w:drawing>
          <wp:inline distT="0" distB="0" distL="0" distR="0" wp14:anchorId="5CC55106" wp14:editId="18C242E7">
            <wp:extent cx="5760085" cy="2638830"/>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2638830"/>
                    </a:xfrm>
                    <a:prstGeom prst="rect">
                      <a:avLst/>
                    </a:prstGeom>
                    <a:noFill/>
                    <a:ln>
                      <a:noFill/>
                    </a:ln>
                  </pic:spPr>
                </pic:pic>
              </a:graphicData>
            </a:graphic>
          </wp:inline>
        </w:drawing>
      </w:r>
    </w:p>
    <w:p w14:paraId="007EF159" w14:textId="77777777" w:rsidR="0010526D" w:rsidRDefault="0010526D" w:rsidP="00986700">
      <w:pPr>
        <w:rPr>
          <w:rFonts w:asciiTheme="minorBidi" w:hAnsiTheme="minorBidi"/>
          <w:i/>
          <w:szCs w:val="20"/>
        </w:rPr>
      </w:pPr>
    </w:p>
    <w:p w14:paraId="575AE7E3" w14:textId="77777777" w:rsidR="0010526D" w:rsidRPr="00F657D1" w:rsidRDefault="0010526D" w:rsidP="00986700">
      <w:pPr>
        <w:rPr>
          <w:rFonts w:asciiTheme="minorBidi" w:hAnsiTheme="minorBidi"/>
          <w:i/>
          <w:szCs w:val="20"/>
        </w:rPr>
      </w:pPr>
    </w:p>
    <w:p w14:paraId="20FD8F9E"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Qualité de la traduction</w:t>
      </w:r>
    </w:p>
    <w:p w14:paraId="3A7B614A" w14:textId="77777777" w:rsidR="0010526D" w:rsidRPr="00F657D1" w:rsidRDefault="0010526D" w:rsidP="00986700">
      <w:pPr>
        <w:keepNext/>
        <w:keepLines/>
        <w:rPr>
          <w:rFonts w:asciiTheme="minorBidi" w:hAnsiTheme="minorBidi"/>
          <w:iCs/>
          <w:szCs w:val="20"/>
        </w:rPr>
      </w:pPr>
    </w:p>
    <w:p w14:paraId="2A501E67"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Des documents dont le nombre est calculé de manière statistique sont choisis au hasard à des fins de contrôle de la qualité parmi les traductions d</w:t>
      </w:r>
      <w:r>
        <w:rPr>
          <w:rFonts w:asciiTheme="minorBidi" w:hAnsiTheme="minorBidi"/>
          <w:szCs w:val="20"/>
        </w:rPr>
        <w:t>’</w:t>
      </w:r>
      <w:r w:rsidRPr="00F657D1">
        <w:rPr>
          <w:rFonts w:asciiTheme="minorBidi" w:hAnsiTheme="minorBidi"/>
          <w:szCs w:val="20"/>
        </w:rPr>
        <w:t>abrégés et de rapports sur la brevetabilité établis sous la responsabilité du Bureau international</w:t>
      </w:r>
      <w:r>
        <w:rPr>
          <w:rFonts w:asciiTheme="minorBidi" w:hAnsiTheme="minorBidi"/>
          <w:szCs w:val="20"/>
        </w:rPr>
        <w:t xml:space="preserve">.  </w:t>
      </w:r>
      <w:r w:rsidRPr="00F657D1">
        <w:rPr>
          <w:rFonts w:asciiTheme="minorBidi" w:hAnsiTheme="minorBidi"/>
          <w:szCs w:val="20"/>
        </w:rPr>
        <w:t>L</w:t>
      </w:r>
      <w:r>
        <w:rPr>
          <w:rFonts w:asciiTheme="minorBidi" w:hAnsiTheme="minorBidi"/>
          <w:szCs w:val="20"/>
        </w:rPr>
        <w:t>’</w:t>
      </w:r>
      <w:r w:rsidRPr="00F657D1">
        <w:rPr>
          <w:rFonts w:asciiTheme="minorBidi" w:hAnsiTheme="minorBidi"/>
          <w:szCs w:val="20"/>
        </w:rPr>
        <w:t>évaluation détermine si une traduction est “acceptable” ou “non acceptable”.  Cet indicateur rassemble les résultats de ce contrôle de la qualité exécuté par le Bureau international pour toutes les combinaisons linguistiques et tous les types de document</w:t>
      </w:r>
      <w:r>
        <w:rPr>
          <w:rFonts w:asciiTheme="minorBidi" w:hAnsiTheme="minorBidi"/>
          <w:szCs w:val="20"/>
        </w:rPr>
        <w:t xml:space="preserve">.  </w:t>
      </w:r>
      <w:r w:rsidRPr="00F657D1">
        <w:rPr>
          <w:rFonts w:asciiTheme="minorBidi" w:hAnsiTheme="minorBidi"/>
          <w:szCs w:val="20"/>
        </w:rPr>
        <w:t>Il est mis un terme aux relations avec les agences qui ont systématiquement moins de 80% de traductions jugées “acceptables”.  La légère baisse de la qualité observée (86,0% en</w:t>
      </w:r>
      <w:r>
        <w:rPr>
          <w:rFonts w:asciiTheme="minorBidi" w:hAnsiTheme="minorBidi"/>
          <w:szCs w:val="20"/>
        </w:rPr>
        <w:t> </w:t>
      </w:r>
      <w:r w:rsidRPr="00F657D1">
        <w:rPr>
          <w:rFonts w:asciiTheme="minorBidi" w:hAnsiTheme="minorBidi"/>
          <w:szCs w:val="20"/>
        </w:rPr>
        <w:t>2016) résulte des efforts déployés pour réduire les coûts par la postédition.</w:t>
      </w:r>
    </w:p>
    <w:p w14:paraId="5EAB0E5D" w14:textId="77777777" w:rsidR="0010526D" w:rsidRPr="00F657D1" w:rsidRDefault="0010526D" w:rsidP="00986700">
      <w:pPr>
        <w:jc w:val="center"/>
        <w:rPr>
          <w:rFonts w:asciiTheme="minorBidi" w:hAnsiTheme="minorBidi"/>
          <w:szCs w:val="20"/>
          <w:highlight w:val="yellow"/>
        </w:rPr>
      </w:pPr>
    </w:p>
    <w:p w14:paraId="6352E16C" w14:textId="77777777" w:rsidR="0010526D" w:rsidRPr="00F657D1" w:rsidRDefault="0010526D" w:rsidP="00986700">
      <w:pPr>
        <w:keepNext/>
        <w:keepLines/>
        <w:jc w:val="center"/>
        <w:rPr>
          <w:rFonts w:asciiTheme="minorBidi" w:hAnsiTheme="minorBidi"/>
          <w:b/>
          <w:szCs w:val="20"/>
        </w:rPr>
      </w:pPr>
      <w:r w:rsidRPr="00F657D1">
        <w:rPr>
          <w:rFonts w:asciiTheme="minorBidi" w:hAnsiTheme="minorBidi"/>
          <w:b/>
          <w:szCs w:val="20"/>
        </w:rPr>
        <w:t>Qualité de la traduction</w:t>
      </w:r>
      <w:r w:rsidRPr="00DD4AAC">
        <w:rPr>
          <w:rFonts w:asciiTheme="minorBidi" w:hAnsiTheme="minorBidi"/>
          <w:b/>
          <w:szCs w:val="20"/>
        </w:rPr>
        <w:t xml:space="preserve"> au PCT</w:t>
      </w:r>
    </w:p>
    <w:p w14:paraId="7D9ECBB1" w14:textId="77777777" w:rsidR="0010526D" w:rsidRPr="00F657D1" w:rsidRDefault="0010526D" w:rsidP="00986700">
      <w:pPr>
        <w:keepNext/>
        <w:keepLines/>
        <w:jc w:val="center"/>
        <w:rPr>
          <w:rFonts w:asciiTheme="minorBidi" w:hAnsiTheme="minorBidi"/>
          <w:szCs w:val="20"/>
        </w:rPr>
      </w:pPr>
      <w:r w:rsidRPr="00C31998">
        <w:rPr>
          <w:noProof/>
          <w:lang w:val="en-US" w:eastAsia="en-US"/>
        </w:rPr>
        <w:drawing>
          <wp:inline distT="0" distB="0" distL="0" distR="0" wp14:anchorId="6F8D44B9" wp14:editId="19925EE0">
            <wp:extent cx="5760085" cy="356978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3569780"/>
                    </a:xfrm>
                    <a:prstGeom prst="rect">
                      <a:avLst/>
                    </a:prstGeom>
                    <a:noFill/>
                    <a:ln>
                      <a:noFill/>
                    </a:ln>
                  </pic:spPr>
                </pic:pic>
              </a:graphicData>
            </a:graphic>
          </wp:inline>
        </w:drawing>
      </w:r>
    </w:p>
    <w:p w14:paraId="4FF92EE0" w14:textId="77777777" w:rsidR="0010526D" w:rsidRPr="00F657D1" w:rsidRDefault="0010526D" w:rsidP="00986700">
      <w:pPr>
        <w:rPr>
          <w:rFonts w:asciiTheme="minorBidi" w:hAnsiTheme="minorBidi"/>
          <w:i/>
          <w:szCs w:val="20"/>
        </w:rPr>
      </w:pPr>
    </w:p>
    <w:p w14:paraId="25881EAB"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lastRenderedPageBreak/>
        <w:t>Délais de traduction des rapports</w:t>
      </w:r>
    </w:p>
    <w:p w14:paraId="720D510C" w14:textId="77777777" w:rsidR="0010526D" w:rsidRPr="00F657D1" w:rsidRDefault="0010526D" w:rsidP="00986700">
      <w:pPr>
        <w:keepNext/>
        <w:keepLines/>
        <w:rPr>
          <w:rFonts w:asciiTheme="minorBidi" w:hAnsiTheme="minorBidi"/>
          <w:iCs/>
          <w:szCs w:val="20"/>
        </w:rPr>
      </w:pPr>
    </w:p>
    <w:p w14:paraId="03EB2BC7" w14:textId="77777777" w:rsidR="0010526D" w:rsidRDefault="0010526D" w:rsidP="00616FD3">
      <w:pPr>
        <w:numPr>
          <w:ilvl w:val="0"/>
          <w:numId w:val="30"/>
        </w:numPr>
        <w:jc w:val="both"/>
        <w:rPr>
          <w:rFonts w:asciiTheme="minorBidi" w:hAnsiTheme="minorBidi"/>
          <w:szCs w:val="20"/>
        </w:rPr>
      </w:pPr>
      <w:r w:rsidRPr="00F657D1">
        <w:rPr>
          <w:rFonts w:asciiTheme="minorBidi" w:hAnsiTheme="minorBidi"/>
          <w:szCs w:val="20"/>
        </w:rPr>
        <w:t>Cet indicateur fournit des informations sur les délais dans lesquels le Bureau international met la traduction des rapports sur la brevetabilité à la disposition des déposants et des offices</w:t>
      </w:r>
      <w:r>
        <w:rPr>
          <w:rFonts w:asciiTheme="minorBidi" w:hAnsiTheme="minorBidi"/>
          <w:szCs w:val="20"/>
        </w:rPr>
        <w:t xml:space="preserve">.  </w:t>
      </w:r>
      <w:r w:rsidRPr="00F657D1">
        <w:rPr>
          <w:rFonts w:asciiTheme="minorBidi" w:hAnsiTheme="minorBidi"/>
          <w:szCs w:val="20"/>
        </w:rPr>
        <w:t>La part des traductions de rapports sur la brevetabilité livrées dans les 30</w:t>
      </w:r>
      <w:r>
        <w:rPr>
          <w:rFonts w:asciiTheme="minorBidi" w:hAnsiTheme="minorBidi"/>
          <w:szCs w:val="20"/>
        </w:rPr>
        <w:t> </w:t>
      </w:r>
      <w:r w:rsidRPr="00F657D1">
        <w:rPr>
          <w:rFonts w:asciiTheme="minorBidi" w:hAnsiTheme="minorBidi"/>
          <w:szCs w:val="20"/>
        </w:rPr>
        <w:t>mois suivant la date de priorité de la demande internationale n</w:t>
      </w:r>
      <w:r>
        <w:rPr>
          <w:rFonts w:asciiTheme="minorBidi" w:hAnsiTheme="minorBidi"/>
          <w:szCs w:val="20"/>
        </w:rPr>
        <w:t>’</w:t>
      </w:r>
      <w:r w:rsidRPr="00F657D1">
        <w:rPr>
          <w:rFonts w:asciiTheme="minorBidi" w:hAnsiTheme="minorBidi"/>
          <w:szCs w:val="20"/>
        </w:rPr>
        <w:t>a cessé d</w:t>
      </w:r>
      <w:r>
        <w:rPr>
          <w:rFonts w:asciiTheme="minorBidi" w:hAnsiTheme="minorBidi"/>
          <w:szCs w:val="20"/>
        </w:rPr>
        <w:t>’</w:t>
      </w:r>
      <w:r w:rsidRPr="00F657D1">
        <w:rPr>
          <w:rFonts w:asciiTheme="minorBidi" w:hAnsiTheme="minorBidi"/>
          <w:szCs w:val="20"/>
        </w:rPr>
        <w:t>augmenter entre 2010 et 2015 avant de se stabiliser en</w:t>
      </w:r>
      <w:r>
        <w:rPr>
          <w:rFonts w:asciiTheme="minorBidi" w:hAnsiTheme="minorBidi"/>
          <w:szCs w:val="20"/>
        </w:rPr>
        <w:t> </w:t>
      </w:r>
      <w:r w:rsidRPr="00F657D1">
        <w:rPr>
          <w:rFonts w:asciiTheme="minorBidi" w:hAnsiTheme="minorBidi"/>
          <w:szCs w:val="20"/>
        </w:rPr>
        <w:t>2015.  En</w:t>
      </w:r>
      <w:r>
        <w:rPr>
          <w:rFonts w:asciiTheme="minorBidi" w:hAnsiTheme="minorBidi"/>
          <w:szCs w:val="20"/>
        </w:rPr>
        <w:t> </w:t>
      </w:r>
      <w:r w:rsidRPr="00F657D1">
        <w:rPr>
          <w:rFonts w:asciiTheme="minorBidi" w:hAnsiTheme="minorBidi"/>
          <w:szCs w:val="20"/>
        </w:rPr>
        <w:t>2016, 89% des traductions de rapports sur la brevetabilité étaient livrées dans les 30</w:t>
      </w:r>
      <w:r>
        <w:rPr>
          <w:rFonts w:asciiTheme="minorBidi" w:hAnsiTheme="minorBidi"/>
          <w:szCs w:val="20"/>
        </w:rPr>
        <w:t> </w:t>
      </w:r>
      <w:r w:rsidRPr="00F657D1">
        <w:rPr>
          <w:rFonts w:asciiTheme="minorBidi" w:hAnsiTheme="minorBidi"/>
          <w:szCs w:val="20"/>
        </w:rPr>
        <w:t>mois, et 99% dans les 31</w:t>
      </w:r>
      <w:r>
        <w:rPr>
          <w:rFonts w:asciiTheme="minorBidi" w:hAnsiTheme="minorBidi"/>
          <w:szCs w:val="20"/>
        </w:rPr>
        <w:t> </w:t>
      </w:r>
      <w:r w:rsidRPr="00F657D1">
        <w:rPr>
          <w:rFonts w:asciiTheme="minorBidi" w:hAnsiTheme="minorBidi"/>
          <w:szCs w:val="20"/>
        </w:rPr>
        <w:t>mois.</w:t>
      </w:r>
    </w:p>
    <w:p w14:paraId="6FFB32DA" w14:textId="77777777" w:rsidR="0010526D" w:rsidRDefault="0010526D" w:rsidP="00986700">
      <w:pPr>
        <w:jc w:val="both"/>
        <w:rPr>
          <w:rFonts w:asciiTheme="minorBidi" w:hAnsiTheme="minorBidi"/>
          <w:szCs w:val="20"/>
        </w:rPr>
      </w:pPr>
    </w:p>
    <w:p w14:paraId="557EDDD5" w14:textId="77777777" w:rsidR="0010526D" w:rsidRPr="00F657D1" w:rsidRDefault="0010526D" w:rsidP="00986700">
      <w:pPr>
        <w:jc w:val="both"/>
        <w:rPr>
          <w:rFonts w:asciiTheme="minorBidi" w:hAnsiTheme="minorBidi"/>
          <w:szCs w:val="20"/>
        </w:rPr>
      </w:pPr>
    </w:p>
    <w:p w14:paraId="12DAD2EE" w14:textId="77777777" w:rsidR="0010526D" w:rsidRPr="00F657D1" w:rsidRDefault="0010526D" w:rsidP="00986700">
      <w:pPr>
        <w:spacing w:after="200"/>
        <w:jc w:val="center"/>
        <w:rPr>
          <w:rFonts w:asciiTheme="minorBidi" w:hAnsiTheme="minorBidi"/>
          <w:b/>
          <w:szCs w:val="20"/>
        </w:rPr>
      </w:pPr>
      <w:r w:rsidRPr="00F657D1">
        <w:rPr>
          <w:rFonts w:asciiTheme="minorBidi" w:hAnsiTheme="minorBidi"/>
          <w:b/>
          <w:szCs w:val="20"/>
        </w:rPr>
        <w:t>Délais de traduction des rapports</w:t>
      </w:r>
    </w:p>
    <w:p w14:paraId="6FDA9FFE" w14:textId="77777777" w:rsidR="0010526D" w:rsidRPr="00F657D1" w:rsidRDefault="0010526D" w:rsidP="00986700">
      <w:pPr>
        <w:ind w:left="142"/>
        <w:jc w:val="center"/>
        <w:rPr>
          <w:rFonts w:asciiTheme="minorBidi" w:hAnsiTheme="minorBidi"/>
          <w:b/>
          <w:szCs w:val="20"/>
        </w:rPr>
      </w:pPr>
      <w:r w:rsidRPr="00C31998">
        <w:rPr>
          <w:noProof/>
          <w:lang w:val="en-US" w:eastAsia="en-US"/>
        </w:rPr>
        <w:drawing>
          <wp:inline distT="0" distB="0" distL="0" distR="0" wp14:anchorId="1F4E7FFC" wp14:editId="21909A66">
            <wp:extent cx="5760085" cy="2564198"/>
            <wp:effectExtent l="0" t="0" r="0" b="762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2564198"/>
                    </a:xfrm>
                    <a:prstGeom prst="rect">
                      <a:avLst/>
                    </a:prstGeom>
                    <a:noFill/>
                    <a:ln>
                      <a:noFill/>
                    </a:ln>
                  </pic:spPr>
                </pic:pic>
              </a:graphicData>
            </a:graphic>
          </wp:inline>
        </w:drawing>
      </w:r>
    </w:p>
    <w:p w14:paraId="3138C192" w14:textId="77777777" w:rsidR="0010526D" w:rsidRPr="00F657D1" w:rsidRDefault="0010526D" w:rsidP="00986700">
      <w:pPr>
        <w:rPr>
          <w:rFonts w:asciiTheme="minorBidi" w:hAnsiTheme="minorBidi"/>
          <w:i/>
          <w:szCs w:val="20"/>
        </w:rPr>
      </w:pPr>
    </w:p>
    <w:p w14:paraId="6966BFE6"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Qualité de la conception des logiciels</w:t>
      </w:r>
    </w:p>
    <w:p w14:paraId="25DCCDCC" w14:textId="77777777" w:rsidR="0010526D" w:rsidRPr="00F657D1" w:rsidRDefault="0010526D" w:rsidP="00986700">
      <w:pPr>
        <w:keepNext/>
        <w:keepLines/>
        <w:rPr>
          <w:rFonts w:asciiTheme="minorBidi" w:hAnsiTheme="minorBidi"/>
          <w:iCs/>
          <w:szCs w:val="20"/>
        </w:rPr>
      </w:pPr>
    </w:p>
    <w:p w14:paraId="22CFCC86" w14:textId="616CFF4B" w:rsidR="0010526D" w:rsidRDefault="0010526D" w:rsidP="00616FD3">
      <w:pPr>
        <w:numPr>
          <w:ilvl w:val="0"/>
          <w:numId w:val="30"/>
        </w:numPr>
        <w:jc w:val="both"/>
        <w:rPr>
          <w:rFonts w:asciiTheme="minorBidi" w:hAnsiTheme="minorBidi"/>
          <w:szCs w:val="20"/>
        </w:rPr>
      </w:pPr>
      <w:r w:rsidRPr="00F657D1">
        <w:rPr>
          <w:rFonts w:asciiTheme="minorBidi" w:hAnsiTheme="minorBidi"/>
          <w:szCs w:val="20"/>
        </w:rPr>
        <w:t>Cet indicateur donne une idée de la qualité des versions des principaux logiciels utilisés pour les projets eDossier et ePCT</w:t>
      </w:r>
      <w:r>
        <w:rPr>
          <w:rFonts w:asciiTheme="minorBidi" w:hAnsiTheme="minorBidi"/>
          <w:szCs w:val="20"/>
        </w:rPr>
        <w:t xml:space="preserve">.  </w:t>
      </w:r>
      <w:r w:rsidRPr="00F657D1">
        <w:rPr>
          <w:rFonts w:asciiTheme="minorBidi" w:hAnsiTheme="minorBidi"/>
          <w:szCs w:val="20"/>
        </w:rPr>
        <w:t>Il indique la part de temps consacré à la mise en place de la nouvelle fonction dans le produit (c</w:t>
      </w:r>
      <w:r>
        <w:rPr>
          <w:rFonts w:asciiTheme="minorBidi" w:hAnsiTheme="minorBidi"/>
          <w:szCs w:val="20"/>
        </w:rPr>
        <w:t>’</w:t>
      </w:r>
      <w:r w:rsidRPr="00F657D1">
        <w:rPr>
          <w:rFonts w:asciiTheme="minorBidi" w:hAnsiTheme="minorBidi"/>
          <w:szCs w:val="20"/>
        </w:rPr>
        <w:t>est</w:t>
      </w:r>
      <w:r w:rsidR="00B441CA">
        <w:rPr>
          <w:rFonts w:asciiTheme="minorBidi" w:hAnsiTheme="minorBidi"/>
          <w:szCs w:val="20"/>
        </w:rPr>
        <w:noBreakHyphen/>
      </w:r>
      <w:r w:rsidRPr="00F657D1">
        <w:rPr>
          <w:rFonts w:asciiTheme="minorBidi" w:hAnsiTheme="minorBidi"/>
          <w:szCs w:val="20"/>
        </w:rPr>
        <w:t>à</w:t>
      </w:r>
      <w:r w:rsidR="00B441CA">
        <w:rPr>
          <w:rFonts w:asciiTheme="minorBidi" w:hAnsiTheme="minorBidi"/>
          <w:szCs w:val="20"/>
        </w:rPr>
        <w:noBreakHyphen/>
      </w:r>
      <w:r w:rsidRPr="00F657D1">
        <w:rPr>
          <w:rFonts w:asciiTheme="minorBidi" w:hAnsiTheme="minorBidi"/>
          <w:szCs w:val="20"/>
        </w:rPr>
        <w:t>dire le travail initial) par rapport au temps total (travail initial + remaniement)</w:t>
      </w:r>
      <w:r>
        <w:rPr>
          <w:rFonts w:asciiTheme="minorBidi" w:hAnsiTheme="minorBidi"/>
          <w:szCs w:val="20"/>
        </w:rPr>
        <w:t xml:space="preserve">.  </w:t>
      </w:r>
      <w:r w:rsidRPr="00F657D1">
        <w:rPr>
          <w:rFonts w:asciiTheme="minorBidi" w:hAnsiTheme="minorBidi"/>
          <w:szCs w:val="20"/>
        </w:rPr>
        <w:t>Le remaniement correspond au temps passé à corriger des défauts détectés dans l</w:t>
      </w:r>
      <w:r>
        <w:rPr>
          <w:rFonts w:asciiTheme="minorBidi" w:hAnsiTheme="minorBidi"/>
          <w:szCs w:val="20"/>
        </w:rPr>
        <w:t>’</w:t>
      </w:r>
      <w:r w:rsidRPr="00F657D1">
        <w:rPr>
          <w:rFonts w:asciiTheme="minorBidi" w:hAnsiTheme="minorBidi"/>
          <w:szCs w:val="20"/>
        </w:rPr>
        <w:t>environnement de production.</w:t>
      </w:r>
    </w:p>
    <w:p w14:paraId="18E5FA1D" w14:textId="77777777" w:rsidR="0010526D" w:rsidRPr="00F657D1" w:rsidRDefault="0010526D" w:rsidP="00986700">
      <w:pPr>
        <w:jc w:val="both"/>
        <w:rPr>
          <w:rFonts w:asciiTheme="minorBidi" w:hAnsiTheme="minorBidi"/>
          <w:szCs w:val="20"/>
        </w:rPr>
      </w:pPr>
    </w:p>
    <w:p w14:paraId="49B8DE4F"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Selon cette approche, les produits présentant un faible niveau de remaniement sont considérés comme étant de grande qualité car ils témoignent de l</w:t>
      </w:r>
      <w:r>
        <w:rPr>
          <w:rFonts w:asciiTheme="minorBidi" w:hAnsiTheme="minorBidi"/>
          <w:szCs w:val="20"/>
        </w:rPr>
        <w:t>’</w:t>
      </w:r>
      <w:r w:rsidRPr="00F657D1">
        <w:rPr>
          <w:rFonts w:asciiTheme="minorBidi" w:hAnsiTheme="minorBidi"/>
          <w:szCs w:val="20"/>
        </w:rPr>
        <w:t>importance de la valeur ajoutée au produit par la mise en place des nouvelles caractéristiques.</w:t>
      </w:r>
    </w:p>
    <w:p w14:paraId="54356A3E" w14:textId="77777777" w:rsidR="0010526D" w:rsidRPr="00F657D1" w:rsidRDefault="0010526D" w:rsidP="00986700">
      <w:pPr>
        <w:pStyle w:val="ListParagraph"/>
        <w:rPr>
          <w:rFonts w:asciiTheme="minorBidi" w:hAnsiTheme="minorBidi"/>
        </w:rPr>
      </w:pPr>
    </w:p>
    <w:p w14:paraId="2039BBCB"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L</w:t>
      </w:r>
      <w:r>
        <w:rPr>
          <w:rFonts w:asciiTheme="minorBidi" w:hAnsiTheme="minorBidi"/>
          <w:szCs w:val="20"/>
        </w:rPr>
        <w:t>’</w:t>
      </w:r>
      <w:r w:rsidRPr="00F657D1">
        <w:rPr>
          <w:rFonts w:asciiTheme="minorBidi" w:hAnsiTheme="minorBidi"/>
          <w:szCs w:val="20"/>
        </w:rPr>
        <w:t>indicateur de la qualité de la conception des logiciels est défini de la manière suivante</w:t>
      </w:r>
      <w:r>
        <w:rPr>
          <w:rFonts w:asciiTheme="minorBidi" w:hAnsiTheme="minorBidi"/>
          <w:szCs w:val="20"/>
        </w:rPr>
        <w:t> :</w:t>
      </w:r>
    </w:p>
    <w:p w14:paraId="61E62A78" w14:textId="77777777" w:rsidR="0010526D" w:rsidRDefault="0010526D" w:rsidP="00986700">
      <w:pPr>
        <w:pStyle w:val="BodyText2"/>
        <w:spacing w:after="0" w:line="240" w:lineRule="auto"/>
        <w:jc w:val="both"/>
        <w:rPr>
          <w:rFonts w:asciiTheme="minorBidi" w:hAnsiTheme="minorBidi"/>
          <w:szCs w:val="20"/>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gridCol w:w="850"/>
      </w:tblGrid>
      <w:tr w:rsidR="0010526D" w14:paraId="1B5C0459" w14:textId="77777777" w:rsidTr="0060494B">
        <w:trPr>
          <w:jc w:val="center"/>
        </w:trPr>
        <w:tc>
          <w:tcPr>
            <w:tcW w:w="3686" w:type="dxa"/>
            <w:vMerge w:val="restart"/>
            <w:vAlign w:val="center"/>
          </w:tcPr>
          <w:p w14:paraId="55F8219F" w14:textId="77777777" w:rsidR="0010526D" w:rsidRDefault="0010526D" w:rsidP="00986700">
            <w:pPr>
              <w:pStyle w:val="BodyText2"/>
              <w:spacing w:after="0" w:line="240" w:lineRule="auto"/>
              <w:jc w:val="right"/>
              <w:rPr>
                <w:rFonts w:asciiTheme="minorBidi" w:hAnsiTheme="minorBidi"/>
                <w:szCs w:val="20"/>
              </w:rPr>
            </w:pPr>
            <w:r>
              <w:rPr>
                <w:rFonts w:asciiTheme="minorBidi" w:hAnsiTheme="minorBidi"/>
                <w:szCs w:val="20"/>
              </w:rPr>
              <w:t xml:space="preserve">Qualité de la conception des logiciels = </w:t>
            </w:r>
          </w:p>
        </w:tc>
        <w:tc>
          <w:tcPr>
            <w:tcW w:w="2977" w:type="dxa"/>
            <w:tcBorders>
              <w:bottom w:val="single" w:sz="4" w:space="0" w:color="auto"/>
            </w:tcBorders>
          </w:tcPr>
          <w:p w14:paraId="2B2EBD69" w14:textId="77777777" w:rsidR="0010526D" w:rsidRDefault="0010526D" w:rsidP="00986700">
            <w:pPr>
              <w:pStyle w:val="BodyText2"/>
              <w:spacing w:after="0" w:line="240" w:lineRule="auto"/>
              <w:jc w:val="both"/>
              <w:rPr>
                <w:rFonts w:asciiTheme="minorBidi" w:hAnsiTheme="minorBidi"/>
                <w:szCs w:val="20"/>
              </w:rPr>
            </w:pPr>
            <w:r>
              <w:rPr>
                <w:rFonts w:asciiTheme="minorBidi" w:hAnsiTheme="minorBidi"/>
                <w:szCs w:val="20"/>
              </w:rPr>
              <w:t>Effort total pour le travail initial</w:t>
            </w:r>
          </w:p>
        </w:tc>
        <w:tc>
          <w:tcPr>
            <w:tcW w:w="850" w:type="dxa"/>
            <w:vMerge w:val="restart"/>
            <w:vAlign w:val="center"/>
          </w:tcPr>
          <w:p w14:paraId="3B252728" w14:textId="77777777" w:rsidR="0010526D" w:rsidRDefault="0010526D" w:rsidP="00986700">
            <w:pPr>
              <w:pStyle w:val="BodyText2"/>
              <w:spacing w:after="0" w:line="240" w:lineRule="auto"/>
              <w:rPr>
                <w:rFonts w:asciiTheme="minorBidi" w:hAnsiTheme="minorBidi"/>
                <w:szCs w:val="20"/>
              </w:rPr>
            </w:pPr>
            <w:r>
              <w:rPr>
                <w:rFonts w:asciiTheme="minorBidi" w:hAnsiTheme="minorBidi"/>
                <w:szCs w:val="20"/>
              </w:rPr>
              <w:t xml:space="preserve"> * 100</w:t>
            </w:r>
          </w:p>
        </w:tc>
      </w:tr>
      <w:tr w:rsidR="0010526D" w14:paraId="5559380D" w14:textId="77777777" w:rsidTr="0060494B">
        <w:trPr>
          <w:jc w:val="center"/>
        </w:trPr>
        <w:tc>
          <w:tcPr>
            <w:tcW w:w="3686" w:type="dxa"/>
            <w:vMerge/>
          </w:tcPr>
          <w:p w14:paraId="341F8381" w14:textId="77777777" w:rsidR="0010526D" w:rsidRDefault="0010526D" w:rsidP="00986700">
            <w:pPr>
              <w:pStyle w:val="BodyText2"/>
              <w:spacing w:after="0" w:line="240" w:lineRule="auto"/>
              <w:jc w:val="both"/>
              <w:rPr>
                <w:rFonts w:asciiTheme="minorBidi" w:hAnsiTheme="minorBidi"/>
                <w:szCs w:val="20"/>
              </w:rPr>
            </w:pPr>
          </w:p>
        </w:tc>
        <w:tc>
          <w:tcPr>
            <w:tcW w:w="2977" w:type="dxa"/>
            <w:tcBorders>
              <w:top w:val="single" w:sz="4" w:space="0" w:color="auto"/>
            </w:tcBorders>
          </w:tcPr>
          <w:p w14:paraId="3804B60B" w14:textId="77777777" w:rsidR="0010526D" w:rsidRDefault="0010526D" w:rsidP="00986700">
            <w:pPr>
              <w:pStyle w:val="BodyText2"/>
              <w:spacing w:after="0" w:line="240" w:lineRule="auto"/>
              <w:jc w:val="both"/>
              <w:rPr>
                <w:rFonts w:asciiTheme="minorBidi" w:hAnsiTheme="minorBidi"/>
                <w:szCs w:val="20"/>
              </w:rPr>
            </w:pPr>
            <w:r>
              <w:rPr>
                <w:rFonts w:asciiTheme="minorBidi" w:hAnsiTheme="minorBidi"/>
                <w:szCs w:val="20"/>
              </w:rPr>
              <w:t>Travail initial + remaniement</w:t>
            </w:r>
          </w:p>
        </w:tc>
        <w:tc>
          <w:tcPr>
            <w:tcW w:w="850" w:type="dxa"/>
            <w:vMerge/>
          </w:tcPr>
          <w:p w14:paraId="27C89718" w14:textId="77777777" w:rsidR="0010526D" w:rsidRDefault="0010526D" w:rsidP="00986700">
            <w:pPr>
              <w:pStyle w:val="BodyText2"/>
              <w:spacing w:after="0" w:line="240" w:lineRule="auto"/>
              <w:jc w:val="both"/>
              <w:rPr>
                <w:rFonts w:asciiTheme="minorBidi" w:hAnsiTheme="minorBidi"/>
                <w:szCs w:val="20"/>
              </w:rPr>
            </w:pPr>
          </w:p>
        </w:tc>
      </w:tr>
    </w:tbl>
    <w:p w14:paraId="5AC83DBC" w14:textId="77777777" w:rsidR="0010526D" w:rsidRDefault="0010526D" w:rsidP="00986700">
      <w:pPr>
        <w:pStyle w:val="BodyText2"/>
        <w:spacing w:after="0" w:line="240" w:lineRule="auto"/>
        <w:jc w:val="both"/>
        <w:rPr>
          <w:rFonts w:asciiTheme="minorBidi" w:hAnsiTheme="minorBidi"/>
          <w:szCs w:val="20"/>
        </w:rPr>
      </w:pPr>
    </w:p>
    <w:p w14:paraId="4EF54E88" w14:textId="77777777" w:rsidR="0010526D" w:rsidRPr="00F657D1" w:rsidRDefault="0010526D" w:rsidP="00986700">
      <w:pPr>
        <w:jc w:val="center"/>
        <w:rPr>
          <w:rFonts w:asciiTheme="minorBidi" w:hAnsiTheme="minorBidi"/>
          <w:b/>
          <w:szCs w:val="20"/>
        </w:rPr>
      </w:pPr>
    </w:p>
    <w:p w14:paraId="33D28D33" w14:textId="77777777" w:rsidR="0010526D" w:rsidRPr="00F657D1" w:rsidRDefault="0010526D" w:rsidP="00986700">
      <w:pPr>
        <w:keepNext/>
        <w:keepLines/>
        <w:jc w:val="center"/>
        <w:rPr>
          <w:rFonts w:asciiTheme="minorBidi" w:hAnsiTheme="minorBidi"/>
          <w:b/>
          <w:szCs w:val="20"/>
        </w:rPr>
      </w:pPr>
      <w:r w:rsidRPr="00F657D1">
        <w:rPr>
          <w:rFonts w:asciiTheme="minorBidi" w:hAnsiTheme="minorBidi"/>
          <w:b/>
          <w:szCs w:val="20"/>
        </w:rPr>
        <w:lastRenderedPageBreak/>
        <w:t>Qualité de la conception des logiciels</w:t>
      </w:r>
    </w:p>
    <w:p w14:paraId="2F7FB68B" w14:textId="77777777" w:rsidR="0010526D" w:rsidRPr="00F657D1" w:rsidRDefault="0010526D" w:rsidP="00986700">
      <w:pPr>
        <w:keepNext/>
        <w:keepLines/>
        <w:jc w:val="center"/>
        <w:rPr>
          <w:rFonts w:asciiTheme="minorBidi" w:hAnsiTheme="minorBidi"/>
          <w:b/>
          <w:szCs w:val="20"/>
        </w:rPr>
      </w:pPr>
      <w:r w:rsidRPr="00C31998">
        <w:rPr>
          <w:noProof/>
          <w:lang w:val="en-US" w:eastAsia="en-US"/>
        </w:rPr>
        <w:drawing>
          <wp:inline distT="0" distB="0" distL="0" distR="0" wp14:anchorId="43800934" wp14:editId="21EDFB0A">
            <wp:extent cx="5760085" cy="3684008"/>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3684008"/>
                    </a:xfrm>
                    <a:prstGeom prst="rect">
                      <a:avLst/>
                    </a:prstGeom>
                    <a:noFill/>
                    <a:ln>
                      <a:noFill/>
                    </a:ln>
                  </pic:spPr>
                </pic:pic>
              </a:graphicData>
            </a:graphic>
          </wp:inline>
        </w:drawing>
      </w:r>
    </w:p>
    <w:p w14:paraId="518AC43E" w14:textId="77777777" w:rsidR="0010526D" w:rsidRPr="00F657D1" w:rsidRDefault="0010526D" w:rsidP="00986700">
      <w:pPr>
        <w:keepNext/>
        <w:keepLines/>
        <w:jc w:val="center"/>
        <w:rPr>
          <w:rFonts w:asciiTheme="minorBidi" w:hAnsiTheme="minorBidi"/>
          <w:szCs w:val="20"/>
        </w:rPr>
      </w:pPr>
    </w:p>
    <w:p w14:paraId="53975EE1" w14:textId="77777777" w:rsidR="0010526D" w:rsidRPr="00F657D1" w:rsidRDefault="0010526D" w:rsidP="00986700">
      <w:pPr>
        <w:rPr>
          <w:rFonts w:asciiTheme="minorBidi" w:hAnsiTheme="minorBidi"/>
          <w:i/>
          <w:szCs w:val="20"/>
        </w:rPr>
      </w:pPr>
    </w:p>
    <w:p w14:paraId="711FCE34"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Niveaux de service des systèmes d</w:t>
      </w:r>
      <w:r>
        <w:rPr>
          <w:rFonts w:asciiTheme="minorBidi" w:hAnsiTheme="minorBidi"/>
          <w:i/>
          <w:szCs w:val="20"/>
        </w:rPr>
        <w:t>’</w:t>
      </w:r>
      <w:r w:rsidRPr="00F657D1">
        <w:rPr>
          <w:rFonts w:asciiTheme="minorBidi" w:hAnsiTheme="minorBidi"/>
          <w:i/>
          <w:szCs w:val="20"/>
        </w:rPr>
        <w:t>information</w:t>
      </w:r>
    </w:p>
    <w:p w14:paraId="6C369361" w14:textId="77777777" w:rsidR="0010526D" w:rsidRPr="00F657D1" w:rsidRDefault="0010526D" w:rsidP="00986700">
      <w:pPr>
        <w:keepNext/>
        <w:keepLines/>
        <w:rPr>
          <w:rFonts w:asciiTheme="minorBidi" w:hAnsiTheme="minorBidi"/>
          <w:iCs/>
          <w:szCs w:val="20"/>
        </w:rPr>
      </w:pPr>
    </w:p>
    <w:p w14:paraId="04C0DF10" w14:textId="77777777" w:rsidR="0010526D" w:rsidRPr="00F657D1" w:rsidRDefault="0010526D" w:rsidP="00616FD3">
      <w:pPr>
        <w:numPr>
          <w:ilvl w:val="0"/>
          <w:numId w:val="30"/>
        </w:numPr>
        <w:rPr>
          <w:rFonts w:asciiTheme="minorBidi" w:hAnsiTheme="minorBidi"/>
          <w:color w:val="000000"/>
          <w:szCs w:val="20"/>
          <w:lang w:eastAsia="en-GB"/>
        </w:rPr>
      </w:pPr>
      <w:r w:rsidRPr="00F657D1">
        <w:rPr>
          <w:rFonts w:asciiTheme="minorBidi" w:hAnsiTheme="minorBidi"/>
          <w:szCs w:val="20"/>
        </w:rPr>
        <w:t>L</w:t>
      </w:r>
      <w:r>
        <w:rPr>
          <w:rFonts w:asciiTheme="minorBidi" w:hAnsiTheme="minorBidi"/>
          <w:szCs w:val="20"/>
        </w:rPr>
        <w:t>’</w:t>
      </w:r>
      <w:r w:rsidRPr="00F657D1">
        <w:rPr>
          <w:rFonts w:asciiTheme="minorBidi" w:hAnsiTheme="minorBidi"/>
          <w:szCs w:val="20"/>
        </w:rPr>
        <w:t>indicateur d</w:t>
      </w:r>
      <w:r>
        <w:rPr>
          <w:rFonts w:asciiTheme="minorBidi" w:hAnsiTheme="minorBidi"/>
          <w:szCs w:val="20"/>
        </w:rPr>
        <w:t>’</w:t>
      </w:r>
      <w:r w:rsidRPr="00F657D1">
        <w:rPr>
          <w:rFonts w:asciiTheme="minorBidi" w:hAnsiTheme="minorBidi"/>
          <w:szCs w:val="20"/>
        </w:rPr>
        <w:t>exécution intitulé “niveaux de service des systèmes d</w:t>
      </w:r>
      <w:r>
        <w:rPr>
          <w:rFonts w:asciiTheme="minorBidi" w:hAnsiTheme="minorBidi"/>
          <w:szCs w:val="20"/>
        </w:rPr>
        <w:t>’</w:t>
      </w:r>
      <w:r w:rsidRPr="00F657D1">
        <w:rPr>
          <w:rFonts w:asciiTheme="minorBidi" w:hAnsiTheme="minorBidi"/>
          <w:szCs w:val="20"/>
        </w:rPr>
        <w:t>information” mesure l</w:t>
      </w:r>
      <w:r>
        <w:rPr>
          <w:rFonts w:asciiTheme="minorBidi" w:hAnsiTheme="minorBidi"/>
          <w:szCs w:val="20"/>
        </w:rPr>
        <w:t>’</w:t>
      </w:r>
      <w:r w:rsidRPr="00F657D1">
        <w:rPr>
          <w:rFonts w:asciiTheme="minorBidi" w:hAnsiTheme="minorBidi"/>
          <w:szCs w:val="20"/>
        </w:rPr>
        <w:t>exécution du service fourni par le Service des systèmes informatiques</w:t>
      </w:r>
      <w:r w:rsidRPr="00DD4AAC">
        <w:rPr>
          <w:rFonts w:asciiTheme="minorBidi" w:hAnsiTheme="minorBidi"/>
          <w:szCs w:val="20"/>
        </w:rPr>
        <w:t xml:space="preserve"> du PCT</w:t>
      </w:r>
      <w:r w:rsidRPr="00F657D1">
        <w:rPr>
          <w:rFonts w:asciiTheme="minorBidi" w:hAnsiTheme="minorBidi"/>
          <w:szCs w:val="20"/>
        </w:rPr>
        <w:t xml:space="preserve"> aux utilisateurs, sur la base de sa capacité à atteindre les objectifs convenus.</w:t>
      </w:r>
    </w:p>
    <w:p w14:paraId="763A0ECC" w14:textId="77777777" w:rsidR="0010526D" w:rsidRPr="00F657D1" w:rsidRDefault="0010526D" w:rsidP="00986700">
      <w:pPr>
        <w:pStyle w:val="BodyText2"/>
        <w:spacing w:after="0" w:line="240" w:lineRule="auto"/>
        <w:jc w:val="both"/>
        <w:rPr>
          <w:rFonts w:asciiTheme="minorBidi" w:hAnsiTheme="minorBidi"/>
          <w:szCs w:val="20"/>
        </w:rPr>
      </w:pPr>
    </w:p>
    <w:p w14:paraId="2C56ABD6" w14:textId="77777777" w:rsidR="0010526D" w:rsidRDefault="0010526D" w:rsidP="00616FD3">
      <w:pPr>
        <w:numPr>
          <w:ilvl w:val="0"/>
          <w:numId w:val="30"/>
        </w:numPr>
        <w:rPr>
          <w:rFonts w:asciiTheme="minorBidi" w:hAnsiTheme="minorBidi"/>
          <w:color w:val="000000"/>
          <w:szCs w:val="20"/>
          <w:lang w:eastAsia="en-GB"/>
        </w:rPr>
      </w:pPr>
      <w:r w:rsidRPr="00F657D1">
        <w:rPr>
          <w:rFonts w:asciiTheme="minorBidi" w:hAnsiTheme="minorBidi"/>
          <w:szCs w:val="20"/>
        </w:rPr>
        <w:t>Cet indicateur composite est calculé au moyen de la moyenne pondérée de cinq</w:t>
      </w:r>
      <w:r>
        <w:rPr>
          <w:rFonts w:asciiTheme="minorBidi" w:hAnsiTheme="minorBidi"/>
          <w:szCs w:val="20"/>
        </w:rPr>
        <w:t> </w:t>
      </w:r>
      <w:r w:rsidRPr="00F657D1">
        <w:rPr>
          <w:rFonts w:asciiTheme="minorBidi" w:hAnsiTheme="minorBidi"/>
          <w:szCs w:val="20"/>
        </w:rPr>
        <w:t>indicateurs d</w:t>
      </w:r>
      <w:r>
        <w:rPr>
          <w:rFonts w:asciiTheme="minorBidi" w:hAnsiTheme="minorBidi"/>
          <w:szCs w:val="20"/>
        </w:rPr>
        <w:t>’</w:t>
      </w:r>
      <w:r w:rsidRPr="00F657D1">
        <w:rPr>
          <w:rFonts w:asciiTheme="minorBidi" w:hAnsiTheme="minorBidi"/>
          <w:szCs w:val="20"/>
        </w:rPr>
        <w:t>exécution axés sur les objectifs</w:t>
      </w:r>
      <w:r w:rsidRPr="00F657D1">
        <w:rPr>
          <w:rStyle w:val="FootnoteReference"/>
          <w:rFonts w:asciiTheme="minorBidi" w:hAnsiTheme="minorBidi"/>
          <w:szCs w:val="20"/>
        </w:rPr>
        <w:footnoteReference w:id="14"/>
      </w:r>
      <w:r w:rsidRPr="00F657D1">
        <w:rPr>
          <w:rFonts w:asciiTheme="minorBidi" w:hAnsiTheme="minorBidi"/>
          <w:color w:val="000000"/>
          <w:szCs w:val="20"/>
          <w:lang w:eastAsia="en-GB"/>
        </w:rPr>
        <w:t>.  Chaque indicateur est exprimé en pourcentage de l</w:t>
      </w:r>
      <w:r>
        <w:rPr>
          <w:rFonts w:asciiTheme="minorBidi" w:hAnsiTheme="minorBidi"/>
          <w:color w:val="000000"/>
          <w:szCs w:val="20"/>
          <w:lang w:eastAsia="en-GB"/>
        </w:rPr>
        <w:t>’</w:t>
      </w:r>
      <w:r w:rsidRPr="00F657D1">
        <w:rPr>
          <w:rFonts w:asciiTheme="minorBidi" w:hAnsiTheme="minorBidi"/>
          <w:color w:val="000000"/>
          <w:szCs w:val="20"/>
          <w:lang w:eastAsia="en-GB"/>
        </w:rPr>
        <w:t>objectif effectivement atteint.</w:t>
      </w:r>
    </w:p>
    <w:p w14:paraId="140AF0A9" w14:textId="77777777" w:rsidR="0010526D" w:rsidRDefault="0010526D" w:rsidP="00986700">
      <w:pPr>
        <w:autoSpaceDE w:val="0"/>
        <w:autoSpaceDN w:val="0"/>
        <w:adjustRightInd w:val="0"/>
        <w:jc w:val="both"/>
        <w:rPr>
          <w:rFonts w:asciiTheme="minorBidi" w:hAnsiTheme="minorBidi"/>
          <w:color w:val="000000"/>
          <w:szCs w:val="20"/>
          <w:lang w:eastAsia="en-GB"/>
        </w:rPr>
      </w:pPr>
    </w:p>
    <w:p w14:paraId="02BF348D" w14:textId="77777777" w:rsidR="0010526D" w:rsidRDefault="0010526D" w:rsidP="00616FD3">
      <w:pPr>
        <w:numPr>
          <w:ilvl w:val="0"/>
          <w:numId w:val="30"/>
        </w:numPr>
        <w:autoSpaceDE w:val="0"/>
        <w:autoSpaceDN w:val="0"/>
        <w:adjustRightInd w:val="0"/>
        <w:jc w:val="both"/>
        <w:rPr>
          <w:rFonts w:asciiTheme="minorBidi" w:hAnsiTheme="minorBidi"/>
          <w:szCs w:val="20"/>
        </w:rPr>
      </w:pPr>
      <w:r w:rsidRPr="00F657D1">
        <w:rPr>
          <w:rFonts w:asciiTheme="minorBidi" w:hAnsiTheme="minorBidi"/>
          <w:szCs w:val="20"/>
        </w:rPr>
        <w:t>En</w:t>
      </w:r>
      <w:r>
        <w:rPr>
          <w:rFonts w:asciiTheme="minorBidi" w:hAnsiTheme="minorBidi"/>
          <w:szCs w:val="20"/>
        </w:rPr>
        <w:t> </w:t>
      </w:r>
      <w:r w:rsidRPr="00F657D1">
        <w:rPr>
          <w:rFonts w:asciiTheme="minorBidi" w:hAnsiTheme="minorBidi"/>
          <w:szCs w:val="20"/>
        </w:rPr>
        <w:t>2016, le niveau de service général a augmenté pour la troisième année consécutive, atteignant les 97,1%.</w:t>
      </w:r>
    </w:p>
    <w:p w14:paraId="7C4FBEB0" w14:textId="77777777" w:rsidR="0010526D" w:rsidRPr="00F657D1" w:rsidRDefault="0010526D" w:rsidP="00986700">
      <w:pPr>
        <w:rPr>
          <w:rFonts w:asciiTheme="minorBidi" w:hAnsiTheme="minorBidi"/>
        </w:rPr>
      </w:pPr>
    </w:p>
    <w:p w14:paraId="1A53725C" w14:textId="77777777" w:rsidR="0010526D" w:rsidRPr="00F657D1" w:rsidRDefault="0010526D" w:rsidP="00986700">
      <w:pPr>
        <w:keepNext/>
        <w:keepLines/>
        <w:jc w:val="center"/>
        <w:rPr>
          <w:rFonts w:asciiTheme="minorBidi" w:hAnsiTheme="minorBidi"/>
          <w:b/>
          <w:szCs w:val="20"/>
          <w:highlight w:val="yellow"/>
        </w:rPr>
      </w:pPr>
      <w:r w:rsidRPr="00F657D1">
        <w:rPr>
          <w:rFonts w:asciiTheme="minorBidi" w:hAnsiTheme="minorBidi"/>
          <w:b/>
          <w:szCs w:val="20"/>
        </w:rPr>
        <w:lastRenderedPageBreak/>
        <w:t>Niveaux de service des systèmes d</w:t>
      </w:r>
      <w:r>
        <w:rPr>
          <w:rFonts w:asciiTheme="minorBidi" w:hAnsiTheme="minorBidi"/>
          <w:b/>
          <w:szCs w:val="20"/>
        </w:rPr>
        <w:t>’</w:t>
      </w:r>
      <w:r w:rsidRPr="00F657D1">
        <w:rPr>
          <w:rFonts w:asciiTheme="minorBidi" w:hAnsiTheme="minorBidi"/>
          <w:b/>
          <w:szCs w:val="20"/>
        </w:rPr>
        <w:t>information</w:t>
      </w:r>
    </w:p>
    <w:p w14:paraId="0E56E69A" w14:textId="77777777" w:rsidR="0010526D" w:rsidRPr="00F657D1" w:rsidRDefault="0010526D" w:rsidP="00986700">
      <w:pPr>
        <w:keepNext/>
        <w:keepLines/>
        <w:rPr>
          <w:rFonts w:asciiTheme="minorBidi" w:hAnsiTheme="minorBidi"/>
          <w:b/>
          <w:szCs w:val="20"/>
          <w:highlight w:val="yellow"/>
        </w:rPr>
      </w:pPr>
    </w:p>
    <w:p w14:paraId="4B07FDE6" w14:textId="1B263BC9" w:rsidR="0010526D" w:rsidRDefault="00A306EE" w:rsidP="00986700">
      <w:pPr>
        <w:rPr>
          <w:rFonts w:asciiTheme="minorBidi" w:hAnsiTheme="minorBidi"/>
          <w:b/>
          <w:szCs w:val="20"/>
          <w:highlight w:val="yellow"/>
        </w:rPr>
      </w:pPr>
      <w:r w:rsidRPr="00A306EE">
        <w:rPr>
          <w:noProof/>
          <w:lang w:val="en-US" w:eastAsia="en-US"/>
        </w:rPr>
        <w:drawing>
          <wp:inline distT="0" distB="0" distL="0" distR="0" wp14:anchorId="4A950BCB" wp14:editId="28661617">
            <wp:extent cx="5760085" cy="3590058"/>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3590058"/>
                    </a:xfrm>
                    <a:prstGeom prst="rect">
                      <a:avLst/>
                    </a:prstGeom>
                    <a:noFill/>
                    <a:ln>
                      <a:noFill/>
                    </a:ln>
                  </pic:spPr>
                </pic:pic>
              </a:graphicData>
            </a:graphic>
          </wp:inline>
        </w:drawing>
      </w:r>
    </w:p>
    <w:p w14:paraId="6F6A3D9B" w14:textId="77777777" w:rsidR="00A306EE" w:rsidRPr="00F657D1" w:rsidRDefault="00A306EE" w:rsidP="00986700">
      <w:pPr>
        <w:rPr>
          <w:rFonts w:asciiTheme="minorBidi" w:hAnsiTheme="minorBidi"/>
          <w:b/>
          <w:szCs w:val="20"/>
          <w:highlight w:val="yellow"/>
        </w:rPr>
      </w:pPr>
    </w:p>
    <w:p w14:paraId="0CA42D49" w14:textId="77777777" w:rsidR="0010526D" w:rsidRPr="00F657D1" w:rsidRDefault="0010526D" w:rsidP="00986700">
      <w:pPr>
        <w:tabs>
          <w:tab w:val="left" w:pos="567"/>
        </w:tabs>
        <w:spacing w:before="120" w:after="240"/>
        <w:rPr>
          <w:rFonts w:asciiTheme="minorBidi" w:eastAsiaTheme="minorHAnsi" w:hAnsiTheme="minorBidi"/>
          <w:b/>
          <w:szCs w:val="20"/>
        </w:rPr>
      </w:pPr>
      <w:r w:rsidRPr="00F657D1">
        <w:rPr>
          <w:b/>
        </w:rPr>
        <w:t>Bureau international agissant en tant qu</w:t>
      </w:r>
      <w:r>
        <w:rPr>
          <w:b/>
        </w:rPr>
        <w:t>’</w:t>
      </w:r>
      <w:r w:rsidRPr="00F657D1">
        <w:rPr>
          <w:b/>
        </w:rPr>
        <w:t>office récepteur (RO/IB)</w:t>
      </w:r>
    </w:p>
    <w:p w14:paraId="1169FD00"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Dépôts</w:t>
      </w:r>
    </w:p>
    <w:p w14:paraId="2A1B944F" w14:textId="77777777" w:rsidR="0010526D" w:rsidRPr="00F657D1" w:rsidRDefault="0010526D" w:rsidP="00986700">
      <w:pPr>
        <w:keepNext/>
        <w:keepLines/>
        <w:rPr>
          <w:rFonts w:asciiTheme="minorBidi" w:hAnsiTheme="minorBidi"/>
          <w:iCs/>
          <w:szCs w:val="20"/>
        </w:rPr>
      </w:pPr>
    </w:p>
    <w:p w14:paraId="7F157416" w14:textId="3E7EEAC0"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Ce tableau indique les 10</w:t>
      </w:r>
      <w:r>
        <w:rPr>
          <w:rFonts w:asciiTheme="minorBidi" w:hAnsiTheme="minorBidi"/>
          <w:szCs w:val="20"/>
        </w:rPr>
        <w:t> </w:t>
      </w:r>
      <w:r w:rsidRPr="00F657D1">
        <w:rPr>
          <w:rFonts w:asciiTheme="minorBidi" w:hAnsiTheme="minorBidi"/>
          <w:szCs w:val="20"/>
        </w:rPr>
        <w:t>principaux offices récepteurs classés en fonction du nombre de demandes déposées selon</w:t>
      </w:r>
      <w:r w:rsidRPr="00DD4AAC">
        <w:rPr>
          <w:rFonts w:asciiTheme="minorBidi" w:hAnsiTheme="minorBidi"/>
          <w:szCs w:val="20"/>
        </w:rPr>
        <w:t xml:space="preserve"> le PCT</w:t>
      </w:r>
      <w:r w:rsidRPr="00F657D1">
        <w:rPr>
          <w:rFonts w:asciiTheme="minorBidi" w:hAnsiTheme="minorBidi"/>
          <w:szCs w:val="20"/>
        </w:rPr>
        <w:t xml:space="preserve"> au cours des cinq</w:t>
      </w:r>
      <w:r>
        <w:rPr>
          <w:rFonts w:asciiTheme="minorBidi" w:hAnsiTheme="minorBidi"/>
          <w:szCs w:val="20"/>
        </w:rPr>
        <w:t> </w:t>
      </w:r>
      <w:r w:rsidRPr="00F657D1">
        <w:rPr>
          <w:rFonts w:asciiTheme="minorBidi" w:hAnsiTheme="minorBidi"/>
          <w:szCs w:val="20"/>
        </w:rPr>
        <w:t>dernières années, jusqu</w:t>
      </w:r>
      <w:r>
        <w:rPr>
          <w:rFonts w:asciiTheme="minorBidi" w:hAnsiTheme="minorBidi"/>
          <w:szCs w:val="20"/>
        </w:rPr>
        <w:t>’</w:t>
      </w:r>
      <w:r w:rsidRPr="00F657D1">
        <w:rPr>
          <w:rFonts w:asciiTheme="minorBidi" w:hAnsiTheme="minorBidi"/>
          <w:szCs w:val="20"/>
        </w:rPr>
        <w:t>en</w:t>
      </w:r>
      <w:r>
        <w:rPr>
          <w:rFonts w:asciiTheme="minorBidi" w:hAnsiTheme="minorBidi"/>
          <w:szCs w:val="20"/>
        </w:rPr>
        <w:t> </w:t>
      </w:r>
      <w:r w:rsidRPr="00F657D1">
        <w:rPr>
          <w:rFonts w:asciiTheme="minorBidi" w:hAnsiTheme="minorBidi"/>
          <w:szCs w:val="20"/>
        </w:rPr>
        <w:t>2016.  En principe, une demande selon</w:t>
      </w:r>
      <w:r w:rsidRPr="00DD4AAC">
        <w:rPr>
          <w:rFonts w:asciiTheme="minorBidi" w:hAnsiTheme="minorBidi"/>
          <w:szCs w:val="20"/>
        </w:rPr>
        <w:t xml:space="preserve"> le PCT</w:t>
      </w:r>
      <w:r w:rsidRPr="00F657D1">
        <w:rPr>
          <w:rFonts w:asciiTheme="minorBidi" w:hAnsiTheme="minorBidi"/>
          <w:szCs w:val="20"/>
        </w:rPr>
        <w:t xml:space="preserve"> est déposée auprès de l</w:t>
      </w:r>
      <w:r>
        <w:rPr>
          <w:rFonts w:asciiTheme="minorBidi" w:hAnsiTheme="minorBidi"/>
          <w:szCs w:val="20"/>
        </w:rPr>
        <w:t>’</w:t>
      </w:r>
      <w:r w:rsidRPr="00F657D1">
        <w:rPr>
          <w:rFonts w:asciiTheme="minorBidi" w:hAnsiTheme="minorBidi"/>
          <w:szCs w:val="20"/>
        </w:rPr>
        <w:t>office des brevets national du pays d</w:t>
      </w:r>
      <w:r>
        <w:rPr>
          <w:rFonts w:asciiTheme="minorBidi" w:hAnsiTheme="minorBidi"/>
          <w:szCs w:val="20"/>
        </w:rPr>
        <w:t>’</w:t>
      </w:r>
      <w:r w:rsidRPr="00F657D1">
        <w:rPr>
          <w:rFonts w:asciiTheme="minorBidi" w:hAnsiTheme="minorBidi"/>
          <w:szCs w:val="20"/>
        </w:rPr>
        <w:t>origine du déposant ou d</w:t>
      </w:r>
      <w:r>
        <w:rPr>
          <w:rFonts w:asciiTheme="minorBidi" w:hAnsiTheme="minorBidi"/>
          <w:szCs w:val="20"/>
        </w:rPr>
        <w:t>’</w:t>
      </w:r>
      <w:r w:rsidRPr="00F657D1">
        <w:rPr>
          <w:rFonts w:asciiTheme="minorBidi" w:hAnsiTheme="minorBidi"/>
          <w:szCs w:val="20"/>
        </w:rPr>
        <w:t>un office de brevets régional agissant au nom de la juridiction dont relève le déposant</w:t>
      </w:r>
      <w:r>
        <w:rPr>
          <w:rFonts w:asciiTheme="minorBidi" w:hAnsiTheme="minorBidi"/>
          <w:szCs w:val="20"/>
        </w:rPr>
        <w:t xml:space="preserve">.  </w:t>
      </w:r>
      <w:r w:rsidRPr="00F657D1">
        <w:rPr>
          <w:rFonts w:asciiTheme="minorBidi" w:hAnsiTheme="minorBidi"/>
          <w:szCs w:val="20"/>
        </w:rPr>
        <w:t>Le Bureau international est compétent pour agir en qualité d</w:t>
      </w:r>
      <w:r>
        <w:rPr>
          <w:rFonts w:asciiTheme="minorBidi" w:hAnsiTheme="minorBidi"/>
          <w:szCs w:val="20"/>
        </w:rPr>
        <w:t>’</w:t>
      </w:r>
      <w:r w:rsidRPr="00F657D1">
        <w:rPr>
          <w:rFonts w:asciiTheme="minorBidi" w:hAnsiTheme="minorBidi"/>
          <w:szCs w:val="20"/>
        </w:rPr>
        <w:t>office récepteur pour les déposants de tous les États contractants</w:t>
      </w:r>
      <w:r w:rsidRPr="00DD4AAC">
        <w:rPr>
          <w:rFonts w:asciiTheme="minorBidi" w:hAnsiTheme="minorBidi"/>
          <w:szCs w:val="20"/>
        </w:rPr>
        <w:t xml:space="preserve"> du PCT</w:t>
      </w:r>
      <w:r w:rsidRPr="00F657D1">
        <w:rPr>
          <w:rFonts w:asciiTheme="minorBidi" w:hAnsiTheme="minorBidi"/>
          <w:szCs w:val="20"/>
        </w:rPr>
        <w:t>.  L</w:t>
      </w:r>
      <w:r>
        <w:rPr>
          <w:rFonts w:asciiTheme="minorBidi" w:hAnsiTheme="minorBidi"/>
          <w:szCs w:val="20"/>
        </w:rPr>
        <w:t>’</w:t>
      </w:r>
      <w:r w:rsidRPr="00F657D1">
        <w:rPr>
          <w:rFonts w:asciiTheme="minorBidi" w:hAnsiTheme="minorBidi"/>
          <w:szCs w:val="20"/>
        </w:rPr>
        <w:t>évolution des dépôts auprès du Bureau international, le classement de celui</w:t>
      </w:r>
      <w:r w:rsidR="00B441CA">
        <w:rPr>
          <w:rFonts w:asciiTheme="minorBidi" w:hAnsiTheme="minorBidi"/>
          <w:szCs w:val="20"/>
        </w:rPr>
        <w:noBreakHyphen/>
      </w:r>
      <w:r w:rsidRPr="00F657D1">
        <w:rPr>
          <w:rFonts w:asciiTheme="minorBidi" w:hAnsiTheme="minorBidi"/>
          <w:szCs w:val="20"/>
        </w:rPr>
        <w:t>ci par rapport à d</w:t>
      </w:r>
      <w:r>
        <w:rPr>
          <w:rFonts w:asciiTheme="minorBidi" w:hAnsiTheme="minorBidi"/>
          <w:szCs w:val="20"/>
        </w:rPr>
        <w:t>’</w:t>
      </w:r>
      <w:r w:rsidRPr="00F657D1">
        <w:rPr>
          <w:rFonts w:asciiTheme="minorBidi" w:hAnsiTheme="minorBidi"/>
          <w:szCs w:val="20"/>
        </w:rPr>
        <w:t>autres offices récepteurs et sa part de marché sont indiqués dans ce tableau.</w:t>
      </w:r>
    </w:p>
    <w:p w14:paraId="75136494" w14:textId="77777777" w:rsidR="0010526D" w:rsidRPr="00F657D1" w:rsidRDefault="0010526D" w:rsidP="00986700">
      <w:pPr>
        <w:jc w:val="both"/>
        <w:rPr>
          <w:rFonts w:asciiTheme="minorBidi" w:hAnsiTheme="minorBidi"/>
          <w:szCs w:val="20"/>
          <w:highlight w:val="yellow"/>
        </w:rPr>
      </w:pPr>
    </w:p>
    <w:p w14:paraId="040673E3" w14:textId="77777777" w:rsidR="0010526D" w:rsidRPr="00F657D1" w:rsidRDefault="0010526D" w:rsidP="00986700">
      <w:pPr>
        <w:keepNext/>
        <w:keepLines/>
        <w:jc w:val="center"/>
        <w:rPr>
          <w:rFonts w:asciiTheme="minorBidi" w:hAnsiTheme="minorBidi"/>
          <w:szCs w:val="20"/>
        </w:rPr>
      </w:pPr>
      <w:r w:rsidRPr="00F657D1">
        <w:rPr>
          <w:rFonts w:asciiTheme="minorBidi" w:hAnsiTheme="minorBidi"/>
          <w:b/>
          <w:szCs w:val="20"/>
        </w:rPr>
        <w:lastRenderedPageBreak/>
        <w:t>Nombre de demandes selon</w:t>
      </w:r>
      <w:r w:rsidRPr="00DD4AAC">
        <w:rPr>
          <w:rFonts w:asciiTheme="minorBidi" w:hAnsiTheme="minorBidi"/>
          <w:b/>
          <w:szCs w:val="20"/>
        </w:rPr>
        <w:t xml:space="preserve"> le PCT</w:t>
      </w:r>
      <w:r w:rsidRPr="00F657D1">
        <w:rPr>
          <w:rFonts w:asciiTheme="minorBidi" w:hAnsiTheme="minorBidi"/>
          <w:b/>
          <w:szCs w:val="20"/>
        </w:rPr>
        <w:t xml:space="preserve"> reçues par les 10</w:t>
      </w:r>
      <w:r>
        <w:rPr>
          <w:rFonts w:asciiTheme="minorBidi" w:hAnsiTheme="minorBidi"/>
          <w:b/>
          <w:szCs w:val="20"/>
        </w:rPr>
        <w:t> </w:t>
      </w:r>
      <w:r w:rsidRPr="00F657D1">
        <w:rPr>
          <w:rFonts w:asciiTheme="minorBidi" w:hAnsiTheme="minorBidi"/>
          <w:b/>
          <w:szCs w:val="20"/>
        </w:rPr>
        <w:t>principaux offices récepteurs</w:t>
      </w:r>
    </w:p>
    <w:p w14:paraId="06987128" w14:textId="77777777" w:rsidR="0010526D" w:rsidRPr="00F657D1" w:rsidRDefault="0010526D" w:rsidP="00986700">
      <w:pPr>
        <w:keepNext/>
        <w:keepLines/>
        <w:jc w:val="both"/>
        <w:rPr>
          <w:rFonts w:asciiTheme="minorBidi" w:hAnsiTheme="minorBidi"/>
          <w:szCs w:val="20"/>
        </w:rPr>
      </w:pPr>
    </w:p>
    <w:p w14:paraId="53969093" w14:textId="20643523" w:rsidR="001A722F" w:rsidRDefault="00A306EE" w:rsidP="00986700">
      <w:pPr>
        <w:rPr>
          <w:rFonts w:asciiTheme="minorBidi" w:hAnsiTheme="minorBidi"/>
          <w:szCs w:val="20"/>
        </w:rPr>
      </w:pPr>
      <w:r w:rsidRPr="00A306EE">
        <w:rPr>
          <w:noProof/>
          <w:lang w:val="en-US" w:eastAsia="en-US"/>
        </w:rPr>
        <w:drawing>
          <wp:inline distT="0" distB="0" distL="0" distR="0" wp14:anchorId="207A0F39" wp14:editId="611AFEB0">
            <wp:extent cx="5760085" cy="3173292"/>
            <wp:effectExtent l="0" t="0" r="0" b="825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3173292"/>
                    </a:xfrm>
                    <a:prstGeom prst="rect">
                      <a:avLst/>
                    </a:prstGeom>
                    <a:noFill/>
                    <a:ln>
                      <a:noFill/>
                    </a:ln>
                  </pic:spPr>
                </pic:pic>
              </a:graphicData>
            </a:graphic>
          </wp:inline>
        </w:drawing>
      </w:r>
    </w:p>
    <w:p w14:paraId="63A99FD8" w14:textId="77777777" w:rsidR="00A306EE" w:rsidRPr="00F657D1" w:rsidRDefault="00A306EE" w:rsidP="00986700">
      <w:pPr>
        <w:rPr>
          <w:rFonts w:asciiTheme="minorBidi" w:hAnsiTheme="minorBidi"/>
          <w:szCs w:val="20"/>
        </w:rPr>
      </w:pPr>
    </w:p>
    <w:p w14:paraId="281D5900"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Délai de notification de la date de dépôt international</w:t>
      </w:r>
    </w:p>
    <w:p w14:paraId="08EC1C8F" w14:textId="77777777" w:rsidR="0010526D" w:rsidRPr="00F657D1" w:rsidRDefault="0010526D" w:rsidP="00986700">
      <w:pPr>
        <w:keepNext/>
        <w:keepLines/>
        <w:rPr>
          <w:rFonts w:asciiTheme="minorBidi" w:hAnsiTheme="minorBidi"/>
          <w:iCs/>
          <w:szCs w:val="20"/>
        </w:rPr>
      </w:pPr>
    </w:p>
    <w:p w14:paraId="65105F55" w14:textId="77777777" w:rsidR="0010526D" w:rsidRDefault="0010526D" w:rsidP="00616FD3">
      <w:pPr>
        <w:numPr>
          <w:ilvl w:val="0"/>
          <w:numId w:val="30"/>
        </w:numPr>
        <w:jc w:val="both"/>
        <w:rPr>
          <w:rFonts w:asciiTheme="minorBidi" w:hAnsiTheme="minorBidi"/>
          <w:szCs w:val="20"/>
        </w:rPr>
      </w:pPr>
      <w:r w:rsidRPr="00F657D1">
        <w:rPr>
          <w:rFonts w:asciiTheme="minorBidi" w:hAnsiTheme="minorBidi"/>
          <w:szCs w:val="20"/>
        </w:rPr>
        <w:t>Cet indicateur rend compte du temps qu</w:t>
      </w:r>
      <w:r>
        <w:rPr>
          <w:rFonts w:asciiTheme="minorBidi" w:hAnsiTheme="minorBidi"/>
          <w:szCs w:val="20"/>
        </w:rPr>
        <w:t>’</w:t>
      </w:r>
      <w:r w:rsidRPr="00F657D1">
        <w:rPr>
          <w:rFonts w:asciiTheme="minorBidi" w:hAnsiTheme="minorBidi"/>
          <w:szCs w:val="20"/>
        </w:rPr>
        <w:t>il faut au Bureau international agissant en tant qu</w:t>
      </w:r>
      <w:r>
        <w:rPr>
          <w:rFonts w:asciiTheme="minorBidi" w:hAnsiTheme="minorBidi"/>
          <w:szCs w:val="20"/>
        </w:rPr>
        <w:t>’</w:t>
      </w:r>
      <w:r w:rsidRPr="00F657D1">
        <w:rPr>
          <w:rFonts w:asciiTheme="minorBidi" w:hAnsiTheme="minorBidi"/>
          <w:szCs w:val="20"/>
        </w:rPr>
        <w:t>office récepteur pour émettre le formulaire</w:t>
      </w:r>
      <w:r>
        <w:rPr>
          <w:rFonts w:asciiTheme="minorBidi" w:hAnsiTheme="minorBidi"/>
          <w:szCs w:val="20"/>
        </w:rPr>
        <w:t> </w:t>
      </w:r>
      <w:r w:rsidRPr="00F657D1">
        <w:rPr>
          <w:rFonts w:asciiTheme="minorBidi" w:hAnsiTheme="minorBidi"/>
          <w:szCs w:val="20"/>
        </w:rPr>
        <w:t>105.  Ce formulaire est émis après l</w:t>
      </w:r>
      <w:r>
        <w:rPr>
          <w:rFonts w:asciiTheme="minorBidi" w:hAnsiTheme="minorBidi"/>
          <w:szCs w:val="20"/>
        </w:rPr>
        <w:t>’</w:t>
      </w:r>
      <w:r w:rsidRPr="00F657D1">
        <w:rPr>
          <w:rFonts w:asciiTheme="minorBidi" w:hAnsiTheme="minorBidi"/>
          <w:szCs w:val="20"/>
        </w:rPr>
        <w:t>attribution de la date de dépôt international</w:t>
      </w:r>
      <w:r>
        <w:rPr>
          <w:rFonts w:asciiTheme="minorBidi" w:hAnsiTheme="minorBidi"/>
          <w:szCs w:val="20"/>
        </w:rPr>
        <w:t xml:space="preserve">.  </w:t>
      </w:r>
      <w:r w:rsidRPr="00F657D1">
        <w:rPr>
          <w:rFonts w:asciiTheme="minorBidi" w:hAnsiTheme="minorBidi"/>
          <w:szCs w:val="20"/>
        </w:rPr>
        <w:t>Les déposants apprécient de recevoir ce formulaire le plus tôt possible car une demande internationale a l</w:t>
      </w:r>
      <w:r>
        <w:rPr>
          <w:rFonts w:asciiTheme="minorBidi" w:hAnsiTheme="minorBidi"/>
          <w:szCs w:val="20"/>
        </w:rPr>
        <w:t>’</w:t>
      </w:r>
      <w:r w:rsidRPr="00F657D1">
        <w:rPr>
          <w:rFonts w:asciiTheme="minorBidi" w:hAnsiTheme="minorBidi"/>
          <w:szCs w:val="20"/>
        </w:rPr>
        <w:t>effet d</w:t>
      </w:r>
      <w:r>
        <w:rPr>
          <w:rFonts w:asciiTheme="minorBidi" w:hAnsiTheme="minorBidi"/>
          <w:szCs w:val="20"/>
        </w:rPr>
        <w:t>’</w:t>
      </w:r>
      <w:r w:rsidRPr="00F657D1">
        <w:rPr>
          <w:rFonts w:asciiTheme="minorBidi" w:hAnsiTheme="minorBidi"/>
          <w:szCs w:val="20"/>
        </w:rPr>
        <w:t>une demande nationale ordinaire dans chaque État désigné à compter de la date de dépôt international, qui sera considérée comme la date de dépôt effective dans chaque État désigné.</w:t>
      </w:r>
    </w:p>
    <w:p w14:paraId="4026215C" w14:textId="77777777" w:rsidR="0010526D" w:rsidRPr="00F657D1" w:rsidRDefault="0010526D" w:rsidP="00986700">
      <w:pPr>
        <w:pStyle w:val="BodyText2"/>
        <w:spacing w:after="0" w:line="240" w:lineRule="auto"/>
        <w:jc w:val="both"/>
        <w:rPr>
          <w:rFonts w:asciiTheme="minorBidi" w:hAnsiTheme="minorBidi"/>
          <w:szCs w:val="20"/>
        </w:rPr>
      </w:pPr>
    </w:p>
    <w:p w14:paraId="11DAAC54" w14:textId="77777777" w:rsidR="0010526D" w:rsidRPr="00F657D1" w:rsidRDefault="0010526D" w:rsidP="00986700">
      <w:pPr>
        <w:pStyle w:val="PlainText"/>
        <w:jc w:val="center"/>
        <w:rPr>
          <w:rFonts w:asciiTheme="minorBidi" w:hAnsiTheme="minorBidi" w:cstheme="minorBidi"/>
          <w:b/>
          <w:color w:val="auto"/>
        </w:rPr>
      </w:pPr>
      <w:r w:rsidRPr="00F657D1">
        <w:rPr>
          <w:rFonts w:asciiTheme="minorBidi" w:hAnsiTheme="minorBidi" w:cstheme="minorBidi"/>
          <w:b/>
          <w:color w:val="auto"/>
        </w:rPr>
        <w:t>Délai de notification de la date de dépôt international</w:t>
      </w:r>
    </w:p>
    <w:p w14:paraId="4ADE258E" w14:textId="332B767C" w:rsidR="0010526D" w:rsidRDefault="00A306EE" w:rsidP="00986700">
      <w:pPr>
        <w:rPr>
          <w:rFonts w:asciiTheme="minorBidi" w:hAnsiTheme="minorBidi"/>
          <w:i/>
          <w:szCs w:val="20"/>
        </w:rPr>
      </w:pPr>
      <w:r w:rsidRPr="00A306EE">
        <w:rPr>
          <w:noProof/>
          <w:lang w:val="en-US" w:eastAsia="en-US"/>
        </w:rPr>
        <w:drawing>
          <wp:inline distT="0" distB="0" distL="0" distR="0" wp14:anchorId="0C1B7C7A" wp14:editId="33D7B7C2">
            <wp:extent cx="5760085" cy="274768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2747687"/>
                    </a:xfrm>
                    <a:prstGeom prst="rect">
                      <a:avLst/>
                    </a:prstGeom>
                    <a:noFill/>
                    <a:ln>
                      <a:noFill/>
                    </a:ln>
                  </pic:spPr>
                </pic:pic>
              </a:graphicData>
            </a:graphic>
          </wp:inline>
        </w:drawing>
      </w:r>
    </w:p>
    <w:p w14:paraId="75B16D9B" w14:textId="77777777" w:rsidR="00A306EE" w:rsidRPr="00F657D1" w:rsidRDefault="00A306EE" w:rsidP="00986700">
      <w:pPr>
        <w:rPr>
          <w:rFonts w:asciiTheme="minorBidi" w:hAnsiTheme="minorBidi"/>
          <w:i/>
          <w:szCs w:val="20"/>
        </w:rPr>
      </w:pPr>
    </w:p>
    <w:p w14:paraId="47538CE1" w14:textId="77777777" w:rsidR="0010526D" w:rsidRPr="00F657D1" w:rsidRDefault="0010526D" w:rsidP="00986700">
      <w:pPr>
        <w:keepNext/>
        <w:keepLines/>
        <w:rPr>
          <w:rFonts w:asciiTheme="minorBidi" w:hAnsiTheme="minorBidi"/>
          <w:i/>
          <w:szCs w:val="20"/>
        </w:rPr>
      </w:pPr>
      <w:r w:rsidRPr="00F657D1">
        <w:rPr>
          <w:rFonts w:asciiTheme="minorBidi" w:hAnsiTheme="minorBidi"/>
          <w:i/>
          <w:szCs w:val="20"/>
        </w:rPr>
        <w:t>Délai de transmission de la copie de recherche</w:t>
      </w:r>
    </w:p>
    <w:p w14:paraId="6B507AD6" w14:textId="77777777" w:rsidR="0010526D" w:rsidRPr="00F657D1" w:rsidRDefault="0010526D" w:rsidP="00986700">
      <w:pPr>
        <w:keepNext/>
        <w:keepLines/>
        <w:rPr>
          <w:rFonts w:asciiTheme="minorBidi" w:hAnsiTheme="minorBidi"/>
          <w:iCs/>
          <w:szCs w:val="20"/>
        </w:rPr>
      </w:pPr>
    </w:p>
    <w:p w14:paraId="0985618D" w14:textId="77777777" w:rsidR="0010526D" w:rsidRPr="00F657D1" w:rsidRDefault="0010526D" w:rsidP="00616FD3">
      <w:pPr>
        <w:numPr>
          <w:ilvl w:val="0"/>
          <w:numId w:val="30"/>
        </w:numPr>
        <w:jc w:val="both"/>
        <w:rPr>
          <w:rFonts w:asciiTheme="minorBidi" w:hAnsiTheme="minorBidi"/>
          <w:szCs w:val="20"/>
        </w:rPr>
      </w:pPr>
      <w:r w:rsidRPr="00F657D1">
        <w:rPr>
          <w:rFonts w:asciiTheme="minorBidi" w:hAnsiTheme="minorBidi"/>
          <w:szCs w:val="20"/>
        </w:rPr>
        <w:t>Cet indicateur rend compte du temps qu</w:t>
      </w:r>
      <w:r>
        <w:rPr>
          <w:rFonts w:asciiTheme="minorBidi" w:hAnsiTheme="minorBidi"/>
          <w:szCs w:val="20"/>
        </w:rPr>
        <w:t>’</w:t>
      </w:r>
      <w:r w:rsidRPr="00F657D1">
        <w:rPr>
          <w:rFonts w:asciiTheme="minorBidi" w:hAnsiTheme="minorBidi"/>
          <w:szCs w:val="20"/>
        </w:rPr>
        <w:t>il faut au Bureau international agissant en tant qu</w:t>
      </w:r>
      <w:r>
        <w:rPr>
          <w:rFonts w:asciiTheme="minorBidi" w:hAnsiTheme="minorBidi"/>
          <w:szCs w:val="20"/>
        </w:rPr>
        <w:t>’</w:t>
      </w:r>
      <w:r w:rsidRPr="00F657D1">
        <w:rPr>
          <w:rFonts w:asciiTheme="minorBidi" w:hAnsiTheme="minorBidi"/>
          <w:szCs w:val="20"/>
        </w:rPr>
        <w:t>office récepteur pour transmettre les copies de recherche aux administrations chargées de la recherche internationale</w:t>
      </w:r>
      <w:r>
        <w:rPr>
          <w:rFonts w:asciiTheme="minorBidi" w:hAnsiTheme="minorBidi"/>
          <w:szCs w:val="20"/>
        </w:rPr>
        <w:t xml:space="preserve">.  </w:t>
      </w:r>
      <w:r w:rsidRPr="00F657D1">
        <w:rPr>
          <w:rFonts w:asciiTheme="minorBidi" w:hAnsiTheme="minorBidi"/>
          <w:szCs w:val="20"/>
        </w:rPr>
        <w:t>La copie de recherche doit être transmise rapidement après paiement de la taxe de recherche afin que l</w:t>
      </w:r>
      <w:r>
        <w:rPr>
          <w:rFonts w:asciiTheme="minorBidi" w:hAnsiTheme="minorBidi"/>
          <w:szCs w:val="20"/>
        </w:rPr>
        <w:t>’</w:t>
      </w:r>
      <w:r w:rsidRPr="00F657D1">
        <w:rPr>
          <w:rFonts w:asciiTheme="minorBidi" w:hAnsiTheme="minorBidi"/>
          <w:szCs w:val="20"/>
        </w:rPr>
        <w:t>administration chargée de la recherche internationale puisse établir le rapport de recherche internationale dans les délais fixés par le cadre réglementaire</w:t>
      </w:r>
      <w:r w:rsidRPr="00DD4AAC">
        <w:rPr>
          <w:rFonts w:asciiTheme="minorBidi" w:hAnsiTheme="minorBidi"/>
          <w:szCs w:val="20"/>
        </w:rPr>
        <w:t xml:space="preserve"> du PCT</w:t>
      </w:r>
      <w:r>
        <w:rPr>
          <w:rFonts w:asciiTheme="minorBidi" w:hAnsiTheme="minorBidi"/>
          <w:szCs w:val="20"/>
        </w:rPr>
        <w:t xml:space="preserve">.  </w:t>
      </w:r>
      <w:r w:rsidRPr="00F657D1">
        <w:rPr>
          <w:rFonts w:asciiTheme="minorBidi" w:hAnsiTheme="minorBidi"/>
          <w:szCs w:val="20"/>
        </w:rPr>
        <w:t xml:space="preserve">Les retards de </w:t>
      </w:r>
      <w:r w:rsidRPr="00F657D1">
        <w:rPr>
          <w:rFonts w:asciiTheme="minorBidi" w:hAnsiTheme="minorBidi"/>
          <w:szCs w:val="20"/>
        </w:rPr>
        <w:lastRenderedPageBreak/>
        <w:t>paiement de la taxe retardent la transmission des copies de recherche aux administrations charges de la recherche internationale et ont donc un impact négatif sur la capacité de ces administrations de respecter ces délais.</w:t>
      </w:r>
    </w:p>
    <w:p w14:paraId="5CFC10CC" w14:textId="77777777" w:rsidR="0010526D" w:rsidRPr="00F657D1" w:rsidRDefault="0010526D" w:rsidP="00986700">
      <w:pPr>
        <w:rPr>
          <w:rFonts w:asciiTheme="minorBidi" w:hAnsiTheme="minorBidi"/>
          <w:szCs w:val="20"/>
        </w:rPr>
      </w:pPr>
    </w:p>
    <w:p w14:paraId="4D1D5340" w14:textId="77777777" w:rsidR="0010526D" w:rsidRPr="00F657D1" w:rsidRDefault="0010526D" w:rsidP="00986700">
      <w:pPr>
        <w:pStyle w:val="PlainText"/>
        <w:keepNext/>
        <w:keepLines/>
        <w:jc w:val="center"/>
        <w:rPr>
          <w:rFonts w:asciiTheme="minorBidi" w:hAnsiTheme="minorBidi" w:cstheme="minorBidi"/>
          <w:b/>
          <w:color w:val="auto"/>
        </w:rPr>
      </w:pPr>
      <w:r w:rsidRPr="00F657D1">
        <w:rPr>
          <w:rFonts w:asciiTheme="minorBidi" w:hAnsiTheme="minorBidi" w:cstheme="minorBidi"/>
          <w:b/>
          <w:color w:val="auto"/>
        </w:rPr>
        <w:t>Délai de transmission de la copie de recherche</w:t>
      </w:r>
    </w:p>
    <w:p w14:paraId="790FA2BA" w14:textId="77777777" w:rsidR="0010526D" w:rsidRPr="00F657D1" w:rsidRDefault="0010526D" w:rsidP="00986700">
      <w:pPr>
        <w:keepNext/>
        <w:keepLines/>
        <w:rPr>
          <w:rFonts w:asciiTheme="minorBidi" w:hAnsiTheme="minorBidi"/>
          <w:szCs w:val="20"/>
        </w:rPr>
      </w:pPr>
      <w:r w:rsidRPr="00F444AD">
        <w:rPr>
          <w:noProof/>
          <w:lang w:val="en-US" w:eastAsia="en-US"/>
        </w:rPr>
        <w:drawing>
          <wp:inline distT="0" distB="0" distL="0" distR="0" wp14:anchorId="193A17FC" wp14:editId="64B6E654">
            <wp:extent cx="5760085" cy="2814915"/>
            <wp:effectExtent l="0" t="0" r="0" b="508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2814915"/>
                    </a:xfrm>
                    <a:prstGeom prst="rect">
                      <a:avLst/>
                    </a:prstGeom>
                    <a:noFill/>
                    <a:ln>
                      <a:noFill/>
                    </a:ln>
                  </pic:spPr>
                </pic:pic>
              </a:graphicData>
            </a:graphic>
          </wp:inline>
        </w:drawing>
      </w:r>
    </w:p>
    <w:p w14:paraId="16A83052" w14:textId="7F112392" w:rsidR="0010526D" w:rsidRDefault="0010526D" w:rsidP="00986700">
      <w:pPr>
        <w:pStyle w:val="ListParagraph"/>
        <w:ind w:left="0" w:hanging="11"/>
        <w:jc w:val="right"/>
        <w:rPr>
          <w:lang w:eastAsia="en-US"/>
        </w:rPr>
      </w:pPr>
      <w:r w:rsidRPr="00F657D1">
        <w:rPr>
          <w:rFonts w:asciiTheme="minorBidi" w:hAnsiTheme="minorBidi"/>
        </w:rPr>
        <w:t>[Fin de l</w:t>
      </w:r>
      <w:r>
        <w:rPr>
          <w:rFonts w:asciiTheme="minorBidi" w:hAnsiTheme="minorBidi"/>
        </w:rPr>
        <w:t>’</w:t>
      </w:r>
      <w:r w:rsidRPr="00F657D1">
        <w:rPr>
          <w:rFonts w:asciiTheme="minorBidi" w:hAnsiTheme="minorBidi"/>
        </w:rPr>
        <w:t>annexe]</w:t>
      </w:r>
      <w:r>
        <w:rPr>
          <w:lang w:eastAsia="en-US"/>
        </w:rPr>
        <w:br w:type="page"/>
      </w:r>
    </w:p>
    <w:p w14:paraId="3A283D08" w14:textId="0F440D98" w:rsidR="0010526D" w:rsidRPr="0010526D" w:rsidRDefault="0010526D" w:rsidP="00986700">
      <w:pPr>
        <w:pStyle w:val="Heading2"/>
      </w:pPr>
      <w:bookmarkStart w:id="33" w:name="_Toc482979479"/>
      <w:r w:rsidRPr="0010526D">
        <w:lastRenderedPageBreak/>
        <w:t>Programme</w:t>
      </w:r>
      <w:r w:rsidRPr="0010526D">
        <w:rPr>
          <w:rFonts w:hint="eastAsia"/>
        </w:rPr>
        <w:t> </w:t>
      </w:r>
      <w:r w:rsidRPr="0010526D">
        <w:t>6</w:t>
      </w:r>
      <w:r w:rsidRPr="0010526D">
        <w:tab/>
        <w:t>Syst</w:t>
      </w:r>
      <w:r w:rsidRPr="0010526D">
        <w:rPr>
          <w:rFonts w:hint="eastAsia"/>
        </w:rPr>
        <w:t>è</w:t>
      </w:r>
      <w:r w:rsidRPr="0010526D">
        <w:t>me de Madrid</w:t>
      </w:r>
      <w:bookmarkEnd w:id="33"/>
    </w:p>
    <w:p w14:paraId="34BA1CB8" w14:textId="77777777" w:rsidR="0010526D" w:rsidRPr="00560C95" w:rsidRDefault="0010526D" w:rsidP="00986700">
      <w:pPr>
        <w:jc w:val="both"/>
        <w:rPr>
          <w:rFonts w:asciiTheme="minorBidi" w:hAnsiTheme="minorBidi"/>
          <w:b/>
          <w:iCs/>
          <w:caps/>
          <w:szCs w:val="20"/>
        </w:rPr>
      </w:pPr>
    </w:p>
    <w:p w14:paraId="62EC9D40" w14:textId="77777777" w:rsidR="0010526D" w:rsidRPr="00560C95" w:rsidRDefault="0010526D" w:rsidP="00986700">
      <w:pPr>
        <w:jc w:val="both"/>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9287"/>
      </w:tblGrid>
      <w:tr w:rsidR="0010526D" w:rsidRPr="00560C95" w14:paraId="4AA9DC9B" w14:textId="77777777" w:rsidTr="0010526D">
        <w:trPr>
          <w:cantSplit/>
        </w:trPr>
        <w:tc>
          <w:tcPr>
            <w:tcW w:w="9571" w:type="dxa"/>
            <w:shd w:val="clear" w:color="auto" w:fill="C6D9F1" w:themeFill="text2" w:themeFillTint="33"/>
            <w:vAlign w:val="center"/>
          </w:tcPr>
          <w:p w14:paraId="2A599B5C" w14:textId="77777777" w:rsidR="0010526D" w:rsidRPr="00560C95" w:rsidRDefault="0010526D" w:rsidP="00986700">
            <w:pPr>
              <w:keepNext/>
              <w:keepLines/>
              <w:jc w:val="center"/>
              <w:rPr>
                <w:rFonts w:eastAsia="Times New Roman" w:cs="Arial"/>
                <w:b/>
                <w:bCs/>
                <w:szCs w:val="20"/>
                <w:lang w:eastAsia="en-US"/>
              </w:rPr>
            </w:pPr>
            <w:r w:rsidRPr="00560C95">
              <w:rPr>
                <w:rFonts w:eastAsia="Times New Roman" w:cs="Arial"/>
                <w:b/>
                <w:bCs/>
                <w:szCs w:val="20"/>
                <w:lang w:eastAsia="en-US"/>
              </w:rPr>
              <w:t>Stratégies de mise en œuvre</w:t>
            </w:r>
          </w:p>
        </w:tc>
      </w:tr>
    </w:tbl>
    <w:p w14:paraId="71810B62" w14:textId="77777777" w:rsidR="0010526D" w:rsidRPr="00560C95" w:rsidRDefault="0010526D" w:rsidP="00986700">
      <w:pPr>
        <w:jc w:val="both"/>
        <w:rPr>
          <w:rFonts w:cs="Arial"/>
          <w:szCs w:val="20"/>
        </w:rPr>
      </w:pPr>
    </w:p>
    <w:p w14:paraId="7E9EB013" w14:textId="77777777"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Promouvoir activement l’augmentation du nombre de membres du système de Madrid et favoriser l’adhésion d’États ayant manifesté le désir de devenir membres du système;</w:t>
      </w:r>
    </w:p>
    <w:p w14:paraId="28D5C450" w14:textId="77777777" w:rsidR="0010526D" w:rsidRPr="00560C95" w:rsidRDefault="0010526D" w:rsidP="00986700">
      <w:pPr>
        <w:ind w:left="567" w:hanging="567"/>
        <w:jc w:val="both"/>
        <w:rPr>
          <w:rFonts w:cs="Arial"/>
          <w:szCs w:val="20"/>
        </w:rPr>
      </w:pPr>
    </w:p>
    <w:p w14:paraId="2BD8EAD5" w14:textId="77777777"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Renforcer l’utilisation du système de Madrid grâce à la mise en œuvre d’une approche stratégique dans le domaine de la promotion, y compris la recherche de marchés et la réalisation de campagnes et d’activités d’information ciblées;</w:t>
      </w:r>
    </w:p>
    <w:p w14:paraId="3BB5C8F1" w14:textId="77777777" w:rsidR="0010526D" w:rsidRPr="00560C95" w:rsidRDefault="0010526D" w:rsidP="00986700">
      <w:pPr>
        <w:ind w:left="567" w:hanging="567"/>
        <w:jc w:val="both"/>
        <w:rPr>
          <w:rFonts w:cs="Arial"/>
          <w:szCs w:val="20"/>
        </w:rPr>
      </w:pPr>
    </w:p>
    <w:p w14:paraId="47EA9E0A" w14:textId="77777777"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Assurer un développement équilibré du cadre juridique régissant le système de Madrid et des procédures administratives dans le cadre du système grâce à l’organisation de réunions annuelles du Groupe de travail sur le développement juridique du système de Madrid concernant l’enregistrement international des marques et de la Table ronde du Groupe de travail sur le développement juridique du système de Madrid;</w:t>
      </w:r>
    </w:p>
    <w:p w14:paraId="0EBDD355" w14:textId="77777777" w:rsidR="0010526D" w:rsidRPr="00560C95" w:rsidRDefault="0010526D" w:rsidP="00986700">
      <w:pPr>
        <w:ind w:left="567" w:hanging="567"/>
        <w:jc w:val="both"/>
        <w:rPr>
          <w:rFonts w:cs="Arial"/>
          <w:szCs w:val="20"/>
        </w:rPr>
      </w:pPr>
    </w:p>
    <w:p w14:paraId="2361145C" w14:textId="77777777"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Améliorer la productivité et la qualité des transactions dans le cadre du système de Madrid;</w:t>
      </w:r>
    </w:p>
    <w:p w14:paraId="5E56D4E7" w14:textId="77777777" w:rsidR="0010526D" w:rsidRPr="00560C95" w:rsidRDefault="0010526D" w:rsidP="00986700">
      <w:pPr>
        <w:ind w:left="567" w:hanging="567"/>
        <w:jc w:val="both"/>
        <w:rPr>
          <w:rFonts w:cs="Arial"/>
          <w:szCs w:val="20"/>
        </w:rPr>
      </w:pPr>
    </w:p>
    <w:p w14:paraId="443286B2" w14:textId="77777777"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Optimiser l’environnement informatique dans lequel s’inscrivent toutes les opérations menées dans le cadre du système de Madrid, conformément à l’initiative de plateforme mondiale de propriété intellectuelle mise en œuvre à l’échelle de l’Organisation;</w:t>
      </w:r>
    </w:p>
    <w:p w14:paraId="61664044" w14:textId="77777777" w:rsidR="0010526D" w:rsidRPr="00560C95" w:rsidRDefault="0010526D" w:rsidP="00986700">
      <w:pPr>
        <w:ind w:left="567" w:hanging="567"/>
        <w:jc w:val="both"/>
        <w:rPr>
          <w:rFonts w:cs="Arial"/>
          <w:szCs w:val="20"/>
        </w:rPr>
      </w:pPr>
    </w:p>
    <w:p w14:paraId="2ABC563C" w14:textId="24A906A4"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 xml:space="preserve">Concevoir, mettre au point et installer une </w:t>
      </w:r>
      <w:r w:rsidR="00AE7435">
        <w:rPr>
          <w:rFonts w:cs="Arial"/>
          <w:szCs w:val="20"/>
        </w:rPr>
        <w:t xml:space="preserve">nouvelle </w:t>
      </w:r>
      <w:r w:rsidRPr="00560C95">
        <w:rPr>
          <w:rFonts w:cs="Arial"/>
          <w:szCs w:val="20"/>
        </w:rPr>
        <w:t>plateforme informatique pour le système de Madrid</w:t>
      </w:r>
      <w:r w:rsidRPr="00560C95">
        <w:rPr>
          <w:vertAlign w:val="superscript"/>
        </w:rPr>
        <w:footnoteReference w:id="15"/>
      </w:r>
      <w:r w:rsidRPr="00560C95">
        <w:rPr>
          <w:rFonts w:cs="Arial"/>
          <w:szCs w:val="20"/>
        </w:rPr>
        <w:t xml:space="preserve"> afin de favoriser la modernisation et la rationalisation de l’ensemble des fonctions opérationnelles internes et externes du système de Madrid;</w:t>
      </w:r>
    </w:p>
    <w:p w14:paraId="1644F3FF" w14:textId="77777777" w:rsidR="0010526D" w:rsidRPr="00560C95" w:rsidRDefault="0010526D" w:rsidP="00986700">
      <w:pPr>
        <w:ind w:left="567" w:hanging="567"/>
        <w:jc w:val="both"/>
        <w:rPr>
          <w:rFonts w:cs="Arial"/>
          <w:szCs w:val="20"/>
        </w:rPr>
      </w:pPr>
    </w:p>
    <w:p w14:paraId="6E5139F4" w14:textId="00B9F5BD" w:rsidR="0010526D" w:rsidRPr="00560C95" w:rsidRDefault="0010526D" w:rsidP="00616FD3">
      <w:pPr>
        <w:pStyle w:val="ListParagraph"/>
        <w:numPr>
          <w:ilvl w:val="0"/>
          <w:numId w:val="31"/>
        </w:numPr>
        <w:ind w:left="567" w:hanging="567"/>
        <w:jc w:val="both"/>
        <w:rPr>
          <w:rFonts w:cs="Arial"/>
          <w:szCs w:val="20"/>
        </w:rPr>
      </w:pPr>
      <w:r w:rsidRPr="00560C95">
        <w:rPr>
          <w:rFonts w:cs="Arial"/>
          <w:szCs w:val="20"/>
        </w:rPr>
        <w:t>Mettre en place des services d’appui aux clients de pointe offrant une expérience améliorée aux clients et aux utilisateurs (E</w:t>
      </w:r>
      <w:r w:rsidR="00B441CA">
        <w:rPr>
          <w:rFonts w:cs="Arial"/>
          <w:szCs w:val="20"/>
        </w:rPr>
        <w:noBreakHyphen/>
      </w:r>
      <w:r w:rsidRPr="00560C95">
        <w:rPr>
          <w:rFonts w:cs="Arial"/>
          <w:szCs w:val="20"/>
        </w:rPr>
        <w:t>Madrid).</w:t>
      </w:r>
    </w:p>
    <w:p w14:paraId="3D2927F2" w14:textId="77777777" w:rsidR="0010526D" w:rsidRPr="00560C95" w:rsidRDefault="0010526D" w:rsidP="00986700">
      <w:pPr>
        <w:jc w:val="both"/>
        <w:rPr>
          <w:rFonts w:cs="Arial"/>
          <w:szCs w:val="20"/>
        </w:rPr>
      </w:pPr>
    </w:p>
    <w:p w14:paraId="6EEE54BD" w14:textId="77777777" w:rsidR="0010526D" w:rsidRPr="00560C95" w:rsidRDefault="0010526D"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10526D" w:rsidRPr="00560C95" w14:paraId="3C708FD0" w14:textId="77777777" w:rsidTr="0010526D">
        <w:trPr>
          <w:cantSplit/>
        </w:trPr>
        <w:tc>
          <w:tcPr>
            <w:tcW w:w="9571" w:type="dxa"/>
            <w:shd w:val="clear" w:color="auto" w:fill="C6D9F1" w:themeFill="text2" w:themeFillTint="33"/>
            <w:vAlign w:val="center"/>
          </w:tcPr>
          <w:p w14:paraId="53A357EA" w14:textId="1B13EB48" w:rsidR="0010526D" w:rsidRPr="00560C95" w:rsidRDefault="0010526D" w:rsidP="00203A39">
            <w:pPr>
              <w:keepNext/>
              <w:keepLines/>
              <w:jc w:val="center"/>
              <w:rPr>
                <w:rFonts w:eastAsia="Times New Roman" w:cs="Arial"/>
                <w:b/>
                <w:bCs/>
                <w:szCs w:val="20"/>
                <w:lang w:eastAsia="en-US"/>
              </w:rPr>
            </w:pPr>
            <w:r w:rsidRPr="00560C95">
              <w:rPr>
                <w:rFonts w:eastAsia="Times New Roman" w:cs="Arial"/>
                <w:b/>
                <w:bCs/>
                <w:szCs w:val="20"/>
                <w:lang w:eastAsia="en-US"/>
              </w:rPr>
              <w:lastRenderedPageBreak/>
              <w:t xml:space="preserve">Collaboration interprogrammes </w:t>
            </w:r>
          </w:p>
        </w:tc>
      </w:tr>
    </w:tbl>
    <w:p w14:paraId="4549F64E" w14:textId="77777777" w:rsidR="0010526D" w:rsidRPr="00560C95" w:rsidRDefault="0010526D" w:rsidP="005A64E3">
      <w:pPr>
        <w:keepNext/>
        <w:jc w:val="both"/>
        <w:rPr>
          <w:rFonts w:cs="Arial"/>
          <w:szCs w:val="20"/>
        </w:rPr>
      </w:pPr>
    </w:p>
    <w:p w14:paraId="417ADCB6" w14:textId="7F2B04FD" w:rsidR="0010526D" w:rsidRPr="00560C95" w:rsidRDefault="005A64E3" w:rsidP="005A64E3">
      <w:pPr>
        <w:jc w:val="center"/>
        <w:rPr>
          <w:rFonts w:cs="Arial"/>
          <w:szCs w:val="20"/>
        </w:rPr>
      </w:pPr>
      <w:r w:rsidRPr="005A64E3">
        <w:rPr>
          <w:noProof/>
          <w:lang w:val="en-US" w:eastAsia="en-US"/>
        </w:rPr>
        <w:drawing>
          <wp:inline distT="0" distB="0" distL="0" distR="0" wp14:anchorId="1FF70BB8" wp14:editId="26A9BFEF">
            <wp:extent cx="3640719" cy="3600000"/>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0719" cy="3600000"/>
                    </a:xfrm>
                    <a:prstGeom prst="rect">
                      <a:avLst/>
                    </a:prstGeom>
                    <a:noFill/>
                    <a:ln>
                      <a:noFill/>
                    </a:ln>
                  </pic:spPr>
                </pic:pic>
              </a:graphicData>
            </a:graphic>
          </wp:inline>
        </w:drawing>
      </w:r>
    </w:p>
    <w:p w14:paraId="2F3BC7F0" w14:textId="77777777" w:rsidR="0010526D" w:rsidRPr="00560C95" w:rsidRDefault="0010526D"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4640"/>
        <w:gridCol w:w="4647"/>
      </w:tblGrid>
      <w:tr w:rsidR="0010526D" w:rsidRPr="00560C95" w14:paraId="351DF5FB" w14:textId="77777777" w:rsidTr="0010526D">
        <w:trPr>
          <w:cantSplit/>
        </w:trPr>
        <w:tc>
          <w:tcPr>
            <w:tcW w:w="4785" w:type="dxa"/>
            <w:shd w:val="clear" w:color="auto" w:fill="C6D9F1"/>
            <w:tcMar>
              <w:top w:w="57" w:type="dxa"/>
              <w:left w:w="108" w:type="dxa"/>
              <w:bottom w:w="57" w:type="dxa"/>
              <w:right w:w="108" w:type="dxa"/>
            </w:tcMar>
            <w:vAlign w:val="center"/>
            <w:hideMark/>
          </w:tcPr>
          <w:p w14:paraId="2371FD75" w14:textId="77777777" w:rsidR="0010526D" w:rsidRPr="00560C95" w:rsidRDefault="0010526D" w:rsidP="00986700">
            <w:pPr>
              <w:keepNext/>
              <w:jc w:val="center"/>
              <w:rPr>
                <w:rFonts w:eastAsiaTheme="minorHAnsi" w:cs="Arial"/>
                <w:b/>
                <w:bCs/>
                <w:sz w:val="18"/>
                <w:szCs w:val="18"/>
              </w:rPr>
            </w:pPr>
            <w:r w:rsidRPr="00560C95">
              <w:rPr>
                <w:rFonts w:cs="Arial"/>
                <w:b/>
                <w:bCs/>
                <w:sz w:val="18"/>
                <w:szCs w:val="18"/>
              </w:rPr>
              <w:t>Risques</w:t>
            </w:r>
          </w:p>
        </w:tc>
        <w:tc>
          <w:tcPr>
            <w:tcW w:w="4786" w:type="dxa"/>
            <w:shd w:val="clear" w:color="auto" w:fill="C6D9F1"/>
            <w:tcMar>
              <w:top w:w="57" w:type="dxa"/>
              <w:left w:w="108" w:type="dxa"/>
              <w:bottom w:w="57" w:type="dxa"/>
              <w:right w:w="108" w:type="dxa"/>
            </w:tcMar>
            <w:vAlign w:val="center"/>
            <w:hideMark/>
          </w:tcPr>
          <w:p w14:paraId="67153EFA" w14:textId="77777777" w:rsidR="0010526D" w:rsidRPr="00560C95" w:rsidRDefault="0010526D" w:rsidP="00986700">
            <w:pPr>
              <w:keepNext/>
              <w:jc w:val="center"/>
              <w:rPr>
                <w:rFonts w:eastAsiaTheme="minorHAnsi" w:cs="Arial"/>
                <w:b/>
                <w:bCs/>
                <w:sz w:val="18"/>
                <w:szCs w:val="18"/>
              </w:rPr>
            </w:pPr>
            <w:r w:rsidRPr="00560C95">
              <w:rPr>
                <w:rFonts w:cs="Arial"/>
                <w:b/>
                <w:bCs/>
                <w:sz w:val="18"/>
                <w:szCs w:val="18"/>
              </w:rPr>
              <w:t>Mesures d’atténuation</w:t>
            </w:r>
          </w:p>
        </w:tc>
      </w:tr>
      <w:tr w:rsidR="0010526D" w:rsidRPr="00560C95" w14:paraId="7A770A6D" w14:textId="77777777" w:rsidTr="0010526D">
        <w:trPr>
          <w:cantSplit/>
        </w:trPr>
        <w:tc>
          <w:tcPr>
            <w:tcW w:w="4785" w:type="dxa"/>
            <w:tcMar>
              <w:top w:w="57" w:type="dxa"/>
              <w:left w:w="108" w:type="dxa"/>
              <w:bottom w:w="57" w:type="dxa"/>
              <w:right w:w="108" w:type="dxa"/>
            </w:tcMar>
            <w:hideMark/>
          </w:tcPr>
          <w:p w14:paraId="59726D02" w14:textId="77777777" w:rsidR="0010526D" w:rsidRPr="00560C95" w:rsidRDefault="0010526D" w:rsidP="00986700">
            <w:pPr>
              <w:rPr>
                <w:rFonts w:eastAsiaTheme="minorHAnsi" w:cs="Arial"/>
                <w:sz w:val="16"/>
                <w:szCs w:val="16"/>
              </w:rPr>
            </w:pPr>
            <w:r w:rsidRPr="00560C95">
              <w:rPr>
                <w:rFonts w:cs="Arial"/>
                <w:sz w:val="16"/>
                <w:szCs w:val="16"/>
              </w:rPr>
              <w:t>Compte tenu de la complexité inhérente au système ou de l’incapacité de traiter les demandes de services en temps voulu, les déposants pourraient préférer la voie nationale dans certaines parties contractantes.</w:t>
            </w:r>
          </w:p>
        </w:tc>
        <w:tc>
          <w:tcPr>
            <w:tcW w:w="4786" w:type="dxa"/>
            <w:tcMar>
              <w:top w:w="57" w:type="dxa"/>
              <w:left w:w="108" w:type="dxa"/>
              <w:bottom w:w="57" w:type="dxa"/>
              <w:right w:w="108" w:type="dxa"/>
            </w:tcMar>
          </w:tcPr>
          <w:p w14:paraId="15CCC2DE" w14:textId="77777777" w:rsidR="0010526D" w:rsidRPr="00560C95" w:rsidRDefault="0010526D" w:rsidP="00986700">
            <w:pPr>
              <w:rPr>
                <w:rFonts w:eastAsiaTheme="minorHAnsi" w:cs="Arial"/>
                <w:sz w:val="16"/>
                <w:szCs w:val="16"/>
              </w:rPr>
            </w:pPr>
            <w:r w:rsidRPr="00560C95">
              <w:rPr>
                <w:rFonts w:cs="Arial"/>
                <w:sz w:val="16"/>
                <w:szCs w:val="16"/>
              </w:rPr>
              <w:t>Continuer de renforcer l’efficacité du système de Madrid grâce à des ajustements juridiques et pratiques qui faciliteront l’obtention de la protection des marques dans toutes les parties contractantes désignées.</w:t>
            </w:r>
          </w:p>
          <w:p w14:paraId="6B5C69A8" w14:textId="77777777" w:rsidR="0010526D" w:rsidRPr="00560C95" w:rsidRDefault="0010526D" w:rsidP="00986700">
            <w:pPr>
              <w:rPr>
                <w:rFonts w:cs="Arial"/>
                <w:sz w:val="16"/>
                <w:szCs w:val="16"/>
              </w:rPr>
            </w:pPr>
          </w:p>
          <w:p w14:paraId="534E35E9" w14:textId="77777777" w:rsidR="0010526D" w:rsidRPr="00560C95" w:rsidRDefault="0010526D" w:rsidP="00986700">
            <w:pPr>
              <w:rPr>
                <w:rFonts w:eastAsiaTheme="minorHAnsi" w:cs="Arial"/>
                <w:b/>
                <w:bCs/>
                <w:i/>
                <w:iCs/>
                <w:sz w:val="16"/>
                <w:szCs w:val="16"/>
              </w:rPr>
            </w:pPr>
            <w:r w:rsidRPr="00560C95">
              <w:rPr>
                <w:rFonts w:cs="Arial"/>
                <w:sz w:val="16"/>
                <w:szCs w:val="16"/>
              </w:rPr>
              <w:t>Encourager de nouvelles adhésions dans les grands pays et régions.</w:t>
            </w:r>
          </w:p>
        </w:tc>
      </w:tr>
      <w:tr w:rsidR="0010526D" w:rsidRPr="00560C95" w14:paraId="063858A1" w14:textId="77777777" w:rsidTr="0010526D">
        <w:trPr>
          <w:cantSplit/>
        </w:trPr>
        <w:tc>
          <w:tcPr>
            <w:tcW w:w="4785" w:type="dxa"/>
            <w:tcMar>
              <w:top w:w="57" w:type="dxa"/>
              <w:left w:w="108" w:type="dxa"/>
              <w:bottom w:w="57" w:type="dxa"/>
              <w:right w:w="108" w:type="dxa"/>
            </w:tcMar>
            <w:hideMark/>
          </w:tcPr>
          <w:p w14:paraId="43D7EF2F" w14:textId="77777777" w:rsidR="0010526D" w:rsidRPr="00560C95" w:rsidRDefault="0010526D" w:rsidP="00986700">
            <w:pPr>
              <w:rPr>
                <w:rFonts w:eastAsiaTheme="minorHAnsi" w:cs="Arial"/>
                <w:sz w:val="16"/>
                <w:szCs w:val="16"/>
              </w:rPr>
            </w:pPr>
            <w:r w:rsidRPr="00560C95">
              <w:rPr>
                <w:rFonts w:cs="Arial"/>
                <w:sz w:val="16"/>
                <w:szCs w:val="16"/>
              </w:rPr>
              <w:t xml:space="preserve">En raison de l’incapacité des systèmes informatiques du système de Madrid d’assurer la mise en œuvre de tous les processus avec un niveau de qualité suffisant, l’insatisfaction croissante des clients pourrait nuire à l’attractivité du système et donc à son utilisation.  </w:t>
            </w:r>
          </w:p>
        </w:tc>
        <w:tc>
          <w:tcPr>
            <w:tcW w:w="4786" w:type="dxa"/>
            <w:tcMar>
              <w:top w:w="57" w:type="dxa"/>
              <w:left w:w="108" w:type="dxa"/>
              <w:bottom w:w="57" w:type="dxa"/>
              <w:right w:w="108" w:type="dxa"/>
            </w:tcMar>
          </w:tcPr>
          <w:p w14:paraId="4DFFB404" w14:textId="77777777" w:rsidR="0010526D" w:rsidRPr="00560C95" w:rsidRDefault="0010526D" w:rsidP="00986700">
            <w:pPr>
              <w:rPr>
                <w:rFonts w:eastAsiaTheme="minorHAnsi" w:cs="Arial"/>
                <w:sz w:val="16"/>
                <w:szCs w:val="16"/>
              </w:rPr>
            </w:pPr>
            <w:r w:rsidRPr="00560C95">
              <w:rPr>
                <w:rFonts w:cs="Arial"/>
                <w:sz w:val="16"/>
                <w:szCs w:val="16"/>
              </w:rPr>
              <w:t>Proposer à l’Assemblée de l’Union de Madrid de mettre au point une nouvelle plateforme informatique pour le système de Madrid, offrant une base de données et des fonctions de communication de pointe.</w:t>
            </w:r>
          </w:p>
          <w:p w14:paraId="65A9E467" w14:textId="77777777" w:rsidR="0010526D" w:rsidRPr="00560C95" w:rsidRDefault="0010526D" w:rsidP="00986700">
            <w:pPr>
              <w:rPr>
                <w:rFonts w:cs="Arial"/>
                <w:sz w:val="16"/>
                <w:szCs w:val="16"/>
              </w:rPr>
            </w:pPr>
          </w:p>
          <w:p w14:paraId="41AC3349" w14:textId="77777777" w:rsidR="0010526D" w:rsidRPr="00560C95" w:rsidRDefault="0010526D" w:rsidP="00986700">
            <w:pPr>
              <w:rPr>
                <w:rFonts w:eastAsiaTheme="minorHAnsi" w:cs="Arial"/>
                <w:b/>
                <w:bCs/>
                <w:i/>
                <w:iCs/>
                <w:sz w:val="16"/>
                <w:szCs w:val="16"/>
              </w:rPr>
            </w:pPr>
            <w:r w:rsidRPr="00560C95">
              <w:rPr>
                <w:rFonts w:cs="Arial"/>
                <w:sz w:val="16"/>
                <w:szCs w:val="16"/>
              </w:rPr>
              <w:t>Améliorer la pertinence des compétences du personnel;  améliorer la qualité et la cohérence de l’appui fourni dans le cadre des procédures opérationnelles des systèmes informatiques du système de Madrid;  renforcer davantage les procédures de contrôle de la qualité;  dispenser une formation et fournir une assistance.</w:t>
            </w:r>
          </w:p>
        </w:tc>
      </w:tr>
    </w:tbl>
    <w:p w14:paraId="3AACDB8D" w14:textId="77777777" w:rsidR="0010526D" w:rsidRPr="00560C95" w:rsidRDefault="0010526D" w:rsidP="00986700">
      <w:pPr>
        <w:rPr>
          <w:rFonts w:cs="Arial"/>
          <w:szCs w:val="20"/>
        </w:rPr>
      </w:pPr>
    </w:p>
    <w:p w14:paraId="146F7981" w14:textId="77777777" w:rsidR="0010526D" w:rsidRPr="00560C95" w:rsidRDefault="0010526D" w:rsidP="00986700">
      <w:pPr>
        <w:jc w:val="both"/>
        <w:rPr>
          <w:rFonts w:cs="Arial"/>
          <w:szCs w:val="20"/>
        </w:rPr>
      </w:pPr>
    </w:p>
    <w:tbl>
      <w:tblPr>
        <w:tblW w:w="5000" w:type="pct"/>
        <w:tblLayout w:type="fixed"/>
        <w:tblCellMar>
          <w:top w:w="57" w:type="dxa"/>
          <w:bottom w:w="57" w:type="dxa"/>
        </w:tblCellMar>
        <w:tblLook w:val="04A0" w:firstRow="1" w:lastRow="0" w:firstColumn="1" w:lastColumn="0" w:noHBand="0" w:noVBand="1"/>
      </w:tblPr>
      <w:tblGrid>
        <w:gridCol w:w="2321"/>
        <w:gridCol w:w="2322"/>
        <w:gridCol w:w="2322"/>
        <w:gridCol w:w="2322"/>
      </w:tblGrid>
      <w:tr w:rsidR="0010526D" w:rsidRPr="00560C95" w14:paraId="189AC37F" w14:textId="77777777" w:rsidTr="0010526D">
        <w:trPr>
          <w:cantSplit/>
          <w:tblHeader/>
        </w:trPr>
        <w:tc>
          <w:tcPr>
            <w:tcW w:w="2392" w:type="dxa"/>
            <w:shd w:val="clear" w:color="000000" w:fill="C5D9F1"/>
            <w:tcMar>
              <w:top w:w="57" w:type="dxa"/>
              <w:bottom w:w="57" w:type="dxa"/>
            </w:tcMar>
            <w:vAlign w:val="center"/>
            <w:hideMark/>
          </w:tcPr>
          <w:p w14:paraId="13951612" w14:textId="77777777" w:rsidR="0010526D" w:rsidRPr="00560C95" w:rsidRDefault="0010526D" w:rsidP="00986700">
            <w:pPr>
              <w:keepNext/>
              <w:jc w:val="center"/>
              <w:rPr>
                <w:rFonts w:eastAsia="Times New Roman" w:cs="Arial"/>
                <w:b/>
                <w:bCs/>
                <w:color w:val="000000"/>
                <w:sz w:val="18"/>
                <w:szCs w:val="18"/>
                <w:lang w:eastAsia="en-US"/>
              </w:rPr>
            </w:pPr>
            <w:r w:rsidRPr="00560C95">
              <w:rPr>
                <w:rFonts w:eastAsia="Times New Roman" w:cs="Arial"/>
                <w:b/>
                <w:bCs/>
                <w:color w:val="000000"/>
                <w:sz w:val="18"/>
                <w:szCs w:val="18"/>
                <w:lang w:eastAsia="en-US"/>
              </w:rPr>
              <w:t>Résultat escompté</w:t>
            </w:r>
          </w:p>
        </w:tc>
        <w:tc>
          <w:tcPr>
            <w:tcW w:w="2393" w:type="dxa"/>
            <w:shd w:val="clear" w:color="000000" w:fill="C5D9F1"/>
            <w:tcMar>
              <w:top w:w="57" w:type="dxa"/>
              <w:bottom w:w="57" w:type="dxa"/>
            </w:tcMar>
            <w:vAlign w:val="center"/>
            <w:hideMark/>
          </w:tcPr>
          <w:p w14:paraId="597C5999" w14:textId="77777777" w:rsidR="0010526D" w:rsidRPr="00560C95" w:rsidRDefault="0010526D" w:rsidP="00986700">
            <w:pPr>
              <w:keepNext/>
              <w:jc w:val="center"/>
              <w:rPr>
                <w:rFonts w:eastAsia="Times New Roman" w:cs="Arial"/>
                <w:b/>
                <w:bCs/>
                <w:color w:val="000000"/>
                <w:sz w:val="18"/>
                <w:szCs w:val="18"/>
                <w:lang w:eastAsia="en-US"/>
              </w:rPr>
            </w:pPr>
            <w:r w:rsidRPr="00560C95">
              <w:rPr>
                <w:rFonts w:eastAsia="Times New Roman" w:cs="Arial"/>
                <w:b/>
                <w:bCs/>
                <w:color w:val="000000"/>
                <w:sz w:val="18"/>
                <w:szCs w:val="18"/>
                <w:lang w:eastAsia="en-US"/>
              </w:rPr>
              <w:t>Indicateurs d’exécution</w:t>
            </w:r>
          </w:p>
        </w:tc>
        <w:tc>
          <w:tcPr>
            <w:tcW w:w="2393" w:type="dxa"/>
            <w:shd w:val="clear" w:color="000000" w:fill="C5D9F1"/>
            <w:tcMar>
              <w:top w:w="57" w:type="dxa"/>
              <w:bottom w:w="57" w:type="dxa"/>
            </w:tcMar>
            <w:vAlign w:val="center"/>
            <w:hideMark/>
          </w:tcPr>
          <w:p w14:paraId="1286311B" w14:textId="77777777" w:rsidR="0010526D" w:rsidRPr="00560C95" w:rsidRDefault="0010526D" w:rsidP="00986700">
            <w:pPr>
              <w:keepNext/>
              <w:jc w:val="center"/>
              <w:rPr>
                <w:rFonts w:eastAsia="Times New Roman" w:cs="Arial"/>
                <w:b/>
                <w:bCs/>
                <w:color w:val="000000"/>
                <w:sz w:val="18"/>
                <w:szCs w:val="18"/>
                <w:lang w:eastAsia="en-US"/>
              </w:rPr>
            </w:pPr>
            <w:r w:rsidRPr="00560C95">
              <w:rPr>
                <w:rFonts w:eastAsia="Times New Roman" w:cs="Arial"/>
                <w:b/>
                <w:bCs/>
                <w:color w:val="000000"/>
                <w:sz w:val="18"/>
                <w:szCs w:val="18"/>
                <w:lang w:eastAsia="en-US"/>
              </w:rPr>
              <w:t>Niveaux de référence</w:t>
            </w:r>
          </w:p>
        </w:tc>
        <w:tc>
          <w:tcPr>
            <w:tcW w:w="2393" w:type="dxa"/>
            <w:shd w:val="clear" w:color="000000" w:fill="C5D9F1"/>
            <w:tcMar>
              <w:top w:w="57" w:type="dxa"/>
              <w:bottom w:w="57" w:type="dxa"/>
            </w:tcMar>
            <w:vAlign w:val="center"/>
            <w:hideMark/>
          </w:tcPr>
          <w:p w14:paraId="41168936" w14:textId="77777777" w:rsidR="0010526D" w:rsidRPr="00560C95" w:rsidRDefault="0010526D" w:rsidP="00986700">
            <w:pPr>
              <w:keepNext/>
              <w:jc w:val="center"/>
              <w:rPr>
                <w:rFonts w:eastAsia="Times New Roman" w:cs="Arial"/>
                <w:b/>
                <w:bCs/>
                <w:color w:val="000000"/>
                <w:sz w:val="18"/>
                <w:szCs w:val="18"/>
                <w:lang w:eastAsia="en-US"/>
              </w:rPr>
            </w:pPr>
            <w:r w:rsidRPr="00560C95">
              <w:rPr>
                <w:rFonts w:eastAsia="Times New Roman" w:cs="Arial"/>
                <w:b/>
                <w:bCs/>
                <w:color w:val="000000"/>
                <w:sz w:val="18"/>
                <w:szCs w:val="18"/>
                <w:lang w:eastAsia="en-US"/>
              </w:rPr>
              <w:t>Objectifs visés</w:t>
            </w:r>
          </w:p>
        </w:tc>
      </w:tr>
      <w:tr w:rsidR="0010526D" w:rsidRPr="00560C95" w14:paraId="309C450B" w14:textId="77777777" w:rsidTr="0010526D">
        <w:trPr>
          <w:cantSplit/>
        </w:trPr>
        <w:tc>
          <w:tcPr>
            <w:tcW w:w="2392" w:type="dxa"/>
            <w:shd w:val="clear" w:color="000000" w:fill="FFFFFF"/>
            <w:tcMar>
              <w:bottom w:w="57" w:type="dxa"/>
            </w:tcMar>
            <w:hideMark/>
          </w:tcPr>
          <w:p w14:paraId="044AA1AD"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II.5 Utilisation élargie et plus efficace du système de Madrid, notamment par les pays en développement et les PMA</w:t>
            </w:r>
          </w:p>
        </w:tc>
        <w:tc>
          <w:tcPr>
            <w:tcW w:w="2393" w:type="dxa"/>
            <w:shd w:val="clear" w:color="000000" w:fill="FFFFFF"/>
            <w:tcMar>
              <w:bottom w:w="57" w:type="dxa"/>
            </w:tcMar>
            <w:hideMark/>
          </w:tcPr>
          <w:p w14:paraId="3E2928B7"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Nombre total de membres du système de Madrid</w:t>
            </w:r>
          </w:p>
        </w:tc>
        <w:tc>
          <w:tcPr>
            <w:tcW w:w="2393" w:type="dxa"/>
            <w:shd w:val="clear" w:color="000000" w:fill="FFFFFF"/>
            <w:tcMar>
              <w:bottom w:w="57" w:type="dxa"/>
            </w:tcMar>
            <w:hideMark/>
          </w:tcPr>
          <w:p w14:paraId="4C0BB72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98 membres (en février 2017)</w:t>
            </w:r>
          </w:p>
        </w:tc>
        <w:tc>
          <w:tcPr>
            <w:tcW w:w="2393" w:type="dxa"/>
            <w:shd w:val="clear" w:color="000000" w:fill="FFFFFF"/>
            <w:tcMar>
              <w:bottom w:w="57" w:type="dxa"/>
            </w:tcMar>
            <w:hideMark/>
          </w:tcPr>
          <w:p w14:paraId="787EB96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110 membres (à la fin de 2019)</w:t>
            </w:r>
          </w:p>
        </w:tc>
      </w:tr>
      <w:tr w:rsidR="0010526D" w:rsidRPr="00560C95" w14:paraId="6CA7AEE4" w14:textId="77777777" w:rsidTr="0010526D">
        <w:trPr>
          <w:cantSplit/>
        </w:trPr>
        <w:tc>
          <w:tcPr>
            <w:tcW w:w="2392" w:type="dxa"/>
            <w:shd w:val="clear" w:color="000000" w:fill="FFFFFF"/>
            <w:tcMar>
              <w:bottom w:w="57" w:type="dxa"/>
            </w:tcMar>
            <w:vAlign w:val="bottom"/>
            <w:hideMark/>
          </w:tcPr>
          <w:p w14:paraId="7611848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1916C8A0"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Taux de dépôt</w:t>
            </w:r>
          </w:p>
        </w:tc>
        <w:tc>
          <w:tcPr>
            <w:tcW w:w="2393" w:type="dxa"/>
            <w:shd w:val="clear" w:color="000000" w:fill="FFFFFF"/>
            <w:tcMar>
              <w:bottom w:w="57" w:type="dxa"/>
            </w:tcMar>
            <w:hideMark/>
          </w:tcPr>
          <w:p w14:paraId="1A1B6CD5"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2016 : 52 550 demandes déposées</w:t>
            </w:r>
          </w:p>
        </w:tc>
        <w:tc>
          <w:tcPr>
            <w:tcW w:w="2393" w:type="dxa"/>
            <w:shd w:val="clear" w:color="000000" w:fill="FFFFFF"/>
            <w:tcMar>
              <w:bottom w:w="57" w:type="dxa"/>
            </w:tcMar>
            <w:hideMark/>
          </w:tcPr>
          <w:p w14:paraId="292ADE87"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4% de croissance par an</w:t>
            </w:r>
          </w:p>
        </w:tc>
      </w:tr>
      <w:tr w:rsidR="0010526D" w:rsidRPr="00560C95" w14:paraId="37DA8918" w14:textId="77777777" w:rsidTr="0010526D">
        <w:trPr>
          <w:cantSplit/>
        </w:trPr>
        <w:tc>
          <w:tcPr>
            <w:tcW w:w="2392" w:type="dxa"/>
            <w:shd w:val="clear" w:color="000000" w:fill="FFFFFF"/>
            <w:tcMar>
              <w:bottom w:w="57" w:type="dxa"/>
            </w:tcMar>
            <w:vAlign w:val="bottom"/>
            <w:hideMark/>
          </w:tcPr>
          <w:p w14:paraId="77ED567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671AF3D0"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Enregistrements</w:t>
            </w:r>
          </w:p>
        </w:tc>
        <w:tc>
          <w:tcPr>
            <w:tcW w:w="2393" w:type="dxa"/>
            <w:shd w:val="clear" w:color="000000" w:fill="FFFFFF"/>
            <w:tcMar>
              <w:bottom w:w="57" w:type="dxa"/>
            </w:tcMar>
            <w:hideMark/>
          </w:tcPr>
          <w:p w14:paraId="100851A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2016 : 44 726 </w:t>
            </w:r>
          </w:p>
        </w:tc>
        <w:tc>
          <w:tcPr>
            <w:tcW w:w="2393" w:type="dxa"/>
            <w:shd w:val="clear" w:color="000000" w:fill="FFFFFF"/>
            <w:tcMar>
              <w:bottom w:w="57" w:type="dxa"/>
            </w:tcMar>
            <w:hideMark/>
          </w:tcPr>
          <w:p w14:paraId="2A31140A"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 : 54 524</w:t>
            </w:r>
            <w:r w:rsidRPr="00560C95">
              <w:rPr>
                <w:rFonts w:eastAsia="Times New Roman" w:cs="Arial"/>
                <w:color w:val="000000"/>
                <w:sz w:val="16"/>
                <w:szCs w:val="16"/>
                <w:lang w:eastAsia="en-US"/>
              </w:rPr>
              <w:br/>
              <w:t>2019 : 56 638</w:t>
            </w:r>
          </w:p>
        </w:tc>
      </w:tr>
      <w:tr w:rsidR="0010526D" w:rsidRPr="00560C95" w14:paraId="72FB8378" w14:textId="77777777" w:rsidTr="0010526D">
        <w:trPr>
          <w:cantSplit/>
        </w:trPr>
        <w:tc>
          <w:tcPr>
            <w:tcW w:w="2392" w:type="dxa"/>
            <w:shd w:val="clear" w:color="000000" w:fill="FFFFFF"/>
            <w:tcMar>
              <w:bottom w:w="57" w:type="dxa"/>
            </w:tcMar>
            <w:vAlign w:val="bottom"/>
            <w:hideMark/>
          </w:tcPr>
          <w:p w14:paraId="55CA1FCE"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4633039E"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Renouvellements</w:t>
            </w:r>
          </w:p>
        </w:tc>
        <w:tc>
          <w:tcPr>
            <w:tcW w:w="2393" w:type="dxa"/>
            <w:shd w:val="clear" w:color="000000" w:fill="FFFFFF"/>
            <w:tcMar>
              <w:bottom w:w="57" w:type="dxa"/>
            </w:tcMar>
            <w:hideMark/>
          </w:tcPr>
          <w:p w14:paraId="2E1E9FD0" w14:textId="4FCE81AD" w:rsidR="0010526D" w:rsidRPr="00560C95" w:rsidRDefault="0010526D" w:rsidP="00203A39">
            <w:pPr>
              <w:rPr>
                <w:rFonts w:eastAsia="Times New Roman" w:cs="Arial"/>
                <w:color w:val="000000"/>
                <w:sz w:val="16"/>
                <w:szCs w:val="16"/>
                <w:lang w:eastAsia="en-US"/>
              </w:rPr>
            </w:pPr>
            <w:r w:rsidRPr="00560C95">
              <w:rPr>
                <w:rFonts w:eastAsia="Times New Roman" w:cs="Arial"/>
                <w:color w:val="000000"/>
                <w:sz w:val="16"/>
                <w:szCs w:val="16"/>
                <w:lang w:eastAsia="en-US"/>
              </w:rPr>
              <w:t xml:space="preserve">2016 : </w:t>
            </w:r>
            <w:r w:rsidR="00203A39">
              <w:rPr>
                <w:rFonts w:eastAsia="Times New Roman" w:cs="Arial"/>
                <w:color w:val="000000"/>
                <w:sz w:val="16"/>
                <w:szCs w:val="16"/>
                <w:lang w:eastAsia="en-US"/>
              </w:rPr>
              <w:t>30 103</w:t>
            </w:r>
            <w:r w:rsidRPr="00560C95">
              <w:rPr>
                <w:rFonts w:eastAsia="Times New Roman" w:cs="Arial"/>
                <w:color w:val="000000"/>
                <w:sz w:val="16"/>
                <w:szCs w:val="16"/>
                <w:lang w:eastAsia="en-US"/>
              </w:rPr>
              <w:t xml:space="preserve"> </w:t>
            </w:r>
          </w:p>
        </w:tc>
        <w:tc>
          <w:tcPr>
            <w:tcW w:w="2393" w:type="dxa"/>
            <w:shd w:val="clear" w:color="000000" w:fill="FFFFFF"/>
            <w:tcMar>
              <w:bottom w:w="57" w:type="dxa"/>
            </w:tcMar>
            <w:hideMark/>
          </w:tcPr>
          <w:p w14:paraId="67E5B91D"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 : 33 300</w:t>
            </w:r>
            <w:r w:rsidRPr="00560C95">
              <w:rPr>
                <w:rFonts w:eastAsia="Times New Roman" w:cs="Arial"/>
                <w:color w:val="000000"/>
                <w:sz w:val="16"/>
                <w:szCs w:val="16"/>
                <w:lang w:eastAsia="en-US"/>
              </w:rPr>
              <w:br/>
              <w:t>2019 : 34 890</w:t>
            </w:r>
          </w:p>
        </w:tc>
      </w:tr>
      <w:tr w:rsidR="0010526D" w:rsidRPr="00560C95" w14:paraId="245D7B00" w14:textId="77777777" w:rsidTr="0010526D">
        <w:trPr>
          <w:cantSplit/>
        </w:trPr>
        <w:tc>
          <w:tcPr>
            <w:tcW w:w="2392" w:type="dxa"/>
            <w:shd w:val="clear" w:color="000000" w:fill="FFFFFF"/>
            <w:tcMar>
              <w:bottom w:w="57" w:type="dxa"/>
            </w:tcMar>
            <w:vAlign w:val="bottom"/>
            <w:hideMark/>
          </w:tcPr>
          <w:p w14:paraId="35EF8F0D"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424FB45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Nombre total d’enregistrements internationaux en vigueur</w:t>
            </w:r>
          </w:p>
        </w:tc>
        <w:tc>
          <w:tcPr>
            <w:tcW w:w="2393" w:type="dxa"/>
            <w:shd w:val="clear" w:color="000000" w:fill="FFFFFF"/>
            <w:tcMar>
              <w:bottom w:w="57" w:type="dxa"/>
            </w:tcMar>
            <w:hideMark/>
          </w:tcPr>
          <w:p w14:paraId="06C59C6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2016 : 641 587 </w:t>
            </w:r>
          </w:p>
        </w:tc>
        <w:tc>
          <w:tcPr>
            <w:tcW w:w="2393" w:type="dxa"/>
            <w:shd w:val="clear" w:color="000000" w:fill="FFFFFF"/>
            <w:tcMar>
              <w:bottom w:w="57" w:type="dxa"/>
            </w:tcMar>
            <w:hideMark/>
          </w:tcPr>
          <w:p w14:paraId="660D395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 : 675 000</w:t>
            </w:r>
            <w:r w:rsidRPr="00560C95">
              <w:rPr>
                <w:rFonts w:eastAsia="Times New Roman" w:cs="Arial"/>
                <w:color w:val="000000"/>
                <w:sz w:val="16"/>
                <w:szCs w:val="16"/>
                <w:lang w:eastAsia="en-US"/>
              </w:rPr>
              <w:br/>
              <w:t>2019 : 695 000</w:t>
            </w:r>
          </w:p>
        </w:tc>
      </w:tr>
      <w:tr w:rsidR="0010526D" w:rsidRPr="00560C95" w14:paraId="2E751850" w14:textId="77777777" w:rsidTr="0010526D">
        <w:trPr>
          <w:cantSplit/>
        </w:trPr>
        <w:tc>
          <w:tcPr>
            <w:tcW w:w="2392" w:type="dxa"/>
            <w:shd w:val="clear" w:color="000000" w:fill="FFFFFF"/>
            <w:tcMar>
              <w:bottom w:w="57" w:type="dxa"/>
            </w:tcMar>
            <w:vAlign w:val="bottom"/>
            <w:hideMark/>
          </w:tcPr>
          <w:p w14:paraId="314471EA"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lastRenderedPageBreak/>
              <w:t> </w:t>
            </w:r>
          </w:p>
        </w:tc>
        <w:tc>
          <w:tcPr>
            <w:tcW w:w="2393" w:type="dxa"/>
            <w:shd w:val="clear" w:color="000000" w:fill="FFFFFF"/>
            <w:tcMar>
              <w:bottom w:w="57" w:type="dxa"/>
            </w:tcMar>
            <w:hideMark/>
          </w:tcPr>
          <w:p w14:paraId="29D2D95A"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Nombre total de désignations</w:t>
            </w:r>
          </w:p>
        </w:tc>
        <w:tc>
          <w:tcPr>
            <w:tcW w:w="2393" w:type="dxa"/>
            <w:shd w:val="clear" w:color="000000" w:fill="FFFFFF"/>
            <w:tcMar>
              <w:bottom w:w="57" w:type="dxa"/>
            </w:tcMar>
            <w:hideMark/>
          </w:tcPr>
          <w:p w14:paraId="18E92624"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2016 : 5,69 millions </w:t>
            </w:r>
          </w:p>
        </w:tc>
        <w:tc>
          <w:tcPr>
            <w:tcW w:w="2393" w:type="dxa"/>
            <w:shd w:val="clear" w:color="000000" w:fill="FFFFFF"/>
            <w:tcMar>
              <w:bottom w:w="57" w:type="dxa"/>
            </w:tcMar>
            <w:hideMark/>
          </w:tcPr>
          <w:p w14:paraId="436901C1"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 : 5,79 millions</w:t>
            </w:r>
            <w:r w:rsidRPr="00560C95">
              <w:rPr>
                <w:rFonts w:eastAsia="Times New Roman" w:cs="Arial"/>
                <w:color w:val="000000"/>
                <w:sz w:val="16"/>
                <w:szCs w:val="16"/>
                <w:lang w:eastAsia="en-US"/>
              </w:rPr>
              <w:br/>
              <w:t>2019 : 5,81 millions</w:t>
            </w:r>
          </w:p>
        </w:tc>
      </w:tr>
      <w:tr w:rsidR="0010526D" w:rsidRPr="00560C95" w14:paraId="7297642E" w14:textId="77777777" w:rsidTr="0010526D">
        <w:trPr>
          <w:cantSplit/>
        </w:trPr>
        <w:tc>
          <w:tcPr>
            <w:tcW w:w="2392" w:type="dxa"/>
            <w:shd w:val="clear" w:color="000000" w:fill="FFFFFF"/>
            <w:tcMar>
              <w:bottom w:w="57" w:type="dxa"/>
            </w:tcMar>
            <w:vAlign w:val="bottom"/>
            <w:hideMark/>
          </w:tcPr>
          <w:p w14:paraId="5D328EAD"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779865FA"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Irrégularités concernant le classement (règles 12 et 13) </w:t>
            </w:r>
          </w:p>
        </w:tc>
        <w:tc>
          <w:tcPr>
            <w:tcW w:w="2393" w:type="dxa"/>
            <w:shd w:val="clear" w:color="000000" w:fill="FFFFFF"/>
            <w:tcMar>
              <w:bottom w:w="57" w:type="dxa"/>
            </w:tcMar>
            <w:hideMark/>
          </w:tcPr>
          <w:p w14:paraId="2C8D0D9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2016 : 38%</w:t>
            </w:r>
          </w:p>
        </w:tc>
        <w:tc>
          <w:tcPr>
            <w:tcW w:w="2393" w:type="dxa"/>
            <w:shd w:val="clear" w:color="000000" w:fill="FFFFFF"/>
            <w:tcMar>
              <w:bottom w:w="57" w:type="dxa"/>
            </w:tcMar>
            <w:hideMark/>
          </w:tcPr>
          <w:p w14:paraId="3A4E8D81"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 : 29%</w:t>
            </w:r>
            <w:r w:rsidRPr="00560C95">
              <w:rPr>
                <w:rFonts w:eastAsia="Times New Roman" w:cs="Arial"/>
                <w:color w:val="000000"/>
                <w:sz w:val="16"/>
                <w:szCs w:val="16"/>
                <w:lang w:eastAsia="en-US"/>
              </w:rPr>
              <w:br/>
              <w:t>2019 : 28%</w:t>
            </w:r>
          </w:p>
        </w:tc>
      </w:tr>
      <w:tr w:rsidR="0010526D" w:rsidRPr="00560C95" w14:paraId="0C8D2E40" w14:textId="77777777" w:rsidTr="0010526D">
        <w:trPr>
          <w:cantSplit/>
        </w:trPr>
        <w:tc>
          <w:tcPr>
            <w:tcW w:w="2392" w:type="dxa"/>
            <w:shd w:val="clear" w:color="000000" w:fill="FFFFFF"/>
            <w:tcMar>
              <w:bottom w:w="57" w:type="dxa"/>
            </w:tcMar>
            <w:hideMark/>
          </w:tcPr>
          <w:p w14:paraId="34EB1C24"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II.6 Amélioration de la productivité et de la qualité de service des opérations du système de Madrid</w:t>
            </w:r>
          </w:p>
        </w:tc>
        <w:tc>
          <w:tcPr>
            <w:tcW w:w="2393" w:type="dxa"/>
            <w:shd w:val="clear" w:color="000000" w:fill="FFFFFF"/>
            <w:tcMar>
              <w:bottom w:w="57" w:type="dxa"/>
            </w:tcMar>
            <w:hideMark/>
          </w:tcPr>
          <w:p w14:paraId="3AA36C6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Améliorations fonctionnelles du système de Madrid</w:t>
            </w:r>
          </w:p>
        </w:tc>
        <w:tc>
          <w:tcPr>
            <w:tcW w:w="2393" w:type="dxa"/>
            <w:shd w:val="clear" w:color="000000" w:fill="FFFFFF"/>
            <w:tcMar>
              <w:bottom w:w="57" w:type="dxa"/>
            </w:tcMar>
            <w:hideMark/>
          </w:tcPr>
          <w:p w14:paraId="2A830875"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Règlement d’exécution commun et instructions administratives en vigueur au 31 décembre 2016</w:t>
            </w:r>
            <w:r w:rsidRPr="00560C95">
              <w:rPr>
                <w:rFonts w:eastAsia="Times New Roman" w:cs="Arial"/>
                <w:color w:val="000000"/>
                <w:sz w:val="16"/>
                <w:szCs w:val="16"/>
                <w:lang w:eastAsia="en-US"/>
              </w:rPr>
              <w:br/>
              <w:t>MM/LD/WG/14/2 R</w:t>
            </w:r>
            <w:r>
              <w:rPr>
                <w:rFonts w:eastAsia="Times New Roman" w:cs="Arial"/>
                <w:color w:val="000000"/>
                <w:sz w:val="16"/>
                <w:szCs w:val="16"/>
                <w:lang w:eastAsia="en-US"/>
              </w:rPr>
              <w:t>ev.</w:t>
            </w:r>
          </w:p>
        </w:tc>
        <w:tc>
          <w:tcPr>
            <w:tcW w:w="2393" w:type="dxa"/>
            <w:shd w:val="clear" w:color="000000" w:fill="FFFFFF"/>
            <w:tcMar>
              <w:bottom w:w="57" w:type="dxa"/>
            </w:tcMar>
            <w:hideMark/>
          </w:tcPr>
          <w:p w14:paraId="7FE84432"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Modifications apportées au règlement d’exécution commun et aux instructions administratives </w:t>
            </w:r>
          </w:p>
        </w:tc>
      </w:tr>
      <w:tr w:rsidR="0010526D" w:rsidRPr="00560C95" w14:paraId="38FC3E2D" w14:textId="77777777" w:rsidTr="0010526D">
        <w:trPr>
          <w:cantSplit/>
        </w:trPr>
        <w:tc>
          <w:tcPr>
            <w:tcW w:w="2392" w:type="dxa"/>
            <w:shd w:val="clear" w:color="000000" w:fill="FFFFFF"/>
            <w:tcMar>
              <w:bottom w:w="57" w:type="dxa"/>
            </w:tcMar>
            <w:vAlign w:val="bottom"/>
            <w:hideMark/>
          </w:tcPr>
          <w:p w14:paraId="1F33F8EF"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27E1BEB2"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Satisfaction globale des clients à l’égard des services fournis dans le cadre du système de Madrid</w:t>
            </w:r>
          </w:p>
        </w:tc>
        <w:tc>
          <w:tcPr>
            <w:tcW w:w="2393" w:type="dxa"/>
            <w:shd w:val="clear" w:color="000000" w:fill="FFFFFF"/>
            <w:tcMar>
              <w:bottom w:w="57" w:type="dxa"/>
            </w:tcMar>
            <w:hideMark/>
          </w:tcPr>
          <w:p w14:paraId="1A5D6C49" w14:textId="6BE9615E" w:rsidR="0010526D" w:rsidRPr="00560C95" w:rsidRDefault="0010526D" w:rsidP="00203A39">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 </w:t>
            </w:r>
          </w:p>
        </w:tc>
        <w:tc>
          <w:tcPr>
            <w:tcW w:w="2393" w:type="dxa"/>
            <w:shd w:val="clear" w:color="000000" w:fill="FFFFFF"/>
            <w:tcMar>
              <w:bottom w:w="57" w:type="dxa"/>
            </w:tcMar>
            <w:hideMark/>
          </w:tcPr>
          <w:p w14:paraId="0D0FFA26" w14:textId="734942DD" w:rsidR="0010526D" w:rsidRPr="00560C95" w:rsidRDefault="0010526D" w:rsidP="00203A39">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 </w:t>
            </w:r>
          </w:p>
        </w:tc>
      </w:tr>
      <w:tr w:rsidR="0010526D" w:rsidRPr="00560C95" w14:paraId="7D3BFC7C" w14:textId="77777777" w:rsidTr="0010526D">
        <w:trPr>
          <w:cantSplit/>
        </w:trPr>
        <w:tc>
          <w:tcPr>
            <w:tcW w:w="2392" w:type="dxa"/>
            <w:shd w:val="clear" w:color="000000" w:fill="FFFFFF"/>
            <w:tcMar>
              <w:bottom w:w="57" w:type="dxa"/>
            </w:tcMar>
            <w:vAlign w:val="bottom"/>
            <w:hideMark/>
          </w:tcPr>
          <w:p w14:paraId="3FEA0AEE"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10B22A59"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Coût unitaire</w:t>
            </w:r>
          </w:p>
        </w:tc>
        <w:tc>
          <w:tcPr>
            <w:tcW w:w="2393" w:type="dxa"/>
            <w:shd w:val="clear" w:color="000000" w:fill="FFFFFF"/>
            <w:tcMar>
              <w:bottom w:w="57" w:type="dxa"/>
            </w:tcMar>
            <w:hideMark/>
          </w:tcPr>
          <w:p w14:paraId="1E0F62AA" w14:textId="77777777" w:rsidR="0010526D" w:rsidRPr="00560C95" w:rsidRDefault="0010526D" w:rsidP="00986700">
            <w:pPr>
              <w:rPr>
                <w:rFonts w:cs="Arial"/>
                <w:color w:val="000000"/>
                <w:sz w:val="16"/>
                <w:szCs w:val="16"/>
              </w:rPr>
            </w:pPr>
            <w:r w:rsidRPr="00560C95">
              <w:rPr>
                <w:rFonts w:eastAsia="Times New Roman" w:cs="Arial"/>
                <w:color w:val="000000"/>
                <w:sz w:val="16"/>
                <w:szCs w:val="16"/>
                <w:lang w:eastAsia="en-US"/>
              </w:rPr>
              <w:t>746 francs suisses (nouvel enregistrement/renouvellement d’enregistrement);  coût unitaire de l’i</w:t>
            </w:r>
            <w:r w:rsidRPr="00560C95">
              <w:rPr>
                <w:rFonts w:cs="Arial"/>
                <w:color w:val="000000"/>
                <w:sz w:val="16"/>
                <w:szCs w:val="16"/>
              </w:rPr>
              <w:t>nscription : 318 francs suisses</w:t>
            </w:r>
          </w:p>
          <w:p w14:paraId="4F48CE6D" w14:textId="77777777" w:rsidR="0010526D" w:rsidRPr="00560C95" w:rsidRDefault="0010526D" w:rsidP="00986700">
            <w:pPr>
              <w:rPr>
                <w:rFonts w:eastAsia="Times New Roman" w:cs="Arial"/>
                <w:color w:val="000000"/>
                <w:sz w:val="16"/>
                <w:szCs w:val="16"/>
                <w:lang w:eastAsia="en-US"/>
              </w:rPr>
            </w:pPr>
            <w:r w:rsidRPr="00560C95">
              <w:rPr>
                <w:rFonts w:cs="Arial"/>
                <w:color w:val="000000"/>
                <w:sz w:val="16"/>
                <w:szCs w:val="16"/>
              </w:rPr>
              <w:t>(2016)</w:t>
            </w:r>
          </w:p>
        </w:tc>
        <w:tc>
          <w:tcPr>
            <w:tcW w:w="2393" w:type="dxa"/>
            <w:shd w:val="clear" w:color="000000" w:fill="FFFFFF"/>
            <w:tcMar>
              <w:bottom w:w="57" w:type="dxa"/>
            </w:tcMar>
            <w:hideMark/>
          </w:tcPr>
          <w:p w14:paraId="37240E0E"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Réduction dans les deux catégories de coûts unitaires</w:t>
            </w:r>
          </w:p>
        </w:tc>
      </w:tr>
      <w:tr w:rsidR="0010526D" w:rsidRPr="00560C95" w14:paraId="31FCAE2A" w14:textId="77777777" w:rsidTr="0010526D">
        <w:trPr>
          <w:cantSplit/>
        </w:trPr>
        <w:tc>
          <w:tcPr>
            <w:tcW w:w="2392" w:type="dxa"/>
            <w:shd w:val="clear" w:color="000000" w:fill="FFFFFF"/>
            <w:tcMar>
              <w:bottom w:w="57" w:type="dxa"/>
            </w:tcMar>
            <w:vAlign w:val="bottom"/>
            <w:hideMark/>
          </w:tcPr>
          <w:p w14:paraId="0152133E"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44B8DE1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 xml:space="preserve">Rapidité des opérations </w:t>
            </w:r>
          </w:p>
        </w:tc>
        <w:tc>
          <w:tcPr>
            <w:tcW w:w="2393" w:type="dxa"/>
            <w:shd w:val="clear" w:color="000000" w:fill="FFFFFF"/>
            <w:tcMar>
              <w:bottom w:w="57" w:type="dxa"/>
            </w:tcMar>
            <w:hideMark/>
          </w:tcPr>
          <w:p w14:paraId="032D8E9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2016 :</w:t>
            </w:r>
            <w:r w:rsidRPr="00560C95">
              <w:rPr>
                <w:rFonts w:eastAsia="Times New Roman" w:cs="Arial"/>
                <w:color w:val="000000"/>
                <w:sz w:val="16"/>
                <w:szCs w:val="16"/>
                <w:lang w:eastAsia="en-US"/>
              </w:rPr>
              <w:br/>
              <w:t>Enregistrements : 64 jours</w:t>
            </w:r>
            <w:r w:rsidRPr="00560C95">
              <w:rPr>
                <w:rFonts w:eastAsia="Times New Roman" w:cs="Arial"/>
                <w:color w:val="000000"/>
                <w:sz w:val="16"/>
                <w:szCs w:val="16"/>
                <w:lang w:eastAsia="en-US"/>
              </w:rPr>
              <w:br/>
              <w:t>Renouvellements : 65 jours</w:t>
            </w:r>
            <w:r w:rsidRPr="00560C95">
              <w:rPr>
                <w:rFonts w:eastAsia="Times New Roman" w:cs="Arial"/>
                <w:color w:val="000000"/>
                <w:sz w:val="16"/>
                <w:szCs w:val="16"/>
                <w:lang w:eastAsia="en-US"/>
              </w:rPr>
              <w:br/>
              <w:t>Désignations postérieures : 42 jours</w:t>
            </w:r>
            <w:r w:rsidRPr="00560C95">
              <w:rPr>
                <w:rFonts w:eastAsia="Times New Roman" w:cs="Arial"/>
                <w:color w:val="000000"/>
                <w:sz w:val="16"/>
                <w:szCs w:val="16"/>
                <w:lang w:eastAsia="en-US"/>
              </w:rPr>
              <w:br/>
              <w:t>Modifications : 62 jours</w:t>
            </w:r>
            <w:r w:rsidRPr="00560C95">
              <w:rPr>
                <w:rFonts w:eastAsia="Times New Roman" w:cs="Arial"/>
                <w:color w:val="000000"/>
                <w:sz w:val="16"/>
                <w:szCs w:val="16"/>
                <w:lang w:eastAsia="en-US"/>
              </w:rPr>
              <w:br/>
              <w:t>Décisions : 24 jours</w:t>
            </w:r>
            <w:r w:rsidRPr="00560C95">
              <w:rPr>
                <w:rFonts w:eastAsia="Times New Roman" w:cs="Arial"/>
                <w:color w:val="000000"/>
                <w:sz w:val="16"/>
                <w:szCs w:val="16"/>
                <w:lang w:eastAsia="en-US"/>
              </w:rPr>
              <w:br/>
              <w:t>Rectifications : 140 jours</w:t>
            </w:r>
          </w:p>
        </w:tc>
        <w:tc>
          <w:tcPr>
            <w:tcW w:w="2393" w:type="dxa"/>
            <w:shd w:val="clear" w:color="000000" w:fill="FFFFFF"/>
            <w:tcMar>
              <w:bottom w:w="57" w:type="dxa"/>
            </w:tcMar>
            <w:hideMark/>
          </w:tcPr>
          <w:p w14:paraId="05C35767" w14:textId="379451D2"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2018</w:t>
            </w:r>
            <w:r w:rsidR="00B441CA">
              <w:rPr>
                <w:rFonts w:eastAsia="Times New Roman" w:cs="Arial"/>
                <w:color w:val="000000"/>
                <w:sz w:val="16"/>
                <w:szCs w:val="16"/>
                <w:lang w:eastAsia="en-US"/>
              </w:rPr>
              <w:noBreakHyphen/>
            </w:r>
            <w:r w:rsidRPr="00560C95">
              <w:rPr>
                <w:rFonts w:eastAsia="Times New Roman" w:cs="Arial"/>
                <w:color w:val="000000"/>
                <w:sz w:val="16"/>
                <w:szCs w:val="16"/>
                <w:lang w:eastAsia="en-US"/>
              </w:rPr>
              <w:t>2019 :</w:t>
            </w:r>
            <w:r w:rsidRPr="00560C95">
              <w:rPr>
                <w:rFonts w:eastAsia="Times New Roman" w:cs="Arial"/>
                <w:color w:val="000000"/>
                <w:sz w:val="16"/>
                <w:szCs w:val="16"/>
                <w:lang w:eastAsia="en-US"/>
              </w:rPr>
              <w:br/>
              <w:t>Enregistrements : 40 jours</w:t>
            </w:r>
            <w:r w:rsidRPr="00560C95">
              <w:rPr>
                <w:rFonts w:eastAsia="Times New Roman" w:cs="Arial"/>
                <w:color w:val="000000"/>
                <w:sz w:val="16"/>
                <w:szCs w:val="16"/>
                <w:lang w:eastAsia="en-US"/>
              </w:rPr>
              <w:br/>
              <w:t>Renouvellements : 50 jours</w:t>
            </w:r>
            <w:r w:rsidRPr="00560C95">
              <w:rPr>
                <w:rFonts w:eastAsia="Times New Roman" w:cs="Arial"/>
                <w:color w:val="000000"/>
                <w:sz w:val="16"/>
                <w:szCs w:val="16"/>
                <w:lang w:eastAsia="en-US"/>
              </w:rPr>
              <w:br/>
              <w:t>Désignations postérieures : 40 jours</w:t>
            </w:r>
            <w:r w:rsidRPr="00560C95">
              <w:rPr>
                <w:rFonts w:eastAsia="Times New Roman" w:cs="Arial"/>
                <w:color w:val="000000"/>
                <w:sz w:val="16"/>
                <w:szCs w:val="16"/>
                <w:lang w:eastAsia="en-US"/>
              </w:rPr>
              <w:br/>
              <w:t>Modifications : 50 jours</w:t>
            </w:r>
            <w:r w:rsidRPr="00560C95">
              <w:rPr>
                <w:rFonts w:eastAsia="Times New Roman" w:cs="Arial"/>
                <w:color w:val="000000"/>
                <w:sz w:val="16"/>
                <w:szCs w:val="16"/>
                <w:lang w:eastAsia="en-US"/>
              </w:rPr>
              <w:br/>
              <w:t>Décisions : 20 jours</w:t>
            </w:r>
            <w:r w:rsidRPr="00560C95">
              <w:rPr>
                <w:rFonts w:eastAsia="Times New Roman" w:cs="Arial"/>
                <w:color w:val="000000"/>
                <w:sz w:val="16"/>
                <w:szCs w:val="16"/>
                <w:lang w:eastAsia="en-US"/>
              </w:rPr>
              <w:br/>
              <w:t>Rectifications : 65 jours</w:t>
            </w:r>
          </w:p>
        </w:tc>
      </w:tr>
      <w:tr w:rsidR="0010526D" w:rsidRPr="00560C95" w14:paraId="61EAFA11" w14:textId="77777777" w:rsidTr="0010526D">
        <w:trPr>
          <w:cantSplit/>
        </w:trPr>
        <w:tc>
          <w:tcPr>
            <w:tcW w:w="2392" w:type="dxa"/>
            <w:shd w:val="clear" w:color="000000" w:fill="FFFFFF"/>
            <w:tcMar>
              <w:bottom w:w="57" w:type="dxa"/>
            </w:tcMar>
            <w:vAlign w:val="bottom"/>
            <w:hideMark/>
          </w:tcPr>
          <w:p w14:paraId="45B23E05"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620223ED"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Qualité des résultats des opérations</w:t>
            </w:r>
          </w:p>
        </w:tc>
        <w:tc>
          <w:tcPr>
            <w:tcW w:w="2393" w:type="dxa"/>
            <w:shd w:val="clear" w:color="000000" w:fill="FFFFFF"/>
            <w:tcMar>
              <w:bottom w:w="57" w:type="dxa"/>
            </w:tcMar>
            <w:hideMark/>
          </w:tcPr>
          <w:p w14:paraId="07291A5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Contrôle de qualité à l’examen :</w:t>
            </w:r>
          </w:p>
          <w:p w14:paraId="4EE4038C" w14:textId="77777777" w:rsidR="0010526D" w:rsidRPr="00560C95" w:rsidRDefault="0010526D" w:rsidP="00986700">
            <w:pPr>
              <w:rPr>
                <w:rFonts w:eastAsia="Times New Roman" w:cs="Arial"/>
                <w:color w:val="000000"/>
                <w:sz w:val="16"/>
                <w:szCs w:val="16"/>
                <w:lang w:eastAsia="en-US"/>
              </w:rPr>
            </w:pPr>
          </w:p>
          <w:p w14:paraId="1C68F571" w14:textId="639C8982"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Nice : 91%</w:t>
            </w:r>
          </w:p>
          <w:p w14:paraId="019CB2E4"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Examen quant à la forme : 94%</w:t>
            </w:r>
          </w:p>
          <w:p w14:paraId="7387893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Décisions : 96%</w:t>
            </w:r>
          </w:p>
          <w:p w14:paraId="31A76875"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Modifications : 95%</w:t>
            </w:r>
          </w:p>
          <w:p w14:paraId="7E5F2A57"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Renouvellements :</w:t>
            </w:r>
            <w:r>
              <w:rPr>
                <w:rFonts w:eastAsia="Times New Roman" w:cs="Arial"/>
                <w:color w:val="000000"/>
                <w:sz w:val="16"/>
                <w:szCs w:val="16"/>
                <w:lang w:eastAsia="en-US"/>
              </w:rPr>
              <w:t xml:space="preserve"> 9</w:t>
            </w:r>
            <w:r w:rsidRPr="00560C95">
              <w:rPr>
                <w:rFonts w:eastAsia="Times New Roman" w:cs="Arial"/>
                <w:color w:val="000000"/>
                <w:sz w:val="16"/>
                <w:szCs w:val="16"/>
                <w:lang w:eastAsia="en-US"/>
              </w:rPr>
              <w:t>6%</w:t>
            </w:r>
          </w:p>
          <w:p w14:paraId="23E843A5" w14:textId="77777777" w:rsidR="0010526D" w:rsidRPr="00560C95" w:rsidRDefault="0010526D" w:rsidP="00986700">
            <w:pPr>
              <w:rPr>
                <w:rFonts w:eastAsia="Times New Roman" w:cs="Arial"/>
                <w:color w:val="000000"/>
                <w:sz w:val="16"/>
                <w:szCs w:val="16"/>
                <w:lang w:eastAsia="en-US"/>
              </w:rPr>
            </w:pPr>
          </w:p>
          <w:p w14:paraId="2077C3F8"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Autres domaines :</w:t>
            </w:r>
          </w:p>
          <w:p w14:paraId="2DA5CF52"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Archives clients : 100%</w:t>
            </w:r>
          </w:p>
          <w:p w14:paraId="4D0F488B"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Service à la clientèle : 83%</w:t>
            </w:r>
          </w:p>
          <w:p w14:paraId="5E5EC879" w14:textId="77777777" w:rsidR="0010526D" w:rsidRPr="00560C95" w:rsidRDefault="0010526D" w:rsidP="00986700">
            <w:pPr>
              <w:rPr>
                <w:rFonts w:eastAsia="Times New Roman" w:cs="Arial"/>
                <w:color w:val="000000"/>
                <w:sz w:val="16"/>
                <w:szCs w:val="16"/>
                <w:lang w:eastAsia="en-US"/>
              </w:rPr>
            </w:pPr>
          </w:p>
          <w:p w14:paraId="753DAAD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Traduction :</w:t>
            </w:r>
          </w:p>
          <w:p w14:paraId="59CFCEA0"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anglais : 99%</w:t>
            </w:r>
          </w:p>
          <w:p w14:paraId="1436A5C5"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français : 99%</w:t>
            </w:r>
          </w:p>
          <w:p w14:paraId="0F8241A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espagnol : 97%</w:t>
            </w:r>
          </w:p>
        </w:tc>
        <w:tc>
          <w:tcPr>
            <w:tcW w:w="2393" w:type="dxa"/>
            <w:shd w:val="clear" w:color="000000" w:fill="FFFFFF"/>
            <w:tcMar>
              <w:bottom w:w="57" w:type="dxa"/>
            </w:tcMar>
            <w:hideMark/>
          </w:tcPr>
          <w:p w14:paraId="131D30EF" w14:textId="07543618" w:rsidR="0010526D" w:rsidRPr="00560C95" w:rsidRDefault="0010526D" w:rsidP="00203A39">
            <w:pPr>
              <w:rPr>
                <w:rFonts w:eastAsia="Times New Roman" w:cs="Arial"/>
                <w:color w:val="000000"/>
                <w:sz w:val="16"/>
                <w:szCs w:val="16"/>
                <w:lang w:eastAsia="en-US"/>
              </w:rPr>
            </w:pPr>
            <w:r w:rsidRPr="00560C95">
              <w:rPr>
                <w:rFonts w:eastAsia="Times New Roman" w:cs="Arial"/>
                <w:color w:val="000000"/>
                <w:sz w:val="16"/>
                <w:szCs w:val="16"/>
                <w:lang w:eastAsia="en-US"/>
              </w:rPr>
              <w:t xml:space="preserve">Contrôle de qualité à l’examen : </w:t>
            </w:r>
            <w:r w:rsidRPr="00560C95">
              <w:rPr>
                <w:rFonts w:eastAsia="Times New Roman" w:cs="Arial"/>
                <w:color w:val="000000"/>
                <w:sz w:val="16"/>
                <w:szCs w:val="16"/>
                <w:lang w:eastAsia="en-US"/>
              </w:rPr>
              <w:br/>
            </w:r>
            <w:r w:rsidRPr="00560C95">
              <w:rPr>
                <w:rFonts w:eastAsia="Times New Roman" w:cs="Arial"/>
                <w:color w:val="000000"/>
                <w:sz w:val="16"/>
                <w:szCs w:val="16"/>
                <w:lang w:eastAsia="en-US"/>
              </w:rPr>
              <w:br/>
              <w:t>Nice : 90%</w:t>
            </w:r>
            <w:r w:rsidRPr="00560C95">
              <w:rPr>
                <w:rFonts w:eastAsia="Times New Roman" w:cs="Arial"/>
                <w:color w:val="000000"/>
                <w:sz w:val="16"/>
                <w:szCs w:val="16"/>
                <w:lang w:eastAsia="en-US"/>
              </w:rPr>
              <w:br/>
              <w:t>Examen quant à la forme 95%</w:t>
            </w:r>
            <w:r w:rsidRPr="00560C95">
              <w:rPr>
                <w:rFonts w:eastAsia="Times New Roman" w:cs="Arial"/>
                <w:color w:val="000000"/>
                <w:sz w:val="16"/>
                <w:szCs w:val="16"/>
                <w:lang w:eastAsia="en-US"/>
              </w:rPr>
              <w:br/>
              <w:t>Décisions : 97%</w:t>
            </w:r>
            <w:r w:rsidRPr="00560C95">
              <w:rPr>
                <w:rFonts w:eastAsia="Times New Roman" w:cs="Arial"/>
                <w:color w:val="000000"/>
                <w:sz w:val="16"/>
                <w:szCs w:val="16"/>
                <w:lang w:eastAsia="en-US"/>
              </w:rPr>
              <w:br/>
              <w:t>Modifications : 95%</w:t>
            </w:r>
            <w:r w:rsidRPr="00560C95">
              <w:rPr>
                <w:rFonts w:eastAsia="Times New Roman" w:cs="Arial"/>
                <w:color w:val="000000"/>
                <w:sz w:val="16"/>
                <w:szCs w:val="16"/>
                <w:lang w:eastAsia="en-US"/>
              </w:rPr>
              <w:br/>
              <w:t>Renouvellements : 95%</w:t>
            </w:r>
            <w:r w:rsidRPr="00560C95">
              <w:rPr>
                <w:rFonts w:eastAsia="Times New Roman" w:cs="Arial"/>
                <w:color w:val="000000"/>
                <w:sz w:val="16"/>
                <w:szCs w:val="16"/>
                <w:lang w:eastAsia="en-US"/>
              </w:rPr>
              <w:br/>
            </w:r>
            <w:r w:rsidRPr="00560C95">
              <w:rPr>
                <w:rFonts w:eastAsia="Times New Roman" w:cs="Arial"/>
                <w:color w:val="000000"/>
                <w:sz w:val="16"/>
                <w:szCs w:val="16"/>
                <w:lang w:eastAsia="en-US"/>
              </w:rPr>
              <w:br/>
              <w:t>Autres domaines :</w:t>
            </w:r>
            <w:r w:rsidRPr="00560C95">
              <w:rPr>
                <w:rFonts w:eastAsia="Times New Roman" w:cs="Arial"/>
                <w:color w:val="000000"/>
                <w:sz w:val="16"/>
                <w:szCs w:val="16"/>
                <w:lang w:eastAsia="en-US"/>
              </w:rPr>
              <w:br/>
              <w:t>Archives clients : 99%</w:t>
            </w:r>
            <w:r w:rsidRPr="00560C95">
              <w:rPr>
                <w:rFonts w:eastAsia="Times New Roman" w:cs="Arial"/>
                <w:color w:val="000000"/>
                <w:sz w:val="16"/>
                <w:szCs w:val="16"/>
                <w:lang w:eastAsia="en-US"/>
              </w:rPr>
              <w:br/>
              <w:t>Service à la clientèle : 90%</w:t>
            </w:r>
            <w:r w:rsidRPr="00560C95">
              <w:rPr>
                <w:rFonts w:eastAsia="Times New Roman" w:cs="Arial"/>
                <w:color w:val="000000"/>
                <w:sz w:val="16"/>
                <w:szCs w:val="16"/>
                <w:lang w:eastAsia="en-US"/>
              </w:rPr>
              <w:br/>
            </w:r>
            <w:r w:rsidRPr="00560C95">
              <w:rPr>
                <w:rFonts w:eastAsia="Times New Roman" w:cs="Arial"/>
                <w:color w:val="000000"/>
                <w:sz w:val="16"/>
                <w:szCs w:val="16"/>
                <w:lang w:eastAsia="en-US"/>
              </w:rPr>
              <w:br/>
              <w:t>Traduction :</w:t>
            </w:r>
            <w:r w:rsidRPr="00560C95">
              <w:rPr>
                <w:rFonts w:eastAsia="Times New Roman" w:cs="Arial"/>
                <w:color w:val="000000"/>
                <w:sz w:val="16"/>
                <w:szCs w:val="16"/>
                <w:lang w:eastAsia="en-US"/>
              </w:rPr>
              <w:br/>
              <w:t>anglais : 95%</w:t>
            </w:r>
            <w:r w:rsidRPr="00560C95">
              <w:rPr>
                <w:rFonts w:eastAsia="Times New Roman" w:cs="Arial"/>
                <w:color w:val="000000"/>
                <w:sz w:val="16"/>
                <w:szCs w:val="16"/>
                <w:lang w:eastAsia="en-US"/>
              </w:rPr>
              <w:br/>
              <w:t>français : 95%</w:t>
            </w:r>
            <w:r w:rsidRPr="00560C95">
              <w:rPr>
                <w:rFonts w:eastAsia="Times New Roman" w:cs="Arial"/>
                <w:color w:val="000000"/>
                <w:sz w:val="16"/>
                <w:szCs w:val="16"/>
                <w:lang w:eastAsia="en-US"/>
              </w:rPr>
              <w:br/>
              <w:t>espagnol : 95%</w:t>
            </w:r>
          </w:p>
        </w:tc>
      </w:tr>
      <w:tr w:rsidR="0010526D" w:rsidRPr="00560C95" w14:paraId="6F60CC15" w14:textId="77777777" w:rsidTr="0010526D">
        <w:trPr>
          <w:cantSplit/>
        </w:trPr>
        <w:tc>
          <w:tcPr>
            <w:tcW w:w="2392" w:type="dxa"/>
            <w:shd w:val="clear" w:color="000000" w:fill="FFFFFF"/>
            <w:tcMar>
              <w:bottom w:w="57" w:type="dxa"/>
            </w:tcMar>
            <w:vAlign w:val="bottom"/>
            <w:hideMark/>
          </w:tcPr>
          <w:p w14:paraId="0E8855B1"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1F4C0FEA"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Qualité de la mise au point de logiciels</w:t>
            </w:r>
          </w:p>
        </w:tc>
        <w:tc>
          <w:tcPr>
            <w:tcW w:w="2393" w:type="dxa"/>
            <w:shd w:val="clear" w:color="000000" w:fill="FFFFFF"/>
            <w:tcMar>
              <w:bottom w:w="57" w:type="dxa"/>
            </w:tcMar>
            <w:hideMark/>
          </w:tcPr>
          <w:p w14:paraId="440B48B8" w14:textId="77777777" w:rsidR="0010526D" w:rsidRPr="00560C95" w:rsidRDefault="0010526D"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w:t>
            </w:r>
          </w:p>
        </w:tc>
        <w:tc>
          <w:tcPr>
            <w:tcW w:w="2393" w:type="dxa"/>
            <w:shd w:val="clear" w:color="000000" w:fill="FFFFFF"/>
            <w:tcMar>
              <w:bottom w:w="57" w:type="dxa"/>
            </w:tcMar>
            <w:hideMark/>
          </w:tcPr>
          <w:p w14:paraId="7FF183F8" w14:textId="77777777" w:rsidR="0010526D" w:rsidRPr="00560C95" w:rsidRDefault="0010526D"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w:t>
            </w:r>
          </w:p>
        </w:tc>
      </w:tr>
      <w:tr w:rsidR="0010526D" w:rsidRPr="00560C95" w14:paraId="6746CC39" w14:textId="77777777" w:rsidTr="0010526D">
        <w:trPr>
          <w:cantSplit/>
        </w:trPr>
        <w:tc>
          <w:tcPr>
            <w:tcW w:w="2392" w:type="dxa"/>
            <w:shd w:val="clear" w:color="000000" w:fill="FFFFFF"/>
            <w:tcMar>
              <w:bottom w:w="57" w:type="dxa"/>
            </w:tcMar>
            <w:vAlign w:val="bottom"/>
            <w:hideMark/>
          </w:tcPr>
          <w:p w14:paraId="6F823FBB" w14:textId="77777777" w:rsidR="0010526D" w:rsidRPr="00560C95" w:rsidRDefault="0010526D" w:rsidP="00986700">
            <w:pPr>
              <w:jc w:val="right"/>
              <w:rPr>
                <w:rFonts w:eastAsia="Times New Roman" w:cs="Arial"/>
                <w:color w:val="000000"/>
                <w:sz w:val="16"/>
                <w:szCs w:val="16"/>
                <w:lang w:eastAsia="en-US"/>
              </w:rPr>
            </w:pPr>
            <w:r w:rsidRPr="00560C95">
              <w:rPr>
                <w:rFonts w:eastAsia="Times New Roman" w:cs="Arial"/>
                <w:color w:val="000000"/>
                <w:sz w:val="16"/>
                <w:szCs w:val="16"/>
                <w:lang w:eastAsia="en-US"/>
              </w:rPr>
              <w:t> </w:t>
            </w:r>
          </w:p>
        </w:tc>
        <w:tc>
          <w:tcPr>
            <w:tcW w:w="2393" w:type="dxa"/>
            <w:shd w:val="clear" w:color="000000" w:fill="FFFFFF"/>
            <w:tcMar>
              <w:bottom w:w="57" w:type="dxa"/>
            </w:tcMar>
            <w:hideMark/>
          </w:tcPr>
          <w:p w14:paraId="72D3DDBE"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Niveaux de service des systèmes informatiques</w:t>
            </w:r>
          </w:p>
        </w:tc>
        <w:tc>
          <w:tcPr>
            <w:tcW w:w="2393" w:type="dxa"/>
            <w:shd w:val="clear" w:color="000000" w:fill="FFFFFF"/>
            <w:tcMar>
              <w:bottom w:w="57" w:type="dxa"/>
            </w:tcMar>
            <w:hideMark/>
          </w:tcPr>
          <w:p w14:paraId="44EEC91F" w14:textId="77777777" w:rsidR="0010526D" w:rsidRPr="00560C95" w:rsidRDefault="0010526D"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w:t>
            </w:r>
          </w:p>
        </w:tc>
        <w:tc>
          <w:tcPr>
            <w:tcW w:w="2393" w:type="dxa"/>
            <w:shd w:val="clear" w:color="000000" w:fill="FFFFFF"/>
            <w:tcMar>
              <w:bottom w:w="57" w:type="dxa"/>
            </w:tcMar>
            <w:hideMark/>
          </w:tcPr>
          <w:p w14:paraId="17A670EC" w14:textId="77777777" w:rsidR="0010526D" w:rsidRPr="00560C95" w:rsidRDefault="0010526D" w:rsidP="00986700">
            <w:pPr>
              <w:rPr>
                <w:rFonts w:eastAsia="Times New Roman" w:cs="Arial"/>
                <w:color w:val="000000"/>
                <w:sz w:val="16"/>
                <w:szCs w:val="16"/>
                <w:lang w:eastAsia="en-US"/>
              </w:rPr>
            </w:pPr>
            <w:r>
              <w:rPr>
                <w:rFonts w:eastAsia="Times New Roman" w:cs="Arial"/>
                <w:color w:val="000000"/>
                <w:sz w:val="16"/>
                <w:szCs w:val="16"/>
                <w:lang w:eastAsia="en-US"/>
              </w:rPr>
              <w:t>À</w:t>
            </w:r>
            <w:r w:rsidRPr="00560C95">
              <w:rPr>
                <w:rFonts w:eastAsia="Times New Roman" w:cs="Arial"/>
                <w:color w:val="000000"/>
                <w:sz w:val="16"/>
                <w:szCs w:val="16"/>
                <w:lang w:eastAsia="en-US"/>
              </w:rPr>
              <w:t xml:space="preserve"> déterminer</w:t>
            </w:r>
          </w:p>
        </w:tc>
      </w:tr>
      <w:tr w:rsidR="0010526D" w:rsidRPr="00560C95" w14:paraId="0B2CE73F" w14:textId="77777777" w:rsidTr="0010526D">
        <w:trPr>
          <w:cantSplit/>
        </w:trPr>
        <w:tc>
          <w:tcPr>
            <w:tcW w:w="2392" w:type="dxa"/>
            <w:shd w:val="clear" w:color="000000" w:fill="FFFFFF"/>
            <w:tcMar>
              <w:bottom w:w="57" w:type="dxa"/>
            </w:tcMar>
            <w:vAlign w:val="bottom"/>
            <w:hideMark/>
          </w:tcPr>
          <w:p w14:paraId="22159348" w14:textId="1072B29A" w:rsidR="0010526D" w:rsidRPr="00560C95" w:rsidRDefault="0010526D" w:rsidP="00986700">
            <w:pPr>
              <w:jc w:val="right"/>
              <w:rPr>
                <w:rFonts w:eastAsia="Times New Roman" w:cs="Arial"/>
                <w:color w:val="000000"/>
                <w:sz w:val="16"/>
                <w:szCs w:val="16"/>
                <w:lang w:eastAsia="en-US"/>
              </w:rPr>
            </w:pPr>
          </w:p>
        </w:tc>
        <w:tc>
          <w:tcPr>
            <w:tcW w:w="2393" w:type="dxa"/>
            <w:shd w:val="clear" w:color="000000" w:fill="FFFFFF"/>
            <w:tcMar>
              <w:bottom w:w="57" w:type="dxa"/>
            </w:tcMar>
            <w:hideMark/>
          </w:tcPr>
          <w:p w14:paraId="30BFEC33"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Nombre d’offices communiquant par voie entièrement électronique</w:t>
            </w:r>
          </w:p>
        </w:tc>
        <w:tc>
          <w:tcPr>
            <w:tcW w:w="2393" w:type="dxa"/>
            <w:shd w:val="clear" w:color="000000" w:fill="FFFFFF"/>
            <w:tcMar>
              <w:bottom w:w="57" w:type="dxa"/>
            </w:tcMar>
            <w:hideMark/>
          </w:tcPr>
          <w:p w14:paraId="4DD53F76"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30 offices de parties contractantes communiquant par l’intermédiaire du XML, 2 par l’intermédiaire du dépôt par voie électronique</w:t>
            </w:r>
            <w:r w:rsidRPr="00560C95">
              <w:rPr>
                <w:rFonts w:eastAsia="Times New Roman" w:cs="Arial"/>
                <w:color w:val="000000"/>
                <w:sz w:val="16"/>
                <w:szCs w:val="16"/>
                <w:lang w:eastAsia="en-US"/>
              </w:rPr>
              <w:br/>
              <w:t>(2016)</w:t>
            </w:r>
          </w:p>
        </w:tc>
        <w:tc>
          <w:tcPr>
            <w:tcW w:w="2393" w:type="dxa"/>
            <w:shd w:val="clear" w:color="000000" w:fill="FFFFFF"/>
            <w:tcMar>
              <w:bottom w:w="57" w:type="dxa"/>
            </w:tcMar>
            <w:hideMark/>
          </w:tcPr>
          <w:p w14:paraId="08F07108" w14:textId="77777777" w:rsidR="0010526D" w:rsidRPr="00560C95" w:rsidRDefault="0010526D" w:rsidP="00986700">
            <w:pPr>
              <w:rPr>
                <w:rFonts w:eastAsia="Times New Roman" w:cs="Arial"/>
                <w:color w:val="000000"/>
                <w:sz w:val="16"/>
                <w:szCs w:val="16"/>
                <w:lang w:eastAsia="en-US"/>
              </w:rPr>
            </w:pPr>
            <w:r w:rsidRPr="00560C95">
              <w:rPr>
                <w:rFonts w:eastAsia="Times New Roman" w:cs="Arial"/>
                <w:color w:val="000000"/>
                <w:sz w:val="16"/>
                <w:szCs w:val="16"/>
                <w:lang w:eastAsia="en-US"/>
              </w:rPr>
              <w:t>45 offices de parties contractantes communiquant par l’intermédiaire du XML ou du dépôt par voie électronique</w:t>
            </w:r>
          </w:p>
        </w:tc>
      </w:tr>
    </w:tbl>
    <w:p w14:paraId="54B01D39" w14:textId="77777777" w:rsidR="0010526D" w:rsidRPr="00560C95" w:rsidRDefault="0010526D"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75DF5BFB" w14:textId="77777777" w:rsidTr="00EE0227">
        <w:trPr>
          <w:cantSplit/>
        </w:trPr>
        <w:tc>
          <w:tcPr>
            <w:tcW w:w="9571" w:type="dxa"/>
            <w:shd w:val="clear" w:color="auto" w:fill="C6D9F1" w:themeFill="text2" w:themeFillTint="33"/>
            <w:vAlign w:val="center"/>
          </w:tcPr>
          <w:p w14:paraId="508E1599" w14:textId="77777777" w:rsidR="005E30D2" w:rsidRPr="00821D15" w:rsidRDefault="005E30D2" w:rsidP="00986700">
            <w:pPr>
              <w:jc w:val="center"/>
              <w:rPr>
                <w:rFonts w:cs="Arial"/>
                <w:b/>
                <w:szCs w:val="20"/>
              </w:rPr>
            </w:pPr>
            <w:r w:rsidRPr="00821D15">
              <w:rPr>
                <w:rFonts w:cs="Arial"/>
                <w:b/>
                <w:szCs w:val="20"/>
              </w:rPr>
              <w:t>Ressources allouées au programme 6</w:t>
            </w:r>
          </w:p>
        </w:tc>
      </w:tr>
    </w:tbl>
    <w:p w14:paraId="14D89E61" w14:textId="77777777" w:rsidR="005E30D2" w:rsidRPr="00821D15" w:rsidRDefault="005E30D2" w:rsidP="00986700">
      <w:pPr>
        <w:rPr>
          <w:rFonts w:cs="Arial"/>
          <w:szCs w:val="20"/>
        </w:rPr>
      </w:pPr>
    </w:p>
    <w:p w14:paraId="55409BD2" w14:textId="77777777" w:rsidR="005E30D2" w:rsidRPr="00821D15" w:rsidRDefault="005E30D2" w:rsidP="00616FD3">
      <w:pPr>
        <w:pStyle w:val="ListParagraph"/>
        <w:numPr>
          <w:ilvl w:val="0"/>
          <w:numId w:val="65"/>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1,3% par rapport au budget approuvé pour 2016</w:t>
      </w:r>
      <w:r w:rsidRPr="00821D15">
        <w:rPr>
          <w:rFonts w:cs="Arial"/>
          <w:szCs w:val="20"/>
        </w:rPr>
        <w:noBreakHyphen/>
        <w:t>2017.</w:t>
      </w:r>
    </w:p>
    <w:p w14:paraId="2AA6A40D" w14:textId="77777777" w:rsidR="005E30D2" w:rsidRPr="00821D15" w:rsidRDefault="005E30D2" w:rsidP="00986700">
      <w:pPr>
        <w:rPr>
          <w:rFonts w:cs="Arial"/>
          <w:szCs w:val="20"/>
        </w:rPr>
      </w:pPr>
    </w:p>
    <w:p w14:paraId="55F05B9E" w14:textId="0A2D7062" w:rsidR="005E30D2" w:rsidRPr="00821D15" w:rsidRDefault="005E30D2" w:rsidP="00616FD3">
      <w:pPr>
        <w:pStyle w:val="ListParagraph"/>
        <w:numPr>
          <w:ilvl w:val="0"/>
          <w:numId w:val="65"/>
        </w:numPr>
        <w:ind w:left="0" w:firstLine="0"/>
        <w:jc w:val="both"/>
        <w:rPr>
          <w:rFonts w:cs="Arial"/>
          <w:szCs w:val="20"/>
        </w:rPr>
      </w:pPr>
      <w:r w:rsidRPr="00821D15">
        <w:rPr>
          <w:rFonts w:cs="Arial"/>
          <w:szCs w:val="20"/>
        </w:rPr>
        <w:t xml:space="preserve">L’augmentation des dépenses autres que les dépenses de personnel est due </w:t>
      </w:r>
      <w:r w:rsidR="007B1990">
        <w:rPr>
          <w:rFonts w:cs="Arial"/>
          <w:szCs w:val="20"/>
        </w:rPr>
        <w:t>i</w:t>
      </w:r>
      <w:r w:rsidRPr="00821D15">
        <w:rPr>
          <w:rFonts w:cs="Arial"/>
          <w:szCs w:val="20"/>
        </w:rPr>
        <w:t xml:space="preserve">) à l’expansion du programme de bourses dans le cadre du système de Madrid, dont il est rendu compte sous le résultat escompté II.5 (utilisation plus large et plus efficace du système de Madrid), ii) à l’augmentation des coûts de traduction et d’appui dans le cadre du système de Madrid et iii) à une provision pour l’amélioration du système informatique du système de Madrid, dont il est rendu compte sous le </w:t>
      </w:r>
      <w:r w:rsidRPr="00821D15">
        <w:rPr>
          <w:rFonts w:cs="Arial"/>
          <w:szCs w:val="20"/>
        </w:rPr>
        <w:lastRenderedPageBreak/>
        <w:t>résultat escompté II.6 (amélioration de la productivité et de la qualité de service des opérations du système de Madrid).  Cette augmentation est légèrement compensée par une diminution des ressources allouées au titre du résultat escompté II.5, qui résulte principalement d’un ajustement vers le bas, fondé sur la structure des dépenses réelles, pour les assemblées des systèmes de Madrid, de La Haye et de Lisbonne.</w:t>
      </w:r>
    </w:p>
    <w:p w14:paraId="00F78E86" w14:textId="77777777" w:rsidR="005E30D2" w:rsidRPr="00821D15" w:rsidRDefault="005E30D2" w:rsidP="00986700">
      <w:pPr>
        <w:rPr>
          <w:rFonts w:cs="Arial"/>
          <w:szCs w:val="20"/>
        </w:rPr>
      </w:pPr>
    </w:p>
    <w:p w14:paraId="34236127" w14:textId="77777777" w:rsidR="005E30D2" w:rsidRPr="00821D15" w:rsidRDefault="005E30D2" w:rsidP="00616FD3">
      <w:pPr>
        <w:pStyle w:val="ListParagraph"/>
        <w:keepNext/>
        <w:keepLines/>
        <w:numPr>
          <w:ilvl w:val="0"/>
          <w:numId w:val="65"/>
        </w:numPr>
        <w:ind w:left="0" w:firstLine="0"/>
        <w:jc w:val="both"/>
        <w:rPr>
          <w:rFonts w:cs="Arial"/>
          <w:szCs w:val="20"/>
        </w:rPr>
      </w:pPr>
      <w:r w:rsidRPr="00821D15">
        <w:rPr>
          <w:rFonts w:cs="Arial"/>
          <w:szCs w:val="20"/>
        </w:rPr>
        <w:t>La diminution du nombre de postes et des dépenses de personnel correspondantes est due i) au redéploiement de deux postes dans le Bureau de l’OMPI en Chine, aux fins de la promotion des systèmes de Madrid et de La Haye, et ii) à la fin d’une mission temporaire au sein de la Division juridique du système de Madrid.</w:t>
      </w:r>
    </w:p>
    <w:p w14:paraId="6BF1089D" w14:textId="77777777" w:rsidR="00426A7C" w:rsidRDefault="00426A7C" w:rsidP="00986700">
      <w:pPr>
        <w:rPr>
          <w:lang w:eastAsia="en-US"/>
        </w:rPr>
      </w:pPr>
    </w:p>
    <w:p w14:paraId="136245B0" w14:textId="399F01F5"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6 : </w:t>
      </w:r>
      <w:r w:rsidRPr="00674550">
        <w:rPr>
          <w:rFonts w:eastAsia="Times New Roman" w:cs="Arial"/>
          <w:b/>
          <w:szCs w:val="20"/>
          <w:lang w:eastAsia="en-US"/>
        </w:rPr>
        <w:t>Ressources par résultat</w:t>
      </w:r>
    </w:p>
    <w:p w14:paraId="3C183A71"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3B7F5ED" w14:textId="77777777" w:rsidR="00674550" w:rsidRDefault="00674550" w:rsidP="00986700">
      <w:pPr>
        <w:rPr>
          <w:lang w:eastAsia="en-US"/>
        </w:rPr>
      </w:pPr>
    </w:p>
    <w:p w14:paraId="7CD4B42C" w14:textId="502658BD" w:rsidR="00717231" w:rsidRDefault="00717231" w:rsidP="00986700">
      <w:pPr>
        <w:jc w:val="center"/>
      </w:pPr>
      <w:r w:rsidRPr="00717231">
        <w:rPr>
          <w:noProof/>
          <w:lang w:val="en-US" w:eastAsia="en-US"/>
        </w:rPr>
        <w:drawing>
          <wp:inline distT="0" distB="0" distL="0" distR="0" wp14:anchorId="7088DC35" wp14:editId="3263CC64">
            <wp:extent cx="5400000" cy="1638229"/>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000" cy="1638229"/>
                    </a:xfrm>
                    <a:prstGeom prst="rect">
                      <a:avLst/>
                    </a:prstGeom>
                    <a:noFill/>
                    <a:ln>
                      <a:noFill/>
                    </a:ln>
                  </pic:spPr>
                </pic:pic>
              </a:graphicData>
            </a:graphic>
          </wp:inline>
        </w:drawing>
      </w:r>
    </w:p>
    <w:p w14:paraId="071100FC" w14:textId="77777777" w:rsidR="00717231" w:rsidRDefault="00717231" w:rsidP="00986700"/>
    <w:p w14:paraId="18669EF6"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6</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0A1423BB" w14:textId="33ED1424"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41AB7B0D" w14:textId="77777777" w:rsidR="008778B5" w:rsidRDefault="008778B5" w:rsidP="00986700">
      <w:pPr>
        <w:keepNext/>
        <w:rPr>
          <w:lang w:eastAsia="en-US"/>
        </w:rPr>
      </w:pPr>
    </w:p>
    <w:p w14:paraId="222FE434" w14:textId="11D29DD8" w:rsidR="00B55ECC" w:rsidRDefault="008778B5" w:rsidP="00986700">
      <w:pPr>
        <w:jc w:val="center"/>
        <w:rPr>
          <w:lang w:eastAsia="en-US"/>
        </w:rPr>
      </w:pPr>
      <w:r w:rsidRPr="008778B5">
        <w:rPr>
          <w:noProof/>
          <w:lang w:val="en-US" w:eastAsia="en-US"/>
        </w:rPr>
        <w:drawing>
          <wp:inline distT="0" distB="0" distL="0" distR="0" wp14:anchorId="52824C86" wp14:editId="7B981B99">
            <wp:extent cx="5400000" cy="6031770"/>
            <wp:effectExtent l="0" t="0" r="0" b="762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225276B5" w14:textId="77777777" w:rsidR="00B55ECC" w:rsidRDefault="00B55ECC" w:rsidP="00986700">
      <w:pPr>
        <w:rPr>
          <w:lang w:eastAsia="en-US"/>
        </w:rPr>
      </w:pPr>
    </w:p>
    <w:p w14:paraId="7E089B8A" w14:textId="77777777" w:rsidR="00616BD1" w:rsidRDefault="00616BD1" w:rsidP="00986700">
      <w:pPr>
        <w:rPr>
          <w:lang w:eastAsia="en-US"/>
        </w:rPr>
      </w:pPr>
    </w:p>
    <w:p w14:paraId="16559D6C" w14:textId="77777777" w:rsidR="00E61AC7" w:rsidRPr="00E61AC7" w:rsidRDefault="00E61AC7" w:rsidP="00E61AC7">
      <w:pPr>
        <w:keepNext/>
        <w:jc w:val="center"/>
        <w:rPr>
          <w:b/>
          <w:szCs w:val="20"/>
          <w:lang w:eastAsia="en-US"/>
        </w:rPr>
      </w:pPr>
      <w:r w:rsidRPr="00E61AC7">
        <w:rPr>
          <w:b/>
          <w:szCs w:val="20"/>
          <w:lang w:eastAsia="en-US"/>
        </w:rPr>
        <w:t>Fonds fiduciaires potentiellement disponibles aux fins d’activités de programme en 2018-20191</w:t>
      </w:r>
    </w:p>
    <w:p w14:paraId="6D84FAEB" w14:textId="77777777" w:rsidR="00E61AC7" w:rsidRPr="00E61AC7" w:rsidRDefault="00E61AC7" w:rsidP="00E61AC7">
      <w:pPr>
        <w:keepNext/>
        <w:jc w:val="center"/>
        <w:rPr>
          <w:i/>
          <w:szCs w:val="20"/>
          <w:lang w:eastAsia="en-US"/>
        </w:rPr>
      </w:pPr>
      <w:r w:rsidRPr="00E61AC7">
        <w:rPr>
          <w:i/>
          <w:szCs w:val="20"/>
          <w:lang w:eastAsia="en-US"/>
        </w:rPr>
        <w:t>(en milliers de francs suisses)</w:t>
      </w:r>
    </w:p>
    <w:p w14:paraId="219AFC8A" w14:textId="77777777" w:rsidR="00E61AC7" w:rsidRDefault="00E61AC7" w:rsidP="00E61AC7">
      <w:pPr>
        <w:keepNext/>
        <w:rPr>
          <w:lang w:eastAsia="en-US"/>
        </w:rPr>
      </w:pPr>
    </w:p>
    <w:p w14:paraId="09AB93E6" w14:textId="75B14C0E" w:rsidR="00E61AC7" w:rsidRPr="00E16214" w:rsidRDefault="00637026" w:rsidP="00986700">
      <w:pPr>
        <w:rPr>
          <w:lang w:eastAsia="en-US"/>
        </w:rPr>
      </w:pPr>
      <w:r w:rsidRPr="00637026">
        <w:rPr>
          <w:noProof/>
          <w:lang w:val="en-US" w:eastAsia="en-US"/>
        </w:rPr>
        <w:drawing>
          <wp:inline distT="0" distB="0" distL="0" distR="0" wp14:anchorId="696DE95E" wp14:editId="1E0CFCB2">
            <wp:extent cx="5760085" cy="1656254"/>
            <wp:effectExtent l="0" t="0" r="0"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1656254"/>
                    </a:xfrm>
                    <a:prstGeom prst="rect">
                      <a:avLst/>
                    </a:prstGeom>
                    <a:noFill/>
                    <a:ln>
                      <a:noFill/>
                    </a:ln>
                  </pic:spPr>
                </pic:pic>
              </a:graphicData>
            </a:graphic>
          </wp:inline>
        </w:drawing>
      </w:r>
    </w:p>
    <w:p w14:paraId="7EA64179" w14:textId="77777777" w:rsidR="0023034B" w:rsidRDefault="0023034B" w:rsidP="00986700">
      <w:r>
        <w:br w:type="page"/>
      </w:r>
    </w:p>
    <w:p w14:paraId="3179B5F1" w14:textId="77777777" w:rsidR="00EB3C9D" w:rsidRPr="00497C7F" w:rsidRDefault="00EB3C9D" w:rsidP="00986700">
      <w:pPr>
        <w:pStyle w:val="Heading3"/>
      </w:pPr>
      <w:bookmarkStart w:id="34" w:name="_Toc454544470"/>
      <w:bookmarkStart w:id="35" w:name="_Toc482979480"/>
      <w:r w:rsidRPr="00497C7F">
        <w:lastRenderedPageBreak/>
        <w:t>Programme 6</w:t>
      </w:r>
      <w:r>
        <w:t> </w:t>
      </w:r>
      <w:r w:rsidRPr="00497C7F">
        <w:t>Annexe</w:t>
      </w:r>
      <w:r>
        <w:t xml:space="preserve"> : </w:t>
      </w:r>
      <w:r w:rsidRPr="00497C7F">
        <w:tab/>
        <w:t>Indicateurs relatifs aux opérations du système de Madrid</w:t>
      </w:r>
      <w:bookmarkEnd w:id="34"/>
      <w:bookmarkEnd w:id="35"/>
    </w:p>
    <w:p w14:paraId="2545BC10" w14:textId="77777777" w:rsidR="00EB3C9D" w:rsidRPr="00497C7F" w:rsidRDefault="00EB3C9D" w:rsidP="00986700"/>
    <w:p w14:paraId="7F4C7FA9" w14:textId="77777777" w:rsidR="00EB3C9D" w:rsidRPr="00497C7F" w:rsidRDefault="00EB3C9D" w:rsidP="00986700"/>
    <w:p w14:paraId="34CA6C08" w14:textId="77777777" w:rsidR="00EB3C9D" w:rsidRDefault="00EB3C9D" w:rsidP="00986700">
      <w:pPr>
        <w:rPr>
          <w:lang w:bidi="th-TH"/>
        </w:rPr>
      </w:pPr>
      <w:r w:rsidRPr="00497C7F">
        <w:rPr>
          <w:lang w:bidi="th-TH"/>
        </w:rPr>
        <w:t>INDICATEURS D</w:t>
      </w:r>
      <w:r>
        <w:rPr>
          <w:lang w:bidi="th-TH"/>
        </w:rPr>
        <w:t>’</w:t>
      </w:r>
      <w:r w:rsidRPr="00497C7F">
        <w:rPr>
          <w:lang w:bidi="th-TH"/>
        </w:rPr>
        <w:t>EXÉCUTION POUR LE RÉSULTAT ESCOMPTÉ</w:t>
      </w:r>
    </w:p>
    <w:p w14:paraId="549F4F7D" w14:textId="77777777" w:rsidR="00EB3C9D" w:rsidRDefault="00EB3C9D" w:rsidP="00986700">
      <w:pPr>
        <w:rPr>
          <w:lang w:bidi="th-TH"/>
        </w:rPr>
      </w:pPr>
      <w:r w:rsidRPr="00497C7F">
        <w:rPr>
          <w:lang w:bidi="th-TH"/>
        </w:rPr>
        <w:t>“AMÉLIORATION DE LA PRODUCTIVITÉ ET DE LA QUALITÉ DE SERVICE DES OPÉRATIONS DU SYSTÈME DE MADRID”</w:t>
      </w:r>
    </w:p>
    <w:p w14:paraId="7EB94D6A" w14:textId="77777777" w:rsidR="00EB3C9D" w:rsidRPr="00497C7F" w:rsidRDefault="00EB3C9D" w:rsidP="00986700">
      <w:pPr>
        <w:rPr>
          <w:rFonts w:cs="Arial"/>
          <w:b/>
        </w:rPr>
      </w:pPr>
    </w:p>
    <w:p w14:paraId="25DBE800" w14:textId="77777777" w:rsidR="00EB3C9D" w:rsidRPr="00497C7F" w:rsidRDefault="00EB3C9D" w:rsidP="00986700">
      <w:pPr>
        <w:rPr>
          <w:rFonts w:asciiTheme="minorBidi" w:eastAsia="SimSun" w:hAnsiTheme="minorBidi"/>
          <w:b/>
          <w:szCs w:val="20"/>
          <w:lang w:eastAsia="zh-CN"/>
        </w:rPr>
      </w:pPr>
      <w:r w:rsidRPr="00497C7F">
        <w:rPr>
          <w:rFonts w:asciiTheme="minorBidi" w:eastAsia="SimSun" w:hAnsiTheme="minorBidi"/>
          <w:b/>
          <w:szCs w:val="20"/>
          <w:lang w:eastAsia="zh-CN"/>
        </w:rPr>
        <w:t>Généralités</w:t>
      </w:r>
    </w:p>
    <w:p w14:paraId="006011A9" w14:textId="77777777" w:rsidR="00EB3C9D" w:rsidRPr="00497C7F" w:rsidRDefault="00EB3C9D" w:rsidP="00986700">
      <w:pPr>
        <w:rPr>
          <w:rFonts w:cs="Arial"/>
          <w:b/>
        </w:rPr>
      </w:pPr>
    </w:p>
    <w:p w14:paraId="009222B7" w14:textId="1CCC9260"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En mars</w:t>
      </w:r>
      <w:r>
        <w:rPr>
          <w:rFonts w:cs="Arial"/>
        </w:rPr>
        <w:t> </w:t>
      </w:r>
      <w:r w:rsidRPr="00497C7F">
        <w:rPr>
          <w:rFonts w:cs="Arial"/>
        </w:rPr>
        <w:t>2016, l</w:t>
      </w:r>
      <w:r>
        <w:rPr>
          <w:rFonts w:cs="Arial"/>
        </w:rPr>
        <w:t>’</w:t>
      </w:r>
      <w:r w:rsidRPr="00497C7F">
        <w:rPr>
          <w:rFonts w:cs="Arial"/>
        </w:rPr>
        <w:t>ancien système informatique (MAPS) utilisé par les opérations du système de Madrid a été remplacé par un nouveau système informatique (MIRIS).  Certains des indicateurs ci</w:t>
      </w:r>
      <w:r w:rsidR="00B441CA">
        <w:rPr>
          <w:rFonts w:cs="Arial"/>
        </w:rPr>
        <w:noBreakHyphen/>
      </w:r>
      <w:r w:rsidRPr="00497C7F">
        <w:rPr>
          <w:rFonts w:cs="Arial"/>
        </w:rPr>
        <w:t>après, concernant notamment la charge de travail traitée, le délai ou certains indicateurs de qualité ont été affectés par l</w:t>
      </w:r>
      <w:r>
        <w:rPr>
          <w:rFonts w:cs="Arial"/>
        </w:rPr>
        <w:t>’</w:t>
      </w:r>
      <w:r w:rsidRPr="00497C7F">
        <w:rPr>
          <w:rFonts w:cs="Arial"/>
        </w:rPr>
        <w:t>instabilité du nouveau système informatique après sa mise en place.</w:t>
      </w:r>
    </w:p>
    <w:p w14:paraId="014A814E" w14:textId="77777777" w:rsidR="00EB3C9D" w:rsidRPr="00497C7F" w:rsidRDefault="00EB3C9D" w:rsidP="00986700">
      <w:pPr>
        <w:pStyle w:val="ListParagraph"/>
        <w:tabs>
          <w:tab w:val="left" w:pos="567"/>
        </w:tabs>
        <w:ind w:left="0"/>
        <w:jc w:val="both"/>
        <w:rPr>
          <w:rFonts w:cs="Arial"/>
        </w:rPr>
      </w:pPr>
    </w:p>
    <w:p w14:paraId="224F3F61" w14:textId="77777777"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Les facteurs à examiner aux fins de l</w:t>
      </w:r>
      <w:r>
        <w:rPr>
          <w:rFonts w:cs="Arial"/>
        </w:rPr>
        <w:t>’</w:t>
      </w:r>
      <w:r w:rsidRPr="00497C7F">
        <w:rPr>
          <w:rFonts w:cs="Arial"/>
        </w:rPr>
        <w:t>évaluation des indicateurs d</w:t>
      </w:r>
      <w:r>
        <w:rPr>
          <w:rFonts w:cs="Arial"/>
        </w:rPr>
        <w:t>’</w:t>
      </w:r>
      <w:r w:rsidRPr="00497C7F">
        <w:rPr>
          <w:rFonts w:cs="Arial"/>
        </w:rPr>
        <w:t>exécution pour le résultat escompté “Amélioration de la productivité et de la qualité de service des opérations du système de Madrid” sont les suivants</w:t>
      </w:r>
      <w:r>
        <w:rPr>
          <w:rFonts w:cs="Arial"/>
        </w:rPr>
        <w:t> :</w:t>
      </w:r>
    </w:p>
    <w:p w14:paraId="553F26F7" w14:textId="77777777" w:rsidR="00EB3C9D" w:rsidRPr="00497C7F" w:rsidRDefault="00EB3C9D" w:rsidP="00986700">
      <w:pPr>
        <w:jc w:val="both"/>
        <w:rPr>
          <w:rFonts w:cs="Arial"/>
          <w:szCs w:val="20"/>
        </w:rPr>
      </w:pPr>
    </w:p>
    <w:p w14:paraId="72C6A81F"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la charge de travail du système de Madrid;</w:t>
      </w:r>
    </w:p>
    <w:p w14:paraId="4A2C97A9"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la composition de cette charge de travail;</w:t>
      </w:r>
    </w:p>
    <w:p w14:paraId="2BC3058A"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les effectifs affectés au traitement de cette charge de travail;</w:t>
      </w:r>
    </w:p>
    <w:p w14:paraId="73B83C1F" w14:textId="287B42D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 xml:space="preserve">le </w:t>
      </w:r>
      <w:r w:rsidR="00B629E6">
        <w:rPr>
          <w:rFonts w:asciiTheme="minorBidi" w:eastAsiaTheme="minorHAnsi" w:hAnsiTheme="minorBidi"/>
          <w:szCs w:val="20"/>
        </w:rPr>
        <w:t>niveau</w:t>
      </w:r>
      <w:r w:rsidRPr="00497C7F">
        <w:rPr>
          <w:rFonts w:asciiTheme="minorBidi" w:eastAsiaTheme="minorHAnsi" w:hAnsiTheme="minorBidi"/>
          <w:szCs w:val="20"/>
        </w:rPr>
        <w:t xml:space="preserve"> d</w:t>
      </w:r>
      <w:r>
        <w:rPr>
          <w:rFonts w:asciiTheme="minorBidi" w:eastAsiaTheme="minorHAnsi" w:hAnsiTheme="minorBidi"/>
          <w:szCs w:val="20"/>
        </w:rPr>
        <w:t>’</w:t>
      </w:r>
      <w:r w:rsidRPr="00497C7F">
        <w:rPr>
          <w:rFonts w:asciiTheme="minorBidi" w:eastAsiaTheme="minorHAnsi" w:hAnsiTheme="minorBidi"/>
          <w:szCs w:val="20"/>
        </w:rPr>
        <w:t>automatisation;  et</w:t>
      </w:r>
    </w:p>
    <w:p w14:paraId="7DE76BEA"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le coût total de production.</w:t>
      </w:r>
    </w:p>
    <w:p w14:paraId="3223FD8C" w14:textId="77777777" w:rsidR="00EB3C9D" w:rsidRPr="00497C7F" w:rsidRDefault="00EB3C9D" w:rsidP="00986700">
      <w:pPr>
        <w:jc w:val="both"/>
        <w:rPr>
          <w:rFonts w:cs="Arial"/>
          <w:szCs w:val="20"/>
        </w:rPr>
      </w:pPr>
    </w:p>
    <w:p w14:paraId="29C2C258" w14:textId="77777777" w:rsidR="00EB3C9D" w:rsidRPr="00497C7F" w:rsidRDefault="00EB3C9D" w:rsidP="00616FD3">
      <w:pPr>
        <w:pStyle w:val="ListParagraph"/>
        <w:numPr>
          <w:ilvl w:val="0"/>
          <w:numId w:val="44"/>
        </w:numPr>
        <w:ind w:left="567" w:hanging="567"/>
        <w:jc w:val="both"/>
        <w:rPr>
          <w:rFonts w:cs="Arial"/>
          <w:b/>
        </w:rPr>
      </w:pPr>
      <w:r w:rsidRPr="00497C7F">
        <w:rPr>
          <w:rFonts w:cs="Arial"/>
          <w:b/>
        </w:rPr>
        <w:t>Documents reçus</w:t>
      </w:r>
    </w:p>
    <w:p w14:paraId="2FA685AF" w14:textId="77777777" w:rsidR="00EB3C9D" w:rsidRPr="001A722F" w:rsidRDefault="00EB3C9D" w:rsidP="00986700">
      <w:pPr>
        <w:jc w:val="both"/>
        <w:rPr>
          <w:rFonts w:cs="Arial"/>
        </w:rPr>
      </w:pPr>
    </w:p>
    <w:p w14:paraId="22634AA4" w14:textId="1DB72DFE"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 xml:space="preserve">Le Bureau international reçoit six catégories différentes de documents, </w:t>
      </w:r>
      <w:r>
        <w:rPr>
          <w:rFonts w:cs="Arial"/>
        </w:rPr>
        <w:t>à savoir</w:t>
      </w:r>
      <w:r w:rsidRPr="00497C7F">
        <w:rPr>
          <w:rFonts w:cs="Arial"/>
        </w:rPr>
        <w:t xml:space="preserve"> les demandes internationales, les renouvellements, les désignations postérieures, les modifications, les décisions et les corrections.  La tendance la plus récente en ce qui concerne le nombre de documents reçu pour chacune de ces catégories est indiquée ci</w:t>
      </w:r>
      <w:r w:rsidR="00B441CA">
        <w:rPr>
          <w:rFonts w:cs="Arial"/>
        </w:rPr>
        <w:noBreakHyphen/>
      </w:r>
      <w:r w:rsidRPr="00497C7F">
        <w:rPr>
          <w:rFonts w:cs="Arial"/>
        </w:rPr>
        <w:t xml:space="preserve">dessous.  Des renseignements supplémentaires sont également fournis concernant les demandes internationales, par exemple le nombre moyen de classes et la longueur moyenne des demandes.  Pour des raisons techniques, certains indicateurs montrent des données fondées sur des documents traités plutôt que sur des documents reçus.  Les retards de traitement peuvent ainsi avoir une incidence sur certains indicateurs.  Par ailleurs, en 2016, le Bureau international a changé de méthode pour déterminer la date de réception des demandes internationales en utilisant la date de dépôt de la demande internationale </w:t>
      </w:r>
      <w:r w:rsidR="00B629E6">
        <w:rPr>
          <w:rFonts w:cs="Arial"/>
        </w:rPr>
        <w:t>par</w:t>
      </w:r>
      <w:r w:rsidRPr="00497C7F">
        <w:rPr>
          <w:rFonts w:cs="Arial"/>
        </w:rPr>
        <w:t xml:space="preserve"> l</w:t>
      </w:r>
      <w:r>
        <w:rPr>
          <w:rFonts w:cs="Arial"/>
        </w:rPr>
        <w:t>’</w:t>
      </w:r>
      <w:r w:rsidRPr="00497C7F">
        <w:rPr>
          <w:rFonts w:cs="Arial"/>
        </w:rPr>
        <w:t>office d</w:t>
      </w:r>
      <w:r>
        <w:rPr>
          <w:rFonts w:cs="Arial"/>
        </w:rPr>
        <w:t>’</w:t>
      </w:r>
      <w:r w:rsidRPr="00497C7F">
        <w:rPr>
          <w:rFonts w:cs="Arial"/>
        </w:rPr>
        <w:t>origine plutôt que la date de réception de la demande internationale par le Bureau international.</w:t>
      </w:r>
    </w:p>
    <w:p w14:paraId="563334AB" w14:textId="77777777" w:rsidR="00EB3C9D" w:rsidRPr="00497C7F" w:rsidRDefault="00EB3C9D" w:rsidP="00986700">
      <w:pPr>
        <w:pStyle w:val="ListParagraph"/>
        <w:ind w:left="0"/>
        <w:jc w:val="both"/>
        <w:rPr>
          <w:rFonts w:cs="Arial"/>
        </w:rPr>
      </w:pPr>
    </w:p>
    <w:p w14:paraId="05785BB7" w14:textId="77777777" w:rsidR="00EB3C9D" w:rsidRDefault="00EB3C9D" w:rsidP="00986700">
      <w:pPr>
        <w:rPr>
          <w:rFonts w:asciiTheme="minorBidi" w:eastAsiaTheme="minorHAnsi" w:hAnsiTheme="minorBidi"/>
          <w:szCs w:val="20"/>
          <w:u w:val="single"/>
        </w:rPr>
      </w:pPr>
      <w:r w:rsidRPr="00497C7F">
        <w:rPr>
          <w:rFonts w:asciiTheme="minorBidi" w:eastAsiaTheme="minorHAnsi" w:hAnsiTheme="minorBidi"/>
          <w:szCs w:val="20"/>
          <w:u w:val="single"/>
        </w:rPr>
        <w:t>Demandes internationales</w:t>
      </w:r>
    </w:p>
    <w:p w14:paraId="75633BEA" w14:textId="77777777" w:rsidR="00EB3C9D" w:rsidRPr="00497C7F" w:rsidRDefault="00EB3C9D" w:rsidP="00986700">
      <w:pPr>
        <w:rPr>
          <w:rFonts w:asciiTheme="minorBidi" w:eastAsiaTheme="minorHAnsi" w:hAnsiTheme="minorBidi"/>
          <w:szCs w:val="20"/>
          <w:u w:val="single"/>
        </w:rPr>
      </w:pPr>
    </w:p>
    <w:p w14:paraId="7AFE884D" w14:textId="77777777" w:rsidR="00EB3C9D" w:rsidRPr="00497C7F" w:rsidRDefault="00EB3C9D" w:rsidP="00986700">
      <w:pPr>
        <w:jc w:val="center"/>
        <w:rPr>
          <w:rFonts w:cs="Arial"/>
        </w:rPr>
      </w:pPr>
      <w:r w:rsidRPr="008358A0">
        <w:rPr>
          <w:noProof/>
          <w:lang w:val="en-US" w:eastAsia="en-US"/>
        </w:rPr>
        <w:drawing>
          <wp:inline distT="0" distB="0" distL="0" distR="0" wp14:anchorId="69F88156" wp14:editId="7D86AE3C">
            <wp:extent cx="5760085" cy="251443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085" cy="2514434"/>
                    </a:xfrm>
                    <a:prstGeom prst="rect">
                      <a:avLst/>
                    </a:prstGeom>
                    <a:noFill/>
                    <a:ln>
                      <a:noFill/>
                    </a:ln>
                  </pic:spPr>
                </pic:pic>
              </a:graphicData>
            </a:graphic>
          </wp:inline>
        </w:drawing>
      </w:r>
    </w:p>
    <w:p w14:paraId="11BFDB66" w14:textId="77777777" w:rsidR="00EB3C9D" w:rsidRPr="00497C7F" w:rsidRDefault="00EB3C9D" w:rsidP="00986700">
      <w:pPr>
        <w:pStyle w:val="ListParagraph"/>
        <w:tabs>
          <w:tab w:val="left" w:pos="993"/>
        </w:tabs>
        <w:ind w:left="567"/>
        <w:jc w:val="both"/>
        <w:rPr>
          <w:rFonts w:cs="Arial"/>
        </w:rPr>
      </w:pPr>
    </w:p>
    <w:p w14:paraId="0850A16A"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lastRenderedPageBreak/>
        <w:t>Le Bureau international a reçu 52 550</w:t>
      </w:r>
      <w:r>
        <w:rPr>
          <w:rFonts w:asciiTheme="minorBidi" w:eastAsiaTheme="minorHAnsi" w:hAnsiTheme="minorBidi"/>
          <w:szCs w:val="20"/>
        </w:rPr>
        <w:t> </w:t>
      </w:r>
      <w:r w:rsidRPr="00497C7F">
        <w:rPr>
          <w:rFonts w:asciiTheme="minorBidi" w:eastAsiaTheme="minorHAnsi" w:hAnsiTheme="minorBidi"/>
          <w:szCs w:val="20"/>
        </w:rPr>
        <w:t>demandes en 2016, soit une augmentation de 7,2% par rapport à 2015</w:t>
      </w:r>
      <w:r w:rsidRPr="00497C7F">
        <w:rPr>
          <w:rFonts w:asciiTheme="minorBidi" w:eastAsiaTheme="minorHAnsi" w:hAnsiTheme="minorBidi"/>
          <w:vertAlign w:val="superscript"/>
        </w:rPr>
        <w:footnoteReference w:id="16"/>
      </w:r>
      <w:r w:rsidRPr="00497C7F">
        <w:rPr>
          <w:rFonts w:asciiTheme="minorBidi" w:eastAsiaTheme="minorHAnsi" w:hAnsiTheme="minorBidi"/>
          <w:szCs w:val="20"/>
        </w:rPr>
        <w:t>.</w:t>
      </w:r>
    </w:p>
    <w:p w14:paraId="184D0C51" w14:textId="77777777" w:rsidR="00EB3C9D" w:rsidRPr="00497C7F" w:rsidRDefault="00EB3C9D" w:rsidP="00986700">
      <w:pPr>
        <w:ind w:left="1134"/>
        <w:jc w:val="both"/>
        <w:rPr>
          <w:rFonts w:asciiTheme="minorBidi" w:eastAsiaTheme="minorHAnsi" w:hAnsiTheme="minorBidi"/>
          <w:szCs w:val="20"/>
        </w:rPr>
      </w:pPr>
    </w:p>
    <w:p w14:paraId="5EDE4ABA"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nombre des demandes reçues a augmenté de façon constante depuis 2010.</w:t>
      </w:r>
    </w:p>
    <w:p w14:paraId="10E5B078" w14:textId="77777777" w:rsidR="00EB3C9D" w:rsidRPr="00497C7F" w:rsidRDefault="00EB3C9D" w:rsidP="00986700">
      <w:pPr>
        <w:jc w:val="both"/>
        <w:rPr>
          <w:rFonts w:asciiTheme="minorBidi" w:eastAsiaTheme="minorHAnsi" w:hAnsiTheme="minorBidi"/>
          <w:szCs w:val="20"/>
        </w:rPr>
      </w:pPr>
    </w:p>
    <w:p w14:paraId="56AF987A"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Répartition des demandes par langue de dépôt</w:t>
      </w:r>
    </w:p>
    <w:p w14:paraId="29795298" w14:textId="77777777" w:rsidR="00EB3C9D" w:rsidRPr="00497C7F" w:rsidRDefault="00EB3C9D" w:rsidP="00986700">
      <w:pPr>
        <w:keepNext/>
        <w:keepLines/>
        <w:jc w:val="center"/>
        <w:rPr>
          <w:rFonts w:cs="Arial"/>
        </w:rPr>
      </w:pPr>
      <w:r w:rsidRPr="008358A0">
        <w:rPr>
          <w:noProof/>
          <w:lang w:val="en-US" w:eastAsia="en-US"/>
        </w:rPr>
        <w:drawing>
          <wp:inline distT="0" distB="0" distL="0" distR="0" wp14:anchorId="32D72683" wp14:editId="02ED4D08">
            <wp:extent cx="5760085" cy="292422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085" cy="2924223"/>
                    </a:xfrm>
                    <a:prstGeom prst="rect">
                      <a:avLst/>
                    </a:prstGeom>
                    <a:noFill/>
                    <a:ln>
                      <a:noFill/>
                    </a:ln>
                  </pic:spPr>
                </pic:pic>
              </a:graphicData>
            </a:graphic>
          </wp:inline>
        </w:drawing>
      </w:r>
    </w:p>
    <w:p w14:paraId="2E6255A1" w14:textId="77777777" w:rsidR="00EB3C9D" w:rsidRPr="00497C7F" w:rsidRDefault="00EB3C9D" w:rsidP="00986700">
      <w:pPr>
        <w:keepNext/>
        <w:keepLines/>
        <w:jc w:val="center"/>
        <w:rPr>
          <w:rFonts w:cs="Arial"/>
        </w:rPr>
      </w:pPr>
    </w:p>
    <w:p w14:paraId="0D7BD51D" w14:textId="2D8B95E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8</w:t>
      </w:r>
      <w:r w:rsidR="00B629E6">
        <w:rPr>
          <w:rFonts w:asciiTheme="minorBidi" w:eastAsiaTheme="minorHAnsi" w:hAnsiTheme="minorBidi"/>
          <w:szCs w:val="20"/>
        </w:rPr>
        <w:t>2</w:t>
      </w:r>
      <w:r w:rsidRPr="00497C7F">
        <w:rPr>
          <w:rFonts w:asciiTheme="minorBidi" w:eastAsiaTheme="minorHAnsi" w:hAnsiTheme="minorBidi"/>
          <w:szCs w:val="20"/>
        </w:rPr>
        <w:t>% des demandes internationales ont été déposées en anglais.  Cette proportion a augmenté de 17</w:t>
      </w:r>
      <w:r>
        <w:rPr>
          <w:rFonts w:asciiTheme="minorBidi" w:eastAsiaTheme="minorHAnsi" w:hAnsiTheme="minorBidi"/>
          <w:szCs w:val="20"/>
        </w:rPr>
        <w:t> </w:t>
      </w:r>
      <w:r w:rsidRPr="00497C7F">
        <w:rPr>
          <w:rFonts w:asciiTheme="minorBidi" w:eastAsiaTheme="minorHAnsi" w:hAnsiTheme="minorBidi"/>
          <w:szCs w:val="20"/>
        </w:rPr>
        <w:t>points de pourcentage depuis 2008, année où les demandes international</w:t>
      </w:r>
      <w:r>
        <w:rPr>
          <w:rFonts w:asciiTheme="minorBidi" w:eastAsiaTheme="minorHAnsi" w:hAnsiTheme="minorBidi"/>
          <w:szCs w:val="20"/>
        </w:rPr>
        <w:t>e</w:t>
      </w:r>
      <w:r w:rsidRPr="00497C7F">
        <w:rPr>
          <w:rFonts w:asciiTheme="minorBidi" w:eastAsiaTheme="minorHAnsi" w:hAnsiTheme="minorBidi"/>
          <w:szCs w:val="20"/>
        </w:rPr>
        <w:t>s déposées en anglais représentaient 65% du nombre total de demandes.</w:t>
      </w:r>
    </w:p>
    <w:p w14:paraId="62AB61EB" w14:textId="77777777" w:rsidR="00EB3C9D" w:rsidRPr="00497C7F" w:rsidRDefault="00EB3C9D" w:rsidP="00986700">
      <w:pPr>
        <w:jc w:val="both"/>
        <w:rPr>
          <w:rFonts w:cs="Arial"/>
          <w:szCs w:val="20"/>
        </w:rPr>
      </w:pPr>
    </w:p>
    <w:p w14:paraId="63D870E6"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Nombre moyen de désignations par enregistrement</w:t>
      </w:r>
    </w:p>
    <w:p w14:paraId="0170236A" w14:textId="77777777" w:rsidR="00EB3C9D" w:rsidRPr="00497C7F" w:rsidRDefault="00EB3C9D" w:rsidP="00986700">
      <w:pPr>
        <w:jc w:val="center"/>
        <w:rPr>
          <w:rFonts w:cs="Arial"/>
        </w:rPr>
      </w:pPr>
      <w:r w:rsidRPr="008358A0">
        <w:rPr>
          <w:noProof/>
          <w:lang w:val="en-US" w:eastAsia="en-US"/>
        </w:rPr>
        <w:drawing>
          <wp:inline distT="0" distB="0" distL="0" distR="0" wp14:anchorId="64B0CC6C" wp14:editId="6D9F44FE">
            <wp:extent cx="5760085" cy="27285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85" cy="2728579"/>
                    </a:xfrm>
                    <a:prstGeom prst="rect">
                      <a:avLst/>
                    </a:prstGeom>
                    <a:noFill/>
                    <a:ln>
                      <a:noFill/>
                    </a:ln>
                  </pic:spPr>
                </pic:pic>
              </a:graphicData>
            </a:graphic>
          </wp:inline>
        </w:drawing>
      </w:r>
    </w:p>
    <w:p w14:paraId="460B56A6" w14:textId="77777777" w:rsidR="00EB3C9D" w:rsidRPr="00497C7F" w:rsidRDefault="00EB3C9D" w:rsidP="00986700">
      <w:pPr>
        <w:jc w:val="center"/>
        <w:rPr>
          <w:rFonts w:cs="Arial"/>
        </w:rPr>
      </w:pPr>
    </w:p>
    <w:p w14:paraId="3C08008A"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moyenne, 6,7</w:t>
      </w:r>
      <w:r>
        <w:rPr>
          <w:rFonts w:asciiTheme="minorBidi" w:eastAsiaTheme="minorHAnsi" w:hAnsiTheme="minorBidi"/>
          <w:szCs w:val="20"/>
        </w:rPr>
        <w:t> </w:t>
      </w:r>
      <w:r w:rsidRPr="00497C7F">
        <w:rPr>
          <w:rFonts w:asciiTheme="minorBidi" w:eastAsiaTheme="minorHAnsi" w:hAnsiTheme="minorBidi"/>
          <w:szCs w:val="20"/>
        </w:rPr>
        <w:t>désignations ont été faites pour les demandes enregistrées en 2016</w:t>
      </w:r>
      <w:r w:rsidRPr="00B629E6">
        <w:rPr>
          <w:rFonts w:asciiTheme="minorBidi" w:eastAsiaTheme="minorHAnsi" w:hAnsiTheme="minorBidi"/>
          <w:vertAlign w:val="superscript"/>
        </w:rPr>
        <w:footnoteReference w:id="17"/>
      </w:r>
      <w:r w:rsidRPr="00497C7F">
        <w:rPr>
          <w:rFonts w:asciiTheme="minorBidi" w:eastAsiaTheme="minorHAnsi" w:hAnsiTheme="minorBidi"/>
          <w:szCs w:val="20"/>
        </w:rPr>
        <w:t>.</w:t>
      </w:r>
    </w:p>
    <w:p w14:paraId="1A097218" w14:textId="77777777" w:rsidR="00EB3C9D" w:rsidRPr="00497C7F" w:rsidRDefault="00EB3C9D" w:rsidP="00986700">
      <w:pPr>
        <w:tabs>
          <w:tab w:val="num" w:pos="1134"/>
        </w:tabs>
        <w:spacing w:after="120"/>
        <w:ind w:left="993" w:hanging="426"/>
        <w:jc w:val="both"/>
        <w:rPr>
          <w:rFonts w:cs="Arial"/>
          <w:szCs w:val="20"/>
        </w:rPr>
      </w:pPr>
    </w:p>
    <w:p w14:paraId="776AD2E4"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lastRenderedPageBreak/>
        <w:t>Nombre moyen de classes par enregistrement</w:t>
      </w:r>
    </w:p>
    <w:p w14:paraId="58295C4E" w14:textId="77777777" w:rsidR="00EB3C9D" w:rsidRPr="00497C7F" w:rsidRDefault="00EB3C9D" w:rsidP="00986700">
      <w:pPr>
        <w:keepNext/>
        <w:keepLines/>
        <w:jc w:val="center"/>
        <w:rPr>
          <w:rFonts w:cs="Arial"/>
        </w:rPr>
      </w:pPr>
      <w:r w:rsidRPr="008358A0">
        <w:rPr>
          <w:noProof/>
          <w:lang w:val="en-US" w:eastAsia="en-US"/>
        </w:rPr>
        <w:drawing>
          <wp:inline distT="0" distB="0" distL="0" distR="0" wp14:anchorId="1226BB7D" wp14:editId="72F35D95">
            <wp:extent cx="5760085" cy="27129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085" cy="2712996"/>
                    </a:xfrm>
                    <a:prstGeom prst="rect">
                      <a:avLst/>
                    </a:prstGeom>
                    <a:noFill/>
                    <a:ln>
                      <a:noFill/>
                    </a:ln>
                  </pic:spPr>
                </pic:pic>
              </a:graphicData>
            </a:graphic>
          </wp:inline>
        </w:drawing>
      </w:r>
    </w:p>
    <w:p w14:paraId="45C6F055" w14:textId="77777777" w:rsidR="00EB3C9D" w:rsidRPr="00497C7F" w:rsidRDefault="00EB3C9D" w:rsidP="00986700">
      <w:pPr>
        <w:keepNext/>
        <w:keepLines/>
        <w:jc w:val="center"/>
        <w:rPr>
          <w:rFonts w:cs="Arial"/>
        </w:rPr>
      </w:pPr>
    </w:p>
    <w:p w14:paraId="7BFEB81B" w14:textId="77777777" w:rsidR="00EB3C9D"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moyenne, 2,5</w:t>
      </w:r>
      <w:r>
        <w:rPr>
          <w:rFonts w:asciiTheme="minorBidi" w:eastAsiaTheme="minorHAnsi" w:hAnsiTheme="minorBidi"/>
          <w:szCs w:val="20"/>
        </w:rPr>
        <w:t> </w:t>
      </w:r>
      <w:r w:rsidRPr="00497C7F">
        <w:rPr>
          <w:rFonts w:asciiTheme="minorBidi" w:eastAsiaTheme="minorHAnsi" w:hAnsiTheme="minorBidi"/>
          <w:szCs w:val="20"/>
        </w:rPr>
        <w:t>classes ont été indiquées pour les demandes enregistrées en 2016, comme en 2014 et 2015.</w:t>
      </w:r>
    </w:p>
    <w:p w14:paraId="75E9CBBB" w14:textId="77777777" w:rsidR="00EB3C9D" w:rsidRPr="00497C7F" w:rsidRDefault="00EB3C9D" w:rsidP="00986700">
      <w:pPr>
        <w:jc w:val="both"/>
        <w:rPr>
          <w:rFonts w:cs="Arial"/>
          <w:szCs w:val="20"/>
        </w:rPr>
      </w:pPr>
    </w:p>
    <w:p w14:paraId="2539C2BD"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Longueur moyenne des demandes</w:t>
      </w:r>
    </w:p>
    <w:p w14:paraId="33F0A59A" w14:textId="77777777" w:rsidR="00EB3C9D" w:rsidRPr="00497C7F" w:rsidRDefault="00EB3C9D" w:rsidP="00986700">
      <w:pPr>
        <w:keepNext/>
        <w:keepLines/>
        <w:rPr>
          <w:rFonts w:asciiTheme="minorBidi" w:eastAsiaTheme="minorHAnsi" w:hAnsiTheme="minorBidi"/>
          <w:iCs/>
          <w:szCs w:val="20"/>
        </w:rPr>
      </w:pPr>
    </w:p>
    <w:p w14:paraId="320DCFBA" w14:textId="77777777" w:rsidR="00EB3C9D" w:rsidRDefault="00EB3C9D" w:rsidP="00616FD3">
      <w:pPr>
        <w:pStyle w:val="ListParagraph"/>
        <w:numPr>
          <w:ilvl w:val="0"/>
          <w:numId w:val="48"/>
        </w:numPr>
        <w:tabs>
          <w:tab w:val="left" w:pos="567"/>
        </w:tabs>
        <w:ind w:left="0" w:firstLine="0"/>
        <w:jc w:val="both"/>
        <w:rPr>
          <w:rFonts w:cs="Arial"/>
        </w:rPr>
      </w:pPr>
      <w:r w:rsidRPr="00497C7F">
        <w:rPr>
          <w:rFonts w:cs="Arial"/>
        </w:rPr>
        <w:t>La longueur des demandes est déterminée par le nombre total de mots utilisés par le déposant a) dans la description de la marque, b) dans la liste des produits et services et c) dans toute mention de limitation s</w:t>
      </w:r>
      <w:r>
        <w:rPr>
          <w:rFonts w:cs="Arial"/>
        </w:rPr>
        <w:t>’</w:t>
      </w:r>
      <w:r w:rsidRPr="00497C7F">
        <w:rPr>
          <w:rFonts w:cs="Arial"/>
        </w:rPr>
        <w:t>y rapportant.  Le Bureau international traduit ces trois éléments en français, anglais ou espagnol, selon la langue d</w:t>
      </w:r>
      <w:r>
        <w:rPr>
          <w:rFonts w:cs="Arial"/>
        </w:rPr>
        <w:t>’</w:t>
      </w:r>
      <w:r w:rsidRPr="00497C7F">
        <w:rPr>
          <w:rFonts w:cs="Arial"/>
        </w:rPr>
        <w:t>origine des demandes, pour que ces dernières soient disponibles dans les trois langues du système de Madrid.</w:t>
      </w:r>
    </w:p>
    <w:p w14:paraId="56E6D0AF" w14:textId="77777777" w:rsidR="00EB3C9D" w:rsidRPr="00497C7F" w:rsidRDefault="00EB3C9D" w:rsidP="00986700">
      <w:pPr>
        <w:jc w:val="center"/>
        <w:rPr>
          <w:rFonts w:cs="Arial"/>
          <w:szCs w:val="20"/>
        </w:rPr>
      </w:pPr>
      <w:r w:rsidRPr="008358A0">
        <w:rPr>
          <w:noProof/>
          <w:lang w:val="en-US" w:eastAsia="en-US"/>
        </w:rPr>
        <w:drawing>
          <wp:inline distT="0" distB="0" distL="0" distR="0" wp14:anchorId="7D5A1FA7" wp14:editId="057D338C">
            <wp:extent cx="5760085" cy="2668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85" cy="2668875"/>
                    </a:xfrm>
                    <a:prstGeom prst="rect">
                      <a:avLst/>
                    </a:prstGeom>
                    <a:noFill/>
                    <a:ln>
                      <a:noFill/>
                    </a:ln>
                  </pic:spPr>
                </pic:pic>
              </a:graphicData>
            </a:graphic>
          </wp:inline>
        </w:drawing>
      </w:r>
    </w:p>
    <w:p w14:paraId="6FE0B9AA" w14:textId="77777777" w:rsidR="00EB3C9D" w:rsidRPr="00497C7F" w:rsidRDefault="00EB3C9D" w:rsidP="00986700">
      <w:pPr>
        <w:jc w:val="center"/>
        <w:rPr>
          <w:rFonts w:cs="Arial"/>
          <w:szCs w:val="20"/>
        </w:rPr>
      </w:pPr>
    </w:p>
    <w:p w14:paraId="1B3FA4C6"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Compte tenu du changement de système informatique, les données pour 2016 n</w:t>
      </w:r>
      <w:r>
        <w:rPr>
          <w:rFonts w:asciiTheme="minorBidi" w:eastAsiaTheme="minorHAnsi" w:hAnsiTheme="minorBidi"/>
          <w:szCs w:val="20"/>
        </w:rPr>
        <w:t>’</w:t>
      </w:r>
      <w:r w:rsidRPr="00497C7F">
        <w:rPr>
          <w:rFonts w:asciiTheme="minorBidi" w:eastAsiaTheme="minorHAnsi" w:hAnsiTheme="minorBidi"/>
          <w:szCs w:val="20"/>
        </w:rPr>
        <w:t>étaient pas disponibles au moment de l</w:t>
      </w:r>
      <w:r>
        <w:rPr>
          <w:rFonts w:asciiTheme="minorBidi" w:eastAsiaTheme="minorHAnsi" w:hAnsiTheme="minorBidi"/>
          <w:szCs w:val="20"/>
        </w:rPr>
        <w:t>’</w:t>
      </w:r>
      <w:r w:rsidRPr="00497C7F">
        <w:rPr>
          <w:rFonts w:asciiTheme="minorBidi" w:eastAsiaTheme="minorHAnsi" w:hAnsiTheme="minorBidi"/>
          <w:szCs w:val="20"/>
        </w:rPr>
        <w:t>établissement du rapport.</w:t>
      </w:r>
    </w:p>
    <w:p w14:paraId="73A0F6B3" w14:textId="77777777" w:rsidR="00EB3C9D" w:rsidRPr="00497C7F" w:rsidRDefault="00EB3C9D" w:rsidP="00986700">
      <w:pPr>
        <w:jc w:val="both"/>
        <w:rPr>
          <w:rFonts w:cs="Arial"/>
        </w:rPr>
      </w:pPr>
    </w:p>
    <w:p w14:paraId="012528C4"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lastRenderedPageBreak/>
        <w:t>Répartition des demandes régulières et irrégulières</w:t>
      </w:r>
    </w:p>
    <w:p w14:paraId="0999A4B9" w14:textId="77777777" w:rsidR="00EB3C9D" w:rsidRPr="00497C7F" w:rsidRDefault="00EB3C9D" w:rsidP="00986700">
      <w:pPr>
        <w:keepNext/>
        <w:keepLines/>
        <w:rPr>
          <w:rFonts w:asciiTheme="minorBidi" w:eastAsiaTheme="minorHAnsi" w:hAnsiTheme="minorBidi"/>
          <w:i/>
          <w:szCs w:val="20"/>
        </w:rPr>
      </w:pPr>
    </w:p>
    <w:p w14:paraId="6651058D" w14:textId="77777777" w:rsidR="00EB3C9D" w:rsidRPr="00497C7F" w:rsidRDefault="00EB3C9D" w:rsidP="00986700">
      <w:pPr>
        <w:jc w:val="center"/>
        <w:rPr>
          <w:rFonts w:cs="Arial"/>
          <w:szCs w:val="20"/>
        </w:rPr>
      </w:pPr>
      <w:r w:rsidRPr="008358A0">
        <w:rPr>
          <w:noProof/>
          <w:lang w:val="en-US" w:eastAsia="en-US"/>
        </w:rPr>
        <w:drawing>
          <wp:inline distT="0" distB="0" distL="0" distR="0" wp14:anchorId="2F2F284D" wp14:editId="3F29CC6B">
            <wp:extent cx="5760085" cy="291899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85" cy="2918994"/>
                    </a:xfrm>
                    <a:prstGeom prst="rect">
                      <a:avLst/>
                    </a:prstGeom>
                    <a:noFill/>
                    <a:ln>
                      <a:noFill/>
                    </a:ln>
                  </pic:spPr>
                </pic:pic>
              </a:graphicData>
            </a:graphic>
          </wp:inline>
        </w:drawing>
      </w:r>
    </w:p>
    <w:p w14:paraId="4D4EEE57" w14:textId="77777777" w:rsidR="00EB3C9D" w:rsidRPr="00497C7F" w:rsidRDefault="00EB3C9D" w:rsidP="00986700">
      <w:pPr>
        <w:jc w:val="center"/>
        <w:rPr>
          <w:rFonts w:cs="Arial"/>
          <w:szCs w:val="20"/>
        </w:rPr>
      </w:pPr>
    </w:p>
    <w:p w14:paraId="681A685A"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proportion des demandes régulières est restée relativement stable en 2016 par rapport à 2015, avec une augmentation d</w:t>
      </w:r>
      <w:r>
        <w:rPr>
          <w:rFonts w:asciiTheme="minorBidi" w:eastAsiaTheme="minorHAnsi" w:hAnsiTheme="minorBidi"/>
          <w:szCs w:val="20"/>
        </w:rPr>
        <w:t>’</w:t>
      </w:r>
      <w:r w:rsidRPr="00497C7F">
        <w:rPr>
          <w:rFonts w:asciiTheme="minorBidi" w:eastAsiaTheme="minorHAnsi" w:hAnsiTheme="minorBidi"/>
          <w:szCs w:val="20"/>
        </w:rPr>
        <w:t>un point de pourcentage.</w:t>
      </w:r>
    </w:p>
    <w:p w14:paraId="58224259" w14:textId="77777777" w:rsidR="00EB3C9D" w:rsidRPr="00497C7F" w:rsidRDefault="00EB3C9D" w:rsidP="00986700">
      <w:pPr>
        <w:jc w:val="both"/>
        <w:rPr>
          <w:rFonts w:cs="Arial"/>
          <w:szCs w:val="20"/>
        </w:rPr>
      </w:pPr>
    </w:p>
    <w:p w14:paraId="355841A0" w14:textId="77777777" w:rsidR="00EB3C9D" w:rsidRPr="00497C7F" w:rsidRDefault="00EB3C9D" w:rsidP="00986700">
      <w:pPr>
        <w:rPr>
          <w:rFonts w:asciiTheme="minorBidi" w:eastAsiaTheme="minorHAnsi" w:hAnsiTheme="minorBidi"/>
          <w:szCs w:val="20"/>
          <w:u w:val="single"/>
        </w:rPr>
      </w:pPr>
      <w:r w:rsidRPr="00497C7F">
        <w:rPr>
          <w:rFonts w:asciiTheme="minorBidi" w:eastAsiaTheme="minorHAnsi" w:hAnsiTheme="minorBidi"/>
          <w:szCs w:val="20"/>
          <w:u w:val="single"/>
        </w:rPr>
        <w:t>Renouvellements</w:t>
      </w:r>
    </w:p>
    <w:p w14:paraId="15DA632E" w14:textId="77777777" w:rsidR="00EB3C9D" w:rsidRPr="00497C7F" w:rsidRDefault="00EB3C9D" w:rsidP="00986700">
      <w:pPr>
        <w:rPr>
          <w:rFonts w:asciiTheme="minorBidi" w:eastAsiaTheme="minorHAnsi" w:hAnsiTheme="minorBidi"/>
          <w:szCs w:val="20"/>
          <w:u w:val="single"/>
        </w:rPr>
      </w:pPr>
    </w:p>
    <w:p w14:paraId="761B9D32" w14:textId="77777777" w:rsidR="00EB3C9D" w:rsidRPr="00497C7F" w:rsidRDefault="00EB3C9D" w:rsidP="00986700">
      <w:pPr>
        <w:jc w:val="center"/>
        <w:rPr>
          <w:rFonts w:cs="Arial"/>
          <w:szCs w:val="20"/>
        </w:rPr>
      </w:pPr>
      <w:r w:rsidRPr="008358A0">
        <w:rPr>
          <w:noProof/>
          <w:lang w:val="en-US" w:eastAsia="en-US"/>
        </w:rPr>
        <w:drawing>
          <wp:inline distT="0" distB="0" distL="0" distR="0" wp14:anchorId="4193F26C" wp14:editId="63C7F2FF">
            <wp:extent cx="5760085" cy="29156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85" cy="2915637"/>
                    </a:xfrm>
                    <a:prstGeom prst="rect">
                      <a:avLst/>
                    </a:prstGeom>
                    <a:noFill/>
                    <a:ln>
                      <a:noFill/>
                    </a:ln>
                  </pic:spPr>
                </pic:pic>
              </a:graphicData>
            </a:graphic>
          </wp:inline>
        </w:drawing>
      </w:r>
    </w:p>
    <w:p w14:paraId="1C6A7DEE" w14:textId="77777777" w:rsidR="00EB3C9D" w:rsidRPr="00497C7F" w:rsidRDefault="00EB3C9D" w:rsidP="00986700">
      <w:pPr>
        <w:jc w:val="center"/>
        <w:rPr>
          <w:rFonts w:cs="Arial"/>
          <w:szCs w:val="20"/>
        </w:rPr>
      </w:pPr>
    </w:p>
    <w:p w14:paraId="3C6DC331" w14:textId="11C9E3BF" w:rsidR="00EB3C9D"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w:t>
      </w:r>
      <w:r w:rsidR="00B629E6">
        <w:rPr>
          <w:rFonts w:asciiTheme="minorBidi" w:eastAsiaTheme="minorHAnsi" w:hAnsiTheme="minorBidi"/>
          <w:szCs w:val="20"/>
        </w:rPr>
        <w:t>6</w:t>
      </w:r>
      <w:r w:rsidRPr="00497C7F">
        <w:rPr>
          <w:rFonts w:asciiTheme="minorBidi" w:eastAsiaTheme="minorHAnsi" w:hAnsiTheme="minorBidi"/>
          <w:szCs w:val="20"/>
        </w:rPr>
        <w:t>, le Bureau international a enregistré 30 103</w:t>
      </w:r>
      <w:r>
        <w:rPr>
          <w:rFonts w:asciiTheme="minorBidi" w:eastAsiaTheme="minorHAnsi" w:hAnsiTheme="minorBidi"/>
          <w:szCs w:val="20"/>
        </w:rPr>
        <w:t> </w:t>
      </w:r>
      <w:r w:rsidRPr="00497C7F">
        <w:rPr>
          <w:rFonts w:asciiTheme="minorBidi" w:eastAsiaTheme="minorHAnsi" w:hAnsiTheme="minorBidi"/>
          <w:szCs w:val="20"/>
        </w:rPr>
        <w:t>renouvellements, ce qui représente une hausse de 6% par rapport à 2015.</w:t>
      </w:r>
    </w:p>
    <w:p w14:paraId="59E5FD53" w14:textId="77777777" w:rsidR="00EB3C9D" w:rsidRPr="00497C7F" w:rsidRDefault="00EB3C9D" w:rsidP="00986700">
      <w:pPr>
        <w:jc w:val="both"/>
        <w:rPr>
          <w:rFonts w:asciiTheme="minorBidi" w:eastAsiaTheme="minorHAnsi" w:hAnsiTheme="minorBidi"/>
          <w:szCs w:val="20"/>
          <w:highlight w:val="yellow"/>
        </w:rPr>
      </w:pPr>
    </w:p>
    <w:p w14:paraId="673440C7" w14:textId="77777777" w:rsidR="00EB3C9D" w:rsidRPr="00497C7F" w:rsidRDefault="00EB3C9D" w:rsidP="00986700">
      <w:pPr>
        <w:keepNext/>
        <w:keepLines/>
        <w:rPr>
          <w:rFonts w:asciiTheme="minorBidi" w:eastAsiaTheme="minorHAnsi" w:hAnsiTheme="minorBidi"/>
          <w:szCs w:val="20"/>
          <w:u w:val="single"/>
        </w:rPr>
      </w:pPr>
      <w:r w:rsidRPr="00497C7F">
        <w:rPr>
          <w:rFonts w:asciiTheme="minorBidi" w:eastAsiaTheme="minorHAnsi" w:hAnsiTheme="minorBidi"/>
          <w:szCs w:val="20"/>
          <w:u w:val="single"/>
        </w:rPr>
        <w:lastRenderedPageBreak/>
        <w:t>Désignations postérieures</w:t>
      </w:r>
    </w:p>
    <w:p w14:paraId="5AA5F426" w14:textId="77777777" w:rsidR="00EB3C9D" w:rsidRPr="00497C7F" w:rsidRDefault="00EB3C9D" w:rsidP="00986700">
      <w:pPr>
        <w:keepNext/>
        <w:keepLines/>
        <w:rPr>
          <w:rFonts w:asciiTheme="minorBidi" w:eastAsiaTheme="minorHAnsi" w:hAnsiTheme="minorBidi"/>
          <w:szCs w:val="20"/>
          <w:u w:val="single"/>
        </w:rPr>
      </w:pPr>
    </w:p>
    <w:p w14:paraId="2B943830" w14:textId="77777777" w:rsidR="00EB3C9D" w:rsidRPr="00497C7F" w:rsidRDefault="00EB3C9D" w:rsidP="00986700">
      <w:pPr>
        <w:keepNext/>
        <w:keepLines/>
        <w:jc w:val="center"/>
        <w:rPr>
          <w:rFonts w:cs="Arial"/>
          <w:szCs w:val="20"/>
          <w:highlight w:val="yellow"/>
        </w:rPr>
      </w:pPr>
      <w:r w:rsidRPr="008358A0">
        <w:rPr>
          <w:noProof/>
          <w:lang w:val="en-US" w:eastAsia="en-US"/>
        </w:rPr>
        <w:drawing>
          <wp:inline distT="0" distB="0" distL="0" distR="0" wp14:anchorId="08C211B5" wp14:editId="182E03E7">
            <wp:extent cx="5760085" cy="2876462"/>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60085" cy="2876462"/>
                    </a:xfrm>
                    <a:prstGeom prst="rect">
                      <a:avLst/>
                    </a:prstGeom>
                    <a:noFill/>
                    <a:ln>
                      <a:noFill/>
                    </a:ln>
                  </pic:spPr>
                </pic:pic>
              </a:graphicData>
            </a:graphic>
          </wp:inline>
        </w:drawing>
      </w:r>
    </w:p>
    <w:p w14:paraId="703C4FDE" w14:textId="77777777" w:rsidR="00EB3C9D" w:rsidRPr="00497C7F" w:rsidRDefault="00EB3C9D" w:rsidP="00986700">
      <w:pPr>
        <w:keepNext/>
        <w:keepLines/>
        <w:jc w:val="both"/>
        <w:rPr>
          <w:rFonts w:cs="Arial"/>
          <w:szCs w:val="20"/>
          <w:highlight w:val="yellow"/>
        </w:rPr>
      </w:pPr>
    </w:p>
    <w:p w14:paraId="54D0EDF6" w14:textId="77777777" w:rsidR="00EB3C9D"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le Bureau international a enregistré 18 398</w:t>
      </w:r>
      <w:r>
        <w:rPr>
          <w:rFonts w:asciiTheme="minorBidi" w:eastAsiaTheme="minorHAnsi" w:hAnsiTheme="minorBidi"/>
          <w:szCs w:val="20"/>
        </w:rPr>
        <w:t> </w:t>
      </w:r>
      <w:r w:rsidRPr="00497C7F">
        <w:rPr>
          <w:rFonts w:asciiTheme="minorBidi" w:eastAsiaTheme="minorHAnsi" w:hAnsiTheme="minorBidi"/>
          <w:szCs w:val="20"/>
        </w:rPr>
        <w:t>désignations postérieures, soit une hausse de 2,9% par rapport à 2015.</w:t>
      </w:r>
    </w:p>
    <w:p w14:paraId="6E45C903" w14:textId="77777777" w:rsidR="00EB3C9D" w:rsidRPr="00497C7F" w:rsidRDefault="00EB3C9D" w:rsidP="00986700">
      <w:pPr>
        <w:jc w:val="both"/>
        <w:rPr>
          <w:rFonts w:cs="Arial"/>
          <w:bCs/>
        </w:rPr>
      </w:pPr>
    </w:p>
    <w:p w14:paraId="063D5F58" w14:textId="77777777" w:rsidR="00EB3C9D" w:rsidRPr="00497C7F" w:rsidRDefault="00EB3C9D" w:rsidP="00986700">
      <w:pPr>
        <w:keepNext/>
        <w:keepLines/>
        <w:rPr>
          <w:rFonts w:asciiTheme="minorBidi" w:eastAsiaTheme="minorHAnsi" w:hAnsiTheme="minorBidi"/>
          <w:szCs w:val="20"/>
          <w:u w:val="single"/>
        </w:rPr>
      </w:pPr>
      <w:r w:rsidRPr="00497C7F">
        <w:rPr>
          <w:rFonts w:asciiTheme="minorBidi" w:eastAsiaTheme="minorHAnsi" w:hAnsiTheme="minorBidi"/>
          <w:szCs w:val="20"/>
          <w:u w:val="single"/>
        </w:rPr>
        <w:t>Modifications</w:t>
      </w:r>
    </w:p>
    <w:p w14:paraId="7B7F71FB" w14:textId="77777777" w:rsidR="00EB3C9D" w:rsidRPr="00497C7F" w:rsidRDefault="00EB3C9D" w:rsidP="00986700">
      <w:pPr>
        <w:keepNext/>
        <w:keepLines/>
        <w:rPr>
          <w:rFonts w:asciiTheme="minorBidi" w:eastAsiaTheme="minorHAnsi" w:hAnsiTheme="minorBidi"/>
          <w:szCs w:val="20"/>
          <w:u w:val="single"/>
        </w:rPr>
      </w:pPr>
    </w:p>
    <w:p w14:paraId="6344A12B" w14:textId="77777777" w:rsidR="00EB3C9D" w:rsidRPr="00497C7F" w:rsidRDefault="00EB3C9D" w:rsidP="00986700">
      <w:pPr>
        <w:ind w:left="360"/>
        <w:jc w:val="center"/>
        <w:rPr>
          <w:rFonts w:cs="Arial"/>
        </w:rPr>
      </w:pPr>
      <w:r w:rsidRPr="008358A0">
        <w:rPr>
          <w:noProof/>
          <w:lang w:val="en-US" w:eastAsia="en-US"/>
        </w:rPr>
        <w:drawing>
          <wp:inline distT="0" distB="0" distL="0" distR="0" wp14:anchorId="385882C5" wp14:editId="369D8ED7">
            <wp:extent cx="5760085" cy="27463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085" cy="2746304"/>
                    </a:xfrm>
                    <a:prstGeom prst="rect">
                      <a:avLst/>
                    </a:prstGeom>
                    <a:noFill/>
                    <a:ln>
                      <a:noFill/>
                    </a:ln>
                  </pic:spPr>
                </pic:pic>
              </a:graphicData>
            </a:graphic>
          </wp:inline>
        </w:drawing>
      </w:r>
    </w:p>
    <w:p w14:paraId="5AE7D98B" w14:textId="77777777" w:rsidR="00EB3C9D" w:rsidRPr="00497C7F" w:rsidRDefault="00EB3C9D" w:rsidP="00986700">
      <w:pPr>
        <w:ind w:left="360"/>
        <w:jc w:val="center"/>
        <w:rPr>
          <w:rFonts w:cs="Arial"/>
        </w:rPr>
      </w:pPr>
    </w:p>
    <w:p w14:paraId="0B918B0E" w14:textId="7ED579AA"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le Bureau international a reçu 43 026</w:t>
      </w:r>
      <w:r>
        <w:rPr>
          <w:rFonts w:asciiTheme="minorBidi" w:eastAsiaTheme="minorHAnsi" w:hAnsiTheme="minorBidi"/>
          <w:szCs w:val="20"/>
        </w:rPr>
        <w:t> </w:t>
      </w:r>
      <w:r w:rsidRPr="00497C7F">
        <w:rPr>
          <w:rFonts w:asciiTheme="minorBidi" w:eastAsiaTheme="minorHAnsi" w:hAnsiTheme="minorBidi"/>
          <w:szCs w:val="20"/>
        </w:rPr>
        <w:t>demandes de modifications, ce qui représente une augmentation de 4% par rapport à 2015.</w:t>
      </w:r>
    </w:p>
    <w:p w14:paraId="69905E97" w14:textId="77777777" w:rsidR="00EB3C9D" w:rsidRPr="00497C7F" w:rsidRDefault="00EB3C9D" w:rsidP="00986700">
      <w:pPr>
        <w:spacing w:after="120"/>
        <w:jc w:val="both"/>
        <w:rPr>
          <w:rFonts w:cs="Arial"/>
          <w:szCs w:val="20"/>
        </w:rPr>
      </w:pPr>
    </w:p>
    <w:p w14:paraId="6289C422" w14:textId="77777777" w:rsidR="00EB3C9D" w:rsidRPr="00497C7F" w:rsidRDefault="00EB3C9D" w:rsidP="00986700">
      <w:pPr>
        <w:keepNext/>
        <w:keepLines/>
        <w:rPr>
          <w:rFonts w:asciiTheme="minorBidi" w:eastAsiaTheme="minorHAnsi" w:hAnsiTheme="minorBidi"/>
          <w:szCs w:val="20"/>
          <w:u w:val="single"/>
        </w:rPr>
      </w:pPr>
      <w:r w:rsidRPr="00497C7F">
        <w:rPr>
          <w:rFonts w:asciiTheme="minorBidi" w:eastAsiaTheme="minorHAnsi" w:hAnsiTheme="minorBidi"/>
          <w:szCs w:val="20"/>
          <w:u w:val="single"/>
        </w:rPr>
        <w:lastRenderedPageBreak/>
        <w:t>Décisions</w:t>
      </w:r>
    </w:p>
    <w:p w14:paraId="5A36412A" w14:textId="77777777" w:rsidR="00EB3C9D" w:rsidRPr="00497C7F" w:rsidRDefault="00EB3C9D" w:rsidP="00986700">
      <w:pPr>
        <w:keepNext/>
        <w:keepLines/>
        <w:rPr>
          <w:rFonts w:asciiTheme="minorBidi" w:eastAsiaTheme="minorHAnsi" w:hAnsiTheme="minorBidi"/>
          <w:szCs w:val="20"/>
          <w:u w:val="single"/>
        </w:rPr>
      </w:pPr>
    </w:p>
    <w:p w14:paraId="6E6EC8EA" w14:textId="77777777" w:rsidR="00EB3C9D" w:rsidRPr="00497C7F" w:rsidRDefault="00EB3C9D" w:rsidP="00986700">
      <w:pPr>
        <w:keepNext/>
        <w:keepLines/>
        <w:jc w:val="center"/>
        <w:rPr>
          <w:rFonts w:cs="Arial"/>
        </w:rPr>
      </w:pPr>
      <w:r w:rsidRPr="008358A0">
        <w:rPr>
          <w:noProof/>
          <w:lang w:val="en-US" w:eastAsia="en-US"/>
        </w:rPr>
        <w:drawing>
          <wp:inline distT="0" distB="0" distL="0" distR="0" wp14:anchorId="557DAEB0" wp14:editId="51A374F2">
            <wp:extent cx="5760085" cy="3038567"/>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85" cy="3038567"/>
                    </a:xfrm>
                    <a:prstGeom prst="rect">
                      <a:avLst/>
                    </a:prstGeom>
                    <a:noFill/>
                    <a:ln>
                      <a:noFill/>
                    </a:ln>
                  </pic:spPr>
                </pic:pic>
              </a:graphicData>
            </a:graphic>
          </wp:inline>
        </w:drawing>
      </w:r>
    </w:p>
    <w:p w14:paraId="2B1E9EFD" w14:textId="77777777" w:rsidR="00EB3C9D" w:rsidRPr="00497C7F" w:rsidRDefault="00EB3C9D" w:rsidP="00986700">
      <w:pPr>
        <w:keepNext/>
        <w:keepLines/>
        <w:jc w:val="center"/>
        <w:rPr>
          <w:rFonts w:cs="Arial"/>
        </w:rPr>
      </w:pPr>
    </w:p>
    <w:p w14:paraId="50C60BA1" w14:textId="3D595F71"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En 2016, le nombre de décisions </w:t>
      </w:r>
      <w:r w:rsidR="00B629E6">
        <w:rPr>
          <w:rFonts w:asciiTheme="minorBidi" w:eastAsiaTheme="minorHAnsi" w:hAnsiTheme="minorBidi"/>
          <w:szCs w:val="20"/>
        </w:rPr>
        <w:t>traitées</w:t>
      </w:r>
      <w:r w:rsidRPr="00497C7F">
        <w:rPr>
          <w:rFonts w:asciiTheme="minorBidi" w:eastAsiaTheme="minorHAnsi" w:hAnsiTheme="minorBidi"/>
          <w:szCs w:val="20"/>
        </w:rPr>
        <w:t xml:space="preserve"> a baissé de 10% par rapport à 2015, pour totaliser 486 295.  Entre 2010 et 2013, le nombre de décisions traitées a fortement </w:t>
      </w:r>
      <w:r w:rsidR="00B629E6">
        <w:rPr>
          <w:rFonts w:asciiTheme="minorBidi" w:eastAsiaTheme="minorHAnsi" w:hAnsiTheme="minorBidi"/>
          <w:szCs w:val="20"/>
        </w:rPr>
        <w:t>augment</w:t>
      </w:r>
      <w:r w:rsidRPr="00497C7F">
        <w:rPr>
          <w:rFonts w:asciiTheme="minorBidi" w:eastAsiaTheme="minorHAnsi" w:hAnsiTheme="minorBidi"/>
          <w:szCs w:val="20"/>
        </w:rPr>
        <w:t>é.</w:t>
      </w:r>
    </w:p>
    <w:p w14:paraId="58B8F069" w14:textId="77777777" w:rsidR="00EB3C9D" w:rsidRPr="00497C7F" w:rsidRDefault="00EB3C9D" w:rsidP="00986700">
      <w:pPr>
        <w:jc w:val="both"/>
        <w:rPr>
          <w:rFonts w:asciiTheme="minorBidi" w:eastAsiaTheme="minorHAnsi" w:hAnsiTheme="minorBidi"/>
          <w:szCs w:val="20"/>
        </w:rPr>
      </w:pPr>
    </w:p>
    <w:p w14:paraId="49EBCC94"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72% des décisions ont été traitées automatiquement.  Cette proportion est en augmentation constant</w:t>
      </w:r>
      <w:r>
        <w:rPr>
          <w:rFonts w:asciiTheme="minorBidi" w:eastAsiaTheme="minorHAnsi" w:hAnsiTheme="minorBidi"/>
          <w:szCs w:val="20"/>
        </w:rPr>
        <w:t xml:space="preserve">e </w:t>
      </w:r>
      <w:r w:rsidRPr="00497C7F">
        <w:rPr>
          <w:rFonts w:asciiTheme="minorBidi" w:eastAsiaTheme="minorHAnsi" w:hAnsiTheme="minorBidi"/>
          <w:szCs w:val="20"/>
        </w:rPr>
        <w:t>depuis 2011.</w:t>
      </w:r>
    </w:p>
    <w:p w14:paraId="76141AD6" w14:textId="77777777" w:rsidR="00EB3C9D" w:rsidRPr="00497C7F" w:rsidRDefault="00EB3C9D" w:rsidP="00986700">
      <w:pPr>
        <w:jc w:val="both"/>
        <w:rPr>
          <w:rFonts w:cs="Arial"/>
        </w:rPr>
      </w:pPr>
    </w:p>
    <w:p w14:paraId="7C56721C" w14:textId="77777777" w:rsidR="00EB3C9D" w:rsidRPr="00497C7F" w:rsidRDefault="00EB3C9D" w:rsidP="00986700">
      <w:pPr>
        <w:keepNext/>
        <w:keepLines/>
        <w:rPr>
          <w:rFonts w:asciiTheme="minorBidi" w:eastAsiaTheme="minorHAnsi" w:hAnsiTheme="minorBidi"/>
          <w:szCs w:val="20"/>
          <w:u w:val="single"/>
        </w:rPr>
      </w:pPr>
      <w:r w:rsidRPr="00497C7F">
        <w:rPr>
          <w:rFonts w:asciiTheme="minorBidi" w:eastAsiaTheme="minorHAnsi" w:hAnsiTheme="minorBidi"/>
          <w:szCs w:val="20"/>
          <w:u w:val="single"/>
        </w:rPr>
        <w:t>Corrections</w:t>
      </w:r>
    </w:p>
    <w:p w14:paraId="1B648B71" w14:textId="77777777" w:rsidR="00EB3C9D" w:rsidRPr="00497C7F" w:rsidRDefault="00EB3C9D" w:rsidP="00986700">
      <w:pPr>
        <w:keepNext/>
        <w:keepLines/>
        <w:rPr>
          <w:rFonts w:asciiTheme="minorBidi" w:eastAsiaTheme="minorHAnsi" w:hAnsiTheme="minorBidi"/>
          <w:szCs w:val="20"/>
          <w:u w:val="single"/>
        </w:rPr>
      </w:pPr>
    </w:p>
    <w:p w14:paraId="7B463DD9" w14:textId="77777777" w:rsidR="00EB3C9D" w:rsidRPr="00497C7F" w:rsidRDefault="00EB3C9D" w:rsidP="00986700">
      <w:pPr>
        <w:jc w:val="center"/>
        <w:rPr>
          <w:rFonts w:cs="Arial"/>
        </w:rPr>
      </w:pPr>
      <w:r w:rsidRPr="008358A0">
        <w:rPr>
          <w:noProof/>
          <w:lang w:val="en-US" w:eastAsia="en-US"/>
        </w:rPr>
        <w:drawing>
          <wp:inline distT="0" distB="0" distL="0" distR="0" wp14:anchorId="06CA4E0C" wp14:editId="1A20C594">
            <wp:extent cx="5760085" cy="25607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2560734"/>
                    </a:xfrm>
                    <a:prstGeom prst="rect">
                      <a:avLst/>
                    </a:prstGeom>
                    <a:noFill/>
                    <a:ln>
                      <a:noFill/>
                    </a:ln>
                  </pic:spPr>
                </pic:pic>
              </a:graphicData>
            </a:graphic>
          </wp:inline>
        </w:drawing>
      </w:r>
    </w:p>
    <w:p w14:paraId="50BF98D4" w14:textId="77777777" w:rsidR="00EB3C9D" w:rsidRPr="00497C7F" w:rsidRDefault="00EB3C9D" w:rsidP="00986700">
      <w:pPr>
        <w:jc w:val="center"/>
        <w:rPr>
          <w:rFonts w:cs="Arial"/>
        </w:rPr>
      </w:pPr>
    </w:p>
    <w:p w14:paraId="6156E58A"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le Bureau international a reçu 5860</w:t>
      </w:r>
      <w:r>
        <w:rPr>
          <w:rFonts w:asciiTheme="minorBidi" w:eastAsiaTheme="minorHAnsi" w:hAnsiTheme="minorBidi"/>
          <w:szCs w:val="20"/>
        </w:rPr>
        <w:t> </w:t>
      </w:r>
      <w:r w:rsidRPr="00497C7F">
        <w:rPr>
          <w:rFonts w:asciiTheme="minorBidi" w:eastAsiaTheme="minorHAnsi" w:hAnsiTheme="minorBidi"/>
          <w:szCs w:val="20"/>
        </w:rPr>
        <w:t>demandes de corrections, ce qui représente une baisse de 4,4% par rapport à 2015.</w:t>
      </w:r>
    </w:p>
    <w:p w14:paraId="5DB0C7E2" w14:textId="77777777" w:rsidR="00EB3C9D" w:rsidRPr="00497C7F" w:rsidRDefault="00EB3C9D" w:rsidP="00986700">
      <w:pPr>
        <w:spacing w:before="120" w:after="240"/>
        <w:contextualSpacing/>
        <w:rPr>
          <w:rFonts w:asciiTheme="minorBidi" w:eastAsiaTheme="minorHAnsi" w:hAnsiTheme="minorBidi"/>
        </w:rPr>
      </w:pPr>
    </w:p>
    <w:p w14:paraId="61F10064" w14:textId="77777777" w:rsidR="00EB3C9D" w:rsidRPr="00497C7F" w:rsidRDefault="00EB3C9D" w:rsidP="00986700">
      <w:pPr>
        <w:spacing w:before="120" w:after="240"/>
        <w:contextualSpacing/>
        <w:rPr>
          <w:rFonts w:asciiTheme="minorBidi" w:eastAsiaTheme="minorHAnsi" w:hAnsiTheme="minorBidi"/>
        </w:rPr>
      </w:pPr>
    </w:p>
    <w:p w14:paraId="75A8ED9E" w14:textId="77777777" w:rsidR="00EB3C9D" w:rsidRPr="00497C7F" w:rsidRDefault="00EB3C9D" w:rsidP="00616FD3">
      <w:pPr>
        <w:keepNext/>
        <w:keepLines/>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lastRenderedPageBreak/>
        <w:t>Charge de travail globale traitée</w:t>
      </w:r>
    </w:p>
    <w:p w14:paraId="6CB0B8D0" w14:textId="77777777"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La charge de travail globale traitée représente le nombre total pondéré de documents traités par le Bureau international.  Les six</w:t>
      </w:r>
      <w:r>
        <w:rPr>
          <w:rFonts w:cs="Arial"/>
        </w:rPr>
        <w:t> </w:t>
      </w:r>
      <w:r w:rsidRPr="00497C7F">
        <w:rPr>
          <w:rFonts w:cs="Arial"/>
        </w:rPr>
        <w:t>catégories de documents sont incluses (les demandes, les renouvellements, les désignations postérieures, les modifications, les décisions et les corrections).</w:t>
      </w:r>
    </w:p>
    <w:p w14:paraId="52AEEB7D" w14:textId="77777777" w:rsidR="00EB3C9D" w:rsidRPr="00497C7F" w:rsidRDefault="00EB3C9D" w:rsidP="00986700">
      <w:pPr>
        <w:keepNext/>
        <w:keepLines/>
        <w:jc w:val="both"/>
        <w:rPr>
          <w:rFonts w:cs="Arial"/>
          <w:szCs w:val="20"/>
        </w:rPr>
      </w:pPr>
    </w:p>
    <w:p w14:paraId="1B8CF1DB" w14:textId="3269CC2E" w:rsidR="00EB3C9D"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Étant donné que le traitement de ces différents types de documents ne nécessite pas la même quantité de ressources, ceux</w:t>
      </w:r>
      <w:r w:rsidR="00B441CA">
        <w:rPr>
          <w:rFonts w:cs="Arial"/>
        </w:rPr>
        <w:noBreakHyphen/>
      </w:r>
      <w:r w:rsidRPr="00497C7F">
        <w:rPr>
          <w:rFonts w:cs="Arial"/>
        </w:rPr>
        <w:t>ci ont été pondérés différemment.  Selon la répartition actuelle, pendant le temps requis pour traiter une demande internationale, un examinateur en équivalent temps plein peut traiter 1,6</w:t>
      </w:r>
      <w:r>
        <w:rPr>
          <w:rFonts w:cs="Arial"/>
        </w:rPr>
        <w:t> </w:t>
      </w:r>
      <w:r w:rsidRPr="00497C7F">
        <w:rPr>
          <w:rFonts w:cs="Arial"/>
        </w:rPr>
        <w:t>renouvellement, 1,8</w:t>
      </w:r>
      <w:r>
        <w:rPr>
          <w:rFonts w:cs="Arial"/>
        </w:rPr>
        <w:t> </w:t>
      </w:r>
      <w:r w:rsidRPr="00497C7F">
        <w:rPr>
          <w:rFonts w:cs="Arial"/>
        </w:rPr>
        <w:t>désignation postérieure, 1,8 modification ou 10</w:t>
      </w:r>
      <w:r>
        <w:rPr>
          <w:rFonts w:cs="Arial"/>
        </w:rPr>
        <w:t> </w:t>
      </w:r>
      <w:r w:rsidRPr="00497C7F">
        <w:rPr>
          <w:rFonts w:cs="Arial"/>
        </w:rPr>
        <w:t>décisions.  De même, en ce qui concerne les documents traités automatiquement, un équivalent temps plein chargé du traitement automatique est considéré pouvoir traiter 17</w:t>
      </w:r>
      <w:r>
        <w:rPr>
          <w:rFonts w:cs="Arial"/>
        </w:rPr>
        <w:t> </w:t>
      </w:r>
      <w:r w:rsidRPr="00497C7F">
        <w:rPr>
          <w:rFonts w:cs="Arial"/>
        </w:rPr>
        <w:t>documents.</w:t>
      </w:r>
    </w:p>
    <w:p w14:paraId="09271110" w14:textId="77777777" w:rsidR="00EB3C9D" w:rsidRPr="00497C7F" w:rsidRDefault="00EB3C9D" w:rsidP="00986700">
      <w:pPr>
        <w:jc w:val="both"/>
        <w:rPr>
          <w:rFonts w:cs="Arial"/>
          <w:szCs w:val="20"/>
        </w:rPr>
      </w:pPr>
    </w:p>
    <w:p w14:paraId="65F5FA5C" w14:textId="441E00A5" w:rsidR="00EB3C9D" w:rsidRDefault="00A26AF2" w:rsidP="00986700">
      <w:pPr>
        <w:jc w:val="center"/>
        <w:rPr>
          <w:rFonts w:cs="Arial"/>
        </w:rPr>
      </w:pPr>
      <w:r w:rsidRPr="00A26AF2">
        <w:rPr>
          <w:noProof/>
          <w:lang w:val="en-US" w:eastAsia="en-US"/>
        </w:rPr>
        <w:drawing>
          <wp:inline distT="0" distB="0" distL="0" distR="0" wp14:anchorId="6D89AF3F" wp14:editId="4C590979">
            <wp:extent cx="5760085" cy="314074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3140744"/>
                    </a:xfrm>
                    <a:prstGeom prst="rect">
                      <a:avLst/>
                    </a:prstGeom>
                    <a:noFill/>
                    <a:ln>
                      <a:noFill/>
                    </a:ln>
                  </pic:spPr>
                </pic:pic>
              </a:graphicData>
            </a:graphic>
          </wp:inline>
        </w:drawing>
      </w:r>
    </w:p>
    <w:p w14:paraId="0ECD510F" w14:textId="77777777" w:rsidR="00A26AF2" w:rsidRPr="00497C7F" w:rsidRDefault="00A26AF2" w:rsidP="00986700">
      <w:pPr>
        <w:rPr>
          <w:rFonts w:cs="Arial"/>
        </w:rPr>
      </w:pPr>
    </w:p>
    <w:p w14:paraId="28928B24" w14:textId="2A3F4F5B"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En 2016, la charge de travail globale traitée a diminué de 8% par rapport à 2015.  Les </w:t>
      </w:r>
      <w:r w:rsidR="00B629E6">
        <w:rPr>
          <w:rFonts w:asciiTheme="minorBidi" w:eastAsiaTheme="minorHAnsi" w:hAnsiTheme="minorBidi"/>
          <w:szCs w:val="20"/>
        </w:rPr>
        <w:t>enregistrement</w:t>
      </w:r>
      <w:r w:rsidRPr="00497C7F">
        <w:rPr>
          <w:rFonts w:asciiTheme="minorBidi" w:eastAsiaTheme="minorHAnsi" w:hAnsiTheme="minorBidi"/>
          <w:szCs w:val="20"/>
        </w:rPr>
        <w:t>s, les décisions et les modifications ont représenté près de 78% de la charge de travail globale traitée.</w:t>
      </w:r>
    </w:p>
    <w:p w14:paraId="18F0B740" w14:textId="77777777" w:rsidR="00EB3C9D" w:rsidRPr="00497C7F" w:rsidRDefault="00EB3C9D" w:rsidP="00986700">
      <w:pPr>
        <w:jc w:val="both"/>
        <w:rPr>
          <w:rFonts w:asciiTheme="minorBidi" w:eastAsiaTheme="minorHAnsi" w:hAnsiTheme="minorBidi"/>
          <w:szCs w:val="20"/>
        </w:rPr>
      </w:pPr>
    </w:p>
    <w:p w14:paraId="65B2DD8D" w14:textId="5CBD1506"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diminution générale observée en 2016 concernait notamment le nombre de désignations postérieures, d</w:t>
      </w:r>
      <w:r w:rsidR="00B629E6">
        <w:rPr>
          <w:rFonts w:asciiTheme="minorBidi" w:eastAsiaTheme="minorHAnsi" w:hAnsiTheme="minorBidi"/>
          <w:szCs w:val="20"/>
        </w:rPr>
        <w:t>’enregistrement</w:t>
      </w:r>
      <w:r w:rsidRPr="00497C7F">
        <w:rPr>
          <w:rFonts w:asciiTheme="minorBidi" w:eastAsiaTheme="minorHAnsi" w:hAnsiTheme="minorBidi"/>
          <w:szCs w:val="20"/>
        </w:rPr>
        <w:t>s et de décisions traitées, avec des diminutions de 15, 14 et 12% par rapport à 2015, respectivement.  Ces chiffres résultent de l</w:t>
      </w:r>
      <w:r>
        <w:rPr>
          <w:rFonts w:asciiTheme="minorBidi" w:eastAsiaTheme="minorHAnsi" w:hAnsiTheme="minorBidi"/>
          <w:szCs w:val="20"/>
        </w:rPr>
        <w:t>’</w:t>
      </w:r>
      <w:r w:rsidRPr="00497C7F">
        <w:rPr>
          <w:rFonts w:asciiTheme="minorBidi" w:eastAsiaTheme="minorHAnsi" w:hAnsiTheme="minorBidi"/>
          <w:szCs w:val="20"/>
        </w:rPr>
        <w:t>instabilité du nouveau système informatique (MIRIS) après sa mise en place, qui a entraîné des retards dans le traitement des demandes en instance.</w:t>
      </w:r>
    </w:p>
    <w:p w14:paraId="19EA591F" w14:textId="77777777" w:rsidR="00EB3C9D" w:rsidRPr="00497C7F" w:rsidRDefault="00EB3C9D" w:rsidP="00986700">
      <w:pPr>
        <w:rPr>
          <w:rFonts w:asciiTheme="minorBidi" w:eastAsiaTheme="minorHAnsi" w:hAnsiTheme="minorBidi"/>
        </w:rPr>
      </w:pPr>
    </w:p>
    <w:p w14:paraId="4E69A725" w14:textId="77777777" w:rsidR="00EB3C9D" w:rsidRPr="00497C7F" w:rsidRDefault="00EB3C9D" w:rsidP="00986700">
      <w:pPr>
        <w:jc w:val="both"/>
        <w:rPr>
          <w:rFonts w:asciiTheme="minorBidi" w:eastAsiaTheme="minorHAnsi" w:hAnsiTheme="minorBidi"/>
          <w:szCs w:val="20"/>
        </w:rPr>
      </w:pPr>
    </w:p>
    <w:p w14:paraId="463E08B6" w14:textId="77777777" w:rsidR="00EB3C9D" w:rsidRPr="00497C7F" w:rsidRDefault="00EB3C9D" w:rsidP="00616FD3">
      <w:pPr>
        <w:keepNext/>
        <w:keepLines/>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lastRenderedPageBreak/>
        <w:t>Mode de transmission des documents reçus</w:t>
      </w:r>
    </w:p>
    <w:p w14:paraId="5A84B672" w14:textId="585872C2" w:rsidR="00EB3C9D" w:rsidRDefault="00A26AF2" w:rsidP="00986700">
      <w:pPr>
        <w:keepNext/>
        <w:keepLines/>
        <w:jc w:val="center"/>
        <w:rPr>
          <w:rFonts w:cs="Arial"/>
        </w:rPr>
      </w:pPr>
      <w:r w:rsidRPr="00A26AF2">
        <w:rPr>
          <w:noProof/>
          <w:lang w:val="en-US" w:eastAsia="en-US"/>
        </w:rPr>
        <w:drawing>
          <wp:inline distT="0" distB="0" distL="0" distR="0" wp14:anchorId="7D56E3BE" wp14:editId="17EC06FF">
            <wp:extent cx="5760085" cy="26729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2672942"/>
                    </a:xfrm>
                    <a:prstGeom prst="rect">
                      <a:avLst/>
                    </a:prstGeom>
                    <a:noFill/>
                    <a:ln>
                      <a:noFill/>
                    </a:ln>
                  </pic:spPr>
                </pic:pic>
              </a:graphicData>
            </a:graphic>
          </wp:inline>
        </w:drawing>
      </w:r>
    </w:p>
    <w:p w14:paraId="54D52573" w14:textId="77777777" w:rsidR="00A26AF2" w:rsidRPr="00497C7F" w:rsidRDefault="00A26AF2" w:rsidP="00986700">
      <w:pPr>
        <w:keepNext/>
        <w:keepLines/>
        <w:rPr>
          <w:rFonts w:cs="Arial"/>
        </w:rPr>
      </w:pPr>
    </w:p>
    <w:p w14:paraId="30582887" w14:textId="77777777"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87% des documents reçus ont été transmis au Bureau international par voie électronique, ce qui représente une augmentation de huit</w:t>
      </w:r>
      <w:r>
        <w:rPr>
          <w:rFonts w:asciiTheme="minorBidi" w:eastAsiaTheme="minorHAnsi" w:hAnsiTheme="minorBidi"/>
          <w:szCs w:val="20"/>
        </w:rPr>
        <w:t> </w:t>
      </w:r>
      <w:r w:rsidRPr="00497C7F">
        <w:rPr>
          <w:rFonts w:asciiTheme="minorBidi" w:eastAsiaTheme="minorHAnsi" w:hAnsiTheme="minorBidi"/>
          <w:szCs w:val="20"/>
        </w:rPr>
        <w:t>points de pourcentage par rapport à 2015.</w:t>
      </w:r>
    </w:p>
    <w:p w14:paraId="41179936" w14:textId="77777777" w:rsidR="00EB3C9D" w:rsidRPr="00497C7F" w:rsidRDefault="00EB3C9D" w:rsidP="00986700">
      <w:pPr>
        <w:jc w:val="both"/>
        <w:rPr>
          <w:rFonts w:asciiTheme="minorBidi" w:eastAsiaTheme="minorHAnsi" w:hAnsiTheme="minorBidi"/>
          <w:szCs w:val="20"/>
        </w:rPr>
      </w:pPr>
    </w:p>
    <w:p w14:paraId="415D821C" w14:textId="4257BA1B" w:rsidR="00EB3C9D" w:rsidRPr="00497C7F" w:rsidRDefault="00EB3C9D" w:rsidP="00616FD3">
      <w:pPr>
        <w:numPr>
          <w:ilvl w:val="0"/>
          <w:numId w:val="43"/>
        </w:numPr>
        <w:tabs>
          <w:tab w:val="clear" w:pos="720"/>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proportion des documents transmis par voie électronique a augmenté constamment depuis 2008, sauf en 2014, où celle</w:t>
      </w:r>
      <w:r w:rsidR="00B441CA">
        <w:rPr>
          <w:rFonts w:asciiTheme="minorBidi" w:eastAsiaTheme="minorHAnsi" w:hAnsiTheme="minorBidi"/>
          <w:szCs w:val="20"/>
        </w:rPr>
        <w:noBreakHyphen/>
      </w:r>
      <w:r w:rsidRPr="00497C7F">
        <w:rPr>
          <w:rFonts w:asciiTheme="minorBidi" w:eastAsiaTheme="minorHAnsi" w:hAnsiTheme="minorBidi"/>
          <w:szCs w:val="20"/>
        </w:rPr>
        <w:t>ci a diminué d</w:t>
      </w:r>
      <w:r>
        <w:rPr>
          <w:rFonts w:asciiTheme="minorBidi" w:eastAsiaTheme="minorHAnsi" w:hAnsiTheme="minorBidi"/>
          <w:szCs w:val="20"/>
        </w:rPr>
        <w:t>’</w:t>
      </w:r>
      <w:r w:rsidRPr="00497C7F">
        <w:rPr>
          <w:rFonts w:asciiTheme="minorBidi" w:eastAsiaTheme="minorHAnsi" w:hAnsiTheme="minorBidi"/>
          <w:szCs w:val="20"/>
        </w:rPr>
        <w:t>un point de pourcentage.</w:t>
      </w:r>
    </w:p>
    <w:p w14:paraId="3B554FAD" w14:textId="77777777" w:rsidR="00EB3C9D" w:rsidRPr="00497C7F" w:rsidRDefault="00EB3C9D" w:rsidP="00986700">
      <w:pPr>
        <w:tabs>
          <w:tab w:val="num" w:pos="993"/>
        </w:tabs>
        <w:jc w:val="both"/>
        <w:rPr>
          <w:rFonts w:cs="Arial"/>
          <w:szCs w:val="20"/>
        </w:rPr>
      </w:pPr>
    </w:p>
    <w:p w14:paraId="52DE8214" w14:textId="77777777" w:rsidR="00EB3C9D" w:rsidRPr="00497C7F" w:rsidRDefault="00EB3C9D" w:rsidP="00986700">
      <w:pPr>
        <w:tabs>
          <w:tab w:val="num" w:pos="993"/>
        </w:tabs>
        <w:jc w:val="both"/>
        <w:rPr>
          <w:rFonts w:cs="Arial"/>
          <w:szCs w:val="20"/>
        </w:rPr>
      </w:pPr>
    </w:p>
    <w:p w14:paraId="3D311820" w14:textId="77777777" w:rsidR="00EB3C9D" w:rsidRPr="00497C7F" w:rsidRDefault="00EB3C9D" w:rsidP="00616FD3">
      <w:pPr>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t>Traitement</w:t>
      </w:r>
    </w:p>
    <w:p w14:paraId="1F775BD1" w14:textId="77777777" w:rsidR="00EB3C9D" w:rsidRPr="00497C7F" w:rsidRDefault="00EB3C9D" w:rsidP="00986700">
      <w:pPr>
        <w:rPr>
          <w:rFonts w:asciiTheme="minorBidi" w:eastAsiaTheme="minorHAnsi" w:hAnsiTheme="minorBidi"/>
          <w:szCs w:val="20"/>
          <w:u w:val="single"/>
        </w:rPr>
      </w:pPr>
      <w:r w:rsidRPr="00497C7F">
        <w:rPr>
          <w:rFonts w:asciiTheme="minorBidi" w:eastAsiaTheme="minorHAnsi" w:hAnsiTheme="minorBidi"/>
          <w:szCs w:val="20"/>
          <w:u w:val="single"/>
        </w:rPr>
        <w:t>Coût de production total</w:t>
      </w:r>
    </w:p>
    <w:p w14:paraId="410A32BF" w14:textId="77777777" w:rsidR="00EB3C9D" w:rsidRPr="00497C7F" w:rsidRDefault="00EB3C9D" w:rsidP="00986700">
      <w:pPr>
        <w:rPr>
          <w:rFonts w:asciiTheme="minorBidi" w:eastAsiaTheme="minorHAnsi" w:hAnsiTheme="minorBidi"/>
          <w:szCs w:val="20"/>
          <w:u w:val="single"/>
        </w:rPr>
      </w:pPr>
    </w:p>
    <w:p w14:paraId="3F49B0B7" w14:textId="77777777" w:rsidR="00EB3C9D"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Le coût de production total comprend les dépenses se rapportant exclusivement au système de Madrid et celles relatives aux activités de soutien à ce système.</w:t>
      </w:r>
    </w:p>
    <w:p w14:paraId="090D2278" w14:textId="77777777" w:rsidR="00EB3C9D" w:rsidRPr="00497C7F" w:rsidRDefault="00EB3C9D" w:rsidP="00986700">
      <w:pPr>
        <w:pStyle w:val="ListParagraph"/>
        <w:keepNext/>
        <w:keepLines/>
        <w:tabs>
          <w:tab w:val="left" w:pos="567"/>
        </w:tabs>
        <w:ind w:left="0"/>
        <w:jc w:val="both"/>
        <w:rPr>
          <w:rFonts w:cs="Arial"/>
        </w:rPr>
      </w:pPr>
    </w:p>
    <w:p w14:paraId="57EFFBBB" w14:textId="7DEBFFBC"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En ce qui concerne les données antérieures à 2016, les dépenses se rapportant exclusivement au système de Madrid comptaient pour environ 96% des dépenses du programme 6.</w:t>
      </w:r>
      <w:r w:rsidRPr="00497C7F">
        <w:t xml:space="preserve">  À compte</w:t>
      </w:r>
      <w:r>
        <w:t>r</w:t>
      </w:r>
      <w:r w:rsidRPr="00497C7F">
        <w:t xml:space="preserve"> de 2016, les dépenses relatives au système de Madrid servant à financer les systèmes de </w:t>
      </w:r>
      <w:r>
        <w:t>La Haye</w:t>
      </w:r>
      <w:r w:rsidRPr="00497C7F">
        <w:t xml:space="preserve"> et de Lisbonne</w:t>
      </w:r>
      <w:r w:rsidRPr="00497C7F">
        <w:rPr>
          <w:rFonts w:cs="Arial"/>
        </w:rPr>
        <w:t xml:space="preserve"> ne sont plus prises en considération dans les calculs.  Avant l</w:t>
      </w:r>
      <w:r>
        <w:rPr>
          <w:rFonts w:cs="Arial"/>
        </w:rPr>
        <w:t>’</w:t>
      </w:r>
      <w:r w:rsidRPr="00497C7F">
        <w:rPr>
          <w:rFonts w:cs="Arial"/>
        </w:rPr>
        <w:t>exercice biennal 2016</w:t>
      </w:r>
      <w:r w:rsidR="00B441CA">
        <w:rPr>
          <w:rFonts w:cs="Arial"/>
        </w:rPr>
        <w:noBreakHyphen/>
      </w:r>
      <w:r w:rsidRPr="00497C7F">
        <w:rPr>
          <w:rFonts w:cs="Arial"/>
        </w:rPr>
        <w:t xml:space="preserve">2017, les dépenses concernant la traduction et le développement des systèmes informatiques en rapport avec les systèmes de </w:t>
      </w:r>
      <w:r>
        <w:rPr>
          <w:rFonts w:cs="Arial"/>
        </w:rPr>
        <w:t>La Haye</w:t>
      </w:r>
      <w:r w:rsidRPr="00497C7F">
        <w:rPr>
          <w:rFonts w:cs="Arial"/>
        </w:rPr>
        <w:t xml:space="preserve"> et de Lisbonne faisaient partie de l</w:t>
      </w:r>
      <w:r>
        <w:rPr>
          <w:rFonts w:cs="Arial"/>
        </w:rPr>
        <w:t>’</w:t>
      </w:r>
      <w:r w:rsidRPr="00497C7F">
        <w:rPr>
          <w:rFonts w:cs="Arial"/>
        </w:rPr>
        <w:t xml:space="preserve">enveloppe globale des dépenses du programme 6.  Compte tenu des changements apportés à la méthode de calcul, les données pour 2016 ne sont pas comparables aux données pour les années précédentes et sont donc présentées </w:t>
      </w:r>
      <w:r w:rsidR="00B629E6">
        <w:rPr>
          <w:rFonts w:cs="Arial"/>
        </w:rPr>
        <w:t>séparé</w:t>
      </w:r>
      <w:r w:rsidRPr="00497C7F">
        <w:rPr>
          <w:rFonts w:cs="Arial"/>
        </w:rPr>
        <w:t>ment.</w:t>
      </w:r>
    </w:p>
    <w:p w14:paraId="2C99203B" w14:textId="77777777" w:rsidR="00EB3C9D" w:rsidRPr="00497C7F" w:rsidRDefault="00EB3C9D" w:rsidP="00986700">
      <w:pPr>
        <w:keepNext/>
        <w:keepLines/>
        <w:tabs>
          <w:tab w:val="left" w:pos="567"/>
        </w:tabs>
        <w:jc w:val="both"/>
        <w:rPr>
          <w:rFonts w:cs="Arial"/>
        </w:rPr>
      </w:pPr>
    </w:p>
    <w:p w14:paraId="09765579" w14:textId="4E36C403"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Les dépenses relatives aux activités de soutien au système de Madrid comprennent les sommes consacrées aux services généraux suivants</w:t>
      </w:r>
      <w:r>
        <w:rPr>
          <w:rFonts w:cs="Arial"/>
        </w:rPr>
        <w:t> :</w:t>
      </w:r>
      <w:r w:rsidRPr="00497C7F">
        <w:rPr>
          <w:rFonts w:cs="Arial"/>
        </w:rPr>
        <w:t xml:space="preserve"> services de conférences et services linguistiques, construction, direction générale, finances et budget, services d</w:t>
      </w:r>
      <w:r>
        <w:rPr>
          <w:rFonts w:cs="Arial"/>
        </w:rPr>
        <w:t>’</w:t>
      </w:r>
      <w:r w:rsidRPr="00497C7F">
        <w:rPr>
          <w:rFonts w:cs="Arial"/>
        </w:rPr>
        <w:t>appui généraux, gestion des ressources humaines, supervision interne, informatique ainsi que sûreté et sécurité.  Une faible partie de ces dépenses (coûts d</w:t>
      </w:r>
      <w:r>
        <w:rPr>
          <w:rFonts w:cs="Arial"/>
        </w:rPr>
        <w:t>’</w:t>
      </w:r>
      <w:r w:rsidRPr="00497C7F">
        <w:rPr>
          <w:rFonts w:cs="Arial"/>
        </w:rPr>
        <w:t xml:space="preserve">hébergement de serveurs au Centre international de calcul des </w:t>
      </w:r>
      <w:r>
        <w:rPr>
          <w:rFonts w:cs="Arial"/>
        </w:rPr>
        <w:t>Nations Unies</w:t>
      </w:r>
      <w:r w:rsidRPr="00497C7F">
        <w:rPr>
          <w:rFonts w:cs="Arial"/>
        </w:rPr>
        <w:t xml:space="preserve"> (UNICC) et une partie des coûts de la Section des recettes aux finances) est affectée directement au système de Madrid, tandis que le reste de ces dépenses attribuable au système de Madrid est calculé </w:t>
      </w:r>
      <w:r w:rsidR="00B629E6">
        <w:rPr>
          <w:rFonts w:cs="Arial"/>
        </w:rPr>
        <w:t>en fonction</w:t>
      </w:r>
      <w:r w:rsidRPr="00497C7F">
        <w:rPr>
          <w:rFonts w:cs="Arial"/>
        </w:rPr>
        <w:t xml:space="preserve"> des effectifs (</w:t>
      </w:r>
      <w:r>
        <w:rPr>
          <w:rFonts w:cs="Arial"/>
        </w:rPr>
        <w:t>y compris</w:t>
      </w:r>
      <w:r w:rsidRPr="00497C7F">
        <w:rPr>
          <w:rFonts w:cs="Arial"/>
        </w:rPr>
        <w:t xml:space="preserve"> les fonctionnaires titulaires d</w:t>
      </w:r>
      <w:r>
        <w:rPr>
          <w:rFonts w:cs="Arial"/>
        </w:rPr>
        <w:t>’</w:t>
      </w:r>
      <w:r w:rsidRPr="00497C7F">
        <w:rPr>
          <w:rFonts w:cs="Arial"/>
        </w:rPr>
        <w:t>un contrat à durée déterminée, les fonctionnaires temporaires et les boursiers).</w:t>
      </w:r>
    </w:p>
    <w:p w14:paraId="1BB9B4DD" w14:textId="77777777" w:rsidR="00EB3C9D" w:rsidRPr="00497C7F" w:rsidRDefault="00EB3C9D" w:rsidP="0098670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9"/>
        <w:gridCol w:w="3238"/>
      </w:tblGrid>
      <w:tr w:rsidR="00EB3C9D" w:rsidRPr="00497C7F" w14:paraId="438EEF83" w14:textId="77777777" w:rsidTr="00AA49D8">
        <w:tc>
          <w:tcPr>
            <w:tcW w:w="6009" w:type="dxa"/>
          </w:tcPr>
          <w:p w14:paraId="3E5C34B6" w14:textId="77777777" w:rsidR="00EB3C9D" w:rsidRPr="00497C7F" w:rsidRDefault="00EB3C9D" w:rsidP="00986700">
            <w:pPr>
              <w:jc w:val="center"/>
              <w:rPr>
                <w:rFonts w:cs="Arial"/>
              </w:rPr>
            </w:pPr>
            <w:r>
              <w:rPr>
                <w:rFonts w:cs="Arial"/>
                <w:noProof/>
                <w:lang w:val="en-US"/>
              </w:rPr>
              <w:lastRenderedPageBreak/>
              <w:drawing>
                <wp:inline distT="0" distB="0" distL="0" distR="0" wp14:anchorId="79905D6C" wp14:editId="325CE8A1">
                  <wp:extent cx="3716980" cy="2376000"/>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16980" cy="2376000"/>
                          </a:xfrm>
                          <a:prstGeom prst="rect">
                            <a:avLst/>
                          </a:prstGeom>
                          <a:noFill/>
                          <a:ln>
                            <a:noFill/>
                          </a:ln>
                        </pic:spPr>
                      </pic:pic>
                    </a:graphicData>
                  </a:graphic>
                </wp:inline>
              </w:drawing>
            </w:r>
          </w:p>
        </w:tc>
        <w:tc>
          <w:tcPr>
            <w:tcW w:w="3278" w:type="dxa"/>
          </w:tcPr>
          <w:p w14:paraId="725F0D52" w14:textId="77777777" w:rsidR="00EB3C9D" w:rsidRPr="00497C7F" w:rsidRDefault="00EB3C9D" w:rsidP="00986700">
            <w:pPr>
              <w:jc w:val="center"/>
              <w:rPr>
                <w:rFonts w:cs="Arial"/>
              </w:rPr>
            </w:pPr>
            <w:r>
              <w:rPr>
                <w:rFonts w:cs="Arial"/>
                <w:noProof/>
                <w:lang w:val="en-US"/>
              </w:rPr>
              <w:drawing>
                <wp:inline distT="0" distB="0" distL="0" distR="0" wp14:anchorId="31552DA6" wp14:editId="2BC505E2">
                  <wp:extent cx="1926558" cy="2376000"/>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26558" cy="2376000"/>
                          </a:xfrm>
                          <a:prstGeom prst="rect">
                            <a:avLst/>
                          </a:prstGeom>
                          <a:noFill/>
                          <a:ln>
                            <a:noFill/>
                          </a:ln>
                        </pic:spPr>
                      </pic:pic>
                    </a:graphicData>
                  </a:graphic>
                </wp:inline>
              </w:drawing>
            </w:r>
          </w:p>
        </w:tc>
      </w:tr>
    </w:tbl>
    <w:p w14:paraId="5D873DA5" w14:textId="77777777" w:rsidR="00EB3C9D" w:rsidRPr="00497C7F" w:rsidRDefault="00EB3C9D" w:rsidP="00986700">
      <w:pPr>
        <w:jc w:val="center"/>
        <w:rPr>
          <w:rFonts w:cs="Arial"/>
        </w:rPr>
      </w:pPr>
    </w:p>
    <w:p w14:paraId="2854C09B" w14:textId="77777777" w:rsidR="00EB3C9D" w:rsidRPr="00497C7F"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coût de production total est estimé à 41,8</w:t>
      </w:r>
      <w:r>
        <w:rPr>
          <w:rFonts w:asciiTheme="minorBidi" w:eastAsiaTheme="minorHAnsi" w:hAnsiTheme="minorBidi"/>
          <w:szCs w:val="20"/>
        </w:rPr>
        <w:t> </w:t>
      </w:r>
      <w:r w:rsidRPr="00497C7F">
        <w:rPr>
          <w:rFonts w:asciiTheme="minorBidi" w:eastAsiaTheme="minorHAnsi" w:hAnsiTheme="minorBidi"/>
          <w:szCs w:val="20"/>
        </w:rPr>
        <w:t>millions de francs suisses pour 2016.</w:t>
      </w:r>
    </w:p>
    <w:p w14:paraId="566DAFBB" w14:textId="77777777" w:rsidR="00EB3C9D" w:rsidRPr="00497C7F" w:rsidRDefault="00EB3C9D" w:rsidP="00986700">
      <w:pPr>
        <w:jc w:val="both"/>
        <w:rPr>
          <w:rFonts w:asciiTheme="minorBidi" w:eastAsiaTheme="minorHAnsi" w:hAnsiTheme="minorBidi"/>
          <w:szCs w:val="20"/>
        </w:rPr>
      </w:pPr>
    </w:p>
    <w:p w14:paraId="48FB8654" w14:textId="77777777" w:rsidR="00EB3C9D"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les coûts directs ont représenté 61% du total des coûts.</w:t>
      </w:r>
    </w:p>
    <w:p w14:paraId="745D25D8" w14:textId="77777777" w:rsidR="00EB3C9D" w:rsidRPr="00497C7F" w:rsidRDefault="00EB3C9D" w:rsidP="00986700">
      <w:pPr>
        <w:jc w:val="both"/>
        <w:rPr>
          <w:rFonts w:cs="Arial"/>
          <w:szCs w:val="20"/>
        </w:rPr>
      </w:pPr>
    </w:p>
    <w:p w14:paraId="3481CDCD" w14:textId="77777777" w:rsidR="00EB3C9D" w:rsidRPr="00497C7F" w:rsidRDefault="00EB3C9D" w:rsidP="00986700">
      <w:pPr>
        <w:rPr>
          <w:rFonts w:asciiTheme="minorBidi" w:eastAsiaTheme="minorHAnsi" w:hAnsiTheme="minorBidi"/>
          <w:szCs w:val="20"/>
          <w:u w:val="single"/>
        </w:rPr>
      </w:pPr>
      <w:r w:rsidRPr="00497C7F">
        <w:rPr>
          <w:rFonts w:asciiTheme="minorBidi" w:eastAsiaTheme="minorHAnsi" w:hAnsiTheme="minorBidi"/>
          <w:szCs w:val="20"/>
          <w:u w:val="single"/>
        </w:rPr>
        <w:t>Coût unitaire</w:t>
      </w:r>
    </w:p>
    <w:p w14:paraId="72C0EE63" w14:textId="77777777" w:rsidR="00EB3C9D" w:rsidRPr="00497C7F" w:rsidRDefault="00EB3C9D" w:rsidP="00986700">
      <w:pPr>
        <w:rPr>
          <w:rFonts w:asciiTheme="minorBidi" w:eastAsiaTheme="minorHAnsi" w:hAnsiTheme="minorBidi"/>
          <w:szCs w:val="20"/>
          <w:u w:val="single"/>
        </w:rPr>
      </w:pPr>
    </w:p>
    <w:p w14:paraId="6E863FA7" w14:textId="77777777"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L</w:t>
      </w:r>
      <w:r>
        <w:rPr>
          <w:rFonts w:cs="Arial"/>
        </w:rPr>
        <w:t>’</w:t>
      </w:r>
      <w:r w:rsidRPr="00497C7F">
        <w:rPr>
          <w:rFonts w:cs="Arial"/>
        </w:rPr>
        <w:t>efficacité du Bureau international dans le traitement des opérations peut être mesurée à l</w:t>
      </w:r>
      <w:r>
        <w:rPr>
          <w:rFonts w:cs="Arial"/>
        </w:rPr>
        <w:t>’</w:t>
      </w:r>
      <w:r w:rsidRPr="00497C7F">
        <w:rPr>
          <w:rFonts w:cs="Arial"/>
        </w:rPr>
        <w:t>aide du coût unitaire, défini comme le coût moyen d</w:t>
      </w:r>
      <w:r>
        <w:rPr>
          <w:rFonts w:cs="Arial"/>
        </w:rPr>
        <w:t>’</w:t>
      </w:r>
      <w:r w:rsidRPr="00497C7F">
        <w:rPr>
          <w:rFonts w:cs="Arial"/>
        </w:rPr>
        <w:t>une unité produite.</w:t>
      </w:r>
    </w:p>
    <w:p w14:paraId="2F44D4E4" w14:textId="77777777" w:rsidR="00EB3C9D" w:rsidRPr="00497C7F" w:rsidRDefault="00EB3C9D" w:rsidP="00986700">
      <w:pPr>
        <w:contextualSpacing/>
        <w:jc w:val="both"/>
        <w:rPr>
          <w:rFonts w:cs="Arial"/>
          <w:szCs w:val="20"/>
        </w:rPr>
      </w:pPr>
    </w:p>
    <w:p w14:paraId="7EA805F7" w14:textId="3BFAF8E2"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Étant donné que le Bureau international est chargé d</w:t>
      </w:r>
      <w:r>
        <w:rPr>
          <w:rFonts w:cs="Arial"/>
        </w:rPr>
        <w:t>’</w:t>
      </w:r>
      <w:r w:rsidRPr="00497C7F">
        <w:rPr>
          <w:rFonts w:cs="Arial"/>
        </w:rPr>
        <w:t>enregistrer de nouvelles demandes et de maintenir les enregistrements existants, il convient d</w:t>
      </w:r>
      <w:r>
        <w:rPr>
          <w:rFonts w:cs="Arial"/>
        </w:rPr>
        <w:t>’</w:t>
      </w:r>
      <w:r w:rsidRPr="00497C7F">
        <w:rPr>
          <w:rFonts w:cs="Arial"/>
        </w:rPr>
        <w:t>utiliser une unité de production qui comprend un ensemble d</w:t>
      </w:r>
      <w:r>
        <w:rPr>
          <w:rFonts w:cs="Arial"/>
        </w:rPr>
        <w:t>’</w:t>
      </w:r>
      <w:r w:rsidRPr="00497C7F">
        <w:rPr>
          <w:rFonts w:cs="Arial"/>
        </w:rPr>
        <w:t>opérations.  Deux</w:t>
      </w:r>
      <w:r>
        <w:rPr>
          <w:rFonts w:cs="Arial"/>
        </w:rPr>
        <w:t> </w:t>
      </w:r>
      <w:r w:rsidRPr="00497C7F">
        <w:rPr>
          <w:rFonts w:cs="Arial"/>
        </w:rPr>
        <w:t>indicateurs de coût unitaire sont présentés ci</w:t>
      </w:r>
      <w:r w:rsidR="00B441CA">
        <w:rPr>
          <w:rFonts w:cs="Arial"/>
        </w:rPr>
        <w:noBreakHyphen/>
      </w:r>
      <w:r w:rsidRPr="00497C7F">
        <w:rPr>
          <w:rFonts w:cs="Arial"/>
        </w:rPr>
        <w:t>dessous, déterminés en fonction de deux</w:t>
      </w:r>
      <w:r>
        <w:rPr>
          <w:rFonts w:cs="Arial"/>
        </w:rPr>
        <w:t> </w:t>
      </w:r>
      <w:r w:rsidRPr="00497C7F">
        <w:rPr>
          <w:rFonts w:cs="Arial"/>
        </w:rPr>
        <w:t>unités de production différentes.</w:t>
      </w:r>
    </w:p>
    <w:p w14:paraId="0EF9DE74" w14:textId="77777777" w:rsidR="00EB3C9D" w:rsidRPr="00497C7F" w:rsidRDefault="00EB3C9D" w:rsidP="00986700">
      <w:pPr>
        <w:pStyle w:val="ListParagraph"/>
        <w:tabs>
          <w:tab w:val="left" w:pos="567"/>
        </w:tabs>
        <w:ind w:left="0"/>
        <w:jc w:val="both"/>
        <w:rPr>
          <w:rFonts w:cs="Arial"/>
        </w:rPr>
      </w:pPr>
    </w:p>
    <w:p w14:paraId="22D7B613" w14:textId="7AE80FFF"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Dans le cadre des efforts déployés par le Bureau international afin de constamment perfectionner la méthode de calcul des coûts unitaires, celle</w:t>
      </w:r>
      <w:r w:rsidR="00B441CA">
        <w:rPr>
          <w:rFonts w:cs="Arial"/>
        </w:rPr>
        <w:noBreakHyphen/>
      </w:r>
      <w:r w:rsidRPr="00497C7F">
        <w:rPr>
          <w:rFonts w:cs="Arial"/>
        </w:rPr>
        <w:t xml:space="preserve">ci a été révisée </w:t>
      </w:r>
      <w:r w:rsidR="00B629E6">
        <w:rPr>
          <w:rFonts w:cs="Arial"/>
        </w:rPr>
        <w:t>en </w:t>
      </w:r>
      <w:r w:rsidRPr="00497C7F">
        <w:t>2016 afin de mieux prendre en considération le coût du traitement de la charge de travail effectuée dans le cadre du système de Madrid par le Bureau international</w:t>
      </w:r>
      <w:r>
        <w:t> :</w:t>
      </w:r>
    </w:p>
    <w:p w14:paraId="4870B7A4" w14:textId="77777777" w:rsidR="00EB3C9D" w:rsidRPr="00497C7F" w:rsidRDefault="00EB3C9D" w:rsidP="00986700">
      <w:pPr>
        <w:pStyle w:val="ListParagraph"/>
        <w:tabs>
          <w:tab w:val="left" w:pos="567"/>
        </w:tabs>
        <w:ind w:left="0"/>
        <w:jc w:val="both"/>
        <w:rPr>
          <w:rFonts w:cs="Arial"/>
        </w:rPr>
      </w:pPr>
    </w:p>
    <w:p w14:paraId="2741E605" w14:textId="77777777" w:rsidR="00EB3C9D" w:rsidRPr="00497C7F"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La méthode de calcul des coûts directs et indirects du système de Madrid a été alignée sur celles utilisées pour calculer les coûts unitaires des systèmes du PCT et de </w:t>
      </w:r>
      <w:r>
        <w:rPr>
          <w:rFonts w:asciiTheme="minorBidi" w:eastAsiaTheme="minorHAnsi" w:hAnsiTheme="minorBidi"/>
          <w:szCs w:val="20"/>
        </w:rPr>
        <w:t>La Haye</w:t>
      </w:r>
      <w:r w:rsidRPr="00497C7F">
        <w:rPr>
          <w:rFonts w:asciiTheme="minorBidi" w:eastAsiaTheme="minorHAnsi" w:hAnsiTheme="minorBidi"/>
          <w:szCs w:val="20"/>
        </w:rPr>
        <w:t>.</w:t>
      </w:r>
    </w:p>
    <w:p w14:paraId="262226AF" w14:textId="77777777" w:rsidR="00EB3C9D" w:rsidRPr="00497C7F" w:rsidRDefault="00EB3C9D" w:rsidP="00986700">
      <w:pPr>
        <w:jc w:val="both"/>
        <w:rPr>
          <w:rFonts w:asciiTheme="minorBidi" w:eastAsiaTheme="minorHAnsi" w:hAnsiTheme="minorBidi"/>
          <w:szCs w:val="20"/>
        </w:rPr>
      </w:pPr>
    </w:p>
    <w:p w14:paraId="0732CB63" w14:textId="7E25053A" w:rsidR="00EB3C9D" w:rsidRPr="00497C7F"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système de pondération décrit dans la section II a été mis en place afin d</w:t>
      </w:r>
      <w:r>
        <w:rPr>
          <w:rFonts w:asciiTheme="minorBidi" w:eastAsiaTheme="minorHAnsi" w:hAnsiTheme="minorBidi"/>
          <w:szCs w:val="20"/>
        </w:rPr>
        <w:t>’</w:t>
      </w:r>
      <w:r w:rsidRPr="00497C7F">
        <w:rPr>
          <w:rFonts w:asciiTheme="minorBidi" w:eastAsiaTheme="minorHAnsi" w:hAnsiTheme="minorBidi"/>
          <w:szCs w:val="20"/>
        </w:rPr>
        <w:t>obtenir une meilleure approximation du travail réellement nécessaire au traitement des six</w:t>
      </w:r>
      <w:r>
        <w:rPr>
          <w:rFonts w:asciiTheme="minorBidi" w:eastAsiaTheme="minorHAnsi" w:hAnsiTheme="minorBidi"/>
          <w:szCs w:val="20"/>
        </w:rPr>
        <w:t> </w:t>
      </w:r>
      <w:r w:rsidRPr="00497C7F">
        <w:rPr>
          <w:rFonts w:asciiTheme="minorBidi" w:eastAsiaTheme="minorHAnsi" w:hAnsiTheme="minorBidi"/>
          <w:szCs w:val="20"/>
        </w:rPr>
        <w:t xml:space="preserve">catégories de documents, compte tenu du fait que certains </w:t>
      </w:r>
      <w:r w:rsidR="00B629E6">
        <w:rPr>
          <w:rFonts w:asciiTheme="minorBidi" w:eastAsiaTheme="minorHAnsi" w:hAnsiTheme="minorBidi"/>
          <w:szCs w:val="20"/>
        </w:rPr>
        <w:t>de</w:t>
      </w:r>
      <w:r w:rsidRPr="00497C7F">
        <w:rPr>
          <w:rFonts w:asciiTheme="minorBidi" w:eastAsiaTheme="minorHAnsi" w:hAnsiTheme="minorBidi"/>
          <w:szCs w:val="20"/>
        </w:rPr>
        <w:t xml:space="preserve"> ces documents exigent plus de travail que d</w:t>
      </w:r>
      <w:r>
        <w:rPr>
          <w:rFonts w:asciiTheme="minorBidi" w:eastAsiaTheme="minorHAnsi" w:hAnsiTheme="minorBidi"/>
          <w:szCs w:val="20"/>
        </w:rPr>
        <w:t>’</w:t>
      </w:r>
      <w:r w:rsidRPr="00497C7F">
        <w:rPr>
          <w:rFonts w:asciiTheme="minorBidi" w:eastAsiaTheme="minorHAnsi" w:hAnsiTheme="minorBidi"/>
          <w:szCs w:val="20"/>
        </w:rPr>
        <w:t>autres</w:t>
      </w:r>
      <w:r w:rsidRPr="00B629E6">
        <w:rPr>
          <w:rFonts w:asciiTheme="minorBidi" w:eastAsiaTheme="minorHAnsi" w:hAnsiTheme="minorBidi"/>
          <w:szCs w:val="20"/>
          <w:vertAlign w:val="superscript"/>
        </w:rPr>
        <w:footnoteReference w:id="18"/>
      </w:r>
      <w:r w:rsidRPr="00497C7F">
        <w:rPr>
          <w:rFonts w:asciiTheme="minorBidi" w:eastAsiaTheme="minorHAnsi" w:hAnsiTheme="minorBidi"/>
          <w:szCs w:val="20"/>
        </w:rPr>
        <w:t>.</w:t>
      </w:r>
    </w:p>
    <w:p w14:paraId="42B15734" w14:textId="77777777" w:rsidR="00EB3C9D" w:rsidRPr="00497C7F" w:rsidRDefault="00EB3C9D" w:rsidP="00986700">
      <w:pPr>
        <w:jc w:val="both"/>
        <w:rPr>
          <w:rFonts w:asciiTheme="minorBidi" w:eastAsiaTheme="minorHAnsi" w:hAnsiTheme="minorBidi"/>
          <w:szCs w:val="20"/>
        </w:rPr>
      </w:pPr>
    </w:p>
    <w:p w14:paraId="286B2F3F" w14:textId="2DE5717A" w:rsidR="00EB3C9D" w:rsidRPr="00497C7F"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coût unitaire par nouvel enregistrement ou renouvellement a été redéfini pour tenir compte uniquement des nouve</w:t>
      </w:r>
      <w:r w:rsidR="00B629E6">
        <w:rPr>
          <w:rFonts w:asciiTheme="minorBidi" w:eastAsiaTheme="minorHAnsi" w:hAnsiTheme="minorBidi"/>
          <w:szCs w:val="20"/>
        </w:rPr>
        <w:t>aux enregistrements</w:t>
      </w:r>
      <w:r w:rsidRPr="00497C7F">
        <w:rPr>
          <w:rFonts w:asciiTheme="minorBidi" w:eastAsiaTheme="minorHAnsi" w:hAnsiTheme="minorBidi"/>
          <w:szCs w:val="20"/>
        </w:rPr>
        <w:t xml:space="preserve"> internationa</w:t>
      </w:r>
      <w:r w:rsidR="00B629E6">
        <w:rPr>
          <w:rFonts w:asciiTheme="minorBidi" w:eastAsiaTheme="minorHAnsi" w:hAnsiTheme="minorBidi"/>
          <w:szCs w:val="20"/>
        </w:rPr>
        <w:t>ux</w:t>
      </w:r>
      <w:r w:rsidRPr="00497C7F">
        <w:rPr>
          <w:rFonts w:asciiTheme="minorBidi" w:eastAsiaTheme="minorHAnsi" w:hAnsiTheme="minorBidi"/>
          <w:szCs w:val="20"/>
        </w:rPr>
        <w:t xml:space="preserve"> et </w:t>
      </w:r>
      <w:r w:rsidR="00B629E6">
        <w:rPr>
          <w:rFonts w:asciiTheme="minorBidi" w:eastAsiaTheme="minorHAnsi" w:hAnsiTheme="minorBidi"/>
          <w:szCs w:val="20"/>
        </w:rPr>
        <w:t xml:space="preserve">des </w:t>
      </w:r>
      <w:r w:rsidRPr="00497C7F">
        <w:rPr>
          <w:rFonts w:asciiTheme="minorBidi" w:eastAsiaTheme="minorHAnsi" w:hAnsiTheme="minorBidi"/>
          <w:szCs w:val="20"/>
        </w:rPr>
        <w:t>renouvellements.  La raison du retrait des désignations postérieures en tant que composante de ce coût unitaire est la volonté de mettre l</w:t>
      </w:r>
      <w:r>
        <w:rPr>
          <w:rFonts w:asciiTheme="minorBidi" w:eastAsiaTheme="minorHAnsi" w:hAnsiTheme="minorBidi"/>
          <w:szCs w:val="20"/>
        </w:rPr>
        <w:t>’</w:t>
      </w:r>
      <w:r w:rsidRPr="00497C7F">
        <w:rPr>
          <w:rFonts w:asciiTheme="minorBidi" w:eastAsiaTheme="minorHAnsi" w:hAnsiTheme="minorBidi"/>
          <w:szCs w:val="20"/>
        </w:rPr>
        <w:t xml:space="preserve">accent sur les opérations essentielles du système de Madrid, </w:t>
      </w:r>
      <w:r>
        <w:rPr>
          <w:rFonts w:asciiTheme="minorBidi" w:eastAsiaTheme="minorHAnsi" w:hAnsiTheme="minorBidi"/>
          <w:szCs w:val="20"/>
        </w:rPr>
        <w:t>à savoir</w:t>
      </w:r>
      <w:r w:rsidRPr="00497C7F">
        <w:rPr>
          <w:rFonts w:asciiTheme="minorBidi" w:eastAsiaTheme="minorHAnsi" w:hAnsiTheme="minorBidi"/>
          <w:szCs w:val="20"/>
        </w:rPr>
        <w:t xml:space="preserve"> les enregistrements internationaux et leur renouvellement.  </w:t>
      </w:r>
      <w:r w:rsidRPr="00497C7F">
        <w:t>Toutes les autres opérations effectuées dans le cadre du système de Madrid (les désignations postérieures, les modifications, les décisions et les corrections) peuvent être considérées comme étant secondaires à ces deux</w:t>
      </w:r>
      <w:r>
        <w:t> </w:t>
      </w:r>
      <w:r w:rsidRPr="00497C7F">
        <w:t>opérations essentielles.  En outre, il n</w:t>
      </w:r>
      <w:r>
        <w:t>’</w:t>
      </w:r>
      <w:r w:rsidRPr="00497C7F">
        <w:t>existe pas de véritable justification pour inclure l</w:t>
      </w:r>
      <w:r>
        <w:t>’</w:t>
      </w:r>
      <w:r w:rsidRPr="00497C7F">
        <w:t>une de ces opérations secondaires en tant qu</w:t>
      </w:r>
      <w:r>
        <w:t>’</w:t>
      </w:r>
      <w:r w:rsidRPr="00497C7F">
        <w:t>élément du coût unitaire et non les autres.</w:t>
      </w:r>
    </w:p>
    <w:p w14:paraId="3300570F" w14:textId="77777777" w:rsidR="00EB3C9D" w:rsidRPr="00497C7F" w:rsidRDefault="00EB3C9D" w:rsidP="00986700">
      <w:pPr>
        <w:jc w:val="both"/>
        <w:rPr>
          <w:rFonts w:asciiTheme="minorBidi" w:eastAsiaTheme="minorHAnsi" w:hAnsiTheme="minorBidi"/>
          <w:szCs w:val="20"/>
        </w:rPr>
      </w:pPr>
    </w:p>
    <w:p w14:paraId="2F18A5C1" w14:textId="77777777" w:rsidR="00EB3C9D" w:rsidRPr="00497C7F" w:rsidRDefault="00EB3C9D" w:rsidP="00616FD3">
      <w:pPr>
        <w:numPr>
          <w:ilvl w:val="0"/>
          <w:numId w:val="45"/>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second coût unitaire est fondé exclusivement sur le nombre de documents inscrits au registre, indépendamment du niveau des ressources nécessaires à leur traitement.</w:t>
      </w:r>
    </w:p>
    <w:p w14:paraId="5F9BA5A4" w14:textId="77777777" w:rsidR="00EB3C9D" w:rsidRPr="00497C7F" w:rsidRDefault="00EB3C9D" w:rsidP="00986700">
      <w:pPr>
        <w:jc w:val="both"/>
        <w:rPr>
          <w:rFonts w:cs="Arial"/>
          <w:szCs w:val="20"/>
        </w:rPr>
      </w:pPr>
    </w:p>
    <w:p w14:paraId="712E7E2F"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lastRenderedPageBreak/>
        <w:t>Coût unitaire par nouvel enregistrement ou renouvellement</w:t>
      </w:r>
    </w:p>
    <w:p w14:paraId="1FABC9B6" w14:textId="77777777" w:rsidR="00EB3C9D" w:rsidRPr="00497C7F" w:rsidRDefault="00EB3C9D" w:rsidP="00986700">
      <w:pPr>
        <w:keepNext/>
        <w:keepLines/>
        <w:rPr>
          <w:rFonts w:asciiTheme="minorBidi" w:eastAsiaTheme="minorHAnsi" w:hAnsiTheme="minorBidi"/>
          <w:iCs/>
          <w:szCs w:val="20"/>
        </w:rPr>
      </w:pPr>
    </w:p>
    <w:p w14:paraId="1C660F87" w14:textId="77777777"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Les nouveaux enregistrements internationaux comprennent les demandes enregistrées au cours d</w:t>
      </w:r>
      <w:r>
        <w:rPr>
          <w:rFonts w:cs="Arial"/>
        </w:rPr>
        <w:t>’</w:t>
      </w:r>
      <w:r w:rsidRPr="00497C7F">
        <w:rPr>
          <w:rFonts w:cs="Arial"/>
        </w:rPr>
        <w:t>une année donnée, et les renouvellements d</w:t>
      </w:r>
      <w:r>
        <w:rPr>
          <w:rFonts w:cs="Arial"/>
        </w:rPr>
        <w:t>’</w:t>
      </w:r>
      <w:r w:rsidRPr="00497C7F">
        <w:rPr>
          <w:rFonts w:cs="Arial"/>
        </w:rPr>
        <w:t>enregistrements internationaux comprennent les enregistrements existants qui sont renouvelés au cours d</w:t>
      </w:r>
      <w:r>
        <w:rPr>
          <w:rFonts w:cs="Arial"/>
        </w:rPr>
        <w:t>’</w:t>
      </w:r>
      <w:r w:rsidRPr="00497C7F">
        <w:rPr>
          <w:rFonts w:cs="Arial"/>
        </w:rPr>
        <w:t xml:space="preserve">une année donnée. </w:t>
      </w:r>
      <w:r>
        <w:rPr>
          <w:rFonts w:cs="Arial"/>
        </w:rPr>
        <w:t xml:space="preserve"> </w:t>
      </w:r>
      <w:r w:rsidRPr="00497C7F">
        <w:rPr>
          <w:rFonts w:cs="Arial"/>
        </w:rPr>
        <w:t>Ensemble, ces deux</w:t>
      </w:r>
      <w:r>
        <w:rPr>
          <w:rFonts w:cs="Arial"/>
        </w:rPr>
        <w:t> </w:t>
      </w:r>
      <w:r w:rsidRPr="00497C7F">
        <w:rPr>
          <w:rFonts w:cs="Arial"/>
        </w:rPr>
        <w:t>types d</w:t>
      </w:r>
      <w:r>
        <w:rPr>
          <w:rFonts w:cs="Arial"/>
        </w:rPr>
        <w:t>’</w:t>
      </w:r>
      <w:r w:rsidRPr="00497C7F">
        <w:rPr>
          <w:rFonts w:cs="Arial"/>
        </w:rPr>
        <w:t>opération constituent le cœur de l</w:t>
      </w:r>
      <w:r>
        <w:rPr>
          <w:rFonts w:cs="Arial"/>
        </w:rPr>
        <w:t>’</w:t>
      </w:r>
      <w:r w:rsidRPr="00497C7F">
        <w:rPr>
          <w:rFonts w:cs="Arial"/>
        </w:rPr>
        <w:t>activité du Bureau international.</w:t>
      </w:r>
    </w:p>
    <w:p w14:paraId="126E81AB" w14:textId="77777777" w:rsidR="00EB3C9D" w:rsidRPr="00497C7F" w:rsidRDefault="00EB3C9D" w:rsidP="00986700">
      <w:pPr>
        <w:jc w:val="both"/>
        <w:rPr>
          <w:rFonts w:cs="Arial"/>
          <w:szCs w:val="20"/>
        </w:rPr>
      </w:pPr>
    </w:p>
    <w:p w14:paraId="34712582" w14:textId="7D6AFBD3" w:rsidR="00EB3C9D" w:rsidRDefault="00EB3C9D" w:rsidP="00616FD3">
      <w:pPr>
        <w:pStyle w:val="ListParagraph"/>
        <w:numPr>
          <w:ilvl w:val="0"/>
          <w:numId w:val="48"/>
        </w:numPr>
        <w:tabs>
          <w:tab w:val="left" w:pos="567"/>
        </w:tabs>
        <w:ind w:left="0" w:firstLine="0"/>
        <w:jc w:val="both"/>
        <w:rPr>
          <w:rFonts w:cs="Arial"/>
        </w:rPr>
      </w:pPr>
      <w:r w:rsidRPr="00497C7F">
        <w:rPr>
          <w:rFonts w:cs="Arial"/>
        </w:rPr>
        <w:t>Étant donné que le traitement de ces deux</w:t>
      </w:r>
      <w:r>
        <w:rPr>
          <w:rFonts w:cs="Arial"/>
        </w:rPr>
        <w:t> </w:t>
      </w:r>
      <w:r w:rsidRPr="00497C7F">
        <w:rPr>
          <w:rFonts w:cs="Arial"/>
        </w:rPr>
        <w:t>catégories d</w:t>
      </w:r>
      <w:r>
        <w:rPr>
          <w:rFonts w:cs="Arial"/>
        </w:rPr>
        <w:t>’</w:t>
      </w:r>
      <w:r w:rsidRPr="00497C7F">
        <w:rPr>
          <w:rFonts w:cs="Arial"/>
        </w:rPr>
        <w:t>opérations requiert des ressources différentes, elles sont pondérées différemment</w:t>
      </w:r>
      <w:r w:rsidRPr="00497C7F">
        <w:rPr>
          <w:rStyle w:val="FootnoteReference"/>
          <w:rFonts w:cs="Arial"/>
        </w:rPr>
        <w:footnoteReference w:id="19"/>
      </w:r>
      <w:r w:rsidRPr="00497C7F">
        <w:rPr>
          <w:rFonts w:cs="Arial"/>
        </w:rPr>
        <w:t>.  Le coût unitaire est obtenu en divisant le coût total de production par le nombre d</w:t>
      </w:r>
      <w:r w:rsidR="00B629E6">
        <w:rPr>
          <w:rFonts w:cs="Arial"/>
        </w:rPr>
        <w:t xml:space="preserve">e nouveaux </w:t>
      </w:r>
      <w:r w:rsidRPr="00497C7F">
        <w:rPr>
          <w:rFonts w:cs="Arial"/>
        </w:rPr>
        <w:t xml:space="preserve">enregistrements internationaux ou </w:t>
      </w:r>
      <w:r w:rsidR="00B629E6">
        <w:rPr>
          <w:rFonts w:cs="Arial"/>
        </w:rPr>
        <w:t xml:space="preserve">de </w:t>
      </w:r>
      <w:r w:rsidRPr="00497C7F">
        <w:rPr>
          <w:rFonts w:cs="Arial"/>
        </w:rPr>
        <w:t>renouve</w:t>
      </w:r>
      <w:r w:rsidR="00B629E6">
        <w:rPr>
          <w:rFonts w:cs="Arial"/>
        </w:rPr>
        <w:t>l</w:t>
      </w:r>
      <w:r w:rsidRPr="00497C7F">
        <w:rPr>
          <w:rFonts w:cs="Arial"/>
        </w:rPr>
        <w:t>l</w:t>
      </w:r>
      <w:r w:rsidR="00B629E6">
        <w:rPr>
          <w:rFonts w:cs="Arial"/>
        </w:rPr>
        <w:t>ements</w:t>
      </w:r>
      <w:r w:rsidRPr="00497C7F">
        <w:rPr>
          <w:rFonts w:cs="Arial"/>
        </w:rPr>
        <w:t>.</w:t>
      </w:r>
    </w:p>
    <w:p w14:paraId="73B8C264" w14:textId="77777777" w:rsidR="00EB3C9D" w:rsidRPr="00B629E6" w:rsidRDefault="00EB3C9D" w:rsidP="0098670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743"/>
      </w:tblGrid>
      <w:tr w:rsidR="00EB3C9D" w:rsidRPr="00497C7F" w14:paraId="5DF0E7DE" w14:textId="77777777" w:rsidTr="00AA49D8">
        <w:trPr>
          <w:cantSplit/>
        </w:trPr>
        <w:tc>
          <w:tcPr>
            <w:tcW w:w="4788" w:type="dxa"/>
          </w:tcPr>
          <w:p w14:paraId="12067230" w14:textId="77777777" w:rsidR="00EB3C9D" w:rsidRPr="00497C7F" w:rsidRDefault="00EB3C9D" w:rsidP="00986700">
            <w:pPr>
              <w:jc w:val="center"/>
              <w:rPr>
                <w:rFonts w:cs="Arial"/>
              </w:rPr>
            </w:pPr>
          </w:p>
        </w:tc>
        <w:tc>
          <w:tcPr>
            <w:tcW w:w="4788" w:type="dxa"/>
          </w:tcPr>
          <w:p w14:paraId="1C5758A8" w14:textId="77777777" w:rsidR="00EB3C9D" w:rsidRPr="00497C7F" w:rsidRDefault="00EB3C9D" w:rsidP="00986700">
            <w:pPr>
              <w:jc w:val="center"/>
              <w:rPr>
                <w:rFonts w:cs="Arial"/>
              </w:rPr>
            </w:pPr>
          </w:p>
        </w:tc>
      </w:tr>
      <w:tr w:rsidR="00EB3C9D" w:rsidRPr="00497C7F" w14:paraId="04493FB6" w14:textId="77777777" w:rsidTr="00AA49D8">
        <w:trPr>
          <w:cantSplit/>
        </w:trPr>
        <w:tc>
          <w:tcPr>
            <w:tcW w:w="4788" w:type="dxa"/>
          </w:tcPr>
          <w:p w14:paraId="7DFC0A62" w14:textId="77777777" w:rsidR="00EB3C9D" w:rsidRPr="00497C7F" w:rsidRDefault="00EB3C9D" w:rsidP="00986700">
            <w:pPr>
              <w:jc w:val="center"/>
              <w:rPr>
                <w:rFonts w:cs="Arial"/>
              </w:rPr>
            </w:pPr>
            <w:r>
              <w:rPr>
                <w:rFonts w:cs="Arial"/>
                <w:noProof/>
                <w:lang w:val="en-US"/>
              </w:rPr>
              <w:drawing>
                <wp:inline distT="0" distB="0" distL="0" distR="0" wp14:anchorId="407F7B01" wp14:editId="759EAF46">
                  <wp:extent cx="3398224" cy="2340000"/>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98224" cy="2340000"/>
                          </a:xfrm>
                          <a:prstGeom prst="rect">
                            <a:avLst/>
                          </a:prstGeom>
                          <a:noFill/>
                          <a:ln>
                            <a:noFill/>
                          </a:ln>
                        </pic:spPr>
                      </pic:pic>
                    </a:graphicData>
                  </a:graphic>
                </wp:inline>
              </w:drawing>
            </w:r>
          </w:p>
        </w:tc>
        <w:tc>
          <w:tcPr>
            <w:tcW w:w="4788" w:type="dxa"/>
          </w:tcPr>
          <w:p w14:paraId="49275088" w14:textId="77777777" w:rsidR="00EB3C9D" w:rsidRPr="00497C7F" w:rsidRDefault="00EB3C9D" w:rsidP="00986700">
            <w:pPr>
              <w:jc w:val="center"/>
              <w:rPr>
                <w:rFonts w:cs="Arial"/>
              </w:rPr>
            </w:pPr>
            <w:r>
              <w:rPr>
                <w:rFonts w:cs="Arial"/>
                <w:noProof/>
                <w:lang w:val="en-US"/>
              </w:rPr>
              <w:drawing>
                <wp:inline distT="0" distB="0" distL="0" distR="0" wp14:anchorId="63B70F6E" wp14:editId="00D7EAAC">
                  <wp:extent cx="2249898" cy="234000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49898" cy="2340000"/>
                          </a:xfrm>
                          <a:prstGeom prst="rect">
                            <a:avLst/>
                          </a:prstGeom>
                          <a:noFill/>
                          <a:ln>
                            <a:noFill/>
                          </a:ln>
                        </pic:spPr>
                      </pic:pic>
                    </a:graphicData>
                  </a:graphic>
                </wp:inline>
              </w:drawing>
            </w:r>
          </w:p>
        </w:tc>
      </w:tr>
    </w:tbl>
    <w:p w14:paraId="091DD57A" w14:textId="77777777" w:rsidR="00EB3C9D" w:rsidRPr="00497C7F" w:rsidRDefault="00EB3C9D" w:rsidP="00986700">
      <w:pPr>
        <w:pStyle w:val="ListParagraph"/>
        <w:tabs>
          <w:tab w:val="left" w:pos="567"/>
        </w:tabs>
        <w:ind w:left="0"/>
        <w:jc w:val="both"/>
        <w:rPr>
          <w:rFonts w:cs="Arial"/>
        </w:rPr>
      </w:pPr>
    </w:p>
    <w:p w14:paraId="5893712D" w14:textId="77777777" w:rsidR="00EB3C9D" w:rsidRDefault="00EB3C9D" w:rsidP="00616FD3">
      <w:pPr>
        <w:numPr>
          <w:ilvl w:val="0"/>
          <w:numId w:val="46"/>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coût moyen du traitement d</w:t>
      </w:r>
      <w:r>
        <w:rPr>
          <w:rFonts w:asciiTheme="minorBidi" w:eastAsiaTheme="minorHAnsi" w:hAnsiTheme="minorBidi"/>
          <w:szCs w:val="20"/>
        </w:rPr>
        <w:t>’</w:t>
      </w:r>
      <w:r w:rsidRPr="00497C7F">
        <w:rPr>
          <w:rFonts w:asciiTheme="minorBidi" w:eastAsiaTheme="minorHAnsi" w:hAnsiTheme="minorBidi"/>
          <w:szCs w:val="20"/>
        </w:rPr>
        <w:t>un enregistrement international ou d</w:t>
      </w:r>
      <w:r>
        <w:rPr>
          <w:rFonts w:asciiTheme="minorBidi" w:eastAsiaTheme="minorHAnsi" w:hAnsiTheme="minorBidi"/>
          <w:szCs w:val="20"/>
        </w:rPr>
        <w:t>’</w:t>
      </w:r>
      <w:r w:rsidRPr="00497C7F">
        <w:rPr>
          <w:rFonts w:asciiTheme="minorBidi" w:eastAsiaTheme="minorHAnsi" w:hAnsiTheme="minorBidi"/>
          <w:szCs w:val="20"/>
        </w:rPr>
        <w:t>un renouvellement était de 746</w:t>
      </w:r>
      <w:r>
        <w:rPr>
          <w:rFonts w:asciiTheme="minorBidi" w:eastAsiaTheme="minorHAnsi" w:hAnsiTheme="minorBidi"/>
          <w:szCs w:val="20"/>
        </w:rPr>
        <w:t> </w:t>
      </w:r>
      <w:r w:rsidRPr="00497C7F">
        <w:rPr>
          <w:rFonts w:asciiTheme="minorBidi" w:eastAsiaTheme="minorHAnsi" w:hAnsiTheme="minorBidi"/>
          <w:szCs w:val="20"/>
        </w:rPr>
        <w:t>francs suisses en 2016.</w:t>
      </w:r>
    </w:p>
    <w:p w14:paraId="2B69AC9B" w14:textId="77777777" w:rsidR="00EB3C9D" w:rsidRPr="00497C7F" w:rsidRDefault="00EB3C9D" w:rsidP="00986700">
      <w:pPr>
        <w:keepNext/>
        <w:keepLines/>
        <w:rPr>
          <w:rFonts w:cs="Arial"/>
          <w:szCs w:val="20"/>
        </w:rPr>
      </w:pPr>
    </w:p>
    <w:p w14:paraId="100F874F"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Coût unitaire par document inscrit au registre</w:t>
      </w:r>
    </w:p>
    <w:p w14:paraId="3EC6A2BD" w14:textId="77777777" w:rsidR="00EB3C9D" w:rsidRPr="00497C7F" w:rsidRDefault="00EB3C9D" w:rsidP="00986700">
      <w:pPr>
        <w:keepNext/>
        <w:keepLines/>
        <w:rPr>
          <w:rFonts w:asciiTheme="minorBidi" w:eastAsiaTheme="minorHAnsi" w:hAnsiTheme="minorBidi"/>
          <w:iCs/>
          <w:szCs w:val="20"/>
        </w:rPr>
      </w:pPr>
    </w:p>
    <w:p w14:paraId="655DF99C" w14:textId="1E74F8B3"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Les documents inscrits au registre représentent le volume total de la charge de travail (voir “Volume total de la charge de travail” ci</w:t>
      </w:r>
      <w:r w:rsidR="00B441CA">
        <w:rPr>
          <w:rFonts w:cs="Arial"/>
        </w:rPr>
        <w:noBreakHyphen/>
      </w:r>
      <w:r w:rsidRPr="00497C7F">
        <w:rPr>
          <w:rFonts w:cs="Arial"/>
        </w:rPr>
        <w:t>dessus).</w:t>
      </w:r>
    </w:p>
    <w:p w14:paraId="613DC46A" w14:textId="77777777" w:rsidR="00EB3C9D" w:rsidRPr="00497C7F" w:rsidRDefault="00EB3C9D" w:rsidP="00986700">
      <w:pPr>
        <w:keepNext/>
        <w:keepLines/>
        <w:tabs>
          <w:tab w:val="left" w:pos="567"/>
        </w:tabs>
        <w:contextualSpacing/>
        <w:jc w:val="both"/>
        <w:rPr>
          <w:rFonts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685"/>
      </w:tblGrid>
      <w:tr w:rsidR="00EB3C9D" w:rsidRPr="00497C7F" w14:paraId="52A469BB" w14:textId="77777777" w:rsidTr="00AA49D8">
        <w:trPr>
          <w:cantSplit/>
          <w:trHeight w:val="3013"/>
        </w:trPr>
        <w:tc>
          <w:tcPr>
            <w:tcW w:w="5637" w:type="dxa"/>
          </w:tcPr>
          <w:p w14:paraId="19A5022F" w14:textId="77777777" w:rsidR="00EB3C9D" w:rsidRPr="00497C7F" w:rsidRDefault="00EB3C9D" w:rsidP="00986700">
            <w:pPr>
              <w:keepNext/>
              <w:keepLines/>
              <w:jc w:val="center"/>
              <w:rPr>
                <w:rFonts w:cs="Arial"/>
              </w:rPr>
            </w:pPr>
            <w:r>
              <w:rPr>
                <w:rFonts w:cs="Arial"/>
                <w:noProof/>
                <w:lang w:val="en-US"/>
              </w:rPr>
              <w:drawing>
                <wp:inline distT="0" distB="0" distL="0" distR="0" wp14:anchorId="765277B0" wp14:editId="54C68569">
                  <wp:extent cx="3104881" cy="2340000"/>
                  <wp:effectExtent l="0" t="0" r="63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04881" cy="2340000"/>
                          </a:xfrm>
                          <a:prstGeom prst="rect">
                            <a:avLst/>
                          </a:prstGeom>
                          <a:noFill/>
                          <a:ln>
                            <a:noFill/>
                          </a:ln>
                        </pic:spPr>
                      </pic:pic>
                    </a:graphicData>
                  </a:graphic>
                </wp:inline>
              </w:drawing>
            </w:r>
          </w:p>
        </w:tc>
        <w:tc>
          <w:tcPr>
            <w:tcW w:w="3685" w:type="dxa"/>
          </w:tcPr>
          <w:p w14:paraId="6A517939" w14:textId="77777777" w:rsidR="00EB3C9D" w:rsidRPr="00497C7F" w:rsidRDefault="00EB3C9D" w:rsidP="00986700">
            <w:pPr>
              <w:keepNext/>
              <w:keepLines/>
              <w:jc w:val="center"/>
              <w:rPr>
                <w:rFonts w:cs="Arial"/>
              </w:rPr>
            </w:pPr>
            <w:r>
              <w:rPr>
                <w:rFonts w:cs="Arial"/>
                <w:noProof/>
                <w:lang w:val="en-US"/>
              </w:rPr>
              <w:drawing>
                <wp:inline distT="0" distB="0" distL="0" distR="0" wp14:anchorId="5EF8F6B8" wp14:editId="101DC810">
                  <wp:extent cx="1791724" cy="2340000"/>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91724" cy="2340000"/>
                          </a:xfrm>
                          <a:prstGeom prst="rect">
                            <a:avLst/>
                          </a:prstGeom>
                          <a:noFill/>
                          <a:ln>
                            <a:noFill/>
                          </a:ln>
                        </pic:spPr>
                      </pic:pic>
                    </a:graphicData>
                  </a:graphic>
                </wp:inline>
              </w:drawing>
            </w:r>
          </w:p>
        </w:tc>
      </w:tr>
    </w:tbl>
    <w:p w14:paraId="0879059A" w14:textId="77777777" w:rsidR="00EB3C9D" w:rsidRPr="00497C7F" w:rsidRDefault="00EB3C9D" w:rsidP="00986700">
      <w:pPr>
        <w:keepNext/>
        <w:keepLines/>
        <w:tabs>
          <w:tab w:val="left" w:pos="567"/>
        </w:tabs>
        <w:contextualSpacing/>
        <w:jc w:val="both"/>
        <w:rPr>
          <w:rFonts w:cs="Arial"/>
        </w:rPr>
      </w:pPr>
    </w:p>
    <w:p w14:paraId="25D8902E" w14:textId="77777777" w:rsidR="00EB3C9D" w:rsidRPr="00497C7F" w:rsidRDefault="00EB3C9D" w:rsidP="00616FD3">
      <w:pPr>
        <w:numPr>
          <w:ilvl w:val="0"/>
          <w:numId w:val="46"/>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 coût moyen pour l</w:t>
      </w:r>
      <w:r>
        <w:rPr>
          <w:rFonts w:asciiTheme="minorBidi" w:eastAsiaTheme="minorHAnsi" w:hAnsiTheme="minorBidi"/>
          <w:szCs w:val="20"/>
        </w:rPr>
        <w:t>’</w:t>
      </w:r>
      <w:r w:rsidRPr="00497C7F">
        <w:rPr>
          <w:rFonts w:asciiTheme="minorBidi" w:eastAsiaTheme="minorHAnsi" w:hAnsiTheme="minorBidi"/>
          <w:szCs w:val="20"/>
        </w:rPr>
        <w:t>inscription d</w:t>
      </w:r>
      <w:r>
        <w:rPr>
          <w:rFonts w:asciiTheme="minorBidi" w:eastAsiaTheme="minorHAnsi" w:hAnsiTheme="minorBidi"/>
          <w:szCs w:val="20"/>
        </w:rPr>
        <w:t>’</w:t>
      </w:r>
      <w:r w:rsidRPr="00497C7F">
        <w:rPr>
          <w:rFonts w:asciiTheme="minorBidi" w:eastAsiaTheme="minorHAnsi" w:hAnsiTheme="minorBidi"/>
          <w:szCs w:val="20"/>
        </w:rPr>
        <w:t>un document au registre était de 318</w:t>
      </w:r>
      <w:r>
        <w:rPr>
          <w:rFonts w:asciiTheme="minorBidi" w:eastAsiaTheme="minorHAnsi" w:hAnsiTheme="minorBidi"/>
          <w:szCs w:val="20"/>
        </w:rPr>
        <w:t> </w:t>
      </w:r>
      <w:r w:rsidRPr="00497C7F">
        <w:rPr>
          <w:rFonts w:asciiTheme="minorBidi" w:eastAsiaTheme="minorHAnsi" w:hAnsiTheme="minorBidi"/>
          <w:szCs w:val="20"/>
        </w:rPr>
        <w:t>francs suisses en 2016.</w:t>
      </w:r>
    </w:p>
    <w:p w14:paraId="00200723" w14:textId="77777777" w:rsidR="00EB3C9D" w:rsidRPr="00497C7F" w:rsidRDefault="00EB3C9D" w:rsidP="00986700">
      <w:pPr>
        <w:jc w:val="both"/>
        <w:rPr>
          <w:rFonts w:cs="Arial"/>
        </w:rPr>
      </w:pPr>
    </w:p>
    <w:p w14:paraId="67BE75B2" w14:textId="77777777" w:rsidR="00EB3C9D" w:rsidRPr="00497C7F" w:rsidRDefault="00EB3C9D" w:rsidP="00986700">
      <w:pPr>
        <w:jc w:val="both"/>
        <w:rPr>
          <w:rFonts w:cs="Arial"/>
          <w:szCs w:val="20"/>
        </w:rPr>
      </w:pPr>
    </w:p>
    <w:p w14:paraId="10B61F69" w14:textId="77777777" w:rsidR="00EB3C9D" w:rsidRPr="00497C7F" w:rsidRDefault="00EB3C9D" w:rsidP="00616FD3">
      <w:pPr>
        <w:keepNext/>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lastRenderedPageBreak/>
        <w:t>Productivité de l</w:t>
      </w:r>
      <w:r>
        <w:rPr>
          <w:rFonts w:asciiTheme="minorBidi" w:eastAsiaTheme="minorHAnsi" w:hAnsiTheme="minorBidi"/>
          <w:b/>
          <w:szCs w:val="20"/>
        </w:rPr>
        <w:t>’</w:t>
      </w:r>
      <w:r w:rsidRPr="00497C7F">
        <w:rPr>
          <w:rFonts w:asciiTheme="minorBidi" w:eastAsiaTheme="minorHAnsi" w:hAnsiTheme="minorBidi"/>
          <w:b/>
          <w:szCs w:val="20"/>
        </w:rPr>
        <w:t>examen</w:t>
      </w:r>
    </w:p>
    <w:p w14:paraId="35DFB6AB" w14:textId="77777777"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La productivité de l</w:t>
      </w:r>
      <w:r>
        <w:rPr>
          <w:rFonts w:cs="Arial"/>
        </w:rPr>
        <w:t>’</w:t>
      </w:r>
      <w:r w:rsidRPr="00497C7F">
        <w:rPr>
          <w:rFonts w:cs="Arial"/>
        </w:rPr>
        <w:t>examen est calculée en divisant le nombre de nouveaux enregistrements internationaux ou renouvellements traités par des examinateurs, par le nombre de membres du personnel ayant participé à l</w:t>
      </w:r>
      <w:r>
        <w:rPr>
          <w:rFonts w:cs="Arial"/>
        </w:rPr>
        <w:t>’</w:t>
      </w:r>
      <w:r w:rsidRPr="00497C7F">
        <w:rPr>
          <w:rFonts w:cs="Arial"/>
        </w:rPr>
        <w:t>examen.  Le nombre de membres du personnel comprend les boursiers et les prestataires de services internes et externes.</w:t>
      </w:r>
    </w:p>
    <w:p w14:paraId="626F8873" w14:textId="77777777" w:rsidR="00EB3C9D" w:rsidRPr="00497C7F" w:rsidRDefault="00EB3C9D" w:rsidP="00986700">
      <w:pPr>
        <w:pStyle w:val="ListParagraph"/>
        <w:tabs>
          <w:tab w:val="left" w:pos="567"/>
        </w:tabs>
        <w:ind w:left="0"/>
        <w:jc w:val="both"/>
        <w:rPr>
          <w:rFonts w:cs="Arial"/>
        </w:rPr>
      </w:pPr>
      <w:r w:rsidRPr="00766D14">
        <w:rPr>
          <w:noProof/>
          <w:lang w:val="en-US" w:eastAsia="en-US"/>
        </w:rPr>
        <w:drawing>
          <wp:inline distT="0" distB="0" distL="0" distR="0" wp14:anchorId="6190D1C5" wp14:editId="0BCC691B">
            <wp:extent cx="5760085" cy="27833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85" cy="2783344"/>
                    </a:xfrm>
                    <a:prstGeom prst="rect">
                      <a:avLst/>
                    </a:prstGeom>
                    <a:noFill/>
                    <a:ln>
                      <a:noFill/>
                    </a:ln>
                  </pic:spPr>
                </pic:pic>
              </a:graphicData>
            </a:graphic>
          </wp:inline>
        </w:drawing>
      </w:r>
    </w:p>
    <w:p w14:paraId="6BD284CF" w14:textId="77777777" w:rsidR="00EB3C9D" w:rsidRPr="00497C7F" w:rsidRDefault="00EB3C9D" w:rsidP="00986700">
      <w:pPr>
        <w:pStyle w:val="ListParagraph"/>
        <w:tabs>
          <w:tab w:val="left" w:pos="567"/>
        </w:tabs>
        <w:ind w:left="0"/>
        <w:jc w:val="both"/>
        <w:rPr>
          <w:rFonts w:cs="Arial"/>
        </w:rPr>
      </w:pPr>
    </w:p>
    <w:p w14:paraId="063DDBA9" w14:textId="77777777" w:rsidR="00EB3C9D" w:rsidRDefault="00EB3C9D" w:rsidP="00616FD3">
      <w:pPr>
        <w:numPr>
          <w:ilvl w:val="0"/>
          <w:numId w:val="46"/>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la productivité de l</w:t>
      </w:r>
      <w:r>
        <w:rPr>
          <w:rFonts w:asciiTheme="minorBidi" w:eastAsiaTheme="minorHAnsi" w:hAnsiTheme="minorBidi"/>
          <w:szCs w:val="20"/>
        </w:rPr>
        <w:t>’</w:t>
      </w:r>
      <w:r w:rsidRPr="00497C7F">
        <w:rPr>
          <w:rFonts w:asciiTheme="minorBidi" w:eastAsiaTheme="minorHAnsi" w:hAnsiTheme="minorBidi"/>
          <w:szCs w:val="20"/>
        </w:rPr>
        <w:t>examen a diminué de 3% par rapport à 2015.  Les 1011</w:t>
      </w:r>
      <w:r>
        <w:rPr>
          <w:rFonts w:asciiTheme="minorBidi" w:eastAsiaTheme="minorHAnsi" w:hAnsiTheme="minorBidi"/>
          <w:szCs w:val="20"/>
        </w:rPr>
        <w:t> </w:t>
      </w:r>
      <w:r w:rsidRPr="00497C7F">
        <w:rPr>
          <w:rFonts w:asciiTheme="minorBidi" w:eastAsiaTheme="minorHAnsi" w:hAnsiTheme="minorBidi"/>
          <w:szCs w:val="20"/>
        </w:rPr>
        <w:t>nouveaux enregistrement</w:t>
      </w:r>
      <w:r>
        <w:rPr>
          <w:rFonts w:asciiTheme="minorBidi" w:eastAsiaTheme="minorHAnsi" w:hAnsiTheme="minorBidi"/>
          <w:szCs w:val="20"/>
        </w:rPr>
        <w:t xml:space="preserve">s </w:t>
      </w:r>
      <w:r w:rsidRPr="00497C7F">
        <w:rPr>
          <w:rFonts w:asciiTheme="minorBidi" w:eastAsiaTheme="minorHAnsi" w:hAnsiTheme="minorBidi"/>
          <w:szCs w:val="20"/>
        </w:rPr>
        <w:t>internationaux et renouvellements traités par membre du personnel en 2016 correspondent au deuxième chiffre le plus élevé pour la période allant de 2008 à 2016.</w:t>
      </w:r>
    </w:p>
    <w:p w14:paraId="0E20896F" w14:textId="77777777" w:rsidR="00EB3C9D" w:rsidRPr="00497C7F" w:rsidRDefault="00EB3C9D" w:rsidP="00986700">
      <w:pPr>
        <w:jc w:val="both"/>
        <w:rPr>
          <w:rFonts w:asciiTheme="minorBidi" w:eastAsiaTheme="minorHAnsi" w:hAnsiTheme="minorBidi"/>
          <w:szCs w:val="20"/>
        </w:rPr>
      </w:pPr>
    </w:p>
    <w:p w14:paraId="11453328" w14:textId="77777777" w:rsidR="00EB3C9D" w:rsidRPr="00497C7F" w:rsidRDefault="00EB3C9D" w:rsidP="00986700">
      <w:pPr>
        <w:jc w:val="both"/>
        <w:rPr>
          <w:rFonts w:cs="Arial"/>
        </w:rPr>
      </w:pPr>
    </w:p>
    <w:p w14:paraId="26C8321E" w14:textId="77777777" w:rsidR="00EB3C9D" w:rsidRPr="00497C7F" w:rsidRDefault="00EB3C9D" w:rsidP="00616FD3">
      <w:pPr>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t>Personnel</w:t>
      </w:r>
    </w:p>
    <w:p w14:paraId="0C4FBB82" w14:textId="396A14E7" w:rsidR="00EB3C9D" w:rsidRPr="00497C7F" w:rsidRDefault="00A26AF2" w:rsidP="00986700">
      <w:pPr>
        <w:keepNext/>
        <w:keepLines/>
        <w:rPr>
          <w:rFonts w:cs="Arial"/>
          <w:sz w:val="16"/>
        </w:rPr>
      </w:pPr>
      <w:r w:rsidRPr="00A26AF2">
        <w:rPr>
          <w:noProof/>
          <w:lang w:val="en-US" w:eastAsia="en-US"/>
        </w:rPr>
        <w:drawing>
          <wp:inline distT="0" distB="0" distL="0" distR="0" wp14:anchorId="142C25AF" wp14:editId="05075A06">
            <wp:extent cx="5760085" cy="27849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2784996"/>
                    </a:xfrm>
                    <a:prstGeom prst="rect">
                      <a:avLst/>
                    </a:prstGeom>
                    <a:noFill/>
                    <a:ln>
                      <a:noFill/>
                    </a:ln>
                  </pic:spPr>
                </pic:pic>
              </a:graphicData>
            </a:graphic>
          </wp:inline>
        </w:drawing>
      </w:r>
      <w:r w:rsidR="00EB3C9D" w:rsidRPr="00497C7F">
        <w:rPr>
          <w:rFonts w:cs="Arial"/>
          <w:sz w:val="16"/>
        </w:rPr>
        <w:t>Note</w:t>
      </w:r>
      <w:r w:rsidR="00EB3C9D">
        <w:rPr>
          <w:rFonts w:cs="Arial"/>
          <w:sz w:val="16"/>
        </w:rPr>
        <w:t> :</w:t>
      </w:r>
      <w:r w:rsidR="00EB3C9D" w:rsidRPr="00497C7F">
        <w:rPr>
          <w:rFonts w:cs="Arial"/>
          <w:sz w:val="16"/>
        </w:rPr>
        <w:t xml:space="preserve"> la possibilité de distinguer les </w:t>
      </w:r>
      <w:r w:rsidR="00B629E6">
        <w:rPr>
          <w:rFonts w:cs="Arial"/>
          <w:sz w:val="16"/>
        </w:rPr>
        <w:t>effectifs</w:t>
      </w:r>
      <w:r w:rsidR="00EB3C9D" w:rsidRPr="00497C7F">
        <w:rPr>
          <w:rFonts w:cs="Arial"/>
          <w:sz w:val="16"/>
        </w:rPr>
        <w:t xml:space="preserve"> du Service d</w:t>
      </w:r>
      <w:r w:rsidR="00EB3C9D">
        <w:rPr>
          <w:rFonts w:cs="Arial"/>
          <w:sz w:val="16"/>
        </w:rPr>
        <w:t>’</w:t>
      </w:r>
      <w:r w:rsidR="00EB3C9D" w:rsidRPr="00497C7F">
        <w:rPr>
          <w:rFonts w:cs="Arial"/>
          <w:sz w:val="16"/>
        </w:rPr>
        <w:t>enregistrement de Lisbonne n</w:t>
      </w:r>
      <w:r w:rsidR="00EB3C9D">
        <w:rPr>
          <w:rFonts w:cs="Arial"/>
          <w:sz w:val="16"/>
        </w:rPr>
        <w:t>’</w:t>
      </w:r>
      <w:r w:rsidR="00EB3C9D" w:rsidRPr="00497C7F">
        <w:rPr>
          <w:rFonts w:cs="Arial"/>
          <w:sz w:val="16"/>
        </w:rPr>
        <w:t>existe que depuis l</w:t>
      </w:r>
      <w:r w:rsidR="00EB3C9D">
        <w:rPr>
          <w:rFonts w:cs="Arial"/>
          <w:sz w:val="16"/>
        </w:rPr>
        <w:t>’</w:t>
      </w:r>
      <w:r w:rsidR="00EB3C9D" w:rsidRPr="00497C7F">
        <w:rPr>
          <w:rFonts w:cs="Arial"/>
          <w:sz w:val="16"/>
        </w:rPr>
        <w:t>exercice biennal 2014</w:t>
      </w:r>
      <w:r w:rsidR="00B441CA">
        <w:rPr>
          <w:rFonts w:cs="Arial"/>
          <w:sz w:val="16"/>
        </w:rPr>
        <w:noBreakHyphen/>
      </w:r>
      <w:r w:rsidR="00EB3C9D" w:rsidRPr="00497C7F">
        <w:rPr>
          <w:rFonts w:cs="Arial"/>
          <w:sz w:val="16"/>
        </w:rPr>
        <w:t xml:space="preserve">2015. </w:t>
      </w:r>
      <w:r w:rsidR="00EB3C9D">
        <w:rPr>
          <w:rFonts w:cs="Arial"/>
          <w:sz w:val="16"/>
        </w:rPr>
        <w:t xml:space="preserve"> </w:t>
      </w:r>
      <w:r w:rsidR="00EB3C9D" w:rsidRPr="00497C7F">
        <w:rPr>
          <w:rFonts w:cs="Arial"/>
          <w:sz w:val="16"/>
        </w:rPr>
        <w:t xml:space="preserve">Pour les années antérieures à 2014, les </w:t>
      </w:r>
      <w:r w:rsidR="00B629E6">
        <w:rPr>
          <w:rFonts w:cs="Arial"/>
          <w:sz w:val="16"/>
        </w:rPr>
        <w:t>effectifs</w:t>
      </w:r>
      <w:r w:rsidR="00EB3C9D" w:rsidRPr="00497C7F">
        <w:rPr>
          <w:rFonts w:cs="Arial"/>
          <w:sz w:val="16"/>
        </w:rPr>
        <w:t xml:space="preserve"> du Service d</w:t>
      </w:r>
      <w:r w:rsidR="00EB3C9D">
        <w:rPr>
          <w:rFonts w:cs="Arial"/>
          <w:sz w:val="16"/>
        </w:rPr>
        <w:t>’</w:t>
      </w:r>
      <w:r w:rsidR="00EB3C9D" w:rsidRPr="00497C7F">
        <w:rPr>
          <w:rFonts w:cs="Arial"/>
          <w:sz w:val="16"/>
        </w:rPr>
        <w:t>enregistrement de Lisbonne sont compris dans les</w:t>
      </w:r>
      <w:r w:rsidR="00B629E6">
        <w:rPr>
          <w:rFonts w:cs="Arial"/>
          <w:sz w:val="16"/>
        </w:rPr>
        <w:t xml:space="preserve"> effectifs</w:t>
      </w:r>
      <w:r w:rsidR="00EB3C9D" w:rsidRPr="00497C7F">
        <w:rPr>
          <w:rFonts w:cs="Arial"/>
          <w:sz w:val="16"/>
        </w:rPr>
        <w:t xml:space="preserve"> du système de Madrid.  Le personnel intérimaire ne travaillant pas dans les locaux de l</w:t>
      </w:r>
      <w:r w:rsidR="00EB3C9D">
        <w:rPr>
          <w:rFonts w:cs="Arial"/>
          <w:sz w:val="16"/>
        </w:rPr>
        <w:t>’</w:t>
      </w:r>
      <w:r w:rsidR="00EB3C9D" w:rsidRPr="00497C7F">
        <w:rPr>
          <w:rFonts w:cs="Arial"/>
          <w:sz w:val="16"/>
        </w:rPr>
        <w:t>OMPI n</w:t>
      </w:r>
      <w:r w:rsidR="00EB3C9D">
        <w:rPr>
          <w:rFonts w:cs="Arial"/>
          <w:sz w:val="16"/>
        </w:rPr>
        <w:t>’</w:t>
      </w:r>
      <w:r w:rsidR="00EB3C9D" w:rsidRPr="00497C7F">
        <w:rPr>
          <w:rFonts w:cs="Arial"/>
          <w:sz w:val="16"/>
        </w:rPr>
        <w:t>est pas pris en compte dans cet indicateur.  Les ressources externes du Groupe de traitement des documents ne sont pas prises en considération dans la méthode de calcul actuelle.</w:t>
      </w:r>
    </w:p>
    <w:p w14:paraId="69D915FC" w14:textId="77777777" w:rsidR="00EB3C9D" w:rsidRPr="00497C7F" w:rsidRDefault="00EB3C9D" w:rsidP="00986700">
      <w:pPr>
        <w:jc w:val="both"/>
        <w:rPr>
          <w:rFonts w:cs="Arial"/>
        </w:rPr>
      </w:pPr>
    </w:p>
    <w:p w14:paraId="482D4162" w14:textId="48C7FE7A" w:rsidR="00EB3C9D" w:rsidRPr="00497C7F" w:rsidRDefault="00EB3C9D" w:rsidP="00616FD3">
      <w:pPr>
        <w:numPr>
          <w:ilvl w:val="0"/>
          <w:numId w:val="46"/>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w:t>
      </w:r>
      <w:r w:rsidR="00B629E6">
        <w:rPr>
          <w:rFonts w:asciiTheme="minorBidi" w:eastAsiaTheme="minorHAnsi" w:hAnsiTheme="minorBidi"/>
          <w:szCs w:val="20"/>
        </w:rPr>
        <w:t>s effectifs ont</w:t>
      </w:r>
      <w:r w:rsidRPr="00497C7F">
        <w:rPr>
          <w:rFonts w:asciiTheme="minorBidi" w:eastAsiaTheme="minorHAnsi" w:hAnsiTheme="minorBidi"/>
          <w:szCs w:val="20"/>
        </w:rPr>
        <w:t xml:space="preserve"> diminué, passant de 1</w:t>
      </w:r>
      <w:r w:rsidR="007B1990">
        <w:rPr>
          <w:rFonts w:asciiTheme="minorBidi" w:eastAsiaTheme="minorHAnsi" w:hAnsiTheme="minorBidi"/>
          <w:szCs w:val="20"/>
        </w:rPr>
        <w:t>1</w:t>
      </w:r>
      <w:r w:rsidRPr="00497C7F">
        <w:rPr>
          <w:rFonts w:asciiTheme="minorBidi" w:eastAsiaTheme="minorHAnsi" w:hAnsiTheme="minorBidi"/>
          <w:szCs w:val="20"/>
        </w:rPr>
        <w:t>0 en 2015 à 104 en 2016, alors que le nombre de ressources adaptables a augmenté, passant de 16 en 2015 à 25 en 2016.</w:t>
      </w:r>
    </w:p>
    <w:p w14:paraId="0B322878" w14:textId="77777777" w:rsidR="00EB3C9D" w:rsidRPr="00497C7F" w:rsidRDefault="00EB3C9D" w:rsidP="00986700">
      <w:pPr>
        <w:jc w:val="both"/>
        <w:rPr>
          <w:rFonts w:asciiTheme="minorBidi" w:eastAsiaTheme="minorHAnsi" w:hAnsiTheme="minorBidi"/>
          <w:szCs w:val="20"/>
        </w:rPr>
      </w:pPr>
    </w:p>
    <w:p w14:paraId="1E472B3C" w14:textId="77777777" w:rsidR="00EB3C9D" w:rsidRPr="00497C7F" w:rsidRDefault="00EB3C9D" w:rsidP="00986700">
      <w:pPr>
        <w:jc w:val="both"/>
        <w:rPr>
          <w:rFonts w:asciiTheme="minorBidi" w:eastAsiaTheme="minorHAnsi" w:hAnsiTheme="minorBidi"/>
          <w:szCs w:val="20"/>
        </w:rPr>
      </w:pPr>
    </w:p>
    <w:p w14:paraId="2B5253A5" w14:textId="77777777" w:rsidR="00EB3C9D" w:rsidRPr="00497C7F" w:rsidRDefault="00EB3C9D" w:rsidP="00616FD3">
      <w:pPr>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t>Délai</w:t>
      </w:r>
    </w:p>
    <w:p w14:paraId="105FB949" w14:textId="64DDD823"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Le délai moyen de traitement pour chacune des six</w:t>
      </w:r>
      <w:r>
        <w:rPr>
          <w:rFonts w:cs="Arial"/>
        </w:rPr>
        <w:t> </w:t>
      </w:r>
      <w:r w:rsidRPr="00497C7F">
        <w:rPr>
          <w:rFonts w:cs="Arial"/>
        </w:rPr>
        <w:t>catégories d</w:t>
      </w:r>
      <w:r>
        <w:rPr>
          <w:rFonts w:cs="Arial"/>
        </w:rPr>
        <w:t>’</w:t>
      </w:r>
      <w:r w:rsidRPr="00497C7F">
        <w:rPr>
          <w:rFonts w:cs="Arial"/>
        </w:rPr>
        <w:t>opérations effectuées par le Bureau international est indiqué ci</w:t>
      </w:r>
      <w:r w:rsidR="00B441CA">
        <w:rPr>
          <w:rFonts w:cs="Arial"/>
        </w:rPr>
        <w:noBreakHyphen/>
      </w:r>
      <w:r w:rsidRPr="00497C7F">
        <w:rPr>
          <w:rFonts w:cs="Arial"/>
        </w:rPr>
        <w:t>dessous.  Le délai de traitement correspond à l</w:t>
      </w:r>
      <w:r>
        <w:rPr>
          <w:rFonts w:cs="Arial"/>
        </w:rPr>
        <w:t>’</w:t>
      </w:r>
      <w:r w:rsidRPr="00497C7F">
        <w:rPr>
          <w:rFonts w:cs="Arial"/>
        </w:rPr>
        <w:t>intervalle entre la date de réception des documents et la date d</w:t>
      </w:r>
      <w:r>
        <w:rPr>
          <w:rFonts w:cs="Arial"/>
        </w:rPr>
        <w:t>’</w:t>
      </w:r>
      <w:r w:rsidRPr="00497C7F">
        <w:rPr>
          <w:rFonts w:cs="Arial"/>
        </w:rPr>
        <w:t>inscription.</w:t>
      </w:r>
    </w:p>
    <w:p w14:paraId="4353DEEA" w14:textId="77777777" w:rsidR="00EB3C9D" w:rsidRPr="00497C7F" w:rsidRDefault="00EB3C9D" w:rsidP="00986700">
      <w:pPr>
        <w:pStyle w:val="ListParagraph"/>
        <w:tabs>
          <w:tab w:val="left" w:pos="567"/>
        </w:tabs>
        <w:ind w:left="0"/>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7"/>
      </w:tblGrid>
      <w:tr w:rsidR="00EB3C9D" w:rsidRPr="00497C7F" w14:paraId="7B117099" w14:textId="77777777" w:rsidTr="00AA49D8">
        <w:tc>
          <w:tcPr>
            <w:tcW w:w="4623" w:type="dxa"/>
          </w:tcPr>
          <w:p w14:paraId="039B9619" w14:textId="77777777" w:rsidR="00EB3C9D" w:rsidRPr="00497C7F" w:rsidRDefault="00EB3C9D" w:rsidP="00986700">
            <w:pPr>
              <w:jc w:val="both"/>
              <w:rPr>
                <w:rFonts w:cs="Arial"/>
              </w:rPr>
            </w:pPr>
            <w:r>
              <w:rPr>
                <w:rFonts w:cs="Arial"/>
                <w:noProof/>
                <w:lang w:val="en-US"/>
              </w:rPr>
              <w:drawing>
                <wp:inline distT="0" distB="0" distL="0" distR="0" wp14:anchorId="75BFF74A" wp14:editId="607EBE01">
                  <wp:extent cx="2837934" cy="2088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7934" cy="2088000"/>
                          </a:xfrm>
                          <a:prstGeom prst="rect">
                            <a:avLst/>
                          </a:prstGeom>
                          <a:noFill/>
                          <a:ln>
                            <a:noFill/>
                          </a:ln>
                        </pic:spPr>
                      </pic:pic>
                    </a:graphicData>
                  </a:graphic>
                </wp:inline>
              </w:drawing>
            </w:r>
          </w:p>
        </w:tc>
        <w:tc>
          <w:tcPr>
            <w:tcW w:w="4664" w:type="dxa"/>
          </w:tcPr>
          <w:p w14:paraId="02D9DD75" w14:textId="77777777" w:rsidR="00EB3C9D" w:rsidRPr="00497C7F" w:rsidRDefault="00EB3C9D" w:rsidP="00986700">
            <w:pPr>
              <w:jc w:val="both"/>
              <w:rPr>
                <w:rFonts w:cs="Arial"/>
              </w:rPr>
            </w:pPr>
            <w:r>
              <w:rPr>
                <w:rFonts w:cs="Arial"/>
                <w:noProof/>
                <w:lang w:val="en-US"/>
              </w:rPr>
              <w:drawing>
                <wp:inline distT="0" distB="0" distL="0" distR="0" wp14:anchorId="794C0A65" wp14:editId="7537C351">
                  <wp:extent cx="2918910" cy="20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18910" cy="2088000"/>
                          </a:xfrm>
                          <a:prstGeom prst="rect">
                            <a:avLst/>
                          </a:prstGeom>
                          <a:noFill/>
                          <a:ln>
                            <a:noFill/>
                          </a:ln>
                        </pic:spPr>
                      </pic:pic>
                    </a:graphicData>
                  </a:graphic>
                </wp:inline>
              </w:drawing>
            </w:r>
          </w:p>
        </w:tc>
      </w:tr>
      <w:tr w:rsidR="00EB3C9D" w:rsidRPr="00497C7F" w14:paraId="4EA44DC7" w14:textId="77777777" w:rsidTr="00AA49D8">
        <w:tc>
          <w:tcPr>
            <w:tcW w:w="4623" w:type="dxa"/>
          </w:tcPr>
          <w:p w14:paraId="67198608" w14:textId="77777777" w:rsidR="00EB3C9D" w:rsidRPr="00497C7F" w:rsidRDefault="00EB3C9D" w:rsidP="00986700">
            <w:pPr>
              <w:jc w:val="both"/>
              <w:rPr>
                <w:rFonts w:cs="Arial"/>
              </w:rPr>
            </w:pPr>
            <w:r>
              <w:rPr>
                <w:rFonts w:cs="Arial"/>
                <w:noProof/>
                <w:lang w:val="en-US"/>
              </w:rPr>
              <w:drawing>
                <wp:inline distT="0" distB="0" distL="0" distR="0" wp14:anchorId="774CF993" wp14:editId="5F0F860B">
                  <wp:extent cx="2694347" cy="20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94347" cy="2088000"/>
                          </a:xfrm>
                          <a:prstGeom prst="rect">
                            <a:avLst/>
                          </a:prstGeom>
                          <a:noFill/>
                          <a:ln>
                            <a:noFill/>
                          </a:ln>
                        </pic:spPr>
                      </pic:pic>
                    </a:graphicData>
                  </a:graphic>
                </wp:inline>
              </w:drawing>
            </w:r>
          </w:p>
        </w:tc>
        <w:tc>
          <w:tcPr>
            <w:tcW w:w="4664" w:type="dxa"/>
          </w:tcPr>
          <w:p w14:paraId="5937D99D" w14:textId="77777777" w:rsidR="00EB3C9D" w:rsidRPr="00497C7F" w:rsidRDefault="00EB3C9D" w:rsidP="00986700">
            <w:pPr>
              <w:jc w:val="both"/>
              <w:rPr>
                <w:rFonts w:cs="Arial"/>
              </w:rPr>
            </w:pPr>
            <w:r>
              <w:rPr>
                <w:rFonts w:cs="Arial"/>
                <w:noProof/>
                <w:lang w:val="en-US"/>
              </w:rPr>
              <w:drawing>
                <wp:inline distT="0" distB="0" distL="0" distR="0" wp14:anchorId="719647C2" wp14:editId="2D4BCFAB">
                  <wp:extent cx="2802687" cy="2088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02687" cy="2088000"/>
                          </a:xfrm>
                          <a:prstGeom prst="rect">
                            <a:avLst/>
                          </a:prstGeom>
                          <a:noFill/>
                          <a:ln>
                            <a:noFill/>
                          </a:ln>
                        </pic:spPr>
                      </pic:pic>
                    </a:graphicData>
                  </a:graphic>
                </wp:inline>
              </w:drawing>
            </w:r>
          </w:p>
        </w:tc>
      </w:tr>
      <w:tr w:rsidR="00EB3C9D" w:rsidRPr="00497C7F" w14:paraId="2D3139A9" w14:textId="77777777" w:rsidTr="00AA49D8">
        <w:tc>
          <w:tcPr>
            <w:tcW w:w="4623" w:type="dxa"/>
          </w:tcPr>
          <w:p w14:paraId="10489ACC" w14:textId="77777777" w:rsidR="00EB3C9D" w:rsidRPr="00497C7F" w:rsidRDefault="00EB3C9D" w:rsidP="00986700">
            <w:pPr>
              <w:jc w:val="both"/>
              <w:rPr>
                <w:rFonts w:cs="Arial"/>
              </w:rPr>
            </w:pPr>
            <w:r>
              <w:rPr>
                <w:rFonts w:cs="Arial"/>
                <w:noProof/>
                <w:lang w:val="en-US"/>
              </w:rPr>
              <w:drawing>
                <wp:inline distT="0" distB="0" distL="0" distR="0" wp14:anchorId="506AA611" wp14:editId="2671B6F0">
                  <wp:extent cx="2914475" cy="20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4475" cy="2088000"/>
                          </a:xfrm>
                          <a:prstGeom prst="rect">
                            <a:avLst/>
                          </a:prstGeom>
                          <a:noFill/>
                          <a:ln>
                            <a:noFill/>
                          </a:ln>
                        </pic:spPr>
                      </pic:pic>
                    </a:graphicData>
                  </a:graphic>
                </wp:inline>
              </w:drawing>
            </w:r>
          </w:p>
        </w:tc>
        <w:tc>
          <w:tcPr>
            <w:tcW w:w="4664" w:type="dxa"/>
          </w:tcPr>
          <w:p w14:paraId="4C672CDF" w14:textId="77777777" w:rsidR="00EB3C9D" w:rsidRPr="00497C7F" w:rsidRDefault="00EB3C9D" w:rsidP="00986700">
            <w:pPr>
              <w:jc w:val="both"/>
              <w:rPr>
                <w:rFonts w:cs="Arial"/>
              </w:rPr>
            </w:pPr>
            <w:r>
              <w:rPr>
                <w:rFonts w:cs="Arial"/>
                <w:noProof/>
                <w:lang w:val="en-US"/>
              </w:rPr>
              <w:drawing>
                <wp:inline distT="0" distB="0" distL="0" distR="0" wp14:anchorId="7383EA14" wp14:editId="26B7F9C1">
                  <wp:extent cx="2826120" cy="2088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26120" cy="2088000"/>
                          </a:xfrm>
                          <a:prstGeom prst="rect">
                            <a:avLst/>
                          </a:prstGeom>
                          <a:noFill/>
                          <a:ln>
                            <a:noFill/>
                          </a:ln>
                        </pic:spPr>
                      </pic:pic>
                    </a:graphicData>
                  </a:graphic>
                </wp:inline>
              </w:drawing>
            </w:r>
          </w:p>
        </w:tc>
      </w:tr>
    </w:tbl>
    <w:p w14:paraId="547DC948" w14:textId="77777777" w:rsidR="00EB3C9D" w:rsidRPr="00497C7F" w:rsidRDefault="00EB3C9D" w:rsidP="00986700">
      <w:pPr>
        <w:jc w:val="both"/>
        <w:rPr>
          <w:rFonts w:cs="Arial"/>
        </w:rPr>
      </w:pPr>
    </w:p>
    <w:p w14:paraId="789FB488" w14:textId="48813DA9"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Par rapport à 2015, le délai moyen de traitement a augmenté en 2016 </w:t>
      </w:r>
      <w:r w:rsidRPr="00497C7F">
        <w:rPr>
          <w:rFonts w:cs="Arial"/>
        </w:rPr>
        <w:t>pour les six</w:t>
      </w:r>
      <w:r>
        <w:rPr>
          <w:rFonts w:cs="Arial"/>
        </w:rPr>
        <w:t> </w:t>
      </w:r>
      <w:r w:rsidRPr="00497C7F">
        <w:rPr>
          <w:rFonts w:cs="Arial"/>
        </w:rPr>
        <w:t>catégories d</w:t>
      </w:r>
      <w:r>
        <w:rPr>
          <w:rFonts w:cs="Arial"/>
        </w:rPr>
        <w:t>’</w:t>
      </w:r>
      <w:r w:rsidRPr="00497C7F">
        <w:rPr>
          <w:rFonts w:cs="Arial"/>
        </w:rPr>
        <w:t>opérations effectuées par le Bureau international</w:t>
      </w:r>
      <w:r w:rsidRPr="00497C7F">
        <w:rPr>
          <w:rFonts w:asciiTheme="minorBidi" w:eastAsiaTheme="minorHAnsi" w:hAnsiTheme="minorBidi"/>
          <w:szCs w:val="20"/>
        </w:rPr>
        <w:t xml:space="preserve">.  Les </w:t>
      </w:r>
      <w:r w:rsidR="00B629E6">
        <w:rPr>
          <w:rFonts w:asciiTheme="minorBidi" w:eastAsiaTheme="minorHAnsi" w:hAnsiTheme="minorBidi"/>
          <w:szCs w:val="20"/>
        </w:rPr>
        <w:t>augmentat</w:t>
      </w:r>
      <w:r w:rsidRPr="00497C7F">
        <w:rPr>
          <w:rFonts w:asciiTheme="minorBidi" w:eastAsiaTheme="minorHAnsi" w:hAnsiTheme="minorBidi"/>
          <w:szCs w:val="20"/>
        </w:rPr>
        <w:t>ions les plus importantes concernaient les corrections, les décisions et les désignations postérieures.</w:t>
      </w:r>
    </w:p>
    <w:p w14:paraId="21DDBC65" w14:textId="77777777" w:rsidR="00EB3C9D" w:rsidRPr="00497C7F" w:rsidRDefault="00EB3C9D" w:rsidP="00986700">
      <w:pPr>
        <w:jc w:val="both"/>
        <w:rPr>
          <w:rFonts w:asciiTheme="minorBidi" w:eastAsiaTheme="minorHAnsi" w:hAnsiTheme="minorBidi"/>
          <w:szCs w:val="20"/>
        </w:rPr>
      </w:pPr>
    </w:p>
    <w:p w14:paraId="52913340" w14:textId="77777777" w:rsidR="00EB3C9D" w:rsidRPr="00497C7F" w:rsidRDefault="00EB3C9D" w:rsidP="00986700">
      <w:pPr>
        <w:jc w:val="both"/>
        <w:rPr>
          <w:rFonts w:asciiTheme="minorBidi" w:eastAsiaTheme="minorHAnsi" w:hAnsiTheme="minorBidi"/>
          <w:szCs w:val="20"/>
        </w:rPr>
      </w:pPr>
    </w:p>
    <w:p w14:paraId="2767FFCF" w14:textId="77777777" w:rsidR="00EB3C9D" w:rsidRPr="00497C7F" w:rsidRDefault="00EB3C9D" w:rsidP="00616FD3">
      <w:pPr>
        <w:keepNext/>
        <w:keepLines/>
        <w:numPr>
          <w:ilvl w:val="0"/>
          <w:numId w:val="44"/>
        </w:numPr>
        <w:tabs>
          <w:tab w:val="left" w:pos="567"/>
        </w:tabs>
        <w:spacing w:before="120" w:after="240"/>
        <w:ind w:left="0" w:firstLine="0"/>
        <w:rPr>
          <w:rFonts w:asciiTheme="minorBidi" w:eastAsiaTheme="minorHAnsi" w:hAnsiTheme="minorBidi"/>
          <w:b/>
          <w:szCs w:val="20"/>
        </w:rPr>
      </w:pPr>
      <w:r w:rsidRPr="00497C7F">
        <w:rPr>
          <w:rFonts w:asciiTheme="minorBidi" w:eastAsiaTheme="minorHAnsi" w:hAnsiTheme="minorBidi"/>
          <w:b/>
          <w:szCs w:val="20"/>
        </w:rPr>
        <w:lastRenderedPageBreak/>
        <w:t>Qualité de l</w:t>
      </w:r>
      <w:r>
        <w:rPr>
          <w:rFonts w:asciiTheme="minorBidi" w:eastAsiaTheme="minorHAnsi" w:hAnsiTheme="minorBidi"/>
          <w:b/>
          <w:szCs w:val="20"/>
        </w:rPr>
        <w:t>’</w:t>
      </w:r>
      <w:r w:rsidRPr="00497C7F">
        <w:rPr>
          <w:rFonts w:asciiTheme="minorBidi" w:eastAsiaTheme="minorHAnsi" w:hAnsiTheme="minorBidi"/>
          <w:b/>
          <w:szCs w:val="20"/>
        </w:rPr>
        <w:t>examen</w:t>
      </w:r>
    </w:p>
    <w:p w14:paraId="5BCD6EB5" w14:textId="77777777"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Les principaux indicateurs suivants de la qualité globale de l</w:t>
      </w:r>
      <w:r>
        <w:rPr>
          <w:rFonts w:cs="Arial"/>
        </w:rPr>
        <w:t>’</w:t>
      </w:r>
      <w:r w:rsidRPr="00497C7F">
        <w:rPr>
          <w:rFonts w:cs="Arial"/>
        </w:rPr>
        <w:t>examen des marques par le Bureau international résultent du contrôle de qualité effectué suite à la mise en œuvre en 2015 du cadre de gestion de la qualité du Service d</w:t>
      </w:r>
      <w:r>
        <w:rPr>
          <w:rFonts w:cs="Arial"/>
        </w:rPr>
        <w:t>’</w:t>
      </w:r>
      <w:r w:rsidRPr="00497C7F">
        <w:rPr>
          <w:rFonts w:cs="Arial"/>
        </w:rPr>
        <w:t>enregistrement de Madrid, conformément aux exigences des normes ISO 9001:2015 et ISO 2859</w:t>
      </w:r>
      <w:r w:rsidRPr="00497C7F">
        <w:rPr>
          <w:rStyle w:val="FootnoteReference"/>
          <w:rFonts w:cs="Arial"/>
        </w:rPr>
        <w:footnoteReference w:id="20"/>
      </w:r>
      <w:r w:rsidRPr="00497C7F">
        <w:rPr>
          <w:rFonts w:cs="Arial"/>
        </w:rPr>
        <w:t>.</w:t>
      </w:r>
    </w:p>
    <w:p w14:paraId="731CECAB" w14:textId="77777777" w:rsidR="00EB3C9D" w:rsidRPr="00497C7F" w:rsidRDefault="00EB3C9D" w:rsidP="00986700">
      <w:pPr>
        <w:pStyle w:val="ListParagraph"/>
        <w:tabs>
          <w:tab w:val="left" w:pos="567"/>
        </w:tabs>
        <w:ind w:left="0"/>
        <w:jc w:val="both"/>
        <w:rPr>
          <w:rFonts w:cs="Arial"/>
        </w:rPr>
      </w:pPr>
    </w:p>
    <w:p w14:paraId="37B050EF" w14:textId="77777777" w:rsidR="00EB3C9D" w:rsidRPr="00497C7F" w:rsidRDefault="00EB3C9D" w:rsidP="00616FD3">
      <w:pPr>
        <w:pStyle w:val="ListParagraph"/>
        <w:keepNext/>
        <w:keepLines/>
        <w:numPr>
          <w:ilvl w:val="0"/>
          <w:numId w:val="48"/>
        </w:numPr>
        <w:tabs>
          <w:tab w:val="left" w:pos="567"/>
        </w:tabs>
        <w:ind w:left="0" w:firstLine="0"/>
        <w:jc w:val="both"/>
        <w:rPr>
          <w:rFonts w:cs="Arial"/>
        </w:rPr>
      </w:pPr>
      <w:r w:rsidRPr="00497C7F">
        <w:rPr>
          <w:rFonts w:cs="Arial"/>
        </w:rPr>
        <w:t>Les informations relatives à la qualité du travail d</w:t>
      </w:r>
      <w:r>
        <w:rPr>
          <w:rFonts w:cs="Arial"/>
        </w:rPr>
        <w:t>’</w:t>
      </w:r>
      <w:r w:rsidRPr="00497C7F">
        <w:rPr>
          <w:rFonts w:cs="Arial"/>
        </w:rPr>
        <w:t>examen fourni par le Bureau international proviennent de deux</w:t>
      </w:r>
      <w:r>
        <w:rPr>
          <w:rFonts w:cs="Arial"/>
        </w:rPr>
        <w:t> </w:t>
      </w:r>
      <w:r w:rsidRPr="00497C7F">
        <w:rPr>
          <w:rFonts w:cs="Arial"/>
        </w:rPr>
        <w:t>sources</w:t>
      </w:r>
      <w:r>
        <w:rPr>
          <w:rFonts w:cs="Arial"/>
        </w:rPr>
        <w:t> :</w:t>
      </w:r>
    </w:p>
    <w:p w14:paraId="021DC190" w14:textId="77777777" w:rsidR="00EB3C9D" w:rsidRPr="00497C7F" w:rsidRDefault="00EB3C9D" w:rsidP="00986700">
      <w:pPr>
        <w:keepNext/>
        <w:keepLines/>
        <w:rPr>
          <w:rFonts w:cs="Arial"/>
        </w:rPr>
      </w:pPr>
    </w:p>
    <w:p w14:paraId="4A975188" w14:textId="77777777" w:rsidR="00EB3C9D" w:rsidRPr="00497C7F" w:rsidRDefault="00EB3C9D" w:rsidP="00616FD3">
      <w:pPr>
        <w:pStyle w:val="ListParagraph"/>
        <w:keepNext/>
        <w:keepLines/>
        <w:numPr>
          <w:ilvl w:val="1"/>
          <w:numId w:val="48"/>
        </w:numPr>
        <w:tabs>
          <w:tab w:val="left" w:pos="567"/>
          <w:tab w:val="left" w:pos="1134"/>
        </w:tabs>
        <w:ind w:left="567" w:firstLine="0"/>
        <w:jc w:val="both"/>
        <w:rPr>
          <w:rFonts w:cs="Arial"/>
        </w:rPr>
      </w:pPr>
      <w:r w:rsidRPr="00497C7F">
        <w:rPr>
          <w:rFonts w:cs="Arial"/>
        </w:rPr>
        <w:t>résultats de l</w:t>
      </w:r>
      <w:r>
        <w:rPr>
          <w:rFonts w:cs="Arial"/>
        </w:rPr>
        <w:t>’</w:t>
      </w:r>
      <w:r w:rsidRPr="00497C7F">
        <w:rPr>
          <w:rFonts w:cs="Arial"/>
        </w:rPr>
        <w:t>évaluation interne d</w:t>
      </w:r>
      <w:r>
        <w:rPr>
          <w:rFonts w:cs="Arial"/>
        </w:rPr>
        <w:t>’</w:t>
      </w:r>
      <w:r w:rsidRPr="00497C7F">
        <w:rPr>
          <w:rFonts w:cs="Arial"/>
        </w:rPr>
        <w:t>échantillons d</w:t>
      </w:r>
      <w:r>
        <w:rPr>
          <w:rFonts w:cs="Arial"/>
        </w:rPr>
        <w:t>’</w:t>
      </w:r>
      <w:r w:rsidRPr="00497C7F">
        <w:rPr>
          <w:rFonts w:cs="Arial"/>
        </w:rPr>
        <w:t>examens;  et</w:t>
      </w:r>
    </w:p>
    <w:p w14:paraId="2A1FAC4C" w14:textId="77777777" w:rsidR="00EB3C9D" w:rsidRPr="00497C7F" w:rsidRDefault="00EB3C9D" w:rsidP="00986700">
      <w:pPr>
        <w:pStyle w:val="ListParagraph"/>
        <w:keepNext/>
        <w:keepLines/>
        <w:tabs>
          <w:tab w:val="left" w:pos="567"/>
          <w:tab w:val="left" w:pos="1134"/>
        </w:tabs>
        <w:ind w:left="567"/>
        <w:jc w:val="both"/>
        <w:rPr>
          <w:rFonts w:cs="Arial"/>
        </w:rPr>
      </w:pPr>
    </w:p>
    <w:p w14:paraId="1C219A95" w14:textId="77777777" w:rsidR="00EB3C9D" w:rsidRPr="00497C7F" w:rsidRDefault="00EB3C9D" w:rsidP="00616FD3">
      <w:pPr>
        <w:pStyle w:val="ListParagraph"/>
        <w:keepNext/>
        <w:keepLines/>
        <w:numPr>
          <w:ilvl w:val="1"/>
          <w:numId w:val="48"/>
        </w:numPr>
        <w:tabs>
          <w:tab w:val="left" w:pos="567"/>
          <w:tab w:val="left" w:pos="1134"/>
        </w:tabs>
        <w:ind w:left="567" w:firstLine="0"/>
        <w:jc w:val="both"/>
        <w:rPr>
          <w:rFonts w:cs="Arial"/>
        </w:rPr>
      </w:pPr>
      <w:r w:rsidRPr="00497C7F">
        <w:rPr>
          <w:rFonts w:cs="Arial"/>
        </w:rPr>
        <w:t>erreurs du Bureau international confirmées par ce dernier suite à la réception d</w:t>
      </w:r>
      <w:r>
        <w:rPr>
          <w:rFonts w:cs="Arial"/>
        </w:rPr>
        <w:t>’</w:t>
      </w:r>
      <w:r w:rsidRPr="00497C7F">
        <w:rPr>
          <w:rFonts w:cs="Arial"/>
        </w:rPr>
        <w:t>une demande de rectification selon la règle 28 du règlement d</w:t>
      </w:r>
      <w:r>
        <w:rPr>
          <w:rFonts w:cs="Arial"/>
        </w:rPr>
        <w:t>’</w:t>
      </w:r>
      <w:r w:rsidRPr="00497C7F">
        <w:rPr>
          <w:rFonts w:cs="Arial"/>
        </w:rPr>
        <w:t>exécution commun.</w:t>
      </w:r>
    </w:p>
    <w:p w14:paraId="5033F7BB" w14:textId="77777777" w:rsidR="00EB3C9D" w:rsidRPr="00497C7F" w:rsidRDefault="00EB3C9D" w:rsidP="00986700">
      <w:pPr>
        <w:rPr>
          <w:rFonts w:cs="Arial"/>
        </w:rPr>
      </w:pPr>
    </w:p>
    <w:p w14:paraId="74B3A436"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Évaluation d</w:t>
      </w:r>
      <w:r>
        <w:rPr>
          <w:rFonts w:asciiTheme="minorBidi" w:eastAsiaTheme="minorHAnsi" w:hAnsiTheme="minorBidi"/>
          <w:i/>
          <w:szCs w:val="20"/>
        </w:rPr>
        <w:t>’</w:t>
      </w:r>
      <w:r w:rsidRPr="00497C7F">
        <w:rPr>
          <w:rFonts w:asciiTheme="minorBidi" w:eastAsiaTheme="minorHAnsi" w:hAnsiTheme="minorBidi"/>
          <w:i/>
          <w:szCs w:val="20"/>
        </w:rPr>
        <w:t>échantillons d</w:t>
      </w:r>
      <w:r>
        <w:rPr>
          <w:rFonts w:asciiTheme="minorBidi" w:eastAsiaTheme="minorHAnsi" w:hAnsiTheme="minorBidi"/>
          <w:i/>
          <w:szCs w:val="20"/>
        </w:rPr>
        <w:t>’</w:t>
      </w:r>
      <w:r w:rsidRPr="00497C7F">
        <w:rPr>
          <w:rFonts w:asciiTheme="minorBidi" w:eastAsiaTheme="minorHAnsi" w:hAnsiTheme="minorBidi"/>
          <w:i/>
          <w:szCs w:val="20"/>
        </w:rPr>
        <w:t>examens</w:t>
      </w:r>
    </w:p>
    <w:p w14:paraId="2AAF9F4F" w14:textId="77777777" w:rsidR="00EB3C9D" w:rsidRPr="00497C7F" w:rsidRDefault="00EB3C9D" w:rsidP="00986700">
      <w:pPr>
        <w:keepNext/>
        <w:keepLines/>
        <w:rPr>
          <w:rFonts w:asciiTheme="minorBidi" w:eastAsiaTheme="minorHAnsi" w:hAnsiTheme="minorBidi"/>
          <w:iCs/>
          <w:szCs w:val="20"/>
        </w:rPr>
      </w:pPr>
    </w:p>
    <w:p w14:paraId="2E7F5E8F" w14:textId="7D115090" w:rsidR="00EB3C9D" w:rsidRDefault="00EB3C9D" w:rsidP="00616FD3">
      <w:pPr>
        <w:pStyle w:val="ListParagraph"/>
        <w:numPr>
          <w:ilvl w:val="0"/>
          <w:numId w:val="48"/>
        </w:numPr>
        <w:tabs>
          <w:tab w:val="left" w:pos="0"/>
        </w:tabs>
        <w:ind w:left="0" w:firstLine="0"/>
        <w:jc w:val="both"/>
        <w:rPr>
          <w:rFonts w:cs="Arial"/>
        </w:rPr>
      </w:pPr>
      <w:r w:rsidRPr="00497C7F">
        <w:rPr>
          <w:rFonts w:cs="Arial"/>
        </w:rPr>
        <w:t>Un contrôle de la qualité a été réalisé sur la base des échantillons ci</w:t>
      </w:r>
      <w:r w:rsidR="00B441CA">
        <w:rPr>
          <w:rFonts w:cs="Arial"/>
        </w:rPr>
        <w:noBreakHyphen/>
      </w:r>
      <w:r w:rsidRPr="00497C7F">
        <w:rPr>
          <w:rFonts w:cs="Arial"/>
        </w:rPr>
        <w:t xml:space="preserve">après en ce qui concerne les opérations </w:t>
      </w:r>
      <w:r w:rsidR="00203A39">
        <w:rPr>
          <w:rFonts w:cs="Arial"/>
        </w:rPr>
        <w:t>traitées manuellement en 2016.</w:t>
      </w:r>
    </w:p>
    <w:p w14:paraId="675B6B04" w14:textId="77777777" w:rsidR="00EB3C9D" w:rsidRPr="00497C7F" w:rsidRDefault="00EB3C9D" w:rsidP="00986700">
      <w:pPr>
        <w:pStyle w:val="ListParagraph"/>
        <w:tabs>
          <w:tab w:val="left" w:pos="567"/>
        </w:tabs>
        <w:ind w:left="0"/>
        <w:jc w:val="both"/>
        <w:rPr>
          <w:rFonts w:cs="Arial"/>
        </w:rPr>
      </w:pPr>
    </w:p>
    <w:p w14:paraId="392554D7"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1444 demandes relatives à la classification de Nice</w:t>
      </w:r>
    </w:p>
    <w:p w14:paraId="68349485"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1499 demandes concernant l</w:t>
      </w:r>
      <w:r>
        <w:rPr>
          <w:rFonts w:asciiTheme="minorBidi" w:eastAsiaTheme="minorHAnsi" w:hAnsiTheme="minorBidi"/>
          <w:szCs w:val="20"/>
        </w:rPr>
        <w:t>’</w:t>
      </w:r>
      <w:r w:rsidRPr="00497C7F">
        <w:rPr>
          <w:rFonts w:asciiTheme="minorBidi" w:eastAsiaTheme="minorHAnsi" w:hAnsiTheme="minorBidi"/>
          <w:szCs w:val="20"/>
        </w:rPr>
        <w:t>examen quant à la forme (APEX)</w:t>
      </w:r>
    </w:p>
    <w:p w14:paraId="4432990B"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540 décisions</w:t>
      </w:r>
    </w:p>
    <w:p w14:paraId="642615F5"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1188 demandes de modifications</w:t>
      </w:r>
    </w:p>
    <w:p w14:paraId="2425457A" w14:textId="7777777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310 demandes de renouvellements</w:t>
      </w:r>
    </w:p>
    <w:p w14:paraId="44E71B42" w14:textId="77777777" w:rsidR="00EB3C9D" w:rsidRPr="00497C7F" w:rsidRDefault="00EB3C9D" w:rsidP="00986700">
      <w:pPr>
        <w:pStyle w:val="ListParagraph"/>
        <w:tabs>
          <w:tab w:val="left" w:pos="567"/>
        </w:tabs>
        <w:ind w:left="0"/>
        <w:jc w:val="both"/>
        <w:rPr>
          <w:rFonts w:cs="Arial"/>
        </w:rPr>
      </w:pPr>
    </w:p>
    <w:p w14:paraId="710D86D2" w14:textId="77777777" w:rsidR="00EB3C9D" w:rsidRPr="00497C7F" w:rsidRDefault="00EB3C9D" w:rsidP="00616FD3">
      <w:pPr>
        <w:pStyle w:val="ListParagraph"/>
        <w:numPr>
          <w:ilvl w:val="0"/>
          <w:numId w:val="48"/>
        </w:numPr>
        <w:tabs>
          <w:tab w:val="left" w:pos="567"/>
        </w:tabs>
        <w:ind w:left="0" w:firstLine="0"/>
        <w:jc w:val="both"/>
        <w:rPr>
          <w:rFonts w:cs="Arial"/>
        </w:rPr>
      </w:pPr>
      <w:r w:rsidRPr="00497C7F">
        <w:rPr>
          <w:rFonts w:cs="Arial"/>
        </w:rPr>
        <w:t>Un niveau de qualité acceptable est fixé pour chaque examen, et devient l</w:t>
      </w:r>
      <w:r>
        <w:rPr>
          <w:rFonts w:cs="Arial"/>
        </w:rPr>
        <w:t>’</w:t>
      </w:r>
      <w:r w:rsidRPr="00497C7F">
        <w:rPr>
          <w:rFonts w:cs="Arial"/>
        </w:rPr>
        <w:t>étalon par rapport auquel est mesurée la qualité des examens de marques.</w:t>
      </w:r>
    </w:p>
    <w:p w14:paraId="2EFA09F2" w14:textId="77777777" w:rsidR="00EB3C9D" w:rsidRPr="00497C7F" w:rsidRDefault="00EB3C9D" w:rsidP="001944E7"/>
    <w:p w14:paraId="495C52B8" w14:textId="74527D24" w:rsidR="00EB3C9D" w:rsidRPr="00497C7F" w:rsidRDefault="001944E7" w:rsidP="001944E7">
      <w:pPr>
        <w:jc w:val="center"/>
        <w:rPr>
          <w:szCs w:val="20"/>
        </w:rPr>
      </w:pPr>
      <w:r w:rsidRPr="001944E7">
        <w:rPr>
          <w:noProof/>
          <w:lang w:val="en-US" w:eastAsia="en-US"/>
        </w:rPr>
        <w:drawing>
          <wp:inline distT="0" distB="0" distL="0" distR="0" wp14:anchorId="7722B59E" wp14:editId="4C3D4BF7">
            <wp:extent cx="4320000" cy="2587733"/>
            <wp:effectExtent l="0" t="0" r="444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000" cy="2587733"/>
                    </a:xfrm>
                    <a:prstGeom prst="rect">
                      <a:avLst/>
                    </a:prstGeom>
                    <a:noFill/>
                    <a:ln>
                      <a:noFill/>
                    </a:ln>
                  </pic:spPr>
                </pic:pic>
              </a:graphicData>
            </a:graphic>
          </wp:inline>
        </w:drawing>
      </w:r>
    </w:p>
    <w:p w14:paraId="75DE3375" w14:textId="77777777" w:rsidR="00EB3C9D" w:rsidRPr="00497C7F" w:rsidRDefault="00EB3C9D" w:rsidP="001944E7">
      <w:pPr>
        <w:rPr>
          <w:szCs w:val="20"/>
        </w:rPr>
      </w:pPr>
    </w:p>
    <w:p w14:paraId="68690ECE" w14:textId="5927D1D7"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La qualité globale </w:t>
      </w:r>
      <w:r w:rsidR="00B629E6">
        <w:rPr>
          <w:rFonts w:asciiTheme="minorBidi" w:eastAsiaTheme="minorHAnsi" w:hAnsiTheme="minorBidi"/>
          <w:szCs w:val="20"/>
        </w:rPr>
        <w:t>en ce qui concerne l’</w:t>
      </w:r>
      <w:r w:rsidRPr="00497C7F">
        <w:rPr>
          <w:rFonts w:asciiTheme="minorBidi" w:eastAsiaTheme="minorHAnsi" w:hAnsiTheme="minorBidi"/>
          <w:szCs w:val="20"/>
        </w:rPr>
        <w:t>examen de</w:t>
      </w:r>
      <w:r w:rsidR="00B629E6">
        <w:rPr>
          <w:rFonts w:asciiTheme="minorBidi" w:eastAsiaTheme="minorHAnsi" w:hAnsiTheme="minorBidi"/>
          <w:szCs w:val="20"/>
        </w:rPr>
        <w:t>s</w:t>
      </w:r>
      <w:r w:rsidRPr="00497C7F">
        <w:rPr>
          <w:rFonts w:asciiTheme="minorBidi" w:eastAsiaTheme="minorHAnsi" w:hAnsiTheme="minorBidi"/>
          <w:szCs w:val="20"/>
        </w:rPr>
        <w:t xml:space="preserve"> marques </w:t>
      </w:r>
      <w:r w:rsidR="00B629E6">
        <w:rPr>
          <w:rFonts w:asciiTheme="minorBidi" w:eastAsiaTheme="minorHAnsi" w:hAnsiTheme="minorBidi"/>
          <w:szCs w:val="20"/>
        </w:rPr>
        <w:t xml:space="preserve">en 2016 </w:t>
      </w:r>
      <w:r w:rsidRPr="00497C7F">
        <w:rPr>
          <w:rFonts w:asciiTheme="minorBidi" w:eastAsiaTheme="minorHAnsi" w:hAnsiTheme="minorBidi"/>
          <w:szCs w:val="20"/>
        </w:rPr>
        <w:t>a été supérieure d</w:t>
      </w:r>
      <w:r>
        <w:rPr>
          <w:rFonts w:asciiTheme="minorBidi" w:eastAsiaTheme="minorHAnsi" w:hAnsiTheme="minorBidi"/>
          <w:szCs w:val="20"/>
        </w:rPr>
        <w:t>’</w:t>
      </w:r>
      <w:r w:rsidRPr="00497C7F">
        <w:rPr>
          <w:rFonts w:asciiTheme="minorBidi" w:eastAsiaTheme="minorHAnsi" w:hAnsiTheme="minorBidi"/>
          <w:szCs w:val="20"/>
        </w:rPr>
        <w:t>un point de pourcentage au niveau de qualité acceptable.</w:t>
      </w:r>
    </w:p>
    <w:p w14:paraId="2169E60E" w14:textId="77777777" w:rsidR="00EB3C9D" w:rsidRPr="00497C7F" w:rsidRDefault="00EB3C9D" w:rsidP="00986700">
      <w:pPr>
        <w:tabs>
          <w:tab w:val="left" w:pos="567"/>
        </w:tabs>
        <w:jc w:val="both"/>
        <w:rPr>
          <w:rFonts w:cs="Arial"/>
          <w:szCs w:val="20"/>
        </w:rPr>
      </w:pPr>
    </w:p>
    <w:p w14:paraId="76AB6C2B" w14:textId="2B7CFF4B" w:rsidR="00EB3C9D" w:rsidRDefault="001944E7" w:rsidP="00986700">
      <w:pPr>
        <w:tabs>
          <w:tab w:val="left" w:pos="567"/>
        </w:tabs>
        <w:ind w:left="360"/>
        <w:jc w:val="center"/>
        <w:rPr>
          <w:rFonts w:cs="Arial"/>
          <w:szCs w:val="20"/>
        </w:rPr>
      </w:pPr>
      <w:r w:rsidRPr="001944E7">
        <w:rPr>
          <w:noProof/>
          <w:lang w:val="en-US" w:eastAsia="en-US"/>
        </w:rPr>
        <w:lastRenderedPageBreak/>
        <w:drawing>
          <wp:inline distT="0" distB="0" distL="0" distR="0" wp14:anchorId="51262D08" wp14:editId="66F2EF97">
            <wp:extent cx="4320000" cy="2587733"/>
            <wp:effectExtent l="0" t="0" r="4445"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000" cy="2587733"/>
                    </a:xfrm>
                    <a:prstGeom prst="rect">
                      <a:avLst/>
                    </a:prstGeom>
                    <a:noFill/>
                    <a:ln>
                      <a:noFill/>
                    </a:ln>
                  </pic:spPr>
                </pic:pic>
              </a:graphicData>
            </a:graphic>
          </wp:inline>
        </w:drawing>
      </w:r>
    </w:p>
    <w:p w14:paraId="29619998" w14:textId="77777777" w:rsidR="00EB3C9D" w:rsidRPr="00497C7F" w:rsidRDefault="00EB3C9D" w:rsidP="00986700">
      <w:pPr>
        <w:tabs>
          <w:tab w:val="left" w:pos="567"/>
        </w:tabs>
        <w:ind w:left="360"/>
        <w:jc w:val="both"/>
        <w:rPr>
          <w:rFonts w:cs="Arial"/>
          <w:szCs w:val="20"/>
        </w:rPr>
      </w:pPr>
    </w:p>
    <w:p w14:paraId="204E2C52" w14:textId="427BF6DF"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 xml:space="preserve">La qualité globale </w:t>
      </w:r>
      <w:r w:rsidR="00967F64">
        <w:rPr>
          <w:rFonts w:asciiTheme="minorBidi" w:eastAsiaTheme="minorHAnsi" w:hAnsiTheme="minorBidi"/>
          <w:szCs w:val="20"/>
        </w:rPr>
        <w:t>en ce qui concerne l’examen quant à la</w:t>
      </w:r>
      <w:r w:rsidRPr="00497C7F">
        <w:rPr>
          <w:rFonts w:asciiTheme="minorBidi" w:eastAsiaTheme="minorHAnsi" w:hAnsiTheme="minorBidi"/>
          <w:szCs w:val="20"/>
        </w:rPr>
        <w:t xml:space="preserve"> forme a été inférieure d</w:t>
      </w:r>
      <w:r>
        <w:rPr>
          <w:rFonts w:asciiTheme="minorBidi" w:eastAsiaTheme="minorHAnsi" w:hAnsiTheme="minorBidi"/>
          <w:szCs w:val="20"/>
        </w:rPr>
        <w:t>’</w:t>
      </w:r>
      <w:r w:rsidRPr="00497C7F">
        <w:rPr>
          <w:rFonts w:asciiTheme="minorBidi" w:eastAsiaTheme="minorHAnsi" w:hAnsiTheme="minorBidi"/>
          <w:szCs w:val="20"/>
        </w:rPr>
        <w:t>un point de pourcentage au niveau de qualité acceptable établi pour 2016, principalement en raison d</w:t>
      </w:r>
      <w:r>
        <w:rPr>
          <w:rFonts w:asciiTheme="minorBidi" w:eastAsiaTheme="minorHAnsi" w:hAnsiTheme="minorBidi"/>
          <w:szCs w:val="20"/>
        </w:rPr>
        <w:t>’</w:t>
      </w:r>
      <w:r w:rsidRPr="00497C7F">
        <w:rPr>
          <w:rFonts w:asciiTheme="minorBidi" w:eastAsiaTheme="minorHAnsi" w:hAnsiTheme="minorBidi"/>
          <w:szCs w:val="20"/>
        </w:rPr>
        <w:t xml:space="preserve">erreurs </w:t>
      </w:r>
      <w:r w:rsidR="00967F64">
        <w:rPr>
          <w:rFonts w:asciiTheme="minorBidi" w:eastAsiaTheme="minorHAnsi" w:hAnsiTheme="minorBidi"/>
          <w:szCs w:val="20"/>
        </w:rPr>
        <w:t>concernant la saisie</w:t>
      </w:r>
      <w:r w:rsidRPr="00497C7F">
        <w:rPr>
          <w:rFonts w:asciiTheme="minorBidi" w:eastAsiaTheme="minorHAnsi" w:hAnsiTheme="minorBidi"/>
          <w:szCs w:val="20"/>
        </w:rPr>
        <w:t xml:space="preserve"> des coordonnées des déposants et de leurs mandataires.</w:t>
      </w:r>
    </w:p>
    <w:p w14:paraId="7206FFEE" w14:textId="77777777" w:rsidR="00EB3C9D" w:rsidRPr="00497C7F" w:rsidRDefault="00EB3C9D" w:rsidP="00986700">
      <w:pPr>
        <w:tabs>
          <w:tab w:val="left" w:pos="567"/>
        </w:tabs>
        <w:jc w:val="both"/>
        <w:rPr>
          <w:rFonts w:cs="Arial"/>
          <w:szCs w:val="20"/>
        </w:rPr>
      </w:pPr>
    </w:p>
    <w:p w14:paraId="11954BDE" w14:textId="78CE23DF" w:rsidR="00EB3C9D" w:rsidRPr="00497C7F" w:rsidRDefault="001944E7" w:rsidP="00986700">
      <w:pPr>
        <w:tabs>
          <w:tab w:val="left" w:pos="567"/>
        </w:tabs>
        <w:jc w:val="center"/>
        <w:rPr>
          <w:rFonts w:cs="Arial"/>
          <w:szCs w:val="20"/>
        </w:rPr>
      </w:pPr>
      <w:r w:rsidRPr="001944E7">
        <w:rPr>
          <w:noProof/>
          <w:lang w:val="en-US" w:eastAsia="en-US"/>
        </w:rPr>
        <w:drawing>
          <wp:inline distT="0" distB="0" distL="0" distR="0" wp14:anchorId="7DBF23F8" wp14:editId="51E406A2">
            <wp:extent cx="4320000" cy="2587733"/>
            <wp:effectExtent l="0" t="0" r="4445" b="317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0000" cy="2587733"/>
                    </a:xfrm>
                    <a:prstGeom prst="rect">
                      <a:avLst/>
                    </a:prstGeom>
                    <a:noFill/>
                    <a:ln>
                      <a:noFill/>
                    </a:ln>
                  </pic:spPr>
                </pic:pic>
              </a:graphicData>
            </a:graphic>
          </wp:inline>
        </w:drawing>
      </w:r>
    </w:p>
    <w:p w14:paraId="278C479C" w14:textId="77777777" w:rsidR="00EB3C9D" w:rsidRPr="00497C7F" w:rsidRDefault="00EB3C9D" w:rsidP="00986700">
      <w:pPr>
        <w:tabs>
          <w:tab w:val="left" w:pos="567"/>
        </w:tabs>
        <w:jc w:val="both"/>
        <w:rPr>
          <w:rFonts w:cs="Arial"/>
          <w:szCs w:val="20"/>
        </w:rPr>
      </w:pPr>
    </w:p>
    <w:p w14:paraId="4BA3FBD8" w14:textId="1879D43A"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qualité globale e</w:t>
      </w:r>
      <w:r w:rsidR="00967F64">
        <w:rPr>
          <w:rFonts w:asciiTheme="minorBidi" w:eastAsiaTheme="minorHAnsi" w:hAnsiTheme="minorBidi"/>
          <w:szCs w:val="20"/>
        </w:rPr>
        <w:t>n ce qui concerne le</w:t>
      </w:r>
      <w:r w:rsidRPr="00497C7F">
        <w:rPr>
          <w:rFonts w:asciiTheme="minorBidi" w:eastAsiaTheme="minorHAnsi" w:hAnsiTheme="minorBidi"/>
          <w:szCs w:val="20"/>
        </w:rPr>
        <w:t xml:space="preserve"> traitement des décisions a été inférieure d</w:t>
      </w:r>
      <w:r>
        <w:rPr>
          <w:rFonts w:asciiTheme="minorBidi" w:eastAsiaTheme="minorHAnsi" w:hAnsiTheme="minorBidi"/>
          <w:szCs w:val="20"/>
        </w:rPr>
        <w:t>’</w:t>
      </w:r>
      <w:r w:rsidRPr="00497C7F">
        <w:rPr>
          <w:rFonts w:asciiTheme="minorBidi" w:eastAsiaTheme="minorHAnsi" w:hAnsiTheme="minorBidi"/>
          <w:szCs w:val="20"/>
        </w:rPr>
        <w:t>un point de pourcentage à l</w:t>
      </w:r>
      <w:r>
        <w:rPr>
          <w:rFonts w:asciiTheme="minorBidi" w:eastAsiaTheme="minorHAnsi" w:hAnsiTheme="minorBidi"/>
          <w:szCs w:val="20"/>
        </w:rPr>
        <w:t>’</w:t>
      </w:r>
      <w:r w:rsidRPr="00497C7F">
        <w:rPr>
          <w:rFonts w:asciiTheme="minorBidi" w:eastAsiaTheme="minorHAnsi" w:hAnsiTheme="minorBidi"/>
          <w:szCs w:val="20"/>
        </w:rPr>
        <w:t>objectif fixé pour 2016.</w:t>
      </w:r>
    </w:p>
    <w:p w14:paraId="6D0174F1" w14:textId="77777777" w:rsidR="00EB3C9D" w:rsidRPr="00497C7F" w:rsidRDefault="00EB3C9D" w:rsidP="00986700">
      <w:pPr>
        <w:tabs>
          <w:tab w:val="left" w:pos="567"/>
        </w:tabs>
        <w:jc w:val="both"/>
        <w:rPr>
          <w:rFonts w:cs="Arial"/>
          <w:szCs w:val="20"/>
        </w:rPr>
      </w:pPr>
    </w:p>
    <w:p w14:paraId="6BF03BD5" w14:textId="5F925394" w:rsidR="00EB3C9D" w:rsidRDefault="001944E7" w:rsidP="00986700">
      <w:pPr>
        <w:tabs>
          <w:tab w:val="left" w:pos="567"/>
        </w:tabs>
        <w:jc w:val="center"/>
        <w:rPr>
          <w:rFonts w:cs="Arial"/>
          <w:szCs w:val="20"/>
        </w:rPr>
      </w:pPr>
      <w:r w:rsidRPr="001944E7">
        <w:rPr>
          <w:noProof/>
          <w:lang w:val="en-US" w:eastAsia="en-US"/>
        </w:rPr>
        <w:lastRenderedPageBreak/>
        <w:drawing>
          <wp:inline distT="0" distB="0" distL="0" distR="0" wp14:anchorId="4AA80F3C" wp14:editId="7E2210BB">
            <wp:extent cx="4320000" cy="2587733"/>
            <wp:effectExtent l="0" t="0" r="4445" b="317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0000" cy="2587733"/>
                    </a:xfrm>
                    <a:prstGeom prst="rect">
                      <a:avLst/>
                    </a:prstGeom>
                    <a:noFill/>
                    <a:ln>
                      <a:noFill/>
                    </a:ln>
                  </pic:spPr>
                </pic:pic>
              </a:graphicData>
            </a:graphic>
          </wp:inline>
        </w:drawing>
      </w:r>
    </w:p>
    <w:p w14:paraId="7A344500" w14:textId="77777777" w:rsidR="00EB3C9D" w:rsidRPr="00497C7F" w:rsidRDefault="00EB3C9D" w:rsidP="00986700">
      <w:pPr>
        <w:tabs>
          <w:tab w:val="left" w:pos="567"/>
        </w:tabs>
        <w:jc w:val="center"/>
        <w:rPr>
          <w:rFonts w:cs="Arial"/>
          <w:szCs w:val="20"/>
        </w:rPr>
      </w:pPr>
    </w:p>
    <w:p w14:paraId="4247FD1F" w14:textId="77777777"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qualité globale a atteint l</w:t>
      </w:r>
      <w:r>
        <w:rPr>
          <w:rFonts w:asciiTheme="minorBidi" w:eastAsiaTheme="minorHAnsi" w:hAnsiTheme="minorBidi"/>
          <w:szCs w:val="20"/>
        </w:rPr>
        <w:t>’</w:t>
      </w:r>
      <w:r w:rsidRPr="00497C7F">
        <w:rPr>
          <w:rFonts w:asciiTheme="minorBidi" w:eastAsiaTheme="minorHAnsi" w:hAnsiTheme="minorBidi"/>
          <w:szCs w:val="20"/>
        </w:rPr>
        <w:t xml:space="preserve">objectif fixé de 95%. </w:t>
      </w:r>
      <w:r>
        <w:rPr>
          <w:rFonts w:asciiTheme="minorBidi" w:eastAsiaTheme="minorHAnsi" w:hAnsiTheme="minorBidi"/>
          <w:szCs w:val="20"/>
        </w:rPr>
        <w:t xml:space="preserve"> </w:t>
      </w:r>
      <w:r w:rsidRPr="00497C7F">
        <w:rPr>
          <w:rFonts w:asciiTheme="minorBidi" w:eastAsiaTheme="minorHAnsi" w:hAnsiTheme="minorBidi"/>
          <w:szCs w:val="20"/>
        </w:rPr>
        <w:t>Toutefois, le même problème a été constaté que pour les examens de forme.</w:t>
      </w:r>
    </w:p>
    <w:p w14:paraId="5EC66C4C" w14:textId="77777777" w:rsidR="00EB3C9D" w:rsidRPr="00497C7F" w:rsidRDefault="00EB3C9D" w:rsidP="00986700">
      <w:pPr>
        <w:pStyle w:val="ListParagraph"/>
        <w:tabs>
          <w:tab w:val="left" w:pos="567"/>
        </w:tabs>
        <w:ind w:left="1080"/>
        <w:jc w:val="both"/>
        <w:rPr>
          <w:rFonts w:cs="Arial"/>
        </w:rPr>
      </w:pPr>
    </w:p>
    <w:p w14:paraId="7D3577DF" w14:textId="2030A1AB" w:rsidR="00EB3C9D" w:rsidRPr="00497C7F" w:rsidRDefault="001944E7" w:rsidP="00986700">
      <w:pPr>
        <w:jc w:val="center"/>
        <w:rPr>
          <w:rFonts w:cs="Arial"/>
          <w:szCs w:val="20"/>
        </w:rPr>
      </w:pPr>
      <w:r w:rsidRPr="001944E7">
        <w:rPr>
          <w:noProof/>
          <w:lang w:val="en-US" w:eastAsia="en-US"/>
        </w:rPr>
        <w:drawing>
          <wp:inline distT="0" distB="0" distL="0" distR="0" wp14:anchorId="08709A1A" wp14:editId="76EDFADD">
            <wp:extent cx="4320000" cy="2587733"/>
            <wp:effectExtent l="0" t="0" r="4445" b="317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20000" cy="2587733"/>
                    </a:xfrm>
                    <a:prstGeom prst="rect">
                      <a:avLst/>
                    </a:prstGeom>
                    <a:noFill/>
                    <a:ln>
                      <a:noFill/>
                    </a:ln>
                  </pic:spPr>
                </pic:pic>
              </a:graphicData>
            </a:graphic>
          </wp:inline>
        </w:drawing>
      </w:r>
    </w:p>
    <w:p w14:paraId="0744A52B" w14:textId="77777777" w:rsidR="00EB3C9D" w:rsidRPr="00497C7F" w:rsidRDefault="00EB3C9D" w:rsidP="00986700">
      <w:pPr>
        <w:jc w:val="center"/>
        <w:rPr>
          <w:rFonts w:cs="Arial"/>
          <w:szCs w:val="20"/>
        </w:rPr>
      </w:pPr>
    </w:p>
    <w:p w14:paraId="6F811F89" w14:textId="77777777"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La qualité globale en ce qui concerne les renouvellements a été supérieure d</w:t>
      </w:r>
      <w:r>
        <w:rPr>
          <w:rFonts w:asciiTheme="minorBidi" w:eastAsiaTheme="minorHAnsi" w:hAnsiTheme="minorBidi"/>
          <w:szCs w:val="20"/>
        </w:rPr>
        <w:t>’</w:t>
      </w:r>
      <w:r w:rsidRPr="00497C7F">
        <w:rPr>
          <w:rFonts w:asciiTheme="minorBidi" w:eastAsiaTheme="minorHAnsi" w:hAnsiTheme="minorBidi"/>
          <w:szCs w:val="20"/>
        </w:rPr>
        <w:t>un point de pourcentage à l</w:t>
      </w:r>
      <w:r>
        <w:rPr>
          <w:rFonts w:asciiTheme="minorBidi" w:eastAsiaTheme="minorHAnsi" w:hAnsiTheme="minorBidi"/>
          <w:szCs w:val="20"/>
        </w:rPr>
        <w:t>’</w:t>
      </w:r>
      <w:r w:rsidRPr="00497C7F">
        <w:rPr>
          <w:rFonts w:asciiTheme="minorBidi" w:eastAsiaTheme="minorHAnsi" w:hAnsiTheme="minorBidi"/>
          <w:szCs w:val="20"/>
        </w:rPr>
        <w:t>objectif fixé pour 2016.</w:t>
      </w:r>
    </w:p>
    <w:p w14:paraId="47A3BE75" w14:textId="77777777" w:rsidR="00EB3C9D" w:rsidRPr="00497C7F" w:rsidRDefault="00EB3C9D" w:rsidP="00986700">
      <w:pPr>
        <w:ind w:left="1134"/>
        <w:jc w:val="both"/>
        <w:rPr>
          <w:rFonts w:asciiTheme="minorBidi" w:eastAsiaTheme="minorHAnsi" w:hAnsiTheme="minorBidi"/>
          <w:szCs w:val="20"/>
        </w:rPr>
      </w:pPr>
    </w:p>
    <w:p w14:paraId="6FCE79B9" w14:textId="77777777" w:rsidR="00EB3C9D" w:rsidRPr="00497C7F" w:rsidRDefault="00EB3C9D" w:rsidP="00986700">
      <w:pPr>
        <w:keepNext/>
        <w:keepLines/>
        <w:rPr>
          <w:rFonts w:asciiTheme="minorBidi" w:eastAsiaTheme="minorHAnsi" w:hAnsiTheme="minorBidi"/>
          <w:i/>
          <w:szCs w:val="20"/>
        </w:rPr>
      </w:pPr>
      <w:r w:rsidRPr="00497C7F">
        <w:rPr>
          <w:rFonts w:asciiTheme="minorBidi" w:eastAsiaTheme="minorHAnsi" w:hAnsiTheme="minorBidi"/>
          <w:i/>
          <w:szCs w:val="20"/>
        </w:rPr>
        <w:t>Erreurs commises par le Bureau international</w:t>
      </w:r>
    </w:p>
    <w:p w14:paraId="5F20ABA3" w14:textId="77777777" w:rsidR="00EB3C9D" w:rsidRPr="00497C7F" w:rsidRDefault="00EB3C9D" w:rsidP="00986700">
      <w:pPr>
        <w:keepNext/>
        <w:keepLines/>
        <w:rPr>
          <w:rFonts w:asciiTheme="minorBidi" w:eastAsiaTheme="minorHAnsi" w:hAnsiTheme="minorBidi"/>
          <w:iCs/>
          <w:szCs w:val="20"/>
        </w:rPr>
      </w:pPr>
    </w:p>
    <w:p w14:paraId="0365689B" w14:textId="32783430" w:rsidR="00EB3C9D" w:rsidRDefault="00EB3C9D" w:rsidP="00616FD3">
      <w:pPr>
        <w:pStyle w:val="ListParagraph"/>
        <w:numPr>
          <w:ilvl w:val="0"/>
          <w:numId w:val="48"/>
        </w:numPr>
        <w:tabs>
          <w:tab w:val="left" w:pos="0"/>
        </w:tabs>
        <w:ind w:left="0" w:firstLine="0"/>
        <w:jc w:val="both"/>
        <w:rPr>
          <w:rFonts w:cs="Arial"/>
        </w:rPr>
      </w:pPr>
      <w:r w:rsidRPr="00497C7F">
        <w:rPr>
          <w:rFonts w:cs="Arial"/>
        </w:rPr>
        <w:t>La répartition des erreurs présentée dans les diagrammes ci</w:t>
      </w:r>
      <w:r w:rsidR="00B441CA">
        <w:rPr>
          <w:rFonts w:cs="Arial"/>
        </w:rPr>
        <w:noBreakHyphen/>
      </w:r>
      <w:r w:rsidRPr="00497C7F">
        <w:rPr>
          <w:rFonts w:cs="Arial"/>
        </w:rPr>
        <w:t>après est fondée sur une analyse des échantillons d</w:t>
      </w:r>
      <w:r>
        <w:rPr>
          <w:rFonts w:cs="Arial"/>
        </w:rPr>
        <w:t>’</w:t>
      </w:r>
      <w:r w:rsidRPr="00497C7F">
        <w:rPr>
          <w:rFonts w:cs="Arial"/>
        </w:rPr>
        <w:t>examens réalisés en 2016</w:t>
      </w:r>
      <w:r w:rsidRPr="00D9793A">
        <w:rPr>
          <w:rFonts w:cs="Arial"/>
          <w:vertAlign w:val="superscript"/>
        </w:rPr>
        <w:footnoteReference w:id="21"/>
      </w:r>
      <w:r w:rsidR="00203A39">
        <w:rPr>
          <w:rFonts w:cs="Arial"/>
        </w:rPr>
        <w:t>.</w:t>
      </w:r>
    </w:p>
    <w:p w14:paraId="646AB45C" w14:textId="77777777" w:rsidR="00EB3C9D" w:rsidRPr="00497C7F" w:rsidRDefault="00EB3C9D" w:rsidP="00986700">
      <w:pPr>
        <w:pStyle w:val="ListParagraph"/>
        <w:tabs>
          <w:tab w:val="left" w:pos="567"/>
        </w:tabs>
        <w:jc w:val="both"/>
        <w:rPr>
          <w:rFonts w:cs="Arial"/>
        </w:rPr>
      </w:pPr>
    </w:p>
    <w:p w14:paraId="6C961425" w14:textId="372E5209"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 xml:space="preserve">371 </w:t>
      </w:r>
      <w:r w:rsidR="00D9793A">
        <w:rPr>
          <w:rFonts w:asciiTheme="minorBidi" w:eastAsiaTheme="minorHAnsi" w:hAnsiTheme="minorBidi"/>
          <w:szCs w:val="20"/>
        </w:rPr>
        <w:t xml:space="preserve">erreurs de </w:t>
      </w:r>
      <w:r w:rsidRPr="00497C7F">
        <w:rPr>
          <w:rFonts w:asciiTheme="minorBidi" w:eastAsiaTheme="minorHAnsi" w:hAnsiTheme="minorBidi"/>
          <w:szCs w:val="20"/>
        </w:rPr>
        <w:t>class</w:t>
      </w:r>
      <w:r w:rsidR="00D9793A">
        <w:rPr>
          <w:rFonts w:asciiTheme="minorBidi" w:eastAsiaTheme="minorHAnsi" w:hAnsiTheme="minorBidi"/>
          <w:szCs w:val="20"/>
        </w:rPr>
        <w:t>ement</w:t>
      </w:r>
    </w:p>
    <w:p w14:paraId="548FD0C4" w14:textId="220F5A9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250 e</w:t>
      </w:r>
      <w:r w:rsidR="00D9793A">
        <w:rPr>
          <w:rFonts w:asciiTheme="minorBidi" w:eastAsiaTheme="minorHAnsi" w:hAnsiTheme="minorBidi"/>
          <w:szCs w:val="20"/>
        </w:rPr>
        <w:t>rreurs concernant l’exame</w:t>
      </w:r>
      <w:r w:rsidRPr="00497C7F">
        <w:rPr>
          <w:rFonts w:asciiTheme="minorBidi" w:eastAsiaTheme="minorHAnsi" w:hAnsiTheme="minorBidi"/>
          <w:szCs w:val="20"/>
        </w:rPr>
        <w:t>n</w:t>
      </w:r>
      <w:r w:rsidR="00D9793A">
        <w:rPr>
          <w:rFonts w:asciiTheme="minorBidi" w:eastAsiaTheme="minorHAnsi" w:hAnsiTheme="minorBidi"/>
          <w:szCs w:val="20"/>
        </w:rPr>
        <w:t xml:space="preserve"> </w:t>
      </w:r>
      <w:r w:rsidRPr="00497C7F">
        <w:rPr>
          <w:rFonts w:asciiTheme="minorBidi" w:eastAsiaTheme="minorHAnsi" w:hAnsiTheme="minorBidi"/>
          <w:szCs w:val="20"/>
        </w:rPr>
        <w:t>quant à la forme (APEX)</w:t>
      </w:r>
    </w:p>
    <w:p w14:paraId="2C48DCAD" w14:textId="42132726"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 xml:space="preserve">276 </w:t>
      </w:r>
      <w:r w:rsidR="00D9793A">
        <w:rPr>
          <w:rFonts w:asciiTheme="minorBidi" w:eastAsiaTheme="minorHAnsi" w:hAnsiTheme="minorBidi"/>
          <w:szCs w:val="20"/>
        </w:rPr>
        <w:t xml:space="preserve">erreurs concernant des </w:t>
      </w:r>
      <w:r w:rsidRPr="00497C7F">
        <w:rPr>
          <w:rFonts w:asciiTheme="minorBidi" w:eastAsiaTheme="minorHAnsi" w:hAnsiTheme="minorBidi"/>
          <w:szCs w:val="20"/>
        </w:rPr>
        <w:t>renouvellements</w:t>
      </w:r>
    </w:p>
    <w:p w14:paraId="02469ACA" w14:textId="73D1C3E7" w:rsidR="00EB3C9D" w:rsidRPr="00497C7F" w:rsidRDefault="00EB3C9D" w:rsidP="00616FD3">
      <w:pPr>
        <w:numPr>
          <w:ilvl w:val="0"/>
          <w:numId w:val="43"/>
        </w:numPr>
        <w:tabs>
          <w:tab w:val="clear" w:pos="720"/>
          <w:tab w:val="num" w:pos="1134"/>
        </w:tabs>
        <w:spacing w:after="120"/>
        <w:ind w:left="567" w:firstLine="0"/>
        <w:jc w:val="both"/>
        <w:rPr>
          <w:rFonts w:asciiTheme="minorBidi" w:eastAsiaTheme="minorHAnsi" w:hAnsiTheme="minorBidi"/>
          <w:szCs w:val="20"/>
        </w:rPr>
      </w:pPr>
      <w:r w:rsidRPr="00497C7F">
        <w:rPr>
          <w:rFonts w:asciiTheme="minorBidi" w:eastAsiaTheme="minorHAnsi" w:hAnsiTheme="minorBidi"/>
          <w:szCs w:val="20"/>
        </w:rPr>
        <w:t xml:space="preserve">293 </w:t>
      </w:r>
      <w:r w:rsidR="00D9793A">
        <w:rPr>
          <w:rFonts w:asciiTheme="minorBidi" w:eastAsiaTheme="minorHAnsi" w:hAnsiTheme="minorBidi"/>
          <w:szCs w:val="20"/>
        </w:rPr>
        <w:t xml:space="preserve">erreurs concernant des </w:t>
      </w:r>
      <w:r w:rsidRPr="00497C7F">
        <w:rPr>
          <w:rFonts w:asciiTheme="minorBidi" w:eastAsiaTheme="minorHAnsi" w:hAnsiTheme="minorBidi"/>
          <w:szCs w:val="20"/>
        </w:rPr>
        <w:t>modifications</w:t>
      </w:r>
    </w:p>
    <w:p w14:paraId="69ACE4DD" w14:textId="77777777" w:rsidR="00EB3C9D" w:rsidRPr="00497C7F" w:rsidRDefault="00EB3C9D" w:rsidP="00986700">
      <w:pPr>
        <w:pStyle w:val="ListParagraph"/>
        <w:tabs>
          <w:tab w:val="left" w:pos="567"/>
        </w:tabs>
        <w:jc w:val="both"/>
        <w:rPr>
          <w:rFonts w:cs="Arial"/>
        </w:rPr>
      </w:pPr>
    </w:p>
    <w:p w14:paraId="28D4D5F2" w14:textId="77777777" w:rsidR="00EB3C9D" w:rsidRPr="00497C7F" w:rsidRDefault="00EB3C9D" w:rsidP="00986700">
      <w:pPr>
        <w:pStyle w:val="ListParagraph"/>
        <w:jc w:val="center"/>
        <w:rPr>
          <w:rFonts w:cs="Arial"/>
        </w:rPr>
      </w:pPr>
      <w:r w:rsidRPr="009746C8">
        <w:rPr>
          <w:noProof/>
          <w:lang w:val="en-US" w:eastAsia="en-US"/>
        </w:rPr>
        <w:lastRenderedPageBreak/>
        <w:drawing>
          <wp:inline distT="0" distB="0" distL="0" distR="0" wp14:anchorId="3861FA04" wp14:editId="21C146DE">
            <wp:extent cx="5760085" cy="3292739"/>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60085" cy="3292739"/>
                    </a:xfrm>
                    <a:prstGeom prst="rect">
                      <a:avLst/>
                    </a:prstGeom>
                    <a:noFill/>
                    <a:ln>
                      <a:noFill/>
                    </a:ln>
                  </pic:spPr>
                </pic:pic>
              </a:graphicData>
            </a:graphic>
          </wp:inline>
        </w:drawing>
      </w:r>
    </w:p>
    <w:p w14:paraId="5CF719F9" w14:textId="77777777"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Les défaillances du système informatique (MIRIS) ont été à l</w:t>
      </w:r>
      <w:r>
        <w:rPr>
          <w:rFonts w:asciiTheme="minorBidi" w:eastAsiaTheme="minorHAnsi" w:hAnsiTheme="minorBidi"/>
          <w:szCs w:val="20"/>
        </w:rPr>
        <w:t>’</w:t>
      </w:r>
      <w:r w:rsidRPr="00497C7F">
        <w:rPr>
          <w:rFonts w:asciiTheme="minorBidi" w:eastAsiaTheme="minorHAnsi" w:hAnsiTheme="minorBidi"/>
          <w:szCs w:val="20"/>
        </w:rPr>
        <w:t>origine de 45,3% des erreurs de classement en 2016, ce qui représente une augmentation de 32,6</w:t>
      </w:r>
      <w:r>
        <w:rPr>
          <w:rFonts w:asciiTheme="minorBidi" w:eastAsiaTheme="minorHAnsi" w:hAnsiTheme="minorBidi"/>
          <w:szCs w:val="20"/>
        </w:rPr>
        <w:t> </w:t>
      </w:r>
      <w:r w:rsidRPr="00497C7F">
        <w:rPr>
          <w:rFonts w:asciiTheme="minorBidi" w:eastAsiaTheme="minorHAnsi" w:hAnsiTheme="minorBidi"/>
          <w:szCs w:val="20"/>
        </w:rPr>
        <w:t>points de pourcentage par rapport à 2015.</w:t>
      </w:r>
    </w:p>
    <w:p w14:paraId="0EAC3F39" w14:textId="77777777" w:rsidR="00EB3C9D" w:rsidRPr="00497C7F" w:rsidRDefault="00EB3C9D" w:rsidP="00986700">
      <w:pPr>
        <w:rPr>
          <w:rFonts w:cs="Arial"/>
          <w:szCs w:val="20"/>
        </w:rPr>
      </w:pPr>
    </w:p>
    <w:p w14:paraId="0102386A" w14:textId="77777777" w:rsidR="00EB3C9D" w:rsidRPr="00497C7F" w:rsidRDefault="00EB3C9D" w:rsidP="00986700">
      <w:pPr>
        <w:jc w:val="center"/>
        <w:rPr>
          <w:rFonts w:cs="Arial"/>
          <w:szCs w:val="20"/>
        </w:rPr>
      </w:pPr>
      <w:r w:rsidRPr="009746C8">
        <w:rPr>
          <w:noProof/>
          <w:lang w:val="en-US" w:eastAsia="en-US"/>
        </w:rPr>
        <w:drawing>
          <wp:inline distT="0" distB="0" distL="0" distR="0" wp14:anchorId="0EC87D35" wp14:editId="3C780377">
            <wp:extent cx="5760085" cy="345156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085" cy="3451564"/>
                    </a:xfrm>
                    <a:prstGeom prst="rect">
                      <a:avLst/>
                    </a:prstGeom>
                    <a:noFill/>
                    <a:ln>
                      <a:noFill/>
                    </a:ln>
                  </pic:spPr>
                </pic:pic>
              </a:graphicData>
            </a:graphic>
          </wp:inline>
        </w:drawing>
      </w:r>
    </w:p>
    <w:p w14:paraId="4D3AF1A8" w14:textId="77777777" w:rsidR="00EB3C9D" w:rsidRPr="00497C7F" w:rsidRDefault="00EB3C9D" w:rsidP="00986700">
      <w:pPr>
        <w:jc w:val="center"/>
        <w:rPr>
          <w:rFonts w:cs="Arial"/>
          <w:szCs w:val="20"/>
        </w:rPr>
      </w:pPr>
    </w:p>
    <w:p w14:paraId="695587E1" w14:textId="3C5CD6BE"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la majorité des corrections effectuées au stade de l</w:t>
      </w:r>
      <w:r>
        <w:rPr>
          <w:rFonts w:asciiTheme="minorBidi" w:eastAsiaTheme="minorHAnsi" w:hAnsiTheme="minorBidi"/>
          <w:szCs w:val="20"/>
        </w:rPr>
        <w:t>’</w:t>
      </w:r>
      <w:r w:rsidRPr="00497C7F">
        <w:rPr>
          <w:rFonts w:asciiTheme="minorBidi" w:eastAsiaTheme="minorHAnsi" w:hAnsiTheme="minorBidi"/>
          <w:szCs w:val="20"/>
        </w:rPr>
        <w:t>examen de forme était due à des erreurs commises au moment de la saisie des coordonnées des déposants (38</w:t>
      </w:r>
      <w:r w:rsidR="009D5B88">
        <w:rPr>
          <w:rFonts w:asciiTheme="minorBidi" w:eastAsiaTheme="minorHAnsi" w:hAnsiTheme="minorBidi"/>
          <w:szCs w:val="20"/>
        </w:rPr>
        <w:t>,4</w:t>
      </w:r>
      <w:r w:rsidRPr="00497C7F">
        <w:rPr>
          <w:rFonts w:asciiTheme="minorBidi" w:eastAsiaTheme="minorHAnsi" w:hAnsiTheme="minorBidi"/>
          <w:szCs w:val="20"/>
        </w:rPr>
        <w:t>%) et à des défaillances du système informatique (10,8%).</w:t>
      </w:r>
    </w:p>
    <w:p w14:paraId="114AC3D8" w14:textId="77777777" w:rsidR="00EB3C9D" w:rsidRPr="00497C7F" w:rsidRDefault="00EB3C9D" w:rsidP="00986700">
      <w:pPr>
        <w:pStyle w:val="ListParagraph"/>
        <w:rPr>
          <w:rFonts w:cs="Arial"/>
        </w:rPr>
      </w:pPr>
    </w:p>
    <w:p w14:paraId="7C47E7AB" w14:textId="77777777" w:rsidR="00EB3C9D" w:rsidRPr="00497C7F" w:rsidRDefault="00EB3C9D" w:rsidP="00986700">
      <w:pPr>
        <w:jc w:val="center"/>
        <w:rPr>
          <w:rFonts w:cs="Arial"/>
          <w:szCs w:val="20"/>
        </w:rPr>
      </w:pPr>
      <w:r w:rsidRPr="009746C8">
        <w:rPr>
          <w:noProof/>
          <w:lang w:val="en-US" w:eastAsia="en-US"/>
        </w:rPr>
        <w:lastRenderedPageBreak/>
        <w:drawing>
          <wp:inline distT="0" distB="0" distL="0" distR="0" wp14:anchorId="6329C252" wp14:editId="5410B8AD">
            <wp:extent cx="5760085" cy="350621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085" cy="3506212"/>
                    </a:xfrm>
                    <a:prstGeom prst="rect">
                      <a:avLst/>
                    </a:prstGeom>
                    <a:noFill/>
                    <a:ln>
                      <a:noFill/>
                    </a:ln>
                  </pic:spPr>
                </pic:pic>
              </a:graphicData>
            </a:graphic>
          </wp:inline>
        </w:drawing>
      </w:r>
    </w:p>
    <w:p w14:paraId="352614D1" w14:textId="5F6980F0" w:rsidR="00EB3C9D" w:rsidRPr="00497C7F"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2015, l</w:t>
      </w:r>
      <w:r>
        <w:rPr>
          <w:rFonts w:asciiTheme="minorBidi" w:eastAsiaTheme="minorHAnsi" w:hAnsiTheme="minorBidi"/>
          <w:szCs w:val="20"/>
        </w:rPr>
        <w:t>’</w:t>
      </w:r>
      <w:r w:rsidRPr="00497C7F">
        <w:rPr>
          <w:rFonts w:asciiTheme="minorBidi" w:eastAsiaTheme="minorHAnsi" w:hAnsiTheme="minorBidi"/>
          <w:szCs w:val="20"/>
        </w:rPr>
        <w:t xml:space="preserve">analyse des erreurs </w:t>
      </w:r>
      <w:r w:rsidR="00D9793A">
        <w:rPr>
          <w:rFonts w:asciiTheme="minorBidi" w:eastAsiaTheme="minorHAnsi" w:hAnsiTheme="minorBidi"/>
          <w:szCs w:val="20"/>
        </w:rPr>
        <w:t>concernant</w:t>
      </w:r>
      <w:r w:rsidRPr="00497C7F">
        <w:rPr>
          <w:rFonts w:asciiTheme="minorBidi" w:eastAsiaTheme="minorHAnsi" w:hAnsiTheme="minorBidi"/>
          <w:szCs w:val="20"/>
        </w:rPr>
        <w:t xml:space="preserve"> des modifications était présentée par type de modification plutôt que par type d</w:t>
      </w:r>
      <w:r>
        <w:rPr>
          <w:rFonts w:asciiTheme="minorBidi" w:eastAsiaTheme="minorHAnsi" w:hAnsiTheme="minorBidi"/>
          <w:szCs w:val="20"/>
        </w:rPr>
        <w:t>’</w:t>
      </w:r>
      <w:r w:rsidRPr="00497C7F">
        <w:rPr>
          <w:rFonts w:asciiTheme="minorBidi" w:eastAsiaTheme="minorHAnsi" w:hAnsiTheme="minorBidi"/>
          <w:szCs w:val="20"/>
        </w:rPr>
        <w:t>erreur.  Cette présentation a été modifiée en 2016 à des fins de conformité avec l</w:t>
      </w:r>
      <w:r>
        <w:rPr>
          <w:rFonts w:asciiTheme="minorBidi" w:eastAsiaTheme="minorHAnsi" w:hAnsiTheme="minorBidi"/>
          <w:szCs w:val="20"/>
        </w:rPr>
        <w:t>’</w:t>
      </w:r>
      <w:r w:rsidRPr="00497C7F">
        <w:rPr>
          <w:rFonts w:asciiTheme="minorBidi" w:eastAsiaTheme="minorHAnsi" w:hAnsiTheme="minorBidi"/>
          <w:szCs w:val="20"/>
        </w:rPr>
        <w:t xml:space="preserve">analyse des autres opérations.  Les données pour 2015 </w:t>
      </w:r>
      <w:r w:rsidR="00D9793A">
        <w:rPr>
          <w:rFonts w:asciiTheme="minorBidi" w:eastAsiaTheme="minorHAnsi" w:hAnsiTheme="minorBidi"/>
          <w:szCs w:val="20"/>
        </w:rPr>
        <w:t>par</w:t>
      </w:r>
      <w:r w:rsidRPr="00497C7F">
        <w:rPr>
          <w:rFonts w:asciiTheme="minorBidi" w:eastAsiaTheme="minorHAnsi" w:hAnsiTheme="minorBidi"/>
          <w:szCs w:val="20"/>
        </w:rPr>
        <w:t xml:space="preserve"> type d</w:t>
      </w:r>
      <w:r>
        <w:rPr>
          <w:rFonts w:asciiTheme="minorBidi" w:eastAsiaTheme="minorHAnsi" w:hAnsiTheme="minorBidi"/>
          <w:szCs w:val="20"/>
        </w:rPr>
        <w:t>’</w:t>
      </w:r>
      <w:r w:rsidRPr="00497C7F">
        <w:rPr>
          <w:rFonts w:asciiTheme="minorBidi" w:eastAsiaTheme="minorHAnsi" w:hAnsiTheme="minorBidi"/>
          <w:szCs w:val="20"/>
        </w:rPr>
        <w:t>erreur ne sont pas disponibles.</w:t>
      </w:r>
    </w:p>
    <w:p w14:paraId="10F964D4" w14:textId="77777777" w:rsidR="00EB3C9D" w:rsidRPr="00497C7F" w:rsidRDefault="00EB3C9D" w:rsidP="00986700">
      <w:pPr>
        <w:ind w:left="1134"/>
        <w:jc w:val="both"/>
        <w:rPr>
          <w:rFonts w:asciiTheme="minorBidi" w:eastAsiaTheme="minorHAnsi" w:hAnsiTheme="minorBidi"/>
          <w:szCs w:val="20"/>
        </w:rPr>
      </w:pPr>
    </w:p>
    <w:p w14:paraId="4A9DD6C2" w14:textId="353BBD11" w:rsidR="00EB3C9D" w:rsidRDefault="00EB3C9D" w:rsidP="00616FD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En 2016, environ 4</w:t>
      </w:r>
      <w:r w:rsidR="009D5B88">
        <w:rPr>
          <w:rFonts w:asciiTheme="minorBidi" w:eastAsiaTheme="minorHAnsi" w:hAnsiTheme="minorBidi"/>
          <w:szCs w:val="20"/>
        </w:rPr>
        <w:t>2,2</w:t>
      </w:r>
      <w:r w:rsidRPr="00497C7F">
        <w:rPr>
          <w:rFonts w:asciiTheme="minorBidi" w:eastAsiaTheme="minorHAnsi" w:hAnsiTheme="minorBidi"/>
          <w:szCs w:val="20"/>
        </w:rPr>
        <w:t>% des corrections relatives à des modifications effectuées étaient dues à des erreurs commises dans la saisie des coordonnées des titulaires (38,4%) et des mandataires (3,8%).  Les erreurs concernant les produits et services ont représenté 16,4% des erreurs relatives à des modifications.</w:t>
      </w:r>
    </w:p>
    <w:p w14:paraId="24449DBB" w14:textId="77777777" w:rsidR="00EB3C9D" w:rsidRPr="00497C7F" w:rsidRDefault="00EB3C9D" w:rsidP="00986700">
      <w:pPr>
        <w:jc w:val="center"/>
        <w:rPr>
          <w:rFonts w:cs="Arial"/>
          <w:szCs w:val="20"/>
        </w:rPr>
      </w:pPr>
    </w:p>
    <w:p w14:paraId="7763CCD2" w14:textId="77777777" w:rsidR="00EB3C9D" w:rsidRPr="00497C7F" w:rsidRDefault="00EB3C9D" w:rsidP="00986700">
      <w:pPr>
        <w:jc w:val="center"/>
        <w:rPr>
          <w:rFonts w:cs="Arial"/>
          <w:szCs w:val="20"/>
        </w:rPr>
      </w:pPr>
      <w:r w:rsidRPr="009746C8">
        <w:rPr>
          <w:noProof/>
          <w:lang w:val="en-US" w:eastAsia="en-US"/>
        </w:rPr>
        <w:drawing>
          <wp:inline distT="0" distB="0" distL="0" distR="0" wp14:anchorId="2089AC7A" wp14:editId="5CAA7FD0">
            <wp:extent cx="5760085" cy="3362681"/>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85" cy="3362681"/>
                    </a:xfrm>
                    <a:prstGeom prst="rect">
                      <a:avLst/>
                    </a:prstGeom>
                    <a:noFill/>
                    <a:ln>
                      <a:noFill/>
                    </a:ln>
                  </pic:spPr>
                </pic:pic>
              </a:graphicData>
            </a:graphic>
          </wp:inline>
        </w:drawing>
      </w:r>
    </w:p>
    <w:p w14:paraId="1D399F9B" w14:textId="6DBB4758" w:rsidR="00EB3C9D" w:rsidRPr="001C6DF3" w:rsidRDefault="00EB3C9D" w:rsidP="001C6DF3">
      <w:pPr>
        <w:numPr>
          <w:ilvl w:val="0"/>
          <w:numId w:val="47"/>
        </w:numPr>
        <w:tabs>
          <w:tab w:val="num" w:pos="1134"/>
        </w:tabs>
        <w:ind w:left="1134" w:hanging="567"/>
        <w:jc w:val="both"/>
        <w:rPr>
          <w:rFonts w:asciiTheme="minorBidi" w:eastAsiaTheme="minorHAnsi" w:hAnsiTheme="minorBidi"/>
          <w:szCs w:val="20"/>
        </w:rPr>
      </w:pPr>
      <w:r w:rsidRPr="00497C7F">
        <w:rPr>
          <w:rFonts w:asciiTheme="minorBidi" w:eastAsiaTheme="minorHAnsi" w:hAnsiTheme="minorBidi"/>
          <w:szCs w:val="20"/>
        </w:rPr>
        <w:t>L</w:t>
      </w:r>
      <w:r>
        <w:rPr>
          <w:rFonts w:asciiTheme="minorBidi" w:eastAsiaTheme="minorHAnsi" w:hAnsiTheme="minorBidi"/>
          <w:szCs w:val="20"/>
        </w:rPr>
        <w:t>’</w:t>
      </w:r>
      <w:r w:rsidRPr="00497C7F">
        <w:rPr>
          <w:rFonts w:asciiTheme="minorBidi" w:eastAsiaTheme="minorHAnsi" w:hAnsiTheme="minorBidi"/>
          <w:szCs w:val="20"/>
        </w:rPr>
        <w:t>augmentation de la proportion des erreurs dues à une défaillance du système informatique résulte principalement de la mise en place du nouveau système informatique en 2016.</w:t>
      </w:r>
    </w:p>
    <w:p w14:paraId="5FE0C67C" w14:textId="22BDE4CD" w:rsidR="00EB3C9D" w:rsidRPr="001C6DF3" w:rsidRDefault="00EB3C9D" w:rsidP="001C6DF3">
      <w:pPr>
        <w:pStyle w:val="ListParagraph"/>
        <w:ind w:left="0" w:hanging="11"/>
        <w:jc w:val="right"/>
        <w:rPr>
          <w:rFonts w:cs="Arial"/>
        </w:rPr>
      </w:pPr>
      <w:r w:rsidRPr="00497C7F">
        <w:rPr>
          <w:rFonts w:cs="Arial"/>
        </w:rPr>
        <w:t>[Fin de l</w:t>
      </w:r>
      <w:r>
        <w:rPr>
          <w:rFonts w:cs="Arial"/>
        </w:rPr>
        <w:t>’</w:t>
      </w:r>
      <w:r w:rsidRPr="00497C7F">
        <w:rPr>
          <w:rFonts w:cs="Arial"/>
        </w:rPr>
        <w:t>annexe]</w:t>
      </w:r>
      <w:r>
        <w:br w:type="page"/>
      </w:r>
    </w:p>
    <w:p w14:paraId="73EF74E2" w14:textId="15B87157" w:rsidR="006B3B76" w:rsidRPr="006B3B76" w:rsidRDefault="006B3B76" w:rsidP="00986700">
      <w:pPr>
        <w:pStyle w:val="Heading2"/>
      </w:pPr>
      <w:bookmarkStart w:id="36" w:name="_Toc482979481"/>
      <w:r w:rsidRPr="006B3B76">
        <w:lastRenderedPageBreak/>
        <w:t>Programme 31</w:t>
      </w:r>
      <w:r w:rsidRPr="006B3B76">
        <w:tab/>
        <w:t>Système de La Haye</w:t>
      </w:r>
      <w:bookmarkEnd w:id="36"/>
    </w:p>
    <w:p w14:paraId="4463E6CE" w14:textId="77777777" w:rsidR="006B3B76" w:rsidRPr="00317BF3" w:rsidRDefault="006B3B76" w:rsidP="00986700">
      <w:pPr>
        <w:pStyle w:val="StyleHeading3ComplexItalic"/>
        <w:rPr>
          <w:rStyle w:val="StyleStyleHeading3ComplexItalicLatin12ptChar"/>
          <w:rFonts w:eastAsia="SimSun"/>
          <w:szCs w:val="20"/>
        </w:rPr>
      </w:pPr>
    </w:p>
    <w:p w14:paraId="479A4B78" w14:textId="77777777" w:rsidR="006B3B76" w:rsidRPr="00317BF3" w:rsidRDefault="006B3B76" w:rsidP="00986700">
      <w:pPr>
        <w:tabs>
          <w:tab w:val="left" w:pos="1701"/>
        </w:tabs>
        <w:ind w:left="1701" w:hanging="1701"/>
        <w:rPr>
          <w:rFonts w:cs="Arial"/>
          <w:bCs/>
          <w:iCs/>
          <w:szCs w:val="20"/>
        </w:rPr>
      </w:pPr>
    </w:p>
    <w:tbl>
      <w:tblPr>
        <w:tblW w:w="5000" w:type="pct"/>
        <w:tblCellMar>
          <w:top w:w="57" w:type="dxa"/>
          <w:bottom w:w="57" w:type="dxa"/>
        </w:tblCellMar>
        <w:tblLook w:val="01E0" w:firstRow="1" w:lastRow="1" w:firstColumn="1" w:lastColumn="1" w:noHBand="0" w:noVBand="0"/>
      </w:tblPr>
      <w:tblGrid>
        <w:gridCol w:w="9287"/>
      </w:tblGrid>
      <w:tr w:rsidR="006B3B76" w:rsidRPr="00317BF3" w14:paraId="21D13CB6" w14:textId="77777777" w:rsidTr="00A91929">
        <w:trPr>
          <w:cantSplit/>
        </w:trPr>
        <w:tc>
          <w:tcPr>
            <w:tcW w:w="9287" w:type="dxa"/>
            <w:shd w:val="clear" w:color="auto" w:fill="C6D9F1" w:themeFill="text2" w:themeFillTint="33"/>
            <w:vAlign w:val="center"/>
          </w:tcPr>
          <w:p w14:paraId="054E243F" w14:textId="77777777" w:rsidR="006B3B76" w:rsidRPr="00317BF3" w:rsidRDefault="006B3B76" w:rsidP="00986700">
            <w:pPr>
              <w:keepNext/>
              <w:keepLines/>
              <w:jc w:val="center"/>
              <w:rPr>
                <w:rFonts w:eastAsia="Times New Roman" w:cs="Arial"/>
                <w:b/>
                <w:bCs/>
                <w:szCs w:val="20"/>
                <w:lang w:eastAsia="en-US"/>
              </w:rPr>
            </w:pPr>
            <w:r w:rsidRPr="00317BF3">
              <w:rPr>
                <w:rFonts w:eastAsia="Times New Roman" w:cs="Arial"/>
                <w:b/>
                <w:bCs/>
                <w:szCs w:val="20"/>
                <w:lang w:eastAsia="en-US"/>
              </w:rPr>
              <w:t xml:space="preserve">Stratégies de mise en œuvre </w:t>
            </w:r>
          </w:p>
        </w:tc>
      </w:tr>
    </w:tbl>
    <w:p w14:paraId="7312D1F4" w14:textId="705012DA" w:rsidR="006B3B76" w:rsidRPr="00317BF3" w:rsidRDefault="006B3B76" w:rsidP="00986700">
      <w:pPr>
        <w:jc w:val="both"/>
        <w:rPr>
          <w:rFonts w:asciiTheme="minorBidi" w:hAnsiTheme="minorBidi"/>
          <w:szCs w:val="20"/>
        </w:rPr>
      </w:pPr>
    </w:p>
    <w:p w14:paraId="340D748E"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Étendre le système de La Haye pour lui donner une dimension véritablement mondiale par un appui spécifique aux parties contractantes potentielles et à leurs offices;</w:t>
      </w:r>
    </w:p>
    <w:p w14:paraId="033D2942" w14:textId="77777777" w:rsidR="006B3B76" w:rsidRPr="00317BF3" w:rsidRDefault="006B3B76" w:rsidP="00986700">
      <w:pPr>
        <w:ind w:left="567" w:hanging="567"/>
        <w:jc w:val="both"/>
        <w:rPr>
          <w:rFonts w:asciiTheme="minorBidi" w:hAnsiTheme="minorBidi"/>
          <w:szCs w:val="20"/>
        </w:rPr>
      </w:pPr>
    </w:p>
    <w:p w14:paraId="5C6468E5"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Promouvoir activement le système afin d’accroître son utilisation parmi les membres actuels et d’attirer les utilisateurs des nouvelles parties contractantes;</w:t>
      </w:r>
    </w:p>
    <w:p w14:paraId="13190192" w14:textId="4AF02A88" w:rsidR="006B3B76" w:rsidRPr="00317BF3" w:rsidRDefault="00A91929" w:rsidP="00986700">
      <w:pPr>
        <w:ind w:left="567" w:hanging="567"/>
        <w:jc w:val="both"/>
        <w:rPr>
          <w:rFonts w:asciiTheme="minorBidi" w:hAnsiTheme="minorBidi"/>
          <w:szCs w:val="20"/>
        </w:rPr>
      </w:pPr>
      <w:r w:rsidRPr="00A91929">
        <w:rPr>
          <w:noProof/>
          <w:lang w:val="en-US" w:eastAsia="en-US"/>
        </w:rPr>
        <w:drawing>
          <wp:anchor distT="0" distB="0" distL="114300" distR="114300" simplePos="0" relativeHeight="251663360" behindDoc="1" locked="0" layoutInCell="1" allowOverlap="1" wp14:anchorId="62DF551D" wp14:editId="7A9C8E7A">
            <wp:simplePos x="0" y="0"/>
            <wp:positionH relativeFrom="column">
              <wp:posOffset>4674235</wp:posOffset>
            </wp:positionH>
            <wp:positionV relativeFrom="paragraph">
              <wp:posOffset>389255</wp:posOffset>
            </wp:positionV>
            <wp:extent cx="1299210" cy="1299210"/>
            <wp:effectExtent l="0" t="0" r="0" b="0"/>
            <wp:wrapTight wrapText="bothSides">
              <wp:wrapPolygon edited="0">
                <wp:start x="7918" y="0"/>
                <wp:lineTo x="6018" y="633"/>
                <wp:lineTo x="1267" y="4117"/>
                <wp:lineTo x="0" y="9818"/>
                <wp:lineTo x="0" y="16152"/>
                <wp:lineTo x="6018" y="20270"/>
                <wp:lineTo x="7601" y="21220"/>
                <wp:lineTo x="13935" y="21220"/>
                <wp:lineTo x="16152" y="20270"/>
                <wp:lineTo x="20903" y="15519"/>
                <wp:lineTo x="21220" y="12035"/>
                <wp:lineTo x="21220" y="8551"/>
                <wp:lineTo x="20903" y="4434"/>
                <wp:lineTo x="16786" y="1267"/>
                <wp:lineTo x="13935" y="0"/>
                <wp:lineTo x="7918" y="0"/>
              </wp:wrapPolygon>
            </wp:wrapTight>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921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E097E" w14:textId="4C445811" w:rsidR="006B3B76" w:rsidRPr="0056581C" w:rsidRDefault="0056581C" w:rsidP="00616FD3">
      <w:pPr>
        <w:pStyle w:val="ListParagraph"/>
        <w:numPr>
          <w:ilvl w:val="0"/>
          <w:numId w:val="38"/>
        </w:numPr>
        <w:ind w:left="567" w:hanging="567"/>
        <w:jc w:val="both"/>
        <w:rPr>
          <w:rFonts w:asciiTheme="minorBidi" w:hAnsiTheme="minorBidi"/>
          <w:szCs w:val="20"/>
        </w:rPr>
      </w:pPr>
      <w:r w:rsidRPr="00E0439D">
        <w:t>Élaborer des propositions pour la révision du cadre juridique du système de La Haye et suivre attentivement l’évolution des dépenses de programme en vue de garantir la viabilité financière du système;</w:t>
      </w:r>
    </w:p>
    <w:p w14:paraId="5A14ECBA" w14:textId="77777777" w:rsidR="0056581C" w:rsidRPr="0056581C" w:rsidRDefault="0056581C" w:rsidP="0056581C">
      <w:pPr>
        <w:pStyle w:val="ListParagraph"/>
        <w:ind w:left="567"/>
        <w:jc w:val="both"/>
        <w:rPr>
          <w:rFonts w:asciiTheme="minorBidi" w:hAnsiTheme="minorBidi"/>
          <w:szCs w:val="20"/>
        </w:rPr>
      </w:pPr>
    </w:p>
    <w:p w14:paraId="516CE834" w14:textId="6FCA939A" w:rsidR="0056581C" w:rsidRPr="00317BF3" w:rsidRDefault="0056581C" w:rsidP="00616FD3">
      <w:pPr>
        <w:pStyle w:val="ListParagraph"/>
        <w:numPr>
          <w:ilvl w:val="0"/>
          <w:numId w:val="38"/>
        </w:numPr>
        <w:ind w:left="567" w:hanging="567"/>
        <w:jc w:val="both"/>
        <w:rPr>
          <w:rFonts w:asciiTheme="minorBidi" w:hAnsiTheme="minorBidi"/>
          <w:szCs w:val="20"/>
        </w:rPr>
      </w:pPr>
      <w:r w:rsidRPr="00E0439D">
        <w:t>Améliorer la convivialité du système en élaborant à l’intention des déposants du matériel d’orientation prenant en considération les incidences d’une expansion du système;</w:t>
      </w:r>
    </w:p>
    <w:p w14:paraId="4F9EFD3D" w14:textId="77777777" w:rsidR="006B3B76" w:rsidRPr="00317BF3" w:rsidRDefault="006B3B76" w:rsidP="00986700">
      <w:pPr>
        <w:ind w:left="567" w:hanging="567"/>
        <w:rPr>
          <w:rFonts w:asciiTheme="minorBidi" w:hAnsiTheme="minorBidi"/>
          <w:szCs w:val="20"/>
        </w:rPr>
      </w:pPr>
    </w:p>
    <w:p w14:paraId="2165FE87"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Assurer le développement juridique équilibré du système parallèlement à la modernisation de l’environnement informatique dans le cadre des réunions annuelles du Groupe de travail sur le développement juridique du système de La Haye concernant l’enregistrement international des dessins et modèles industriels;</w:t>
      </w:r>
    </w:p>
    <w:p w14:paraId="60E25410" w14:textId="77777777" w:rsidR="006B3B76" w:rsidRPr="00317BF3" w:rsidRDefault="006B3B76" w:rsidP="00986700">
      <w:pPr>
        <w:ind w:left="567" w:hanging="567"/>
        <w:jc w:val="both"/>
        <w:rPr>
          <w:rFonts w:asciiTheme="minorBidi" w:hAnsiTheme="minorBidi"/>
          <w:szCs w:val="20"/>
        </w:rPr>
      </w:pPr>
    </w:p>
    <w:p w14:paraId="65BFCD8A"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Continuer d’investir dans une structure administrative optimale afin de garantir des services innovants aux utilisateurs et aux offices des membres;</w:t>
      </w:r>
    </w:p>
    <w:p w14:paraId="0A3D1E46" w14:textId="77777777" w:rsidR="006B3B76" w:rsidRPr="00317BF3" w:rsidRDefault="006B3B76" w:rsidP="00986700">
      <w:pPr>
        <w:ind w:left="567" w:hanging="567"/>
        <w:jc w:val="both"/>
        <w:rPr>
          <w:rFonts w:asciiTheme="minorBidi" w:hAnsiTheme="minorBidi"/>
          <w:szCs w:val="20"/>
        </w:rPr>
      </w:pPr>
    </w:p>
    <w:p w14:paraId="65BF0F8F"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Concevoir, élaborer et mettre en place une nouvelle plateforme informatique pour le système de La Haye dans le cadre de la modernisation et de la simplification de l’ensemble des activités opérationnelles internes et externes afin d’améliorer la qualité des opérations;</w:t>
      </w:r>
    </w:p>
    <w:p w14:paraId="6DC4E0A0" w14:textId="77777777" w:rsidR="006B3B76" w:rsidRPr="00317BF3" w:rsidRDefault="006B3B76" w:rsidP="00986700">
      <w:pPr>
        <w:ind w:left="567" w:hanging="567"/>
        <w:jc w:val="both"/>
        <w:rPr>
          <w:rFonts w:asciiTheme="minorBidi" w:hAnsiTheme="minorBidi"/>
          <w:szCs w:val="20"/>
        </w:rPr>
      </w:pPr>
    </w:p>
    <w:p w14:paraId="34EA47BF" w14:textId="77777777" w:rsidR="006B3B76" w:rsidRPr="00317BF3" w:rsidRDefault="006B3B76" w:rsidP="00616FD3">
      <w:pPr>
        <w:pStyle w:val="ListParagraph"/>
        <w:numPr>
          <w:ilvl w:val="0"/>
          <w:numId w:val="38"/>
        </w:numPr>
        <w:ind w:left="567" w:hanging="567"/>
        <w:jc w:val="both"/>
        <w:rPr>
          <w:rFonts w:asciiTheme="minorBidi" w:hAnsiTheme="minorBidi"/>
          <w:szCs w:val="20"/>
        </w:rPr>
      </w:pPr>
      <w:r w:rsidRPr="00317BF3">
        <w:rPr>
          <w:rFonts w:asciiTheme="minorBidi" w:hAnsiTheme="minorBidi"/>
          <w:szCs w:val="20"/>
        </w:rPr>
        <w:t>Améliorer l’expérience des utilisateurs et des clients à l’aide de services efficaces d’appui à la clientèle.</w:t>
      </w:r>
    </w:p>
    <w:p w14:paraId="1ACF3A56" w14:textId="77777777" w:rsidR="006B3B76" w:rsidRPr="00317BF3" w:rsidRDefault="006B3B76" w:rsidP="00986700">
      <w:pPr>
        <w:jc w:val="both"/>
        <w:rPr>
          <w:rFonts w:asciiTheme="minorBidi" w:hAnsiTheme="minorBidi"/>
          <w:szCs w:val="20"/>
        </w:rPr>
      </w:pPr>
    </w:p>
    <w:p w14:paraId="1AFDC7D1" w14:textId="77777777" w:rsidR="006B3B76" w:rsidRPr="00317BF3" w:rsidRDefault="006B3B76" w:rsidP="00986700">
      <w:pPr>
        <w:jc w:val="both"/>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9287"/>
      </w:tblGrid>
      <w:tr w:rsidR="006B3B76" w:rsidRPr="00317BF3" w14:paraId="114F4B58" w14:textId="77777777" w:rsidTr="006B3B76">
        <w:trPr>
          <w:cantSplit/>
        </w:trPr>
        <w:tc>
          <w:tcPr>
            <w:tcW w:w="9571" w:type="dxa"/>
            <w:shd w:val="clear" w:color="auto" w:fill="C6D9F1" w:themeFill="text2" w:themeFillTint="33"/>
            <w:vAlign w:val="center"/>
          </w:tcPr>
          <w:p w14:paraId="09FB85F9" w14:textId="604C5C5D" w:rsidR="006B3B76" w:rsidRPr="00317BF3" w:rsidRDefault="006B3B76" w:rsidP="009D5B88">
            <w:pPr>
              <w:keepNext/>
              <w:keepLines/>
              <w:jc w:val="center"/>
              <w:rPr>
                <w:rFonts w:eastAsia="Times New Roman" w:cs="Arial"/>
                <w:b/>
                <w:bCs/>
                <w:szCs w:val="20"/>
                <w:lang w:eastAsia="en-US"/>
              </w:rPr>
            </w:pPr>
            <w:r w:rsidRPr="00317BF3">
              <w:rPr>
                <w:rFonts w:cs="Arial"/>
                <w:b/>
                <w:szCs w:val="20"/>
              </w:rPr>
              <w:lastRenderedPageBreak/>
              <w:t xml:space="preserve">Collaboration interprogrammes </w:t>
            </w:r>
          </w:p>
        </w:tc>
      </w:tr>
    </w:tbl>
    <w:p w14:paraId="2A0A370D" w14:textId="77777777" w:rsidR="006B3B76" w:rsidRPr="00317BF3" w:rsidRDefault="006B3B76" w:rsidP="005A64E3">
      <w:pPr>
        <w:keepNext/>
        <w:jc w:val="both"/>
        <w:rPr>
          <w:rFonts w:asciiTheme="minorBidi" w:hAnsiTheme="minorBidi"/>
          <w:szCs w:val="20"/>
        </w:rPr>
      </w:pPr>
    </w:p>
    <w:p w14:paraId="64EEBD85" w14:textId="08C9F452" w:rsidR="006B3B76" w:rsidRPr="00317BF3" w:rsidRDefault="005A64E3" w:rsidP="005A64E3">
      <w:pPr>
        <w:jc w:val="center"/>
        <w:rPr>
          <w:rFonts w:asciiTheme="minorBidi" w:hAnsiTheme="minorBidi"/>
          <w:szCs w:val="20"/>
        </w:rPr>
      </w:pPr>
      <w:r w:rsidRPr="005A64E3">
        <w:rPr>
          <w:noProof/>
          <w:lang w:val="en-US" w:eastAsia="en-US"/>
        </w:rPr>
        <w:drawing>
          <wp:inline distT="0" distB="0" distL="0" distR="0" wp14:anchorId="724A6EA2" wp14:editId="4A1CFC58">
            <wp:extent cx="3669447" cy="3600000"/>
            <wp:effectExtent l="0" t="0" r="762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69447" cy="3600000"/>
                    </a:xfrm>
                    <a:prstGeom prst="rect">
                      <a:avLst/>
                    </a:prstGeom>
                    <a:noFill/>
                    <a:ln>
                      <a:noFill/>
                    </a:ln>
                  </pic:spPr>
                </pic:pic>
              </a:graphicData>
            </a:graphic>
          </wp:inline>
        </w:drawing>
      </w:r>
    </w:p>
    <w:p w14:paraId="5A391F96" w14:textId="77777777" w:rsidR="006B3B76" w:rsidRPr="00317BF3" w:rsidRDefault="006B3B76" w:rsidP="00986700">
      <w:pPr>
        <w:autoSpaceDE w:val="0"/>
        <w:autoSpaceDN w:val="0"/>
        <w:rPr>
          <w:rFonts w:asciiTheme="minorBidi" w:hAnsiTheme="minorBidi"/>
          <w:szCs w:val="20"/>
        </w:rPr>
      </w:pPr>
    </w:p>
    <w:tbl>
      <w:tblPr>
        <w:tblW w:w="5000" w:type="pct"/>
        <w:tblCellMar>
          <w:top w:w="57" w:type="dxa"/>
          <w:bottom w:w="57" w:type="dxa"/>
        </w:tblCellMar>
        <w:tblLook w:val="01E0" w:firstRow="1" w:lastRow="1" w:firstColumn="1" w:lastColumn="1" w:noHBand="0" w:noVBand="0"/>
      </w:tblPr>
      <w:tblGrid>
        <w:gridCol w:w="4644"/>
        <w:gridCol w:w="4643"/>
      </w:tblGrid>
      <w:tr w:rsidR="006B3B76" w:rsidRPr="00317BF3" w14:paraId="77516FDA" w14:textId="77777777" w:rsidTr="006B3B76">
        <w:trPr>
          <w:cantSplit/>
        </w:trPr>
        <w:tc>
          <w:tcPr>
            <w:tcW w:w="4785" w:type="dxa"/>
            <w:shd w:val="clear" w:color="auto" w:fill="C6D9F1" w:themeFill="text2" w:themeFillTint="33"/>
            <w:vAlign w:val="center"/>
          </w:tcPr>
          <w:p w14:paraId="5C7DA63E" w14:textId="77777777" w:rsidR="006B3B76" w:rsidRPr="00317BF3" w:rsidRDefault="006B3B76" w:rsidP="00986700">
            <w:pPr>
              <w:jc w:val="center"/>
              <w:rPr>
                <w:rFonts w:cs="Arial"/>
                <w:b/>
                <w:bCs/>
                <w:sz w:val="18"/>
                <w:szCs w:val="18"/>
              </w:rPr>
            </w:pPr>
            <w:r w:rsidRPr="00317BF3">
              <w:rPr>
                <w:rFonts w:cs="Arial"/>
                <w:b/>
                <w:bCs/>
                <w:sz w:val="18"/>
                <w:szCs w:val="18"/>
              </w:rPr>
              <w:t>Risques</w:t>
            </w:r>
          </w:p>
        </w:tc>
        <w:tc>
          <w:tcPr>
            <w:tcW w:w="4786" w:type="dxa"/>
            <w:shd w:val="clear" w:color="auto" w:fill="C6D9F1" w:themeFill="text2" w:themeFillTint="33"/>
            <w:vAlign w:val="center"/>
          </w:tcPr>
          <w:p w14:paraId="5B5F6FD0" w14:textId="77777777" w:rsidR="006B3B76" w:rsidRPr="00317BF3" w:rsidRDefault="006B3B76" w:rsidP="00986700">
            <w:pPr>
              <w:jc w:val="center"/>
              <w:rPr>
                <w:rFonts w:cs="Arial"/>
                <w:b/>
                <w:bCs/>
                <w:sz w:val="18"/>
                <w:szCs w:val="18"/>
              </w:rPr>
            </w:pPr>
            <w:r w:rsidRPr="00317BF3">
              <w:rPr>
                <w:rFonts w:cs="Arial"/>
                <w:b/>
                <w:bCs/>
                <w:sz w:val="18"/>
                <w:szCs w:val="18"/>
              </w:rPr>
              <w:t>Mesures d’atténuation</w:t>
            </w:r>
          </w:p>
        </w:tc>
      </w:tr>
      <w:tr w:rsidR="006B3B76" w:rsidRPr="00317BF3" w14:paraId="710A5CF2" w14:textId="77777777" w:rsidTr="006B3B76">
        <w:trPr>
          <w:cantSplit/>
        </w:trPr>
        <w:tc>
          <w:tcPr>
            <w:tcW w:w="4785" w:type="dxa"/>
            <w:shd w:val="clear" w:color="auto" w:fill="auto"/>
            <w:tcMar>
              <w:top w:w="57" w:type="dxa"/>
              <w:bottom w:w="57" w:type="dxa"/>
            </w:tcMar>
          </w:tcPr>
          <w:p w14:paraId="0A3CF09D" w14:textId="77777777" w:rsidR="006B3B76" w:rsidRPr="00317BF3" w:rsidRDefault="006B3B76" w:rsidP="00986700">
            <w:pPr>
              <w:rPr>
                <w:rFonts w:cs="Arial"/>
                <w:sz w:val="16"/>
                <w:szCs w:val="16"/>
              </w:rPr>
            </w:pPr>
            <w:r w:rsidRPr="00317BF3">
              <w:rPr>
                <w:rFonts w:cs="Arial"/>
                <w:sz w:val="16"/>
                <w:szCs w:val="16"/>
              </w:rPr>
              <w:t>Avec l’augmentation du nombre de demandes d’enregistrement et d’éléments à prendre en considération dans les demandes d’enregistrement international de dessins ou modèles, le Bureau international risque de recevoir un nombre trop important de demandes émanant de clients par rapport à sa capacité de gestion.</w:t>
            </w:r>
          </w:p>
        </w:tc>
        <w:tc>
          <w:tcPr>
            <w:tcW w:w="4786" w:type="dxa"/>
            <w:shd w:val="clear" w:color="auto" w:fill="auto"/>
            <w:tcMar>
              <w:top w:w="57" w:type="dxa"/>
              <w:bottom w:w="57" w:type="dxa"/>
            </w:tcMar>
          </w:tcPr>
          <w:p w14:paraId="5EE77899" w14:textId="77777777" w:rsidR="006B3B76" w:rsidRPr="00317BF3" w:rsidRDefault="006B3B76" w:rsidP="00986700">
            <w:pPr>
              <w:rPr>
                <w:rFonts w:cs="Arial"/>
                <w:sz w:val="16"/>
                <w:szCs w:val="16"/>
              </w:rPr>
            </w:pPr>
            <w:r w:rsidRPr="00317BF3">
              <w:rPr>
                <w:rFonts w:cs="Arial"/>
                <w:sz w:val="16"/>
              </w:rPr>
              <w:t>Accroissement de l’efficacité et de l’efficience de l’administration du système, sous tous ses aspects;  promotion des meilleures pratiques et de la convergence parmi les offices concernés;  mise au point de solutions informatiques pour aider les utilisateurs et les examinateurs des offices et du Bureau international.</w:t>
            </w:r>
            <w:r w:rsidRPr="00317BF3">
              <w:rPr>
                <w:sz w:val="16"/>
              </w:rPr>
              <w:t xml:space="preserve"> </w:t>
            </w:r>
            <w:r w:rsidRPr="00317BF3">
              <w:rPr>
                <w:rFonts w:cs="Arial"/>
                <w:sz w:val="16"/>
              </w:rPr>
              <w:t xml:space="preserve"> </w:t>
            </w:r>
          </w:p>
        </w:tc>
      </w:tr>
    </w:tbl>
    <w:p w14:paraId="359CA82D" w14:textId="77777777" w:rsidR="006B3B76" w:rsidRPr="00317BF3" w:rsidRDefault="006B3B76" w:rsidP="00986700">
      <w:pPr>
        <w:keepLines/>
        <w:autoSpaceDE w:val="0"/>
        <w:autoSpaceDN w:val="0"/>
        <w:rPr>
          <w:rFonts w:cs="Arial"/>
          <w:szCs w:val="20"/>
        </w:rPr>
      </w:pPr>
    </w:p>
    <w:p w14:paraId="55EC8E5A" w14:textId="77777777" w:rsidR="006B3B76" w:rsidRPr="00317BF3" w:rsidRDefault="006B3B76" w:rsidP="00986700">
      <w:pPr>
        <w:keepLines/>
        <w:rPr>
          <w:rFonts w:eastAsia="Times New Roman" w:cs="Arial"/>
          <w:b/>
          <w:bCs/>
          <w:szCs w:val="20"/>
          <w:lang w:eastAsia="en-US"/>
        </w:rPr>
      </w:pPr>
    </w:p>
    <w:tbl>
      <w:tblPr>
        <w:tblW w:w="5000" w:type="pct"/>
        <w:tblCellMar>
          <w:top w:w="57" w:type="dxa"/>
          <w:bottom w:w="57" w:type="dxa"/>
        </w:tblCellMar>
        <w:tblLook w:val="04A0" w:firstRow="1" w:lastRow="0" w:firstColumn="1" w:lastColumn="0" w:noHBand="0" w:noVBand="1"/>
      </w:tblPr>
      <w:tblGrid>
        <w:gridCol w:w="2392"/>
        <w:gridCol w:w="2289"/>
        <w:gridCol w:w="2303"/>
        <w:gridCol w:w="2303"/>
      </w:tblGrid>
      <w:tr w:rsidR="006B3B76" w:rsidRPr="00317BF3" w14:paraId="5EE69778" w14:textId="77777777" w:rsidTr="006B3B76">
        <w:trPr>
          <w:cantSplit/>
          <w:tblHeader/>
        </w:trPr>
        <w:tc>
          <w:tcPr>
            <w:tcW w:w="2392" w:type="dxa"/>
            <w:shd w:val="clear" w:color="000000" w:fill="C5D9F1"/>
            <w:tcMar>
              <w:top w:w="57" w:type="dxa"/>
            </w:tcMar>
            <w:vAlign w:val="center"/>
            <w:hideMark/>
          </w:tcPr>
          <w:p w14:paraId="6F1E01E3" w14:textId="77777777" w:rsidR="006B3B76" w:rsidRPr="00317BF3" w:rsidRDefault="006B3B76" w:rsidP="00986700">
            <w:pPr>
              <w:keepNext/>
              <w:keepLines/>
              <w:jc w:val="center"/>
              <w:rPr>
                <w:rFonts w:cs="Arial"/>
                <w:b/>
                <w:bCs/>
                <w:sz w:val="18"/>
                <w:szCs w:val="18"/>
              </w:rPr>
            </w:pPr>
            <w:r w:rsidRPr="00317BF3">
              <w:rPr>
                <w:rFonts w:cs="Arial"/>
                <w:b/>
                <w:bCs/>
                <w:sz w:val="18"/>
                <w:szCs w:val="18"/>
              </w:rPr>
              <w:t xml:space="preserve">Résultat escompté </w:t>
            </w:r>
          </w:p>
        </w:tc>
        <w:tc>
          <w:tcPr>
            <w:tcW w:w="2393" w:type="dxa"/>
            <w:shd w:val="clear" w:color="000000" w:fill="C5D9F1"/>
            <w:tcMar>
              <w:top w:w="57" w:type="dxa"/>
            </w:tcMar>
            <w:vAlign w:val="center"/>
            <w:hideMark/>
          </w:tcPr>
          <w:p w14:paraId="6D3B5095" w14:textId="77777777" w:rsidR="006B3B76" w:rsidRPr="00317BF3" w:rsidRDefault="006B3B76" w:rsidP="00986700">
            <w:pPr>
              <w:keepNext/>
              <w:keepLines/>
              <w:jc w:val="center"/>
              <w:rPr>
                <w:rFonts w:cs="Arial"/>
                <w:b/>
                <w:bCs/>
                <w:sz w:val="18"/>
                <w:szCs w:val="18"/>
              </w:rPr>
            </w:pPr>
            <w:r w:rsidRPr="00317BF3">
              <w:rPr>
                <w:rFonts w:cs="Arial"/>
                <w:b/>
                <w:bCs/>
                <w:sz w:val="18"/>
                <w:szCs w:val="18"/>
              </w:rPr>
              <w:t>Indicateurs d’exécution</w:t>
            </w:r>
          </w:p>
        </w:tc>
        <w:tc>
          <w:tcPr>
            <w:tcW w:w="2393" w:type="dxa"/>
            <w:shd w:val="clear" w:color="000000" w:fill="C5D9F1"/>
            <w:tcMar>
              <w:top w:w="57" w:type="dxa"/>
            </w:tcMar>
            <w:vAlign w:val="center"/>
            <w:hideMark/>
          </w:tcPr>
          <w:p w14:paraId="178F4C5B" w14:textId="77777777" w:rsidR="006B3B76" w:rsidRPr="00317BF3" w:rsidRDefault="006B3B76" w:rsidP="00986700">
            <w:pPr>
              <w:keepNext/>
              <w:keepLines/>
              <w:jc w:val="center"/>
              <w:rPr>
                <w:rFonts w:cs="Arial"/>
                <w:b/>
                <w:bCs/>
                <w:sz w:val="18"/>
                <w:szCs w:val="18"/>
              </w:rPr>
            </w:pPr>
            <w:r w:rsidRPr="00317BF3">
              <w:rPr>
                <w:rFonts w:cs="Arial"/>
                <w:b/>
                <w:bCs/>
                <w:sz w:val="18"/>
                <w:szCs w:val="18"/>
              </w:rPr>
              <w:t>Niveaux de référence</w:t>
            </w:r>
          </w:p>
        </w:tc>
        <w:tc>
          <w:tcPr>
            <w:tcW w:w="2393" w:type="dxa"/>
            <w:shd w:val="clear" w:color="000000" w:fill="C5D9F1"/>
            <w:tcMar>
              <w:top w:w="57" w:type="dxa"/>
            </w:tcMar>
            <w:vAlign w:val="center"/>
            <w:hideMark/>
          </w:tcPr>
          <w:p w14:paraId="6F710C02" w14:textId="77777777" w:rsidR="006B3B76" w:rsidRPr="00317BF3" w:rsidRDefault="006B3B76" w:rsidP="00986700">
            <w:pPr>
              <w:keepNext/>
              <w:keepLines/>
              <w:jc w:val="center"/>
              <w:rPr>
                <w:rFonts w:cs="Arial"/>
                <w:b/>
                <w:bCs/>
                <w:sz w:val="18"/>
                <w:szCs w:val="18"/>
              </w:rPr>
            </w:pPr>
            <w:r w:rsidRPr="00317BF3">
              <w:rPr>
                <w:rFonts w:cs="Arial"/>
                <w:b/>
                <w:bCs/>
                <w:sz w:val="18"/>
                <w:szCs w:val="18"/>
              </w:rPr>
              <w:t>Objectifs visés</w:t>
            </w:r>
          </w:p>
        </w:tc>
      </w:tr>
      <w:tr w:rsidR="006B3B76" w:rsidRPr="00317BF3" w14:paraId="77A91C02" w14:textId="77777777" w:rsidTr="006B3B76">
        <w:trPr>
          <w:cantSplit/>
        </w:trPr>
        <w:tc>
          <w:tcPr>
            <w:tcW w:w="2392" w:type="dxa"/>
            <w:vMerge w:val="restart"/>
            <w:shd w:val="clear" w:color="000000" w:fill="FFFFFF"/>
            <w:tcMar>
              <w:top w:w="57" w:type="dxa"/>
            </w:tcMar>
            <w:hideMark/>
          </w:tcPr>
          <w:p w14:paraId="4F4DC244"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II.3 Utilisation élargie et plus efficace du système de La Haye, notamment par les pays en développement et les PMA</w:t>
            </w:r>
          </w:p>
        </w:tc>
        <w:tc>
          <w:tcPr>
            <w:tcW w:w="2393" w:type="dxa"/>
            <w:shd w:val="clear" w:color="000000" w:fill="FFFFFF"/>
            <w:tcMar>
              <w:top w:w="57" w:type="dxa"/>
            </w:tcMar>
            <w:hideMark/>
          </w:tcPr>
          <w:p w14:paraId="75228537" w14:textId="27357FD4"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Adhésions à l’Acte de</w:t>
            </w:r>
            <w:r w:rsidR="00AE7435">
              <w:rPr>
                <w:rFonts w:eastAsia="Times New Roman" w:cs="Arial"/>
                <w:sz w:val="16"/>
                <w:szCs w:val="16"/>
                <w:lang w:eastAsia="en-US"/>
              </w:rPr>
              <w:t xml:space="preserve"> Genève de</w:t>
            </w:r>
            <w:r w:rsidRPr="00317BF3">
              <w:rPr>
                <w:rFonts w:eastAsia="Times New Roman" w:cs="Arial"/>
                <w:sz w:val="16"/>
                <w:szCs w:val="16"/>
                <w:lang w:eastAsia="en-US"/>
              </w:rPr>
              <w:t> 1999</w:t>
            </w:r>
          </w:p>
        </w:tc>
        <w:tc>
          <w:tcPr>
            <w:tcW w:w="2393" w:type="dxa"/>
            <w:shd w:val="clear" w:color="000000" w:fill="FFFFFF"/>
            <w:tcMar>
              <w:top w:w="57" w:type="dxa"/>
            </w:tcMar>
            <w:hideMark/>
          </w:tcPr>
          <w:p w14:paraId="485D7901"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52 membres (fin 2016)</w:t>
            </w:r>
          </w:p>
        </w:tc>
        <w:tc>
          <w:tcPr>
            <w:tcW w:w="2393" w:type="dxa"/>
            <w:shd w:val="clear" w:color="000000" w:fill="FFFFFF"/>
            <w:tcMar>
              <w:top w:w="57" w:type="dxa"/>
            </w:tcMar>
            <w:hideMark/>
          </w:tcPr>
          <w:p w14:paraId="44F7F61A"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62 membres</w:t>
            </w:r>
          </w:p>
        </w:tc>
      </w:tr>
      <w:tr w:rsidR="006B3B76" w:rsidRPr="00317BF3" w14:paraId="7AB36FBB" w14:textId="77777777" w:rsidTr="006B3B76">
        <w:trPr>
          <w:cantSplit/>
        </w:trPr>
        <w:tc>
          <w:tcPr>
            <w:tcW w:w="2392" w:type="dxa"/>
            <w:vMerge/>
            <w:tcMar>
              <w:top w:w="57" w:type="dxa"/>
            </w:tcMar>
            <w:vAlign w:val="center"/>
            <w:hideMark/>
          </w:tcPr>
          <w:p w14:paraId="2DA46D64" w14:textId="77777777" w:rsidR="006B3B76" w:rsidRPr="00317BF3" w:rsidRDefault="006B3B76" w:rsidP="00986700">
            <w:pPr>
              <w:keepNext/>
              <w:keepLines/>
              <w:rPr>
                <w:rFonts w:eastAsia="Times New Roman" w:cs="Arial"/>
                <w:sz w:val="16"/>
                <w:szCs w:val="16"/>
                <w:lang w:eastAsia="en-US"/>
              </w:rPr>
            </w:pPr>
          </w:p>
        </w:tc>
        <w:tc>
          <w:tcPr>
            <w:tcW w:w="2393" w:type="dxa"/>
            <w:shd w:val="clear" w:color="000000" w:fill="FFFFFF"/>
            <w:tcMar>
              <w:top w:w="57" w:type="dxa"/>
            </w:tcMar>
            <w:hideMark/>
          </w:tcPr>
          <w:p w14:paraId="18056820"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Dépôts, renouvellements et décisions effectués dans le cadre du système de La Haye</w:t>
            </w:r>
          </w:p>
        </w:tc>
        <w:tc>
          <w:tcPr>
            <w:tcW w:w="2393" w:type="dxa"/>
            <w:shd w:val="clear" w:color="000000" w:fill="FFFFFF"/>
            <w:tcMar>
              <w:top w:w="57" w:type="dxa"/>
            </w:tcMar>
            <w:hideMark/>
          </w:tcPr>
          <w:p w14:paraId="22786274"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Enregistrements : 5233 Demandes : 5562</w:t>
            </w:r>
          </w:p>
          <w:p w14:paraId="7F65B2E9"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Décisions : 7642</w:t>
            </w:r>
          </w:p>
          <w:p w14:paraId="7B8D8C60"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Dessins ou modèles figurant dans les demandes d’enregistrement : 18 716 Renouvellements : 3150 Extraits et copies : 351 extraits et 2469 copies (2016)</w:t>
            </w:r>
          </w:p>
        </w:tc>
        <w:tc>
          <w:tcPr>
            <w:tcW w:w="2393" w:type="dxa"/>
            <w:shd w:val="clear" w:color="000000" w:fill="FFFFFF"/>
            <w:tcMar>
              <w:top w:w="57" w:type="dxa"/>
            </w:tcMar>
            <w:hideMark/>
          </w:tcPr>
          <w:p w14:paraId="004F491F"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Enregistrements : – 6464 (2018) – 7124 (2019)</w:t>
            </w:r>
          </w:p>
          <w:p w14:paraId="7CB4E2AE"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Demandes d’enregistrement : – 6950 (2018) – 7660 (2019)</w:t>
            </w:r>
          </w:p>
          <w:p w14:paraId="426924CC"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Décisions : – 17 242 (2018) – 22 622 (2019)</w:t>
            </w:r>
          </w:p>
          <w:p w14:paraId="56B58A70"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Dessins ou modèles figurant dans les demandes d’enregistrement : – 24 100 (2018) – 26 550 (2019)</w:t>
            </w:r>
          </w:p>
          <w:p w14:paraId="0D8CCCD9"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Renouvellements : – 3320 (2018) – 3350 (2019)</w:t>
            </w:r>
          </w:p>
          <w:p w14:paraId="6D9B525B" w14:textId="77777777" w:rsidR="006B3B76" w:rsidRPr="00317BF3" w:rsidRDefault="006B3B76" w:rsidP="00986700">
            <w:pPr>
              <w:keepNext/>
              <w:keepLines/>
              <w:rPr>
                <w:rFonts w:eastAsia="Times New Roman" w:cs="Arial"/>
                <w:sz w:val="16"/>
                <w:szCs w:val="16"/>
                <w:lang w:eastAsia="en-US"/>
              </w:rPr>
            </w:pPr>
            <w:r w:rsidRPr="00317BF3">
              <w:rPr>
                <w:rFonts w:eastAsia="Times New Roman" w:cs="Arial"/>
                <w:sz w:val="16"/>
                <w:szCs w:val="16"/>
                <w:lang w:eastAsia="en-US"/>
              </w:rPr>
              <w:t>Extraits et copies : – 2961 (2018) – 2720 (2019)</w:t>
            </w:r>
          </w:p>
        </w:tc>
      </w:tr>
      <w:tr w:rsidR="006B3B76" w:rsidRPr="00317BF3" w14:paraId="58BA4025" w14:textId="77777777" w:rsidTr="006B3B76">
        <w:trPr>
          <w:cantSplit/>
        </w:trPr>
        <w:tc>
          <w:tcPr>
            <w:tcW w:w="2392" w:type="dxa"/>
            <w:shd w:val="clear" w:color="auto" w:fill="auto"/>
            <w:noWrap/>
            <w:tcMar>
              <w:top w:w="57" w:type="dxa"/>
            </w:tcMar>
            <w:hideMark/>
          </w:tcPr>
          <w:p w14:paraId="50D250BE"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II.4 Amélioration de la productivité et de la qualité de service des opérations de La Haye</w:t>
            </w:r>
          </w:p>
        </w:tc>
        <w:tc>
          <w:tcPr>
            <w:tcW w:w="2393" w:type="dxa"/>
            <w:shd w:val="clear" w:color="000000" w:fill="FFFFFF"/>
            <w:tcMar>
              <w:top w:w="57" w:type="dxa"/>
            </w:tcMar>
            <w:hideMark/>
          </w:tcPr>
          <w:p w14:paraId="2F7073F3"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Prédominance de l’Acte de 1999 dans le système</w:t>
            </w:r>
          </w:p>
        </w:tc>
        <w:tc>
          <w:tcPr>
            <w:tcW w:w="2393" w:type="dxa"/>
            <w:shd w:val="clear" w:color="000000" w:fill="FFFFFF"/>
            <w:tcMar>
              <w:top w:w="57" w:type="dxa"/>
            </w:tcMar>
            <w:hideMark/>
          </w:tcPr>
          <w:p w14:paraId="081CEC79" w14:textId="1E0FC00E"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3 pays extérieurs à l’</w:t>
            </w:r>
            <w:r>
              <w:rPr>
                <w:rFonts w:eastAsia="Times New Roman" w:cs="Arial"/>
                <w:sz w:val="16"/>
                <w:szCs w:val="16"/>
                <w:lang w:eastAsia="en-US"/>
              </w:rPr>
              <w:t xml:space="preserve">Union européenne </w:t>
            </w:r>
            <w:r w:rsidRPr="00317BF3">
              <w:rPr>
                <w:rFonts w:eastAsia="Times New Roman" w:cs="Arial"/>
                <w:sz w:val="16"/>
                <w:szCs w:val="16"/>
                <w:lang w:eastAsia="en-US"/>
              </w:rPr>
              <w:t>ou à l’OAPI uniquement liés par l’Acte de 1960</w:t>
            </w:r>
          </w:p>
        </w:tc>
        <w:tc>
          <w:tcPr>
            <w:tcW w:w="2393" w:type="dxa"/>
            <w:shd w:val="clear" w:color="000000" w:fill="FFFFFF"/>
            <w:tcMar>
              <w:top w:w="57" w:type="dxa"/>
            </w:tcMar>
            <w:hideMark/>
          </w:tcPr>
          <w:p w14:paraId="58A8A477" w14:textId="2E692D29"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1 pays extérieur à l’</w:t>
            </w:r>
            <w:r>
              <w:rPr>
                <w:rFonts w:eastAsia="Times New Roman" w:cs="Arial"/>
                <w:sz w:val="16"/>
                <w:szCs w:val="16"/>
                <w:lang w:eastAsia="en-US"/>
              </w:rPr>
              <w:t xml:space="preserve">Union européenne </w:t>
            </w:r>
            <w:r w:rsidRPr="00317BF3">
              <w:rPr>
                <w:rFonts w:eastAsia="Times New Roman" w:cs="Arial"/>
                <w:sz w:val="16"/>
                <w:szCs w:val="16"/>
                <w:lang w:eastAsia="en-US"/>
              </w:rPr>
              <w:t>ou à l’OAPI uniquement lié par l’Acte de 1960</w:t>
            </w:r>
          </w:p>
        </w:tc>
      </w:tr>
      <w:tr w:rsidR="006B3B76" w:rsidRPr="00317BF3" w14:paraId="6BB51351" w14:textId="77777777" w:rsidTr="006B3B76">
        <w:trPr>
          <w:cantSplit/>
        </w:trPr>
        <w:tc>
          <w:tcPr>
            <w:tcW w:w="2392" w:type="dxa"/>
            <w:shd w:val="clear" w:color="000000" w:fill="FFFFFF"/>
            <w:tcMar>
              <w:top w:w="57" w:type="dxa"/>
            </w:tcMar>
            <w:hideMark/>
          </w:tcPr>
          <w:p w14:paraId="7C3BC040" w14:textId="77777777" w:rsidR="006B3B76" w:rsidRPr="00317BF3" w:rsidRDefault="006B3B76" w:rsidP="00986700">
            <w:pPr>
              <w:rPr>
                <w:rFonts w:eastAsia="Times New Roman" w:cs="Arial"/>
                <w:sz w:val="16"/>
                <w:szCs w:val="16"/>
                <w:lang w:eastAsia="en-US"/>
              </w:rPr>
            </w:pPr>
          </w:p>
        </w:tc>
        <w:tc>
          <w:tcPr>
            <w:tcW w:w="2393" w:type="dxa"/>
            <w:shd w:val="clear" w:color="000000" w:fill="FFFFFF"/>
            <w:tcMar>
              <w:top w:w="57" w:type="dxa"/>
            </w:tcMar>
            <w:hideMark/>
          </w:tcPr>
          <w:p w14:paraId="1B4B5E46"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Adaptation du cadre juridique à l’expansion du système, y compris en vue d’assurer la viabilité financière du système</w:t>
            </w:r>
          </w:p>
        </w:tc>
        <w:tc>
          <w:tcPr>
            <w:tcW w:w="2393" w:type="dxa"/>
            <w:shd w:val="clear" w:color="000000" w:fill="FFFFFF"/>
            <w:tcMar>
              <w:top w:w="57" w:type="dxa"/>
            </w:tcMar>
            <w:hideMark/>
          </w:tcPr>
          <w:p w14:paraId="356C630B" w14:textId="07B3DE08" w:rsidR="009D5B88" w:rsidRDefault="006B3B76" w:rsidP="00986700">
            <w:pPr>
              <w:rPr>
                <w:rFonts w:eastAsia="Times New Roman" w:cs="Arial"/>
                <w:sz w:val="16"/>
                <w:szCs w:val="16"/>
                <w:lang w:eastAsia="en-US"/>
              </w:rPr>
            </w:pPr>
            <w:r w:rsidRPr="00317BF3">
              <w:rPr>
                <w:rFonts w:eastAsia="Times New Roman" w:cs="Arial"/>
                <w:sz w:val="16"/>
                <w:szCs w:val="16"/>
                <w:lang w:eastAsia="en-US"/>
              </w:rPr>
              <w:t xml:space="preserve">Cadre actuel </w:t>
            </w:r>
          </w:p>
          <w:p w14:paraId="1A5990A8" w14:textId="790F35E6" w:rsidR="009D5B88" w:rsidRDefault="009D5B88" w:rsidP="009D5B88">
            <w:pPr>
              <w:rPr>
                <w:rFonts w:eastAsia="Times New Roman" w:cs="Arial"/>
                <w:sz w:val="16"/>
                <w:szCs w:val="16"/>
                <w:lang w:eastAsia="en-US"/>
              </w:rPr>
            </w:pPr>
          </w:p>
          <w:p w14:paraId="5793B396" w14:textId="77777777" w:rsidR="006B3B76" w:rsidRPr="009D5B88" w:rsidRDefault="006B3B76" w:rsidP="009D5B88">
            <w:pPr>
              <w:jc w:val="center"/>
              <w:rPr>
                <w:rFonts w:eastAsia="Times New Roman" w:cs="Arial"/>
                <w:sz w:val="16"/>
                <w:szCs w:val="16"/>
                <w:lang w:eastAsia="en-US"/>
              </w:rPr>
            </w:pPr>
          </w:p>
        </w:tc>
        <w:tc>
          <w:tcPr>
            <w:tcW w:w="2393" w:type="dxa"/>
            <w:shd w:val="clear" w:color="000000" w:fill="FFFFFF"/>
            <w:tcMar>
              <w:top w:w="57" w:type="dxa"/>
            </w:tcMar>
            <w:hideMark/>
          </w:tcPr>
          <w:p w14:paraId="1A207F01"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Cadre révisé</w:t>
            </w:r>
          </w:p>
        </w:tc>
      </w:tr>
      <w:tr w:rsidR="006B3B76" w:rsidRPr="00317BF3" w14:paraId="469053FB" w14:textId="77777777" w:rsidTr="006B3B76">
        <w:trPr>
          <w:cantSplit/>
        </w:trPr>
        <w:tc>
          <w:tcPr>
            <w:tcW w:w="2392" w:type="dxa"/>
            <w:shd w:val="clear" w:color="auto" w:fill="auto"/>
            <w:noWrap/>
            <w:tcMar>
              <w:top w:w="57" w:type="dxa"/>
            </w:tcMar>
            <w:vAlign w:val="bottom"/>
            <w:hideMark/>
          </w:tcPr>
          <w:p w14:paraId="1CB2EEFB" w14:textId="77777777" w:rsidR="006B3B76" w:rsidRPr="00317BF3" w:rsidRDefault="006B3B76" w:rsidP="00986700">
            <w:pPr>
              <w:rPr>
                <w:rFonts w:ascii="Calibri" w:eastAsia="Times New Roman" w:hAnsi="Calibri" w:cs="Times New Roman"/>
                <w:lang w:eastAsia="en-US"/>
              </w:rPr>
            </w:pPr>
          </w:p>
        </w:tc>
        <w:tc>
          <w:tcPr>
            <w:tcW w:w="2393" w:type="dxa"/>
            <w:shd w:val="clear" w:color="000000" w:fill="FFFFFF"/>
            <w:tcMar>
              <w:top w:w="57" w:type="dxa"/>
            </w:tcMar>
            <w:hideMark/>
          </w:tcPr>
          <w:p w14:paraId="1786E3E2"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Délai de traitement des demandes ordinaires d’enregistrement international de dessins ou modèles</w:t>
            </w:r>
          </w:p>
        </w:tc>
        <w:tc>
          <w:tcPr>
            <w:tcW w:w="2393" w:type="dxa"/>
            <w:shd w:val="clear" w:color="000000" w:fill="FFFFFF"/>
            <w:tcMar>
              <w:top w:w="57" w:type="dxa"/>
            </w:tcMar>
            <w:hideMark/>
          </w:tcPr>
          <w:p w14:paraId="2CE120A1"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20% des demandes ordinaires inscrites dans un délai d’une semaine (7 jours civils)</w:t>
            </w:r>
          </w:p>
        </w:tc>
        <w:tc>
          <w:tcPr>
            <w:tcW w:w="2393" w:type="dxa"/>
            <w:shd w:val="clear" w:color="000000" w:fill="FFFFFF"/>
            <w:tcMar>
              <w:top w:w="57" w:type="dxa"/>
            </w:tcMar>
            <w:hideMark/>
          </w:tcPr>
          <w:p w14:paraId="53AD9DE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30% des demandes ordinaires inscrites dans un délai d’une semaine (7 jours civils)</w:t>
            </w:r>
          </w:p>
        </w:tc>
      </w:tr>
      <w:tr w:rsidR="006B3B76" w:rsidRPr="00317BF3" w14:paraId="16B361DE" w14:textId="77777777" w:rsidTr="006B3B76">
        <w:trPr>
          <w:cantSplit/>
        </w:trPr>
        <w:tc>
          <w:tcPr>
            <w:tcW w:w="2392" w:type="dxa"/>
            <w:shd w:val="clear" w:color="000000" w:fill="FFFFFF"/>
            <w:tcMar>
              <w:top w:w="57" w:type="dxa"/>
            </w:tcMar>
            <w:hideMark/>
          </w:tcPr>
          <w:p w14:paraId="29F29795"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w:t>
            </w:r>
          </w:p>
        </w:tc>
        <w:tc>
          <w:tcPr>
            <w:tcW w:w="2393" w:type="dxa"/>
            <w:shd w:val="clear" w:color="000000" w:fill="FFFFFF"/>
            <w:tcMar>
              <w:top w:w="57" w:type="dxa"/>
            </w:tcMar>
            <w:hideMark/>
          </w:tcPr>
          <w:p w14:paraId="5AADE8F9"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Délai de traitement pour communiquer un refus reçu</w:t>
            </w:r>
          </w:p>
        </w:tc>
        <w:tc>
          <w:tcPr>
            <w:tcW w:w="2393" w:type="dxa"/>
            <w:shd w:val="clear" w:color="000000" w:fill="FFFFFF"/>
            <w:tcMar>
              <w:top w:w="57" w:type="dxa"/>
            </w:tcMar>
            <w:hideMark/>
          </w:tcPr>
          <w:p w14:paraId="5CCF7AF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À déterminer</w:t>
            </w:r>
          </w:p>
        </w:tc>
        <w:tc>
          <w:tcPr>
            <w:tcW w:w="2393" w:type="dxa"/>
            <w:shd w:val="clear" w:color="000000" w:fill="FFFFFF"/>
            <w:tcMar>
              <w:top w:w="57" w:type="dxa"/>
            </w:tcMar>
            <w:hideMark/>
          </w:tcPr>
          <w:p w14:paraId="1EAE1048"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90% des refus ordinaires reçus communiqués dans un délai d’une semaine (7 jours civils)</w:t>
            </w:r>
          </w:p>
        </w:tc>
      </w:tr>
      <w:tr w:rsidR="006B3B76" w:rsidRPr="00317BF3" w14:paraId="364C7989" w14:textId="77777777" w:rsidTr="006B3B76">
        <w:trPr>
          <w:cantSplit/>
        </w:trPr>
        <w:tc>
          <w:tcPr>
            <w:tcW w:w="2392" w:type="dxa"/>
            <w:shd w:val="clear" w:color="000000" w:fill="FFFFFF"/>
            <w:tcMar>
              <w:top w:w="57" w:type="dxa"/>
            </w:tcMar>
            <w:hideMark/>
          </w:tcPr>
          <w:p w14:paraId="7ABE2E9A"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w:t>
            </w:r>
          </w:p>
        </w:tc>
        <w:tc>
          <w:tcPr>
            <w:tcW w:w="2393" w:type="dxa"/>
            <w:shd w:val="clear" w:color="000000" w:fill="FFFFFF"/>
            <w:tcMar>
              <w:top w:w="57" w:type="dxa"/>
            </w:tcMar>
            <w:hideMark/>
          </w:tcPr>
          <w:p w14:paraId="6D0EC98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Niveau d’utilisation des formulaires électroniques</w:t>
            </w:r>
          </w:p>
        </w:tc>
        <w:tc>
          <w:tcPr>
            <w:tcW w:w="2393" w:type="dxa"/>
            <w:shd w:val="clear" w:color="000000" w:fill="FFFFFF"/>
            <w:tcMar>
              <w:top w:w="57" w:type="dxa"/>
            </w:tcMar>
            <w:hideMark/>
          </w:tcPr>
          <w:p w14:paraId="6B56E695"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Dépôts électroniques : 89%</w:t>
            </w:r>
          </w:p>
          <w:p w14:paraId="7FD8E387"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Renouvellements par voie électronique : 77,3%</w:t>
            </w:r>
          </w:p>
          <w:p w14:paraId="3E9DA68F"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Réponses aux irrégularités (lancé le 1</w:t>
            </w:r>
            <w:r w:rsidRPr="00317BF3">
              <w:rPr>
                <w:rFonts w:eastAsia="Times New Roman" w:cs="Arial"/>
                <w:sz w:val="16"/>
                <w:szCs w:val="16"/>
                <w:vertAlign w:val="superscript"/>
                <w:lang w:eastAsia="en-US"/>
              </w:rPr>
              <w:t>er</w:t>
            </w:r>
            <w:r w:rsidRPr="00317BF3">
              <w:rPr>
                <w:rFonts w:eastAsia="Times New Roman" w:cs="Arial"/>
                <w:sz w:val="16"/>
                <w:szCs w:val="16"/>
                <w:lang w:eastAsia="en-US"/>
              </w:rPr>
              <w:t> avril 2016) : 41%</w:t>
            </w:r>
          </w:p>
          <w:p w14:paraId="410B80CF"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Demandes de document de priorité : n.d.</w:t>
            </w:r>
          </w:p>
          <w:p w14:paraId="71595C43"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Demandes de modification du nom ou de l’adresse : n.d.</w:t>
            </w:r>
          </w:p>
          <w:p w14:paraId="0C357918"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Limitations : n.d.</w:t>
            </w:r>
          </w:p>
          <w:p w14:paraId="32652F2A" w14:textId="2A9367FB" w:rsidR="006B3B76" w:rsidRPr="00317BF3" w:rsidRDefault="006B3B76" w:rsidP="00FD64AE">
            <w:pPr>
              <w:rPr>
                <w:rFonts w:eastAsia="Times New Roman" w:cs="Arial"/>
                <w:sz w:val="16"/>
                <w:szCs w:val="16"/>
                <w:lang w:eastAsia="en-US"/>
              </w:rPr>
            </w:pPr>
            <w:r w:rsidRPr="00317BF3">
              <w:rPr>
                <w:rFonts w:eastAsia="Times New Roman" w:cs="Arial"/>
                <w:sz w:val="16"/>
                <w:szCs w:val="16"/>
                <w:lang w:eastAsia="en-US"/>
              </w:rPr>
              <w:t>– Renonciations : n.d. (fin 2016)</w:t>
            </w:r>
          </w:p>
        </w:tc>
        <w:tc>
          <w:tcPr>
            <w:tcW w:w="2393" w:type="dxa"/>
            <w:shd w:val="clear" w:color="000000" w:fill="FFFFFF"/>
            <w:tcMar>
              <w:top w:w="57" w:type="dxa"/>
            </w:tcMar>
            <w:hideMark/>
          </w:tcPr>
          <w:p w14:paraId="6ECF3519"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Dépôts électroniques : 85%</w:t>
            </w:r>
          </w:p>
          <w:p w14:paraId="1E34EDEE"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Renouvellements par voie électronique : 80%</w:t>
            </w:r>
          </w:p>
          <w:p w14:paraId="6F9881E0"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Réponses aux irrégularités : 60%</w:t>
            </w:r>
          </w:p>
          <w:p w14:paraId="48BB53FA"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Demandes de document de priorité : 20%</w:t>
            </w:r>
          </w:p>
          <w:p w14:paraId="55918359"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Demandes de modification du nom ou de l’adresse : 20%</w:t>
            </w:r>
          </w:p>
          <w:p w14:paraId="4A68CBE4"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Limitations : 20%</w:t>
            </w:r>
          </w:p>
          <w:p w14:paraId="3162CC83" w14:textId="78107633" w:rsidR="006B3B76" w:rsidRPr="00317BF3" w:rsidRDefault="006B3B76" w:rsidP="00FD64AE">
            <w:pPr>
              <w:rPr>
                <w:rFonts w:eastAsia="Times New Roman" w:cs="Arial"/>
                <w:sz w:val="16"/>
                <w:szCs w:val="16"/>
                <w:lang w:eastAsia="en-US"/>
              </w:rPr>
            </w:pPr>
            <w:r w:rsidRPr="00317BF3">
              <w:rPr>
                <w:rFonts w:eastAsia="Times New Roman" w:cs="Arial"/>
                <w:sz w:val="16"/>
                <w:szCs w:val="16"/>
                <w:lang w:eastAsia="en-US"/>
              </w:rPr>
              <w:t>– Renonciations : 20% (fin 201</w:t>
            </w:r>
            <w:r w:rsidR="00FD64AE">
              <w:rPr>
                <w:rFonts w:eastAsia="Times New Roman" w:cs="Arial"/>
                <w:sz w:val="16"/>
                <w:szCs w:val="16"/>
                <w:lang w:eastAsia="en-US"/>
              </w:rPr>
              <w:t>9</w:t>
            </w:r>
            <w:r w:rsidRPr="00317BF3">
              <w:rPr>
                <w:rFonts w:eastAsia="Times New Roman" w:cs="Arial"/>
                <w:sz w:val="16"/>
                <w:szCs w:val="16"/>
                <w:lang w:eastAsia="en-US"/>
              </w:rPr>
              <w:t>)</w:t>
            </w:r>
          </w:p>
        </w:tc>
      </w:tr>
      <w:tr w:rsidR="006B3B76" w:rsidRPr="00317BF3" w14:paraId="4885071C" w14:textId="77777777" w:rsidTr="006B3B76">
        <w:trPr>
          <w:cantSplit/>
        </w:trPr>
        <w:tc>
          <w:tcPr>
            <w:tcW w:w="2392" w:type="dxa"/>
            <w:shd w:val="clear" w:color="000000" w:fill="FFFFFF"/>
            <w:tcMar>
              <w:top w:w="57" w:type="dxa"/>
            </w:tcMar>
            <w:hideMark/>
          </w:tcPr>
          <w:p w14:paraId="2EDF3C3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w:t>
            </w:r>
          </w:p>
        </w:tc>
        <w:tc>
          <w:tcPr>
            <w:tcW w:w="2393" w:type="dxa"/>
            <w:shd w:val="clear" w:color="000000" w:fill="FFFFFF"/>
            <w:tcMar>
              <w:top w:w="57" w:type="dxa"/>
            </w:tcMar>
            <w:hideMark/>
          </w:tcPr>
          <w:p w14:paraId="45169DDE"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Le système informatique de La Haye fonctionne efficacement et est exploité conformément aux pratiques recommandées</w:t>
            </w:r>
          </w:p>
        </w:tc>
        <w:tc>
          <w:tcPr>
            <w:tcW w:w="2393" w:type="dxa"/>
            <w:shd w:val="clear" w:color="000000" w:fill="FFFFFF"/>
            <w:tcMar>
              <w:top w:w="57" w:type="dxa"/>
            </w:tcMar>
            <w:hideMark/>
          </w:tcPr>
          <w:p w14:paraId="0FB31FD9"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Bon fonctionnement à 100%</w:t>
            </w:r>
          </w:p>
          <w:p w14:paraId="65D98545"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2 incidents (2016)</w:t>
            </w:r>
          </w:p>
        </w:tc>
        <w:tc>
          <w:tcPr>
            <w:tcW w:w="2393" w:type="dxa"/>
            <w:shd w:val="clear" w:color="000000" w:fill="FFFFFF"/>
            <w:tcMar>
              <w:top w:w="57" w:type="dxa"/>
            </w:tcMar>
            <w:hideMark/>
          </w:tcPr>
          <w:p w14:paraId="64DAA62B"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Bon fonctionnement à 99%</w:t>
            </w:r>
          </w:p>
          <w:p w14:paraId="3325B45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3 incidents par an</w:t>
            </w:r>
          </w:p>
        </w:tc>
      </w:tr>
      <w:tr w:rsidR="006B3B76" w:rsidRPr="00317BF3" w14:paraId="13965C39" w14:textId="77777777" w:rsidTr="006B3B76">
        <w:trPr>
          <w:cantSplit/>
        </w:trPr>
        <w:tc>
          <w:tcPr>
            <w:tcW w:w="2392" w:type="dxa"/>
            <w:shd w:val="clear" w:color="000000" w:fill="FFFFFF"/>
            <w:tcMar>
              <w:top w:w="57" w:type="dxa"/>
            </w:tcMar>
            <w:hideMark/>
          </w:tcPr>
          <w:p w14:paraId="326EA746"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w:t>
            </w:r>
          </w:p>
        </w:tc>
        <w:tc>
          <w:tcPr>
            <w:tcW w:w="2393" w:type="dxa"/>
            <w:shd w:val="clear" w:color="000000" w:fill="FFFFFF"/>
            <w:tcMar>
              <w:top w:w="57" w:type="dxa"/>
            </w:tcMar>
            <w:hideMark/>
          </w:tcPr>
          <w:p w14:paraId="5A13E3B2"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Flexibilité des données inscrites au registre international</w:t>
            </w:r>
          </w:p>
        </w:tc>
        <w:tc>
          <w:tcPr>
            <w:tcW w:w="2393" w:type="dxa"/>
            <w:shd w:val="clear" w:color="000000" w:fill="FFFFFF"/>
            <w:tcMar>
              <w:top w:w="57" w:type="dxa"/>
            </w:tcMar>
            <w:hideMark/>
          </w:tcPr>
          <w:p w14:paraId="48131781"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Il est impossible de recevoir, d’enregistrer, d’extraire et de communiquer ni des données axées sur les dessins ou modèles, ni des données en caractères autres que latins (fin 2016)</w:t>
            </w:r>
          </w:p>
        </w:tc>
        <w:tc>
          <w:tcPr>
            <w:tcW w:w="2393" w:type="dxa"/>
            <w:shd w:val="clear" w:color="000000" w:fill="FFFFFF"/>
            <w:tcMar>
              <w:top w:w="57" w:type="dxa"/>
            </w:tcMar>
            <w:hideMark/>
          </w:tcPr>
          <w:p w14:paraId="1F7982A9"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Il est possible de recevoir, d’enregistrer, d’extraire et de communiquer des données axées sur les dessins ou modèles, y compris en caractères autres que latins</w:t>
            </w:r>
          </w:p>
        </w:tc>
      </w:tr>
      <w:tr w:rsidR="006B3B76" w:rsidRPr="00317BF3" w14:paraId="47792C4E" w14:textId="77777777" w:rsidTr="006B3B76">
        <w:trPr>
          <w:cantSplit/>
        </w:trPr>
        <w:tc>
          <w:tcPr>
            <w:tcW w:w="2392" w:type="dxa"/>
            <w:shd w:val="clear" w:color="000000" w:fill="FFFFFF"/>
            <w:tcMar>
              <w:top w:w="57" w:type="dxa"/>
            </w:tcMar>
            <w:hideMark/>
          </w:tcPr>
          <w:p w14:paraId="0A5CAD7C"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w:t>
            </w:r>
          </w:p>
        </w:tc>
        <w:tc>
          <w:tcPr>
            <w:tcW w:w="2393" w:type="dxa"/>
            <w:shd w:val="clear" w:color="000000" w:fill="FFFFFF"/>
            <w:tcMar>
              <w:top w:w="57" w:type="dxa"/>
            </w:tcMar>
            <w:hideMark/>
          </w:tcPr>
          <w:p w14:paraId="2078190F"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 xml:space="preserve">Nombre d’offices qui communiquent entièrement par voie électronique, y compris pour l’utilisation des données structurées </w:t>
            </w:r>
          </w:p>
        </w:tc>
        <w:tc>
          <w:tcPr>
            <w:tcW w:w="2393" w:type="dxa"/>
            <w:shd w:val="clear" w:color="000000" w:fill="FFFFFF"/>
            <w:tcMar>
              <w:top w:w="57" w:type="dxa"/>
            </w:tcMar>
            <w:hideMark/>
          </w:tcPr>
          <w:p w14:paraId="3A6611F7"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3 offices sur 6 communiquent entièrement par voie électronique, y compris pour l’utilisation des données structurées, à la fin de 2016.</w:t>
            </w:r>
          </w:p>
        </w:tc>
        <w:tc>
          <w:tcPr>
            <w:tcW w:w="2393" w:type="dxa"/>
            <w:shd w:val="clear" w:color="000000" w:fill="FFFFFF"/>
            <w:tcMar>
              <w:top w:w="57" w:type="dxa"/>
            </w:tcMar>
            <w:hideMark/>
          </w:tcPr>
          <w:p w14:paraId="78CC0F70" w14:textId="77777777" w:rsidR="006B3B76" w:rsidRPr="00317BF3" w:rsidRDefault="006B3B76" w:rsidP="00986700">
            <w:pPr>
              <w:rPr>
                <w:rFonts w:eastAsia="Times New Roman" w:cs="Arial"/>
                <w:sz w:val="16"/>
                <w:szCs w:val="16"/>
                <w:lang w:eastAsia="en-US"/>
              </w:rPr>
            </w:pPr>
            <w:r w:rsidRPr="00317BF3">
              <w:rPr>
                <w:rFonts w:eastAsia="Times New Roman" w:cs="Arial"/>
                <w:sz w:val="16"/>
                <w:szCs w:val="16"/>
                <w:lang w:eastAsia="en-US"/>
              </w:rPr>
              <w:t>6 offices sur 8 communiquent entièrement par voie électronique, y compris pour l’utilisation des données structurées, à la fin de 2019</w:t>
            </w:r>
          </w:p>
        </w:tc>
      </w:tr>
    </w:tbl>
    <w:p w14:paraId="547CEAFA" w14:textId="77777777" w:rsidR="005E30D2" w:rsidRDefault="005E30D2" w:rsidP="00986700"/>
    <w:tbl>
      <w:tblPr>
        <w:tblW w:w="5000" w:type="pct"/>
        <w:tblCellMar>
          <w:top w:w="57" w:type="dxa"/>
          <w:bottom w:w="57" w:type="dxa"/>
        </w:tblCellMar>
        <w:tblLook w:val="01E0" w:firstRow="1" w:lastRow="1" w:firstColumn="1" w:lastColumn="1" w:noHBand="0" w:noVBand="0"/>
      </w:tblPr>
      <w:tblGrid>
        <w:gridCol w:w="9287"/>
      </w:tblGrid>
      <w:tr w:rsidR="005E30D2" w:rsidRPr="00821D15" w14:paraId="1ACC5BEE" w14:textId="77777777" w:rsidTr="00EE0227">
        <w:trPr>
          <w:cantSplit/>
        </w:trPr>
        <w:tc>
          <w:tcPr>
            <w:tcW w:w="9571" w:type="dxa"/>
            <w:shd w:val="clear" w:color="auto" w:fill="C6D9F1" w:themeFill="text2" w:themeFillTint="33"/>
            <w:vAlign w:val="center"/>
          </w:tcPr>
          <w:p w14:paraId="574F5DBF" w14:textId="77777777" w:rsidR="005E30D2" w:rsidRPr="00821D15" w:rsidRDefault="005E30D2" w:rsidP="00986700">
            <w:pPr>
              <w:keepNext/>
              <w:jc w:val="center"/>
              <w:rPr>
                <w:rFonts w:cs="Arial"/>
                <w:b/>
                <w:szCs w:val="20"/>
              </w:rPr>
            </w:pPr>
            <w:r w:rsidRPr="00821D15">
              <w:rPr>
                <w:rFonts w:cs="Arial"/>
                <w:b/>
                <w:szCs w:val="20"/>
              </w:rPr>
              <w:t>Ressources allouées au programme 31</w:t>
            </w:r>
          </w:p>
        </w:tc>
      </w:tr>
    </w:tbl>
    <w:p w14:paraId="2CEF7063" w14:textId="77777777" w:rsidR="005E30D2" w:rsidRPr="00821D15" w:rsidRDefault="005E30D2" w:rsidP="00986700">
      <w:pPr>
        <w:rPr>
          <w:rFonts w:cs="Arial"/>
          <w:szCs w:val="20"/>
        </w:rPr>
      </w:pPr>
    </w:p>
    <w:p w14:paraId="78B73EE8" w14:textId="77777777" w:rsidR="005E30D2" w:rsidRPr="00821D15" w:rsidRDefault="005E30D2" w:rsidP="00616FD3">
      <w:pPr>
        <w:pStyle w:val="ListParagraph"/>
        <w:numPr>
          <w:ilvl w:val="0"/>
          <w:numId w:val="66"/>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hausse de 47,8% par rapport au budget approuvé pour 2016</w:t>
      </w:r>
      <w:r w:rsidRPr="00821D15">
        <w:rPr>
          <w:rFonts w:cs="Arial"/>
          <w:szCs w:val="20"/>
        </w:rPr>
        <w:noBreakHyphen/>
        <w:t>2017.</w:t>
      </w:r>
    </w:p>
    <w:p w14:paraId="28F54C49" w14:textId="77777777" w:rsidR="005E30D2" w:rsidRPr="00821D15" w:rsidRDefault="005E30D2" w:rsidP="00986700">
      <w:pPr>
        <w:rPr>
          <w:rFonts w:cs="Arial"/>
          <w:szCs w:val="20"/>
        </w:rPr>
      </w:pPr>
    </w:p>
    <w:p w14:paraId="657C45B0" w14:textId="77777777" w:rsidR="005E30D2" w:rsidRPr="00821D15" w:rsidRDefault="005E30D2" w:rsidP="00616FD3">
      <w:pPr>
        <w:pStyle w:val="ListParagraph"/>
        <w:numPr>
          <w:ilvl w:val="0"/>
          <w:numId w:val="66"/>
        </w:numPr>
        <w:ind w:left="0" w:firstLine="0"/>
        <w:jc w:val="both"/>
        <w:rPr>
          <w:rFonts w:cs="Arial"/>
          <w:szCs w:val="20"/>
        </w:rPr>
      </w:pPr>
      <w:r w:rsidRPr="00821D15">
        <w:rPr>
          <w:rFonts w:cs="Arial"/>
          <w:szCs w:val="20"/>
        </w:rPr>
        <w:t>L’augmentation des dépenses de personnel et du nombre de postes en 2018</w:t>
      </w:r>
      <w:r w:rsidRPr="00821D15">
        <w:rPr>
          <w:rFonts w:cs="Arial"/>
          <w:szCs w:val="20"/>
        </w:rPr>
        <w:noBreakHyphen/>
        <w:t>2019 par rapport au budget approuvé pour 2016</w:t>
      </w:r>
      <w:r w:rsidRPr="00821D15">
        <w:rPr>
          <w:rFonts w:cs="Arial"/>
          <w:szCs w:val="20"/>
        </w:rPr>
        <w:noBreakHyphen/>
        <w:t>2017 correspond à la régularisation de trois examinateurs pour répondre à la demande linguistique et en matière d’examen à la suite des récentes adhésions, dont il est rendu compte sous le résultat escompté II.3 (utilisation plus large et plus efficace du système de La Haye), et de la création de trois postes pour répondre i) à la complexité juridique accrue du système (résultat escompté II.3), ii) à l’augmentation de la charge de travail des services des opérations de La Haye et iii) à la mise en œuvre du projet de plateforme informatique pour le système de La Haye, dont il est rendu compte sous le résultat escompté II.4 (amélioration de la productivité et de la qualité de service des opérations de La Haye).  En outre, les ressources allouées aux agents temporaires ont augmenté en prévision de nouvelles adhésions, dont il est rendu compte sous le résultat escompté II.3, et pour la mise en œuvre de la plateforme informatique du système de La Haye, dont il est rendu compte sous le résultat escompté II.4.</w:t>
      </w:r>
    </w:p>
    <w:p w14:paraId="6B8A617A" w14:textId="77777777" w:rsidR="005E30D2" w:rsidRPr="00821D15" w:rsidRDefault="005E30D2" w:rsidP="00986700">
      <w:pPr>
        <w:rPr>
          <w:rFonts w:cs="Arial"/>
          <w:szCs w:val="20"/>
        </w:rPr>
      </w:pPr>
    </w:p>
    <w:p w14:paraId="36CA7EC8" w14:textId="77777777" w:rsidR="005E30D2" w:rsidRPr="00821D15" w:rsidRDefault="005E30D2" w:rsidP="00616FD3">
      <w:pPr>
        <w:pStyle w:val="ListParagraph"/>
        <w:numPr>
          <w:ilvl w:val="0"/>
          <w:numId w:val="66"/>
        </w:numPr>
        <w:ind w:left="0" w:firstLine="0"/>
        <w:jc w:val="both"/>
        <w:rPr>
          <w:rFonts w:cs="Arial"/>
          <w:szCs w:val="20"/>
        </w:rPr>
      </w:pPr>
      <w:r w:rsidRPr="00821D15">
        <w:rPr>
          <w:rFonts w:cs="Arial"/>
          <w:szCs w:val="20"/>
        </w:rPr>
        <w:t>L’augmentation des dépenses autres que les dépenses de personnel par rapport au budget approuvé pour 2016</w:t>
      </w:r>
      <w:r w:rsidRPr="00821D15">
        <w:rPr>
          <w:rFonts w:cs="Arial"/>
          <w:szCs w:val="20"/>
        </w:rPr>
        <w:noBreakHyphen/>
        <w:t>2017 correspond à une provision pour la mise en œuvre de la plateforme informatique du système de La Haye, dont il est rendu compte sous le résultat escompté II.4.</w:t>
      </w:r>
    </w:p>
    <w:p w14:paraId="241ADD49" w14:textId="77777777" w:rsidR="00674550" w:rsidRDefault="00674550" w:rsidP="00986700"/>
    <w:p w14:paraId="09F059A2" w14:textId="1E28777F"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31 : </w:t>
      </w:r>
      <w:r w:rsidRPr="00674550">
        <w:rPr>
          <w:rFonts w:eastAsia="Times New Roman" w:cs="Arial"/>
          <w:b/>
          <w:szCs w:val="20"/>
          <w:lang w:eastAsia="en-US"/>
        </w:rPr>
        <w:t>Ressources par résultat</w:t>
      </w:r>
    </w:p>
    <w:p w14:paraId="64AB6401"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5A805B9" w14:textId="77777777" w:rsidR="00674550" w:rsidRDefault="00674550" w:rsidP="00986700"/>
    <w:p w14:paraId="6A272B64" w14:textId="36F8222D" w:rsidR="00717231" w:rsidRDefault="00717231" w:rsidP="00986700">
      <w:pPr>
        <w:jc w:val="center"/>
      </w:pPr>
      <w:r w:rsidRPr="00717231">
        <w:rPr>
          <w:noProof/>
          <w:lang w:val="en-US" w:eastAsia="en-US"/>
        </w:rPr>
        <w:drawing>
          <wp:inline distT="0" distB="0" distL="0" distR="0" wp14:anchorId="58DFA5F9" wp14:editId="4F2A85D3">
            <wp:extent cx="5400000" cy="1369014"/>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5D3039C7" w14:textId="77777777" w:rsidR="00B55ECC" w:rsidRDefault="00B55ECC" w:rsidP="00986700"/>
    <w:p w14:paraId="5DD38FB7"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31</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7537F271" w14:textId="183D4D1A"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7E5CC9D0" w14:textId="77777777" w:rsidR="008778B5" w:rsidRDefault="008778B5" w:rsidP="00986700">
      <w:pPr>
        <w:keepNext/>
        <w:rPr>
          <w:lang w:eastAsia="en-US"/>
        </w:rPr>
      </w:pPr>
    </w:p>
    <w:p w14:paraId="49EF7E56" w14:textId="09EC7DE3" w:rsidR="00B55ECC" w:rsidRDefault="008778B5" w:rsidP="00986700">
      <w:pPr>
        <w:jc w:val="center"/>
        <w:rPr>
          <w:lang w:eastAsia="en-US"/>
        </w:rPr>
      </w:pPr>
      <w:r w:rsidRPr="008778B5">
        <w:rPr>
          <w:noProof/>
          <w:lang w:val="en-US" w:eastAsia="en-US"/>
        </w:rPr>
        <w:drawing>
          <wp:inline distT="0" distB="0" distL="0" distR="0" wp14:anchorId="5EC6EC34" wp14:editId="7638B32D">
            <wp:extent cx="5400000" cy="6031770"/>
            <wp:effectExtent l="0" t="0" r="0" b="762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03CE8CD3" w14:textId="77777777" w:rsidR="00B55ECC" w:rsidRPr="00E16214" w:rsidRDefault="00B55ECC" w:rsidP="00986700">
      <w:pPr>
        <w:rPr>
          <w:lang w:eastAsia="en-US"/>
        </w:rPr>
      </w:pPr>
    </w:p>
    <w:p w14:paraId="3F86C6C5" w14:textId="77777777" w:rsidR="006B3B76" w:rsidRDefault="006B3B76" w:rsidP="00986700">
      <w:pPr>
        <w:rPr>
          <w:rFonts w:ascii="Arial Bold" w:eastAsia="SimSun" w:hAnsi="Arial Bold" w:cs="Arial" w:hint="eastAsia"/>
          <w:b/>
          <w:bCs/>
          <w:caps/>
          <w:kern w:val="32"/>
          <w:sz w:val="22"/>
          <w:szCs w:val="32"/>
          <w:lang w:eastAsia="en-US"/>
        </w:rPr>
      </w:pPr>
      <w:r>
        <w:rPr>
          <w:rFonts w:hint="eastAsia"/>
        </w:rPr>
        <w:br w:type="page"/>
      </w:r>
    </w:p>
    <w:p w14:paraId="6EEE5D35" w14:textId="77777777" w:rsidR="00EB3C9D" w:rsidRPr="00DE6136" w:rsidRDefault="00EB3C9D" w:rsidP="00986700">
      <w:pPr>
        <w:pStyle w:val="Heading3"/>
      </w:pPr>
      <w:bookmarkStart w:id="37" w:name="_Toc480815249"/>
      <w:bookmarkStart w:id="38" w:name="_Toc482979482"/>
      <w:r w:rsidRPr="00DE6136">
        <w:lastRenderedPageBreak/>
        <w:t>Programme 31 Annexe</w:t>
      </w:r>
      <w:r>
        <w:t xml:space="preserve"> : </w:t>
      </w:r>
      <w:r w:rsidRPr="00DE6136">
        <w:tab/>
        <w:t xml:space="preserve">Indicateurs relatifs aux opérations du système de </w:t>
      </w:r>
      <w:r>
        <w:t>La Haye</w:t>
      </w:r>
      <w:bookmarkEnd w:id="37"/>
      <w:bookmarkEnd w:id="38"/>
    </w:p>
    <w:p w14:paraId="497A9BBC" w14:textId="77777777" w:rsidR="00EB3C9D" w:rsidRPr="00DE6136" w:rsidRDefault="00EB3C9D" w:rsidP="00986700">
      <w:pPr>
        <w:rPr>
          <w:rFonts w:asciiTheme="minorBidi" w:hAnsiTheme="minorBidi"/>
          <w:bCs/>
          <w:szCs w:val="20"/>
        </w:rPr>
      </w:pPr>
    </w:p>
    <w:p w14:paraId="7FB56145" w14:textId="77777777" w:rsidR="00EB3C9D" w:rsidRPr="00DE6136" w:rsidRDefault="00EB3C9D" w:rsidP="00986700">
      <w:pPr>
        <w:rPr>
          <w:rFonts w:asciiTheme="minorBidi" w:hAnsiTheme="minorBidi"/>
          <w:bCs/>
          <w:szCs w:val="20"/>
        </w:rPr>
      </w:pPr>
    </w:p>
    <w:p w14:paraId="6C619C6F" w14:textId="77777777" w:rsidR="00EB3C9D" w:rsidRPr="00DE6136" w:rsidRDefault="00EB3C9D" w:rsidP="00986700">
      <w:pPr>
        <w:rPr>
          <w:rFonts w:asciiTheme="minorBidi" w:hAnsiTheme="minorBidi"/>
          <w:szCs w:val="20"/>
        </w:rPr>
      </w:pPr>
      <w:r w:rsidRPr="00DE6136">
        <w:rPr>
          <w:rFonts w:asciiTheme="minorBidi" w:hAnsiTheme="minorBidi"/>
          <w:szCs w:val="20"/>
        </w:rPr>
        <w:t>INDICATEURS D</w:t>
      </w:r>
      <w:r>
        <w:rPr>
          <w:rFonts w:asciiTheme="minorBidi" w:hAnsiTheme="minorBidi"/>
          <w:szCs w:val="20"/>
        </w:rPr>
        <w:t>’</w:t>
      </w:r>
      <w:r w:rsidRPr="00DE6136">
        <w:rPr>
          <w:rFonts w:asciiTheme="minorBidi" w:hAnsiTheme="minorBidi"/>
          <w:szCs w:val="20"/>
        </w:rPr>
        <w:t xml:space="preserve">EXÉCUTION POUR LE RÉSULTAT ESCOMPTÉ </w:t>
      </w:r>
      <w:r w:rsidRPr="00DE6136">
        <w:rPr>
          <w:rFonts w:asciiTheme="minorBidi" w:hAnsiTheme="minorBidi"/>
          <w:szCs w:val="20"/>
        </w:rPr>
        <w:br/>
        <w:t xml:space="preserve">“AMÉLIORATION DE LA PRODUCTIVITÉ ET DE LA QUALITÉ DE SERVICE DES OPÉRATIONS DU SYSTÈME DE </w:t>
      </w:r>
      <w:r>
        <w:rPr>
          <w:rFonts w:asciiTheme="minorBidi" w:hAnsiTheme="minorBidi"/>
          <w:szCs w:val="20"/>
        </w:rPr>
        <w:t>LA HAYE</w:t>
      </w:r>
      <w:r w:rsidRPr="00DE6136">
        <w:rPr>
          <w:rFonts w:asciiTheme="minorBidi" w:hAnsiTheme="minorBidi"/>
          <w:szCs w:val="20"/>
        </w:rPr>
        <w:t>”</w:t>
      </w:r>
    </w:p>
    <w:p w14:paraId="77BB3EA3" w14:textId="77777777" w:rsidR="00EB3C9D" w:rsidRPr="00DE6136" w:rsidRDefault="00EB3C9D" w:rsidP="00986700">
      <w:pPr>
        <w:rPr>
          <w:rFonts w:asciiTheme="minorBidi" w:hAnsiTheme="minorBidi"/>
          <w:szCs w:val="20"/>
        </w:rPr>
      </w:pPr>
    </w:p>
    <w:p w14:paraId="655EFE34" w14:textId="3C147713" w:rsidR="00EB3C9D" w:rsidRPr="00DE6136" w:rsidRDefault="00754E40" w:rsidP="00616FD3">
      <w:pPr>
        <w:pStyle w:val="ListParagraph"/>
        <w:numPr>
          <w:ilvl w:val="0"/>
          <w:numId w:val="49"/>
        </w:numPr>
        <w:tabs>
          <w:tab w:val="left" w:pos="0"/>
          <w:tab w:val="left" w:pos="567"/>
        </w:tabs>
        <w:ind w:left="0" w:firstLine="0"/>
        <w:jc w:val="both"/>
        <w:rPr>
          <w:rFonts w:asciiTheme="minorBidi" w:hAnsiTheme="minorBidi"/>
          <w:szCs w:val="20"/>
        </w:rPr>
      </w:pPr>
      <w:r>
        <w:rPr>
          <w:rFonts w:asciiTheme="minorBidi" w:hAnsiTheme="minorBidi"/>
          <w:szCs w:val="20"/>
        </w:rPr>
        <w:t>À titre d’introduction en ce qui concerne</w:t>
      </w:r>
      <w:r w:rsidR="00EB3C9D" w:rsidRPr="00DE6136">
        <w:rPr>
          <w:rFonts w:asciiTheme="minorBidi" w:hAnsiTheme="minorBidi"/>
          <w:szCs w:val="20"/>
        </w:rPr>
        <w:t xml:space="preserve"> les indicateurs d</w:t>
      </w:r>
      <w:r w:rsidR="00EB3C9D">
        <w:rPr>
          <w:rFonts w:asciiTheme="minorBidi" w:hAnsiTheme="minorBidi"/>
          <w:szCs w:val="20"/>
        </w:rPr>
        <w:t>’</w:t>
      </w:r>
      <w:r w:rsidR="00EB3C9D" w:rsidRPr="00DE6136">
        <w:rPr>
          <w:rFonts w:asciiTheme="minorBidi" w:hAnsiTheme="minorBidi"/>
          <w:szCs w:val="20"/>
        </w:rPr>
        <w:t xml:space="preserve">exécution pour le résultat escompté “Amélioration de la productivité et de la qualité de service des opérations du système de </w:t>
      </w:r>
      <w:r w:rsidR="00EB3C9D">
        <w:rPr>
          <w:rFonts w:asciiTheme="minorBidi" w:hAnsiTheme="minorBidi"/>
          <w:szCs w:val="20"/>
        </w:rPr>
        <w:t>La Haye</w:t>
      </w:r>
      <w:r w:rsidR="00EB3C9D" w:rsidRPr="00DE6136">
        <w:rPr>
          <w:rFonts w:asciiTheme="minorBidi" w:hAnsiTheme="minorBidi"/>
          <w:szCs w:val="20"/>
        </w:rPr>
        <w:t xml:space="preserve">”, il </w:t>
      </w:r>
      <w:r>
        <w:rPr>
          <w:rFonts w:asciiTheme="minorBidi" w:hAnsiTheme="minorBidi"/>
          <w:szCs w:val="20"/>
        </w:rPr>
        <w:t>y a lieu</w:t>
      </w:r>
      <w:r w:rsidR="00EB3C9D" w:rsidRPr="00DE6136">
        <w:rPr>
          <w:rFonts w:asciiTheme="minorBidi" w:hAnsiTheme="minorBidi"/>
          <w:szCs w:val="20"/>
        </w:rPr>
        <w:t xml:space="preserve"> d</w:t>
      </w:r>
      <w:r w:rsidR="00EB3C9D">
        <w:rPr>
          <w:rFonts w:asciiTheme="minorBidi" w:hAnsiTheme="minorBidi"/>
          <w:szCs w:val="20"/>
        </w:rPr>
        <w:t>’</w:t>
      </w:r>
      <w:r w:rsidR="00EB3C9D" w:rsidRPr="00DE6136">
        <w:rPr>
          <w:rFonts w:asciiTheme="minorBidi" w:hAnsiTheme="minorBidi"/>
          <w:szCs w:val="20"/>
        </w:rPr>
        <w:t>examiner l</w:t>
      </w:r>
      <w:r w:rsidR="00EB3C9D">
        <w:rPr>
          <w:rFonts w:asciiTheme="minorBidi" w:hAnsiTheme="minorBidi"/>
          <w:szCs w:val="20"/>
        </w:rPr>
        <w:t>’</w:t>
      </w:r>
      <w:r w:rsidR="00EB3C9D" w:rsidRPr="00DE6136">
        <w:rPr>
          <w:rFonts w:asciiTheme="minorBidi" w:hAnsiTheme="minorBidi"/>
          <w:szCs w:val="20"/>
        </w:rPr>
        <w:t xml:space="preserve">évolution des </w:t>
      </w:r>
      <w:r>
        <w:rPr>
          <w:rFonts w:asciiTheme="minorBidi" w:hAnsiTheme="minorBidi"/>
          <w:szCs w:val="20"/>
        </w:rPr>
        <w:t>facteur</w:t>
      </w:r>
      <w:r w:rsidR="00EB3C9D" w:rsidRPr="00DE6136">
        <w:rPr>
          <w:rFonts w:asciiTheme="minorBidi" w:hAnsiTheme="minorBidi"/>
          <w:szCs w:val="20"/>
        </w:rPr>
        <w:t>s suivants</w:t>
      </w:r>
      <w:r w:rsidR="00EB3C9D">
        <w:rPr>
          <w:rFonts w:asciiTheme="minorBidi" w:hAnsiTheme="minorBidi"/>
          <w:szCs w:val="20"/>
        </w:rPr>
        <w:t> :</w:t>
      </w:r>
    </w:p>
    <w:p w14:paraId="084B0F00" w14:textId="77777777" w:rsidR="00EB3C9D" w:rsidRPr="00DE6136" w:rsidRDefault="00EB3C9D" w:rsidP="00986700">
      <w:pPr>
        <w:pStyle w:val="ListParagraph"/>
        <w:tabs>
          <w:tab w:val="left" w:pos="0"/>
          <w:tab w:val="left" w:pos="567"/>
        </w:tabs>
        <w:ind w:left="0"/>
        <w:jc w:val="both"/>
        <w:rPr>
          <w:rFonts w:asciiTheme="minorBidi" w:hAnsiTheme="minorBidi"/>
          <w:szCs w:val="20"/>
        </w:rPr>
      </w:pPr>
    </w:p>
    <w:p w14:paraId="428B1B03" w14:textId="77777777" w:rsidR="00EB3C9D" w:rsidRPr="00DE6136" w:rsidRDefault="00EB3C9D" w:rsidP="00616FD3">
      <w:pPr>
        <w:numPr>
          <w:ilvl w:val="0"/>
          <w:numId w:val="43"/>
        </w:numPr>
        <w:tabs>
          <w:tab w:val="clear" w:pos="720"/>
          <w:tab w:val="num" w:pos="1134"/>
        </w:tabs>
        <w:spacing w:after="120"/>
        <w:ind w:left="567" w:firstLine="0"/>
        <w:jc w:val="both"/>
        <w:rPr>
          <w:rFonts w:asciiTheme="minorBidi" w:hAnsiTheme="minorBidi"/>
          <w:szCs w:val="20"/>
        </w:rPr>
      </w:pPr>
      <w:r w:rsidRPr="00DE6136">
        <w:rPr>
          <w:rFonts w:asciiTheme="minorBidi" w:hAnsiTheme="minorBidi"/>
          <w:szCs w:val="20"/>
        </w:rPr>
        <w:t xml:space="preserve">la charge de travail dans le cadre du système de </w:t>
      </w:r>
      <w:r>
        <w:rPr>
          <w:rFonts w:asciiTheme="minorBidi" w:hAnsiTheme="minorBidi"/>
          <w:szCs w:val="20"/>
        </w:rPr>
        <w:t>La Haye</w:t>
      </w:r>
      <w:r w:rsidRPr="00DE6136">
        <w:rPr>
          <w:rFonts w:asciiTheme="minorBidi" w:hAnsiTheme="minorBidi"/>
          <w:szCs w:val="20"/>
        </w:rPr>
        <w:t>;</w:t>
      </w:r>
    </w:p>
    <w:p w14:paraId="6D981BC7" w14:textId="0BC928A0" w:rsidR="00EB3C9D" w:rsidRPr="00DE6136" w:rsidRDefault="00EB3C9D" w:rsidP="00616FD3">
      <w:pPr>
        <w:numPr>
          <w:ilvl w:val="0"/>
          <w:numId w:val="43"/>
        </w:numPr>
        <w:tabs>
          <w:tab w:val="clear" w:pos="720"/>
          <w:tab w:val="num" w:pos="1134"/>
        </w:tabs>
        <w:spacing w:after="120"/>
        <w:ind w:left="567" w:firstLine="0"/>
        <w:jc w:val="both"/>
        <w:rPr>
          <w:rFonts w:asciiTheme="minorBidi" w:hAnsiTheme="minorBidi"/>
          <w:szCs w:val="20"/>
        </w:rPr>
      </w:pPr>
      <w:r w:rsidRPr="00DE6136">
        <w:rPr>
          <w:rFonts w:asciiTheme="minorBidi" w:hAnsiTheme="minorBidi"/>
          <w:szCs w:val="20"/>
        </w:rPr>
        <w:t>l</w:t>
      </w:r>
      <w:r w:rsidR="00754E40">
        <w:rPr>
          <w:rFonts w:asciiTheme="minorBidi" w:hAnsiTheme="minorBidi"/>
          <w:szCs w:val="20"/>
        </w:rPr>
        <w:t>a composition de</w:t>
      </w:r>
      <w:r w:rsidRPr="00DE6136">
        <w:rPr>
          <w:rFonts w:asciiTheme="minorBidi" w:hAnsiTheme="minorBidi"/>
          <w:szCs w:val="20"/>
        </w:rPr>
        <w:t xml:space="preserve"> cette charge de travail;</w:t>
      </w:r>
    </w:p>
    <w:p w14:paraId="7F6E8B63" w14:textId="1A36AAF1" w:rsidR="00EB3C9D" w:rsidRPr="00DE6136" w:rsidRDefault="00EB3C9D" w:rsidP="00616FD3">
      <w:pPr>
        <w:numPr>
          <w:ilvl w:val="0"/>
          <w:numId w:val="43"/>
        </w:numPr>
        <w:tabs>
          <w:tab w:val="clear" w:pos="720"/>
          <w:tab w:val="num" w:pos="1134"/>
        </w:tabs>
        <w:spacing w:after="120"/>
        <w:ind w:left="567" w:firstLine="0"/>
        <w:jc w:val="both"/>
        <w:rPr>
          <w:rFonts w:asciiTheme="minorBidi" w:hAnsiTheme="minorBidi"/>
          <w:szCs w:val="20"/>
        </w:rPr>
      </w:pPr>
      <w:r w:rsidRPr="00DE6136">
        <w:rPr>
          <w:rFonts w:asciiTheme="minorBidi" w:hAnsiTheme="minorBidi"/>
          <w:szCs w:val="20"/>
        </w:rPr>
        <w:t xml:space="preserve">le </w:t>
      </w:r>
      <w:r w:rsidR="00754E40">
        <w:rPr>
          <w:rFonts w:asciiTheme="minorBidi" w:hAnsiTheme="minorBidi"/>
          <w:szCs w:val="20"/>
        </w:rPr>
        <w:t>niveau</w:t>
      </w:r>
      <w:r w:rsidRPr="00DE6136">
        <w:rPr>
          <w:rFonts w:asciiTheme="minorBidi" w:hAnsiTheme="minorBidi"/>
          <w:szCs w:val="20"/>
        </w:rPr>
        <w:t xml:space="preserve"> d</w:t>
      </w:r>
      <w:r>
        <w:rPr>
          <w:rFonts w:asciiTheme="minorBidi" w:hAnsiTheme="minorBidi"/>
          <w:szCs w:val="20"/>
        </w:rPr>
        <w:t>’</w:t>
      </w:r>
      <w:r w:rsidRPr="00DE6136">
        <w:rPr>
          <w:rFonts w:asciiTheme="minorBidi" w:hAnsiTheme="minorBidi"/>
          <w:szCs w:val="20"/>
        </w:rPr>
        <w:t xml:space="preserve">automatisation; </w:t>
      </w:r>
      <w:r>
        <w:rPr>
          <w:rFonts w:asciiTheme="minorBidi" w:hAnsiTheme="minorBidi"/>
          <w:szCs w:val="20"/>
        </w:rPr>
        <w:t xml:space="preserve"> </w:t>
      </w:r>
      <w:r w:rsidRPr="00DE6136">
        <w:rPr>
          <w:rFonts w:asciiTheme="minorBidi" w:hAnsiTheme="minorBidi"/>
          <w:szCs w:val="20"/>
        </w:rPr>
        <w:t>et</w:t>
      </w:r>
    </w:p>
    <w:p w14:paraId="4EE65CF6" w14:textId="77777777" w:rsidR="00EB3C9D" w:rsidRPr="00DE6136" w:rsidRDefault="00EB3C9D" w:rsidP="00616FD3">
      <w:pPr>
        <w:numPr>
          <w:ilvl w:val="0"/>
          <w:numId w:val="43"/>
        </w:numPr>
        <w:tabs>
          <w:tab w:val="clear" w:pos="720"/>
          <w:tab w:val="num" w:pos="1134"/>
        </w:tabs>
        <w:ind w:left="567" w:firstLine="0"/>
        <w:jc w:val="both"/>
        <w:rPr>
          <w:rFonts w:asciiTheme="minorBidi" w:hAnsiTheme="minorBidi"/>
          <w:szCs w:val="20"/>
        </w:rPr>
      </w:pPr>
      <w:r w:rsidRPr="00DE6136">
        <w:rPr>
          <w:rFonts w:asciiTheme="minorBidi" w:hAnsiTheme="minorBidi"/>
          <w:szCs w:val="20"/>
        </w:rPr>
        <w:t>les ressources prévues pour absorber la charge de travail.</w:t>
      </w:r>
    </w:p>
    <w:p w14:paraId="768916EA" w14:textId="77777777" w:rsidR="00EB3C9D" w:rsidRPr="00DE6136" w:rsidRDefault="00EB3C9D" w:rsidP="00986700">
      <w:pPr>
        <w:jc w:val="both"/>
        <w:rPr>
          <w:rFonts w:asciiTheme="minorBidi" w:hAnsiTheme="minorBidi"/>
          <w:szCs w:val="20"/>
        </w:rPr>
      </w:pPr>
    </w:p>
    <w:p w14:paraId="04410F24" w14:textId="0518BE64"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Le Bureau international reçoit essentiellement quatre</w:t>
      </w:r>
      <w:r>
        <w:rPr>
          <w:rFonts w:asciiTheme="minorBidi" w:hAnsiTheme="minorBidi"/>
          <w:szCs w:val="20"/>
        </w:rPr>
        <w:t> </w:t>
      </w:r>
      <w:r w:rsidRPr="00DE6136">
        <w:rPr>
          <w:rFonts w:asciiTheme="minorBidi" w:hAnsiTheme="minorBidi"/>
          <w:szCs w:val="20"/>
        </w:rPr>
        <w:t xml:space="preserve">types de documents, </w:t>
      </w:r>
      <w:r>
        <w:rPr>
          <w:rFonts w:asciiTheme="minorBidi" w:hAnsiTheme="minorBidi"/>
          <w:szCs w:val="20"/>
        </w:rPr>
        <w:t>à savoir</w:t>
      </w:r>
      <w:r w:rsidRPr="00DE6136">
        <w:rPr>
          <w:rFonts w:asciiTheme="minorBidi" w:hAnsiTheme="minorBidi"/>
          <w:szCs w:val="20"/>
        </w:rPr>
        <w:t xml:space="preserve"> les demandes internationales, les demandes de renouvellement, les requêtes en inscription de changements et les décisions.  Les dernières tendances concernant chacun de ces documents sont indiquées ci</w:t>
      </w:r>
      <w:r w:rsidR="00B441CA">
        <w:rPr>
          <w:rFonts w:asciiTheme="minorBidi" w:hAnsiTheme="minorBidi"/>
          <w:szCs w:val="20"/>
        </w:rPr>
        <w:noBreakHyphen/>
      </w:r>
      <w:r w:rsidRPr="00DE6136">
        <w:rPr>
          <w:rFonts w:asciiTheme="minorBidi" w:hAnsiTheme="minorBidi"/>
          <w:szCs w:val="20"/>
        </w:rPr>
        <w:t>après.  Des informations supplémentaires sur les demandes reçues, telles que le nombre moyen de dessins ou modèles par demande, sont également fournies.  Pour des raisons techniques, les données fournies dans l</w:t>
      </w:r>
      <w:r>
        <w:rPr>
          <w:rFonts w:asciiTheme="minorBidi" w:hAnsiTheme="minorBidi"/>
          <w:szCs w:val="20"/>
        </w:rPr>
        <w:t>’</w:t>
      </w:r>
      <w:r w:rsidRPr="00DE6136">
        <w:rPr>
          <w:rFonts w:asciiTheme="minorBidi" w:hAnsiTheme="minorBidi"/>
          <w:szCs w:val="20"/>
        </w:rPr>
        <w:t>indicateur relatif aux irrégularités sont fondées sur les documents traités plutôt que sur les documents reçus.</w:t>
      </w:r>
    </w:p>
    <w:p w14:paraId="4EEE7C6B" w14:textId="77777777" w:rsidR="00EB3C9D" w:rsidRPr="00DE6136" w:rsidRDefault="00EB3C9D" w:rsidP="00986700">
      <w:pPr>
        <w:pStyle w:val="ListParagraph"/>
        <w:tabs>
          <w:tab w:val="left" w:pos="0"/>
          <w:tab w:val="left" w:pos="567"/>
        </w:tabs>
        <w:ind w:left="0"/>
        <w:jc w:val="both"/>
        <w:rPr>
          <w:rFonts w:asciiTheme="minorBidi" w:hAnsiTheme="minorBidi"/>
          <w:szCs w:val="20"/>
        </w:rPr>
      </w:pPr>
    </w:p>
    <w:p w14:paraId="2E27F262" w14:textId="77777777" w:rsidR="00EB3C9D" w:rsidRPr="00DE6136" w:rsidRDefault="00EB3C9D" w:rsidP="00986700">
      <w:pPr>
        <w:tabs>
          <w:tab w:val="left" w:pos="567"/>
        </w:tabs>
        <w:spacing w:before="120" w:after="240"/>
        <w:rPr>
          <w:rFonts w:asciiTheme="minorBidi" w:hAnsiTheme="minorBidi"/>
          <w:b/>
          <w:szCs w:val="20"/>
        </w:rPr>
      </w:pPr>
      <w:r w:rsidRPr="00DE6136">
        <w:rPr>
          <w:rFonts w:asciiTheme="minorBidi" w:hAnsiTheme="minorBidi"/>
          <w:b/>
          <w:szCs w:val="20"/>
        </w:rPr>
        <w:t>I.</w:t>
      </w:r>
      <w:r w:rsidRPr="00DE6136">
        <w:rPr>
          <w:rFonts w:asciiTheme="minorBidi" w:hAnsiTheme="minorBidi"/>
          <w:b/>
          <w:szCs w:val="20"/>
        </w:rPr>
        <w:tab/>
        <w:t>Documents reçus</w:t>
      </w:r>
    </w:p>
    <w:p w14:paraId="4D8A6774" w14:textId="77777777" w:rsidR="00EB3C9D" w:rsidRPr="00DE6136" w:rsidRDefault="00EB3C9D" w:rsidP="00986700">
      <w:pPr>
        <w:rPr>
          <w:rFonts w:asciiTheme="minorBidi" w:hAnsiTheme="minorBidi"/>
          <w:szCs w:val="20"/>
          <w:u w:val="single"/>
        </w:rPr>
      </w:pPr>
      <w:r w:rsidRPr="00DE6136">
        <w:rPr>
          <w:rFonts w:asciiTheme="minorBidi" w:hAnsiTheme="minorBidi"/>
          <w:szCs w:val="20"/>
          <w:u w:val="single"/>
        </w:rPr>
        <w:t>Demandes reçues</w:t>
      </w:r>
    </w:p>
    <w:p w14:paraId="59106F17" w14:textId="77777777" w:rsidR="00EB3C9D" w:rsidRPr="00DE6136" w:rsidRDefault="00EB3C9D" w:rsidP="00986700">
      <w:pPr>
        <w:spacing w:before="120" w:after="240"/>
        <w:jc w:val="center"/>
        <w:rPr>
          <w:rFonts w:asciiTheme="minorBidi" w:hAnsiTheme="minorBidi"/>
          <w:szCs w:val="20"/>
        </w:rPr>
      </w:pPr>
      <w:r w:rsidRPr="00477FB1">
        <w:rPr>
          <w:noProof/>
          <w:lang w:val="en-US" w:eastAsia="en-US"/>
        </w:rPr>
        <w:drawing>
          <wp:inline distT="0" distB="0" distL="0" distR="0" wp14:anchorId="547AC778" wp14:editId="05432682">
            <wp:extent cx="4680000" cy="31111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80000" cy="3111175"/>
                    </a:xfrm>
                    <a:prstGeom prst="rect">
                      <a:avLst/>
                    </a:prstGeom>
                    <a:noFill/>
                    <a:ln>
                      <a:noFill/>
                    </a:ln>
                  </pic:spPr>
                </pic:pic>
              </a:graphicData>
            </a:graphic>
          </wp:inline>
        </w:drawing>
      </w:r>
    </w:p>
    <w:p w14:paraId="6682A45D" w14:textId="7CC8BA35"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le Bureau international a reçu 5562 demandes internationales, soit une hausse de 35% par rapport à 2015.  Outre les demandes de l</w:t>
      </w:r>
      <w:r>
        <w:rPr>
          <w:rFonts w:asciiTheme="minorBidi" w:hAnsiTheme="minorBidi"/>
          <w:szCs w:val="20"/>
        </w:rPr>
        <w:t>’</w:t>
      </w:r>
      <w:r w:rsidRPr="00DE6136">
        <w:rPr>
          <w:rFonts w:asciiTheme="minorBidi" w:hAnsiTheme="minorBidi"/>
          <w:szCs w:val="20"/>
        </w:rPr>
        <w:t>Union européenne (+186 demandes), celles de la République de Corée (+747 demandes), du Japon (+220 demandes) et des États</w:t>
      </w:r>
      <w:r w:rsidR="00B441CA">
        <w:rPr>
          <w:rFonts w:asciiTheme="minorBidi" w:hAnsiTheme="minorBidi"/>
          <w:szCs w:val="20"/>
        </w:rPr>
        <w:noBreakHyphen/>
      </w:r>
      <w:r w:rsidRPr="00DE6136">
        <w:rPr>
          <w:rFonts w:asciiTheme="minorBidi" w:hAnsiTheme="minorBidi"/>
          <w:szCs w:val="20"/>
        </w:rPr>
        <w:t>Unis d</w:t>
      </w:r>
      <w:r>
        <w:rPr>
          <w:rFonts w:asciiTheme="minorBidi" w:hAnsiTheme="minorBidi"/>
          <w:szCs w:val="20"/>
        </w:rPr>
        <w:t>’</w:t>
      </w:r>
      <w:r w:rsidRPr="00DE6136">
        <w:rPr>
          <w:rFonts w:asciiTheme="minorBidi" w:hAnsiTheme="minorBidi"/>
          <w:szCs w:val="20"/>
        </w:rPr>
        <w:t>Amérique (+211 demandes), qui ont tous les trois</w:t>
      </w:r>
      <w:r>
        <w:rPr>
          <w:rFonts w:asciiTheme="minorBidi" w:hAnsiTheme="minorBidi"/>
          <w:szCs w:val="20"/>
        </w:rPr>
        <w:t> </w:t>
      </w:r>
      <w:r w:rsidRPr="00DE6136">
        <w:rPr>
          <w:rFonts w:asciiTheme="minorBidi" w:hAnsiTheme="minorBidi"/>
          <w:szCs w:val="20"/>
        </w:rPr>
        <w:t xml:space="preserve">adhéré au système de </w:t>
      </w:r>
      <w:r>
        <w:rPr>
          <w:rFonts w:asciiTheme="minorBidi" w:hAnsiTheme="minorBidi"/>
          <w:szCs w:val="20"/>
        </w:rPr>
        <w:t>La Haye</w:t>
      </w:r>
      <w:r w:rsidRPr="00DE6136">
        <w:rPr>
          <w:rFonts w:asciiTheme="minorBidi" w:hAnsiTheme="minorBidi"/>
          <w:szCs w:val="20"/>
        </w:rPr>
        <w:t xml:space="preserve"> en 2014</w:t>
      </w:r>
      <w:r w:rsidR="00B441CA">
        <w:rPr>
          <w:rFonts w:asciiTheme="minorBidi" w:hAnsiTheme="minorBidi"/>
          <w:szCs w:val="20"/>
        </w:rPr>
        <w:noBreakHyphen/>
      </w:r>
      <w:r w:rsidRPr="00DE6136">
        <w:rPr>
          <w:rFonts w:asciiTheme="minorBidi" w:hAnsiTheme="minorBidi"/>
          <w:szCs w:val="20"/>
        </w:rPr>
        <w:t>2015, ont également contribué à cette hausse.</w:t>
      </w:r>
    </w:p>
    <w:p w14:paraId="3CE869EA" w14:textId="77777777" w:rsidR="00EB3C9D" w:rsidRPr="00DE6136" w:rsidRDefault="00EB3C9D" w:rsidP="00986700">
      <w:pPr>
        <w:ind w:left="1134"/>
        <w:jc w:val="both"/>
        <w:rPr>
          <w:rFonts w:asciiTheme="minorBidi" w:hAnsiTheme="minorBidi"/>
          <w:szCs w:val="20"/>
        </w:rPr>
      </w:pPr>
    </w:p>
    <w:p w14:paraId="6927F1B1" w14:textId="617E6254" w:rsidR="00EB3C9D" w:rsidRPr="00EB3C9D" w:rsidRDefault="00EB3C9D" w:rsidP="00616FD3">
      <w:pPr>
        <w:numPr>
          <w:ilvl w:val="0"/>
          <w:numId w:val="43"/>
        </w:numPr>
        <w:tabs>
          <w:tab w:val="clear" w:pos="720"/>
          <w:tab w:val="num" w:pos="1134"/>
        </w:tabs>
        <w:ind w:left="1134" w:hanging="567"/>
        <w:jc w:val="both"/>
        <w:rPr>
          <w:rFonts w:asciiTheme="minorBidi" w:hAnsiTheme="minorBidi"/>
          <w:i/>
          <w:szCs w:val="20"/>
        </w:rPr>
      </w:pPr>
      <w:r w:rsidRPr="00EB3C9D">
        <w:rPr>
          <w:rFonts w:asciiTheme="minorBidi" w:hAnsiTheme="minorBidi"/>
          <w:szCs w:val="20"/>
        </w:rPr>
        <w:t>En 2016, 94% des demandes ont été déposées par voie électronique, ce qui représente une hausse de 13 points de pourcentage par rapport à 2012.</w:t>
      </w:r>
      <w:r w:rsidRPr="00EB3C9D">
        <w:rPr>
          <w:rFonts w:asciiTheme="minorBidi" w:hAnsiTheme="minorBidi"/>
          <w:i/>
          <w:szCs w:val="20"/>
        </w:rPr>
        <w:br w:type="page"/>
      </w:r>
    </w:p>
    <w:p w14:paraId="579F70FA" w14:textId="0B76D722" w:rsidR="00EB3C9D" w:rsidRPr="00DE6136" w:rsidRDefault="00EB3C9D" w:rsidP="00986700">
      <w:pPr>
        <w:keepNext/>
        <w:keepLines/>
        <w:rPr>
          <w:rFonts w:asciiTheme="minorBidi" w:hAnsiTheme="minorBidi"/>
          <w:i/>
          <w:szCs w:val="20"/>
        </w:rPr>
      </w:pPr>
      <w:r w:rsidRPr="00DE6136">
        <w:rPr>
          <w:rFonts w:asciiTheme="minorBidi" w:hAnsiTheme="minorBidi"/>
          <w:i/>
          <w:szCs w:val="20"/>
        </w:rPr>
        <w:lastRenderedPageBreak/>
        <w:t>Nombre moyen de dessins ou modèles par demande</w:t>
      </w:r>
    </w:p>
    <w:p w14:paraId="097EFECA" w14:textId="77777777" w:rsidR="00EB3C9D" w:rsidRPr="00DE6136" w:rsidRDefault="00EB3C9D" w:rsidP="00986700">
      <w:pPr>
        <w:keepNext/>
        <w:keepLines/>
        <w:jc w:val="center"/>
        <w:rPr>
          <w:rFonts w:asciiTheme="minorBidi" w:hAnsiTheme="minorBidi"/>
          <w:i/>
          <w:szCs w:val="20"/>
        </w:rPr>
      </w:pPr>
      <w:r w:rsidRPr="00477FB1">
        <w:rPr>
          <w:noProof/>
          <w:lang w:val="en-US" w:eastAsia="en-US"/>
        </w:rPr>
        <w:drawing>
          <wp:inline distT="0" distB="0" distL="0" distR="0" wp14:anchorId="7C290085" wp14:editId="4C05F077">
            <wp:extent cx="4680000" cy="313245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80000" cy="3132459"/>
                    </a:xfrm>
                    <a:prstGeom prst="rect">
                      <a:avLst/>
                    </a:prstGeom>
                    <a:noFill/>
                    <a:ln>
                      <a:noFill/>
                    </a:ln>
                  </pic:spPr>
                </pic:pic>
              </a:graphicData>
            </a:graphic>
          </wp:inline>
        </w:drawing>
      </w:r>
    </w:p>
    <w:p w14:paraId="68014633" w14:textId="77777777" w:rsidR="00EB3C9D" w:rsidRPr="00DE6136" w:rsidRDefault="00EB3C9D" w:rsidP="00986700">
      <w:pPr>
        <w:keepNext/>
        <w:keepLines/>
        <w:tabs>
          <w:tab w:val="left" w:pos="1134"/>
        </w:tabs>
        <w:jc w:val="center"/>
        <w:rPr>
          <w:rFonts w:asciiTheme="minorBidi" w:hAnsiTheme="minorBidi"/>
          <w:szCs w:val="20"/>
        </w:rPr>
      </w:pPr>
    </w:p>
    <w:p w14:paraId="13EF02EC"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une demande contenait en moyenne 3,4 dessins ou modèles, ce qui confirme la tendance à la baisse.</w:t>
      </w:r>
    </w:p>
    <w:p w14:paraId="534FDCE4" w14:textId="77777777" w:rsidR="00EB3C9D" w:rsidRPr="00DE6136" w:rsidRDefault="00EB3C9D" w:rsidP="00986700">
      <w:pPr>
        <w:ind w:left="1134"/>
        <w:jc w:val="both"/>
        <w:rPr>
          <w:rFonts w:asciiTheme="minorBidi" w:hAnsiTheme="minorBidi"/>
          <w:szCs w:val="20"/>
        </w:rPr>
      </w:pPr>
    </w:p>
    <w:p w14:paraId="39DA09C5" w14:textId="77777777" w:rsidR="00EB3C9D" w:rsidRPr="00DE6136" w:rsidRDefault="00EB3C9D" w:rsidP="00986700">
      <w:pPr>
        <w:keepNext/>
        <w:keepLines/>
        <w:rPr>
          <w:rFonts w:asciiTheme="minorBidi" w:hAnsiTheme="minorBidi"/>
          <w:i/>
          <w:szCs w:val="20"/>
        </w:rPr>
      </w:pPr>
      <w:r w:rsidRPr="00DE6136">
        <w:rPr>
          <w:rFonts w:asciiTheme="minorBidi" w:hAnsiTheme="minorBidi"/>
          <w:i/>
          <w:szCs w:val="20"/>
        </w:rPr>
        <w:t>Nombre moyen de désignations par demande</w:t>
      </w:r>
    </w:p>
    <w:p w14:paraId="5D5A5382" w14:textId="77777777" w:rsidR="00EB3C9D" w:rsidRPr="00DE6136" w:rsidRDefault="00EB3C9D" w:rsidP="00986700">
      <w:pPr>
        <w:pStyle w:val="ListParagraph"/>
        <w:keepNext/>
        <w:keepLines/>
        <w:ind w:left="567"/>
        <w:jc w:val="center"/>
        <w:rPr>
          <w:rFonts w:asciiTheme="minorBidi" w:hAnsiTheme="minorBidi"/>
          <w:i/>
          <w:szCs w:val="20"/>
        </w:rPr>
      </w:pPr>
      <w:r w:rsidRPr="00477FB1">
        <w:rPr>
          <w:noProof/>
          <w:lang w:val="en-US" w:eastAsia="en-US"/>
        </w:rPr>
        <w:drawing>
          <wp:inline distT="0" distB="0" distL="0" distR="0" wp14:anchorId="1AE6F2B4" wp14:editId="28F9A554">
            <wp:extent cx="4680000" cy="313245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80000" cy="3132459"/>
                    </a:xfrm>
                    <a:prstGeom prst="rect">
                      <a:avLst/>
                    </a:prstGeom>
                    <a:noFill/>
                    <a:ln>
                      <a:noFill/>
                    </a:ln>
                  </pic:spPr>
                </pic:pic>
              </a:graphicData>
            </a:graphic>
          </wp:inline>
        </w:drawing>
      </w:r>
    </w:p>
    <w:p w14:paraId="6D427ADD" w14:textId="77777777" w:rsidR="00EB3C9D" w:rsidRPr="00DE6136" w:rsidRDefault="00EB3C9D" w:rsidP="00986700">
      <w:pPr>
        <w:keepNext/>
        <w:keepLines/>
        <w:tabs>
          <w:tab w:val="left" w:pos="1134"/>
        </w:tabs>
        <w:jc w:val="center"/>
        <w:rPr>
          <w:rFonts w:asciiTheme="minorBidi" w:hAnsiTheme="minorBidi"/>
          <w:szCs w:val="20"/>
        </w:rPr>
      </w:pPr>
    </w:p>
    <w:p w14:paraId="2A706BEB"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une demande contenait en moyenne 3,8 désignations.  Depuis 2012, le nombre moyen de désignations par demande a diminué de façon constante.</w:t>
      </w:r>
    </w:p>
    <w:p w14:paraId="35E8E4F9" w14:textId="77777777" w:rsidR="00EB3C9D" w:rsidRPr="00DE6136" w:rsidRDefault="00EB3C9D" w:rsidP="00986700">
      <w:pPr>
        <w:ind w:left="1134"/>
        <w:jc w:val="both"/>
        <w:rPr>
          <w:rFonts w:asciiTheme="minorBidi" w:hAnsiTheme="minorBidi"/>
          <w:szCs w:val="20"/>
        </w:rPr>
      </w:pPr>
    </w:p>
    <w:p w14:paraId="42A4ECB0" w14:textId="77777777" w:rsidR="00EB3C9D" w:rsidRPr="00DE6136" w:rsidRDefault="00EB3C9D" w:rsidP="00986700">
      <w:pPr>
        <w:keepNext/>
        <w:keepLines/>
        <w:rPr>
          <w:rFonts w:asciiTheme="minorBidi" w:hAnsiTheme="minorBidi"/>
          <w:i/>
          <w:szCs w:val="20"/>
        </w:rPr>
      </w:pPr>
      <w:r w:rsidRPr="00DE6136">
        <w:rPr>
          <w:rFonts w:asciiTheme="minorBidi" w:hAnsiTheme="minorBidi"/>
          <w:i/>
          <w:szCs w:val="20"/>
        </w:rPr>
        <w:lastRenderedPageBreak/>
        <w:t>Tendance en ce qui concerne les irrégularités dans les demandes</w:t>
      </w:r>
    </w:p>
    <w:p w14:paraId="4C18F9AC" w14:textId="77777777" w:rsidR="00EB3C9D" w:rsidRPr="00DE6136" w:rsidRDefault="00EB3C9D" w:rsidP="00986700">
      <w:pPr>
        <w:keepNext/>
        <w:keepLines/>
        <w:rPr>
          <w:rFonts w:asciiTheme="minorBidi" w:hAnsiTheme="minorBidi"/>
          <w:i/>
          <w:szCs w:val="20"/>
        </w:rPr>
      </w:pPr>
    </w:p>
    <w:p w14:paraId="752F1E3D" w14:textId="7AFC58D2" w:rsidR="00EB3C9D" w:rsidRPr="00DE6136" w:rsidRDefault="00EB3C9D" w:rsidP="00616FD3">
      <w:pPr>
        <w:pStyle w:val="ListParagraph"/>
        <w:keepNext/>
        <w:keepLines/>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Les irrégularités dans les demandes ont été regroupées dans les 10 catégories indiquées ci</w:t>
      </w:r>
      <w:r w:rsidR="00B441CA">
        <w:rPr>
          <w:rFonts w:asciiTheme="minorBidi" w:hAnsiTheme="minorBidi"/>
          <w:szCs w:val="20"/>
        </w:rPr>
        <w:noBreakHyphen/>
      </w:r>
      <w:r w:rsidRPr="00DE6136">
        <w:rPr>
          <w:rFonts w:asciiTheme="minorBidi" w:hAnsiTheme="minorBidi"/>
          <w:szCs w:val="20"/>
        </w:rPr>
        <w:t>après.</w:t>
      </w:r>
    </w:p>
    <w:p w14:paraId="2BA7F370" w14:textId="77777777" w:rsidR="00EB3C9D" w:rsidRPr="00DE6136" w:rsidRDefault="00EB3C9D" w:rsidP="00986700">
      <w:pPr>
        <w:keepNext/>
        <w:keepLines/>
        <w:spacing w:before="120" w:after="240"/>
        <w:jc w:val="center"/>
        <w:rPr>
          <w:rFonts w:asciiTheme="minorBidi" w:hAnsiTheme="minorBidi"/>
          <w:szCs w:val="20"/>
        </w:rPr>
      </w:pPr>
      <w:r w:rsidRPr="00477FB1">
        <w:rPr>
          <w:noProof/>
          <w:lang w:val="en-US" w:eastAsia="en-US"/>
        </w:rPr>
        <w:drawing>
          <wp:inline distT="0" distB="0" distL="0" distR="0" wp14:anchorId="0C485B5D" wp14:editId="4EE5BC13">
            <wp:extent cx="4680000" cy="286032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80000" cy="2860328"/>
                    </a:xfrm>
                    <a:prstGeom prst="rect">
                      <a:avLst/>
                    </a:prstGeom>
                    <a:noFill/>
                    <a:ln>
                      <a:noFill/>
                    </a:ln>
                  </pic:spPr>
                </pic:pic>
              </a:graphicData>
            </a:graphic>
          </wp:inline>
        </w:drawing>
      </w:r>
    </w:p>
    <w:p w14:paraId="6532CB1B" w14:textId="3E4895F4" w:rsidR="00EB3C9D"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le Bureau international a notifié 3383 irrégularités.</w:t>
      </w:r>
    </w:p>
    <w:p w14:paraId="68A6A638" w14:textId="77777777" w:rsidR="00EB3C9D" w:rsidRPr="00DE6136" w:rsidRDefault="00EB3C9D" w:rsidP="00986700">
      <w:pPr>
        <w:ind w:left="1134"/>
        <w:jc w:val="both"/>
        <w:rPr>
          <w:rFonts w:asciiTheme="minorBidi" w:hAnsiTheme="minorBidi"/>
          <w:szCs w:val="20"/>
        </w:rPr>
      </w:pPr>
    </w:p>
    <w:p w14:paraId="5C43A342"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Les irrégularités concernant l</w:t>
      </w:r>
      <w:r>
        <w:rPr>
          <w:rFonts w:asciiTheme="minorBidi" w:hAnsiTheme="minorBidi"/>
          <w:szCs w:val="20"/>
        </w:rPr>
        <w:t>’</w:t>
      </w:r>
      <w:r w:rsidRPr="00DE6136">
        <w:rPr>
          <w:rFonts w:asciiTheme="minorBidi" w:hAnsiTheme="minorBidi"/>
          <w:szCs w:val="20"/>
        </w:rPr>
        <w:t>indication des produits, les descriptions et la numérotation des reproductions sont celles pour lesquelles l</w:t>
      </w:r>
      <w:r>
        <w:rPr>
          <w:rFonts w:asciiTheme="minorBidi" w:hAnsiTheme="minorBidi"/>
          <w:szCs w:val="20"/>
        </w:rPr>
        <w:t>’</w:t>
      </w:r>
      <w:r w:rsidRPr="00DE6136">
        <w:rPr>
          <w:rFonts w:asciiTheme="minorBidi" w:hAnsiTheme="minorBidi"/>
          <w:szCs w:val="20"/>
        </w:rPr>
        <w:t>augmentation relative a été la plus forte en 2016.</w:t>
      </w:r>
    </w:p>
    <w:p w14:paraId="29DB10EA" w14:textId="77777777" w:rsidR="00EB3C9D" w:rsidRPr="00DE6136" w:rsidRDefault="00EB3C9D" w:rsidP="00986700">
      <w:pPr>
        <w:ind w:left="1134"/>
        <w:jc w:val="both"/>
        <w:rPr>
          <w:rFonts w:asciiTheme="minorBidi" w:hAnsiTheme="minorBidi"/>
          <w:szCs w:val="20"/>
        </w:rPr>
      </w:pPr>
    </w:p>
    <w:p w14:paraId="5424B719"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Dans l</w:t>
      </w:r>
      <w:r>
        <w:rPr>
          <w:rFonts w:asciiTheme="minorBidi" w:hAnsiTheme="minorBidi"/>
          <w:szCs w:val="20"/>
        </w:rPr>
        <w:t>’</w:t>
      </w:r>
      <w:r w:rsidRPr="00DE6136">
        <w:rPr>
          <w:rFonts w:asciiTheme="minorBidi" w:hAnsiTheme="minorBidi"/>
          <w:szCs w:val="20"/>
        </w:rPr>
        <w:t>ensemble, le nombre de notifications d</w:t>
      </w:r>
      <w:r>
        <w:rPr>
          <w:rFonts w:asciiTheme="minorBidi" w:hAnsiTheme="minorBidi"/>
          <w:szCs w:val="20"/>
        </w:rPr>
        <w:t>’</w:t>
      </w:r>
      <w:r w:rsidRPr="00DE6136">
        <w:rPr>
          <w:rFonts w:asciiTheme="minorBidi" w:hAnsiTheme="minorBidi"/>
          <w:szCs w:val="20"/>
        </w:rPr>
        <w:t>irrégularité en 2016 a augmenté de 64% par rapport à 2015</w:t>
      </w:r>
      <w:r w:rsidRPr="00DE6136">
        <w:rPr>
          <w:rFonts w:asciiTheme="minorBidi" w:hAnsiTheme="minorBidi"/>
          <w:vertAlign w:val="superscript"/>
        </w:rPr>
        <w:footnoteReference w:id="22"/>
      </w:r>
      <w:r w:rsidRPr="00DE6136">
        <w:rPr>
          <w:rFonts w:asciiTheme="minorBidi" w:hAnsiTheme="minorBidi"/>
          <w:szCs w:val="20"/>
        </w:rPr>
        <w:t>, ce qui représente une augmentation supérieure à la croissance en ce qui concerne les demandes.</w:t>
      </w:r>
    </w:p>
    <w:p w14:paraId="1F912EF9" w14:textId="77777777" w:rsidR="00EB3C9D" w:rsidRPr="00DE6136" w:rsidRDefault="00EB3C9D" w:rsidP="00986700">
      <w:pPr>
        <w:jc w:val="both"/>
        <w:rPr>
          <w:rFonts w:asciiTheme="minorBidi" w:hAnsiTheme="minorBidi"/>
          <w:szCs w:val="20"/>
        </w:rPr>
      </w:pPr>
    </w:p>
    <w:p w14:paraId="1FC3C7B9" w14:textId="01AD772E" w:rsidR="00EB3C9D" w:rsidRDefault="00EB3C9D" w:rsidP="00616FD3">
      <w:pPr>
        <w:pStyle w:val="ListParagraph"/>
        <w:keepNext/>
        <w:keepLines/>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lastRenderedPageBreak/>
        <w:t>L</w:t>
      </w:r>
      <w:r>
        <w:rPr>
          <w:rFonts w:asciiTheme="minorBidi" w:hAnsiTheme="minorBidi"/>
          <w:szCs w:val="20"/>
        </w:rPr>
        <w:t>’</w:t>
      </w:r>
      <w:r w:rsidRPr="00DE6136">
        <w:rPr>
          <w:rFonts w:asciiTheme="minorBidi" w:hAnsiTheme="minorBidi"/>
          <w:szCs w:val="20"/>
        </w:rPr>
        <w:t>évolution de la part des demandes contenant une ou plusieurs irrégularités ou observations quant au fond</w:t>
      </w:r>
      <w:r w:rsidR="00754E40">
        <w:rPr>
          <w:rFonts w:asciiTheme="minorBidi" w:hAnsiTheme="minorBidi"/>
          <w:szCs w:val="20"/>
        </w:rPr>
        <w:t xml:space="preserve"> est indiquée ci</w:t>
      </w:r>
      <w:r w:rsidR="00754E40">
        <w:rPr>
          <w:rFonts w:asciiTheme="minorBidi" w:hAnsiTheme="minorBidi"/>
          <w:szCs w:val="20"/>
        </w:rPr>
        <w:noBreakHyphen/>
        <w:t>après</w:t>
      </w:r>
      <w:r w:rsidRPr="00DE6136">
        <w:rPr>
          <w:rStyle w:val="FootnoteReference"/>
          <w:rFonts w:asciiTheme="minorBidi" w:hAnsiTheme="minorBidi"/>
          <w:szCs w:val="20"/>
        </w:rPr>
        <w:footnoteReference w:id="23"/>
      </w:r>
      <w:r w:rsidRPr="00DE6136">
        <w:rPr>
          <w:rFonts w:asciiTheme="minorBidi" w:hAnsiTheme="minorBidi"/>
          <w:szCs w:val="20"/>
        </w:rPr>
        <w:t>.</w:t>
      </w:r>
    </w:p>
    <w:p w14:paraId="34D1BFB3" w14:textId="77777777" w:rsidR="00EB3C9D" w:rsidRPr="00DE6136" w:rsidRDefault="00EB3C9D" w:rsidP="00986700">
      <w:pPr>
        <w:spacing w:before="120"/>
        <w:jc w:val="center"/>
        <w:rPr>
          <w:rFonts w:asciiTheme="minorBidi" w:hAnsiTheme="minorBidi"/>
          <w:szCs w:val="20"/>
        </w:rPr>
      </w:pPr>
      <w:r w:rsidRPr="00477FB1">
        <w:rPr>
          <w:noProof/>
          <w:lang w:val="en-US" w:eastAsia="en-US"/>
        </w:rPr>
        <w:drawing>
          <wp:inline distT="0" distB="0" distL="0" distR="0" wp14:anchorId="5E6D1512" wp14:editId="19CE2A29">
            <wp:extent cx="4680000" cy="2867394"/>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80000" cy="2867394"/>
                    </a:xfrm>
                    <a:prstGeom prst="rect">
                      <a:avLst/>
                    </a:prstGeom>
                    <a:noFill/>
                    <a:ln>
                      <a:noFill/>
                    </a:ln>
                  </pic:spPr>
                </pic:pic>
              </a:graphicData>
            </a:graphic>
          </wp:inline>
        </w:drawing>
      </w:r>
    </w:p>
    <w:p w14:paraId="6DB41868" w14:textId="062D468D"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environ 49% des demandes enregistrées contenaient au moins une irrégularité ou observation quant au fond.  Cela représent</w:t>
      </w:r>
      <w:r w:rsidR="00754E40">
        <w:rPr>
          <w:rFonts w:asciiTheme="minorBidi" w:hAnsiTheme="minorBidi"/>
          <w:szCs w:val="20"/>
        </w:rPr>
        <w:t>e</w:t>
      </w:r>
      <w:r w:rsidRPr="00DE6136">
        <w:rPr>
          <w:rFonts w:asciiTheme="minorBidi" w:hAnsiTheme="minorBidi"/>
          <w:szCs w:val="20"/>
        </w:rPr>
        <w:t xml:space="preserve"> une augmentation d</w:t>
      </w:r>
      <w:r>
        <w:rPr>
          <w:rFonts w:asciiTheme="minorBidi" w:hAnsiTheme="minorBidi"/>
          <w:szCs w:val="20"/>
        </w:rPr>
        <w:t>’</w:t>
      </w:r>
      <w:r w:rsidRPr="00DE6136">
        <w:rPr>
          <w:rFonts w:asciiTheme="minorBidi" w:hAnsiTheme="minorBidi"/>
          <w:szCs w:val="20"/>
        </w:rPr>
        <w:t>environ cinq</w:t>
      </w:r>
      <w:r>
        <w:rPr>
          <w:rFonts w:asciiTheme="minorBidi" w:hAnsiTheme="minorBidi"/>
          <w:szCs w:val="20"/>
        </w:rPr>
        <w:t> </w:t>
      </w:r>
      <w:r w:rsidRPr="00DE6136">
        <w:rPr>
          <w:rFonts w:asciiTheme="minorBidi" w:hAnsiTheme="minorBidi"/>
          <w:szCs w:val="20"/>
        </w:rPr>
        <w:t>points de pourcentage par rapport à 2015.</w:t>
      </w:r>
    </w:p>
    <w:p w14:paraId="31193A94" w14:textId="77777777" w:rsidR="00EB3C9D" w:rsidRPr="00DE6136" w:rsidRDefault="00EB3C9D" w:rsidP="00986700">
      <w:pPr>
        <w:ind w:left="1134"/>
        <w:jc w:val="both"/>
        <w:rPr>
          <w:rFonts w:asciiTheme="minorBidi" w:hAnsiTheme="minorBidi"/>
          <w:szCs w:val="20"/>
        </w:rPr>
      </w:pPr>
    </w:p>
    <w:p w14:paraId="2FE90FB7" w14:textId="77777777" w:rsidR="00EB3C9D" w:rsidRPr="00DE6136" w:rsidRDefault="00EB3C9D" w:rsidP="00986700">
      <w:pPr>
        <w:rPr>
          <w:rFonts w:asciiTheme="minorBidi" w:hAnsiTheme="minorBidi"/>
          <w:szCs w:val="20"/>
          <w:u w:val="single"/>
        </w:rPr>
      </w:pPr>
      <w:r w:rsidRPr="00DE6136">
        <w:rPr>
          <w:rFonts w:asciiTheme="minorBidi" w:hAnsiTheme="minorBidi"/>
          <w:szCs w:val="20"/>
          <w:u w:val="single"/>
        </w:rPr>
        <w:t>Renouvellements</w:t>
      </w:r>
    </w:p>
    <w:p w14:paraId="51177D01" w14:textId="77777777" w:rsidR="00EB3C9D" w:rsidRPr="00DE6136" w:rsidRDefault="00EB3C9D" w:rsidP="00986700">
      <w:pPr>
        <w:spacing w:before="120"/>
        <w:jc w:val="center"/>
        <w:rPr>
          <w:rFonts w:asciiTheme="minorBidi" w:hAnsiTheme="minorBidi"/>
          <w:szCs w:val="20"/>
        </w:rPr>
      </w:pPr>
      <w:r w:rsidRPr="00477FB1">
        <w:rPr>
          <w:noProof/>
          <w:lang w:val="en-US" w:eastAsia="en-US"/>
        </w:rPr>
        <w:drawing>
          <wp:inline distT="0" distB="0" distL="0" distR="0" wp14:anchorId="15341979" wp14:editId="0AC201BD">
            <wp:extent cx="4680000" cy="311207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80000" cy="3112071"/>
                    </a:xfrm>
                    <a:prstGeom prst="rect">
                      <a:avLst/>
                    </a:prstGeom>
                    <a:noFill/>
                    <a:ln>
                      <a:noFill/>
                    </a:ln>
                  </pic:spPr>
                </pic:pic>
              </a:graphicData>
            </a:graphic>
          </wp:inline>
        </w:drawing>
      </w:r>
    </w:p>
    <w:p w14:paraId="24E08689"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En 2016, le nombre de renouvellements a diminué de 1,4% par rapport à 2015, passant à 3150 renouvellements.</w:t>
      </w:r>
    </w:p>
    <w:p w14:paraId="5495FDDA" w14:textId="77777777" w:rsidR="00EB3C9D" w:rsidRPr="00DE6136" w:rsidRDefault="00EB3C9D" w:rsidP="00986700">
      <w:pPr>
        <w:ind w:left="1134"/>
        <w:jc w:val="both"/>
        <w:rPr>
          <w:rFonts w:asciiTheme="minorBidi" w:hAnsiTheme="minorBidi"/>
          <w:szCs w:val="20"/>
        </w:rPr>
      </w:pPr>
    </w:p>
    <w:p w14:paraId="193863FF" w14:textId="74A24F2A"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 xml:space="preserve">Depuis 2012, la majorité des renouvellements </w:t>
      </w:r>
      <w:r w:rsidR="00754E40">
        <w:rPr>
          <w:rFonts w:asciiTheme="minorBidi" w:hAnsiTheme="minorBidi"/>
          <w:szCs w:val="20"/>
        </w:rPr>
        <w:t>e</w:t>
      </w:r>
      <w:r w:rsidRPr="00DE6136">
        <w:rPr>
          <w:rFonts w:asciiTheme="minorBidi" w:hAnsiTheme="minorBidi"/>
          <w:szCs w:val="20"/>
        </w:rPr>
        <w:t>st traité</w:t>
      </w:r>
      <w:r w:rsidR="00754E40">
        <w:rPr>
          <w:rFonts w:asciiTheme="minorBidi" w:hAnsiTheme="minorBidi"/>
          <w:szCs w:val="20"/>
        </w:rPr>
        <w:t>e</w:t>
      </w:r>
      <w:r w:rsidRPr="00DE6136">
        <w:rPr>
          <w:rFonts w:asciiTheme="minorBidi" w:hAnsiTheme="minorBidi"/>
          <w:szCs w:val="20"/>
        </w:rPr>
        <w:t xml:space="preserve"> électroniquement;  en 2016, c</w:t>
      </w:r>
      <w:r>
        <w:rPr>
          <w:rFonts w:asciiTheme="minorBidi" w:hAnsiTheme="minorBidi"/>
          <w:szCs w:val="20"/>
        </w:rPr>
        <w:t>’</w:t>
      </w:r>
      <w:r w:rsidRPr="00DE6136">
        <w:rPr>
          <w:rFonts w:asciiTheme="minorBidi" w:hAnsiTheme="minorBidi"/>
          <w:szCs w:val="20"/>
        </w:rPr>
        <w:t>était le cas de 77% de l</w:t>
      </w:r>
      <w:r>
        <w:rPr>
          <w:rFonts w:asciiTheme="minorBidi" w:hAnsiTheme="minorBidi"/>
          <w:szCs w:val="20"/>
        </w:rPr>
        <w:t>’</w:t>
      </w:r>
      <w:r w:rsidRPr="00DE6136">
        <w:rPr>
          <w:rFonts w:asciiTheme="minorBidi" w:hAnsiTheme="minorBidi"/>
          <w:szCs w:val="20"/>
        </w:rPr>
        <w:t>ensemble des renouvellements, contre 73% en 2015, soit une augmentation de 4 points de pourcentage.</w:t>
      </w:r>
    </w:p>
    <w:p w14:paraId="2360F246" w14:textId="77777777" w:rsidR="00EB3C9D" w:rsidRPr="00DE6136" w:rsidRDefault="00EB3C9D" w:rsidP="00986700">
      <w:pPr>
        <w:ind w:left="1134"/>
        <w:jc w:val="both"/>
        <w:rPr>
          <w:rFonts w:asciiTheme="minorBidi" w:hAnsiTheme="minorBidi"/>
          <w:szCs w:val="20"/>
        </w:rPr>
      </w:pPr>
    </w:p>
    <w:p w14:paraId="593B2997" w14:textId="189784A1" w:rsidR="00EB3C9D" w:rsidRPr="00DE6136" w:rsidRDefault="00754E40" w:rsidP="00AC3B37">
      <w:pPr>
        <w:keepNext/>
        <w:keepLines/>
        <w:rPr>
          <w:rFonts w:asciiTheme="minorBidi" w:hAnsiTheme="minorBidi"/>
          <w:szCs w:val="20"/>
          <w:u w:val="single"/>
        </w:rPr>
      </w:pPr>
      <w:r>
        <w:rPr>
          <w:rFonts w:asciiTheme="minorBidi" w:hAnsiTheme="minorBidi"/>
          <w:szCs w:val="20"/>
          <w:u w:val="single"/>
        </w:rPr>
        <w:lastRenderedPageBreak/>
        <w:t>Modification</w:t>
      </w:r>
      <w:r w:rsidR="00EB3C9D" w:rsidRPr="00DE6136">
        <w:rPr>
          <w:rFonts w:asciiTheme="minorBidi" w:hAnsiTheme="minorBidi"/>
          <w:szCs w:val="20"/>
          <w:u w:val="single"/>
        </w:rPr>
        <w:t>s</w:t>
      </w:r>
    </w:p>
    <w:p w14:paraId="54FF69DF" w14:textId="76C552FD" w:rsidR="00EB3C9D" w:rsidRDefault="002A368D" w:rsidP="00AC3B37">
      <w:pPr>
        <w:keepNext/>
        <w:keepLines/>
        <w:spacing w:before="120"/>
        <w:jc w:val="center"/>
        <w:rPr>
          <w:rFonts w:asciiTheme="minorBidi" w:hAnsiTheme="minorBidi"/>
          <w:szCs w:val="20"/>
        </w:rPr>
      </w:pPr>
      <w:r w:rsidRPr="002A368D">
        <w:rPr>
          <w:noProof/>
          <w:lang w:val="en-US" w:eastAsia="en-US"/>
        </w:rPr>
        <w:drawing>
          <wp:inline distT="0" distB="0" distL="0" distR="0" wp14:anchorId="67A1DDBF" wp14:editId="725D68D0">
            <wp:extent cx="4680000" cy="3121724"/>
            <wp:effectExtent l="0" t="0" r="6350" b="254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80000" cy="3121724"/>
                    </a:xfrm>
                    <a:prstGeom prst="rect">
                      <a:avLst/>
                    </a:prstGeom>
                    <a:noFill/>
                    <a:ln>
                      <a:noFill/>
                    </a:ln>
                  </pic:spPr>
                </pic:pic>
              </a:graphicData>
            </a:graphic>
          </wp:inline>
        </w:drawing>
      </w:r>
    </w:p>
    <w:p w14:paraId="658D826D" w14:textId="1ABB22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 xml:space="preserve">Les déposants ont soumis 1020 requêtes en inscription de </w:t>
      </w:r>
      <w:r w:rsidR="005B6685">
        <w:rPr>
          <w:rFonts w:asciiTheme="minorBidi" w:hAnsiTheme="minorBidi"/>
          <w:szCs w:val="20"/>
        </w:rPr>
        <w:t>modification</w:t>
      </w:r>
      <w:r w:rsidRPr="00DE6136">
        <w:rPr>
          <w:rFonts w:asciiTheme="minorBidi" w:hAnsiTheme="minorBidi"/>
          <w:szCs w:val="20"/>
        </w:rPr>
        <w:t>s dans des demandes internationales en 2016, soit 0,2% de plus par rapport à 2015.</w:t>
      </w:r>
    </w:p>
    <w:p w14:paraId="00D17774" w14:textId="77777777" w:rsidR="00EB3C9D" w:rsidRPr="00DE6136" w:rsidRDefault="00EB3C9D" w:rsidP="00986700">
      <w:pPr>
        <w:jc w:val="both"/>
        <w:rPr>
          <w:rFonts w:asciiTheme="minorBidi" w:hAnsiTheme="minorBidi"/>
          <w:szCs w:val="20"/>
        </w:rPr>
      </w:pPr>
    </w:p>
    <w:p w14:paraId="7EE0472C" w14:textId="77777777" w:rsidR="00EB3C9D" w:rsidRPr="00DE6136" w:rsidRDefault="00EB3C9D" w:rsidP="00986700">
      <w:pPr>
        <w:keepNext/>
        <w:keepLines/>
        <w:rPr>
          <w:rFonts w:asciiTheme="minorBidi" w:hAnsiTheme="minorBidi"/>
          <w:szCs w:val="20"/>
          <w:u w:val="single"/>
        </w:rPr>
      </w:pPr>
      <w:r w:rsidRPr="00DE6136">
        <w:rPr>
          <w:rFonts w:asciiTheme="minorBidi" w:hAnsiTheme="minorBidi"/>
          <w:szCs w:val="20"/>
          <w:u w:val="single"/>
        </w:rPr>
        <w:t>Décisions</w:t>
      </w:r>
    </w:p>
    <w:p w14:paraId="04B26C3F" w14:textId="77777777" w:rsidR="00EB3C9D" w:rsidRPr="00DE6136" w:rsidRDefault="00EB3C9D" w:rsidP="00986700">
      <w:pPr>
        <w:keepNext/>
        <w:keepLines/>
        <w:jc w:val="center"/>
        <w:rPr>
          <w:rFonts w:asciiTheme="minorBidi" w:hAnsiTheme="minorBidi"/>
          <w:szCs w:val="20"/>
        </w:rPr>
      </w:pPr>
      <w:r w:rsidRPr="00477FB1">
        <w:rPr>
          <w:noProof/>
          <w:lang w:val="en-US" w:eastAsia="en-US"/>
        </w:rPr>
        <w:drawing>
          <wp:inline distT="0" distB="0" distL="0" distR="0" wp14:anchorId="7A4FF6D3" wp14:editId="68BD0026">
            <wp:extent cx="4680000" cy="3117759"/>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80000" cy="3117759"/>
                    </a:xfrm>
                    <a:prstGeom prst="rect">
                      <a:avLst/>
                    </a:prstGeom>
                    <a:noFill/>
                    <a:ln>
                      <a:noFill/>
                    </a:ln>
                  </pic:spPr>
                </pic:pic>
              </a:graphicData>
            </a:graphic>
          </wp:inline>
        </w:drawing>
      </w:r>
    </w:p>
    <w:p w14:paraId="4BEF714C" w14:textId="77777777" w:rsidR="00EB3C9D" w:rsidRPr="00DE6136" w:rsidRDefault="00EB3C9D" w:rsidP="00986700">
      <w:pPr>
        <w:jc w:val="center"/>
        <w:rPr>
          <w:rFonts w:asciiTheme="minorBidi" w:hAnsiTheme="minorBidi"/>
          <w:szCs w:val="20"/>
        </w:rPr>
      </w:pPr>
    </w:p>
    <w:p w14:paraId="3BDA443B"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Le nombre de décisions reçues en 2016 a augmenté de 112% par rapport à 2015, passant à 8386 décisions, résultat qui témoigne de l</w:t>
      </w:r>
      <w:r>
        <w:rPr>
          <w:rFonts w:asciiTheme="minorBidi" w:hAnsiTheme="minorBidi"/>
          <w:szCs w:val="20"/>
        </w:rPr>
        <w:t>’</w:t>
      </w:r>
      <w:r w:rsidRPr="00DE6136">
        <w:rPr>
          <w:rFonts w:asciiTheme="minorBidi" w:hAnsiTheme="minorBidi"/>
          <w:szCs w:val="20"/>
        </w:rPr>
        <w:t xml:space="preserve">incidence sur les opérations du système de </w:t>
      </w:r>
      <w:r>
        <w:rPr>
          <w:rFonts w:asciiTheme="minorBidi" w:hAnsiTheme="minorBidi"/>
          <w:szCs w:val="20"/>
        </w:rPr>
        <w:t>La Haye</w:t>
      </w:r>
      <w:r w:rsidRPr="00DE6136">
        <w:rPr>
          <w:rFonts w:asciiTheme="minorBidi" w:hAnsiTheme="minorBidi"/>
          <w:szCs w:val="20"/>
        </w:rPr>
        <w:t xml:space="preserve"> de l</w:t>
      </w:r>
      <w:r>
        <w:rPr>
          <w:rFonts w:asciiTheme="minorBidi" w:hAnsiTheme="minorBidi"/>
          <w:szCs w:val="20"/>
        </w:rPr>
        <w:t>’</w:t>
      </w:r>
      <w:r w:rsidRPr="00DE6136">
        <w:rPr>
          <w:rFonts w:asciiTheme="minorBidi" w:hAnsiTheme="minorBidi"/>
          <w:szCs w:val="20"/>
        </w:rPr>
        <w:t>adhésion récente de pays qui pratiquent un examen quant au fond.</w:t>
      </w:r>
    </w:p>
    <w:p w14:paraId="3F785A2F" w14:textId="77777777" w:rsidR="00EB3C9D" w:rsidRPr="00DE6136" w:rsidRDefault="00EB3C9D" w:rsidP="00986700">
      <w:pPr>
        <w:ind w:left="1134"/>
        <w:jc w:val="both"/>
        <w:rPr>
          <w:rFonts w:asciiTheme="minorBidi" w:hAnsiTheme="minorBidi"/>
          <w:szCs w:val="20"/>
        </w:rPr>
      </w:pPr>
    </w:p>
    <w:p w14:paraId="0728933F"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La part de décisions ayant fait l</w:t>
      </w:r>
      <w:r>
        <w:rPr>
          <w:rFonts w:asciiTheme="minorBidi" w:hAnsiTheme="minorBidi"/>
          <w:szCs w:val="20"/>
        </w:rPr>
        <w:t>’</w:t>
      </w:r>
      <w:r w:rsidRPr="00DE6136">
        <w:rPr>
          <w:rFonts w:asciiTheme="minorBidi" w:hAnsiTheme="minorBidi"/>
          <w:szCs w:val="20"/>
        </w:rPr>
        <w:t>objet d</w:t>
      </w:r>
      <w:r>
        <w:rPr>
          <w:rFonts w:asciiTheme="minorBidi" w:hAnsiTheme="minorBidi"/>
          <w:szCs w:val="20"/>
        </w:rPr>
        <w:t>’</w:t>
      </w:r>
      <w:r w:rsidRPr="00DE6136">
        <w:rPr>
          <w:rFonts w:asciiTheme="minorBidi" w:hAnsiTheme="minorBidi"/>
          <w:szCs w:val="20"/>
        </w:rPr>
        <w:t>un traitement automatisé en 2016 (42%) est la plus faible depuis 2012.</w:t>
      </w:r>
    </w:p>
    <w:p w14:paraId="7B3987F4" w14:textId="77777777" w:rsidR="00EB3C9D" w:rsidRPr="00DE6136" w:rsidRDefault="00EB3C9D" w:rsidP="00986700">
      <w:pPr>
        <w:pStyle w:val="ListParagraph"/>
        <w:rPr>
          <w:rFonts w:asciiTheme="minorBidi" w:hAnsiTheme="minorBidi"/>
          <w:szCs w:val="20"/>
        </w:rPr>
      </w:pPr>
    </w:p>
    <w:p w14:paraId="6921A43C" w14:textId="15D568E7" w:rsidR="00EB3C9D" w:rsidRDefault="00EB3C9D" w:rsidP="00AC3B37">
      <w:pPr>
        <w:keepNext/>
        <w:keepLines/>
        <w:tabs>
          <w:tab w:val="left" w:pos="567"/>
        </w:tabs>
        <w:spacing w:before="120" w:after="240"/>
        <w:rPr>
          <w:rFonts w:asciiTheme="minorBidi" w:hAnsiTheme="minorBidi"/>
          <w:b/>
          <w:szCs w:val="20"/>
        </w:rPr>
      </w:pPr>
      <w:r w:rsidRPr="00DE6136">
        <w:rPr>
          <w:rFonts w:asciiTheme="minorBidi" w:hAnsiTheme="minorBidi"/>
          <w:b/>
          <w:szCs w:val="20"/>
        </w:rPr>
        <w:lastRenderedPageBreak/>
        <w:t>II.</w:t>
      </w:r>
      <w:r w:rsidRPr="00DE6136">
        <w:rPr>
          <w:rFonts w:asciiTheme="minorBidi" w:hAnsiTheme="minorBidi"/>
          <w:b/>
          <w:szCs w:val="20"/>
        </w:rPr>
        <w:tab/>
        <w:t xml:space="preserve">Charge de travail </w:t>
      </w:r>
      <w:r w:rsidR="005B6685">
        <w:rPr>
          <w:rFonts w:asciiTheme="minorBidi" w:hAnsiTheme="minorBidi"/>
          <w:b/>
          <w:szCs w:val="20"/>
        </w:rPr>
        <w:t>global</w:t>
      </w:r>
      <w:r w:rsidRPr="00DE6136">
        <w:rPr>
          <w:rFonts w:asciiTheme="minorBidi" w:hAnsiTheme="minorBidi"/>
          <w:b/>
          <w:szCs w:val="20"/>
        </w:rPr>
        <w:t>e</w:t>
      </w:r>
    </w:p>
    <w:p w14:paraId="4AA670BB" w14:textId="796A5CF9" w:rsidR="00EB3C9D" w:rsidRPr="00DE6136" w:rsidRDefault="00EB3C9D" w:rsidP="00AC3B37">
      <w:pPr>
        <w:pStyle w:val="ListParagraph"/>
        <w:keepNext/>
        <w:keepLines/>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 xml:space="preserve">La charge de travail </w:t>
      </w:r>
      <w:r w:rsidR="005B6685">
        <w:rPr>
          <w:rFonts w:asciiTheme="minorBidi" w:hAnsiTheme="minorBidi"/>
          <w:szCs w:val="20"/>
        </w:rPr>
        <w:t>globale</w:t>
      </w:r>
      <w:r w:rsidRPr="00DE6136">
        <w:rPr>
          <w:rFonts w:asciiTheme="minorBidi" w:hAnsiTheme="minorBidi"/>
          <w:szCs w:val="20"/>
        </w:rPr>
        <w:t xml:space="preserve"> représente le nombre total pondéré de documents reçus par le Bureau international.  Les quatre</w:t>
      </w:r>
      <w:r>
        <w:rPr>
          <w:rFonts w:asciiTheme="minorBidi" w:hAnsiTheme="minorBidi"/>
          <w:szCs w:val="20"/>
        </w:rPr>
        <w:t> </w:t>
      </w:r>
      <w:r w:rsidRPr="00DE6136">
        <w:rPr>
          <w:rFonts w:asciiTheme="minorBidi" w:hAnsiTheme="minorBidi"/>
          <w:szCs w:val="20"/>
        </w:rPr>
        <w:t xml:space="preserve">catégories de documents sont </w:t>
      </w:r>
      <w:r w:rsidR="005B6685">
        <w:rPr>
          <w:rFonts w:asciiTheme="minorBidi" w:hAnsiTheme="minorBidi"/>
          <w:szCs w:val="20"/>
        </w:rPr>
        <w:t>incluses</w:t>
      </w:r>
      <w:r w:rsidRPr="00DE6136">
        <w:rPr>
          <w:rFonts w:asciiTheme="minorBidi" w:hAnsiTheme="minorBidi"/>
          <w:szCs w:val="20"/>
        </w:rPr>
        <w:t xml:space="preserve"> (demandes, renouvellements, changements et décisions).</w:t>
      </w:r>
    </w:p>
    <w:p w14:paraId="6E3F9517" w14:textId="77777777" w:rsidR="00EB3C9D" w:rsidRPr="00DE6136" w:rsidRDefault="00EB3C9D" w:rsidP="00986700">
      <w:pPr>
        <w:pStyle w:val="ListParagraph"/>
        <w:tabs>
          <w:tab w:val="left" w:pos="0"/>
          <w:tab w:val="left" w:pos="567"/>
        </w:tabs>
        <w:ind w:left="0"/>
        <w:jc w:val="both"/>
        <w:rPr>
          <w:rFonts w:asciiTheme="minorBidi" w:hAnsiTheme="minorBidi"/>
          <w:szCs w:val="20"/>
        </w:rPr>
      </w:pPr>
    </w:p>
    <w:p w14:paraId="1847876C" w14:textId="08B67253" w:rsidR="00EB3C9D" w:rsidRPr="00DE6136" w:rsidRDefault="00EB3C9D" w:rsidP="00616FD3">
      <w:pPr>
        <w:pStyle w:val="ListParagraph"/>
        <w:numPr>
          <w:ilvl w:val="0"/>
          <w:numId w:val="49"/>
        </w:numPr>
        <w:spacing w:after="240"/>
        <w:ind w:left="0" w:firstLine="0"/>
        <w:jc w:val="both"/>
        <w:rPr>
          <w:rFonts w:asciiTheme="minorBidi" w:hAnsiTheme="minorBidi"/>
          <w:szCs w:val="20"/>
        </w:rPr>
      </w:pPr>
      <w:r w:rsidRPr="00DE6136">
        <w:rPr>
          <w:rFonts w:asciiTheme="minorBidi" w:hAnsiTheme="minorBidi"/>
          <w:szCs w:val="20"/>
        </w:rPr>
        <w:t>Étant donné que le traitement de ces différents types de documents ne nécessite pas la même quantité de ressources, ceux</w:t>
      </w:r>
      <w:r w:rsidR="00B441CA">
        <w:rPr>
          <w:rFonts w:asciiTheme="minorBidi" w:hAnsiTheme="minorBidi"/>
          <w:szCs w:val="20"/>
        </w:rPr>
        <w:noBreakHyphen/>
      </w:r>
      <w:r w:rsidRPr="00DE6136">
        <w:rPr>
          <w:rFonts w:asciiTheme="minorBidi" w:hAnsiTheme="minorBidi"/>
          <w:szCs w:val="20"/>
        </w:rPr>
        <w:t>ci ont été pondérés différemment.  Selon la répartition actuelle, pendant le temps requis pour traiter une demande internationale, un examinateur peut traiter huit</w:t>
      </w:r>
      <w:r>
        <w:rPr>
          <w:rFonts w:asciiTheme="minorBidi" w:hAnsiTheme="minorBidi"/>
          <w:szCs w:val="20"/>
        </w:rPr>
        <w:t> </w:t>
      </w:r>
      <w:r w:rsidRPr="00DE6136">
        <w:rPr>
          <w:rFonts w:asciiTheme="minorBidi" w:hAnsiTheme="minorBidi"/>
          <w:szCs w:val="20"/>
        </w:rPr>
        <w:t>demandes de renouvellement, quatre</w:t>
      </w:r>
      <w:r>
        <w:rPr>
          <w:rFonts w:asciiTheme="minorBidi" w:hAnsiTheme="minorBidi"/>
          <w:szCs w:val="20"/>
        </w:rPr>
        <w:t> </w:t>
      </w:r>
      <w:r w:rsidRPr="00DE6136">
        <w:rPr>
          <w:rFonts w:asciiTheme="minorBidi" w:hAnsiTheme="minorBidi"/>
          <w:szCs w:val="20"/>
        </w:rPr>
        <w:t>requêtes en inscription d</w:t>
      </w:r>
      <w:r>
        <w:rPr>
          <w:rFonts w:asciiTheme="minorBidi" w:hAnsiTheme="minorBidi"/>
          <w:szCs w:val="20"/>
        </w:rPr>
        <w:t>’</w:t>
      </w:r>
      <w:r w:rsidRPr="00DE6136">
        <w:rPr>
          <w:rFonts w:asciiTheme="minorBidi" w:hAnsiTheme="minorBidi"/>
          <w:szCs w:val="20"/>
        </w:rPr>
        <w:t>un changement ou quatre</w:t>
      </w:r>
      <w:r>
        <w:rPr>
          <w:rFonts w:asciiTheme="minorBidi" w:hAnsiTheme="minorBidi"/>
          <w:szCs w:val="20"/>
        </w:rPr>
        <w:t> </w:t>
      </w:r>
      <w:r w:rsidRPr="00DE6136">
        <w:rPr>
          <w:rFonts w:asciiTheme="minorBidi" w:hAnsiTheme="minorBidi"/>
          <w:szCs w:val="20"/>
        </w:rPr>
        <w:t>décisions (un rapport de 1:8:4:4 en termes de charge de travail).</w:t>
      </w:r>
      <w:r>
        <w:rPr>
          <w:rFonts w:asciiTheme="minorBidi" w:hAnsiTheme="minorBidi"/>
          <w:szCs w:val="20"/>
        </w:rPr>
        <w:t xml:space="preserve"> </w:t>
      </w:r>
      <w:r w:rsidRPr="00DE6136">
        <w:rPr>
          <w:rFonts w:asciiTheme="minorBidi" w:hAnsiTheme="minorBidi"/>
          <w:szCs w:val="20"/>
        </w:rPr>
        <w:t xml:space="preserve"> Depuis 2014</w:t>
      </w:r>
      <w:r w:rsidR="00B441CA">
        <w:rPr>
          <w:rFonts w:asciiTheme="minorBidi" w:hAnsiTheme="minorBidi"/>
          <w:szCs w:val="20"/>
        </w:rPr>
        <w:noBreakHyphen/>
      </w:r>
      <w:r w:rsidRPr="00DE6136">
        <w:rPr>
          <w:rFonts w:asciiTheme="minorBidi" w:hAnsiTheme="minorBidi"/>
          <w:szCs w:val="20"/>
        </w:rPr>
        <w:t>2015, en raison de l</w:t>
      </w:r>
      <w:r>
        <w:rPr>
          <w:rFonts w:asciiTheme="minorBidi" w:hAnsiTheme="minorBidi"/>
          <w:szCs w:val="20"/>
        </w:rPr>
        <w:t>’</w:t>
      </w:r>
      <w:r w:rsidRPr="00DE6136">
        <w:rPr>
          <w:rFonts w:asciiTheme="minorBidi" w:hAnsiTheme="minorBidi"/>
          <w:szCs w:val="20"/>
        </w:rPr>
        <w:t>augmentation du niveau de complexité d</w:t>
      </w:r>
      <w:r>
        <w:rPr>
          <w:rFonts w:asciiTheme="minorBidi" w:hAnsiTheme="minorBidi"/>
          <w:szCs w:val="20"/>
        </w:rPr>
        <w:t>’</w:t>
      </w:r>
      <w:r w:rsidRPr="00DE6136">
        <w:rPr>
          <w:rFonts w:asciiTheme="minorBidi" w:hAnsiTheme="minorBidi"/>
          <w:szCs w:val="20"/>
        </w:rPr>
        <w:t>autres documents, en particulier de décisions des offices, l</w:t>
      </w:r>
      <w:r>
        <w:rPr>
          <w:rFonts w:asciiTheme="minorBidi" w:hAnsiTheme="minorBidi"/>
          <w:szCs w:val="20"/>
        </w:rPr>
        <w:t>’</w:t>
      </w:r>
      <w:r w:rsidRPr="00DE6136">
        <w:rPr>
          <w:rFonts w:asciiTheme="minorBidi" w:hAnsiTheme="minorBidi"/>
          <w:szCs w:val="20"/>
        </w:rPr>
        <w:t>examen global des demandes internationales est lui aussi devenu plus complexe.  Néanmoins, le rapport en termes de charge de travail est resté le même.</w:t>
      </w:r>
    </w:p>
    <w:p w14:paraId="58AD1C51" w14:textId="77777777" w:rsidR="00653B48" w:rsidRDefault="00653B48" w:rsidP="00986700">
      <w:pPr>
        <w:ind w:left="720"/>
        <w:rPr>
          <w:rFonts w:asciiTheme="minorBidi" w:hAnsiTheme="minorBidi"/>
          <w:szCs w:val="20"/>
        </w:rPr>
      </w:pPr>
      <w:r w:rsidRPr="00653B48">
        <w:rPr>
          <w:noProof/>
          <w:lang w:val="en-US" w:eastAsia="en-US"/>
        </w:rPr>
        <w:drawing>
          <wp:inline distT="0" distB="0" distL="0" distR="0" wp14:anchorId="589F56C1" wp14:editId="6C1765E6">
            <wp:extent cx="4680000" cy="2149054"/>
            <wp:effectExtent l="0" t="0" r="6350" b="381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80000" cy="2149054"/>
                    </a:xfrm>
                    <a:prstGeom prst="rect">
                      <a:avLst/>
                    </a:prstGeom>
                    <a:noFill/>
                    <a:ln>
                      <a:noFill/>
                    </a:ln>
                  </pic:spPr>
                </pic:pic>
              </a:graphicData>
            </a:graphic>
          </wp:inline>
        </w:drawing>
      </w:r>
    </w:p>
    <w:p w14:paraId="581CD8BC" w14:textId="042441B2" w:rsidR="00EB3C9D" w:rsidRPr="00DE6136" w:rsidRDefault="00EB3C9D" w:rsidP="00616FD3">
      <w:pPr>
        <w:numPr>
          <w:ilvl w:val="0"/>
          <w:numId w:val="43"/>
        </w:numPr>
        <w:rPr>
          <w:rFonts w:asciiTheme="minorBidi" w:hAnsiTheme="minorBidi"/>
          <w:szCs w:val="20"/>
        </w:rPr>
      </w:pPr>
      <w:r w:rsidRPr="00DE6136">
        <w:rPr>
          <w:rFonts w:asciiTheme="minorBidi" w:hAnsiTheme="minorBidi"/>
          <w:szCs w:val="20"/>
        </w:rPr>
        <w:t xml:space="preserve">En 2016, la charge de travail </w:t>
      </w:r>
      <w:r w:rsidR="005B6685">
        <w:rPr>
          <w:rFonts w:asciiTheme="minorBidi" w:hAnsiTheme="minorBidi"/>
          <w:szCs w:val="20"/>
        </w:rPr>
        <w:t>glob</w:t>
      </w:r>
      <w:r w:rsidRPr="00DE6136">
        <w:rPr>
          <w:rFonts w:asciiTheme="minorBidi" w:hAnsiTheme="minorBidi"/>
          <w:szCs w:val="20"/>
        </w:rPr>
        <w:t>ale a augmenté de 46% par rapport à 2015.  Entre 2012 et 2016, l</w:t>
      </w:r>
      <w:r>
        <w:rPr>
          <w:rFonts w:asciiTheme="minorBidi" w:hAnsiTheme="minorBidi"/>
          <w:szCs w:val="20"/>
        </w:rPr>
        <w:t>’</w:t>
      </w:r>
      <w:r w:rsidRPr="00DE6136">
        <w:rPr>
          <w:rFonts w:asciiTheme="minorBidi" w:hAnsiTheme="minorBidi"/>
          <w:szCs w:val="20"/>
        </w:rPr>
        <w:t>augmentation de la charge de travail a été essentiellement due à la hausse du nombre de demandes reçues, bien que les décisions constituent désormais une part de plus en plus importante de la charge de travail.</w:t>
      </w:r>
    </w:p>
    <w:p w14:paraId="65B37E6F" w14:textId="77777777" w:rsidR="00EB3C9D" w:rsidRPr="00DE6136" w:rsidRDefault="00EB3C9D" w:rsidP="00986700">
      <w:pPr>
        <w:rPr>
          <w:rFonts w:asciiTheme="minorBidi" w:hAnsiTheme="minorBidi"/>
          <w:szCs w:val="20"/>
        </w:rPr>
      </w:pPr>
    </w:p>
    <w:p w14:paraId="320655DF" w14:textId="77777777" w:rsidR="00EB3C9D" w:rsidRPr="00DE6136" w:rsidRDefault="00EB3C9D" w:rsidP="00986700">
      <w:pPr>
        <w:rPr>
          <w:rFonts w:asciiTheme="minorBidi" w:hAnsiTheme="minorBidi"/>
          <w:szCs w:val="20"/>
        </w:rPr>
      </w:pPr>
    </w:p>
    <w:p w14:paraId="381914EB" w14:textId="77777777" w:rsidR="00EB3C9D" w:rsidRPr="00DE6136" w:rsidRDefault="00EB3C9D" w:rsidP="00986700">
      <w:pPr>
        <w:tabs>
          <w:tab w:val="left" w:pos="567"/>
        </w:tabs>
        <w:spacing w:before="120" w:after="240"/>
        <w:rPr>
          <w:rFonts w:asciiTheme="minorBidi" w:hAnsiTheme="minorBidi"/>
          <w:b/>
          <w:szCs w:val="20"/>
        </w:rPr>
      </w:pPr>
      <w:r w:rsidRPr="00DE6136">
        <w:rPr>
          <w:rFonts w:asciiTheme="minorBidi" w:hAnsiTheme="minorBidi"/>
          <w:b/>
          <w:szCs w:val="20"/>
        </w:rPr>
        <w:t>III.</w:t>
      </w:r>
      <w:r w:rsidRPr="00DE6136">
        <w:rPr>
          <w:rFonts w:asciiTheme="minorBidi" w:hAnsiTheme="minorBidi"/>
          <w:b/>
          <w:szCs w:val="20"/>
        </w:rPr>
        <w:tab/>
        <w:t>Coûts de traitement</w:t>
      </w:r>
    </w:p>
    <w:p w14:paraId="35444B19" w14:textId="0A574496" w:rsidR="00EB3C9D" w:rsidRPr="00DE6136" w:rsidRDefault="00EB3C9D" w:rsidP="00986700">
      <w:pPr>
        <w:rPr>
          <w:rFonts w:asciiTheme="minorBidi" w:hAnsiTheme="minorBidi"/>
          <w:szCs w:val="20"/>
          <w:u w:val="single"/>
        </w:rPr>
      </w:pPr>
      <w:r w:rsidRPr="00DE6136">
        <w:rPr>
          <w:rFonts w:asciiTheme="minorBidi" w:hAnsiTheme="minorBidi"/>
          <w:szCs w:val="20"/>
          <w:u w:val="single"/>
        </w:rPr>
        <w:t>Coût de production</w:t>
      </w:r>
      <w:r w:rsidR="005B6685" w:rsidRPr="005B6685">
        <w:rPr>
          <w:rFonts w:asciiTheme="minorBidi" w:hAnsiTheme="minorBidi"/>
          <w:szCs w:val="20"/>
          <w:u w:val="single"/>
        </w:rPr>
        <w:t xml:space="preserve"> </w:t>
      </w:r>
      <w:r w:rsidR="005B6685" w:rsidRPr="00DE6136">
        <w:rPr>
          <w:rFonts w:asciiTheme="minorBidi" w:hAnsiTheme="minorBidi"/>
          <w:szCs w:val="20"/>
          <w:u w:val="single"/>
        </w:rPr>
        <w:t>total</w:t>
      </w:r>
    </w:p>
    <w:p w14:paraId="1801BBC0" w14:textId="77777777" w:rsidR="00EB3C9D" w:rsidRPr="00DE6136" w:rsidRDefault="00EB3C9D" w:rsidP="00986700">
      <w:pPr>
        <w:rPr>
          <w:rFonts w:asciiTheme="minorBidi" w:hAnsiTheme="minorBidi"/>
          <w:szCs w:val="20"/>
          <w:u w:val="single"/>
        </w:rPr>
      </w:pPr>
    </w:p>
    <w:p w14:paraId="158C7B09" w14:textId="2C12CA31" w:rsidR="00EB3C9D" w:rsidRPr="00DE6136" w:rsidRDefault="00EB3C9D" w:rsidP="00616FD3">
      <w:pPr>
        <w:pStyle w:val="ListParagraph"/>
        <w:numPr>
          <w:ilvl w:val="0"/>
          <w:numId w:val="49"/>
        </w:numPr>
        <w:spacing w:after="240"/>
        <w:ind w:left="0" w:firstLine="0"/>
        <w:jc w:val="both"/>
        <w:rPr>
          <w:rFonts w:asciiTheme="minorBidi" w:hAnsiTheme="minorBidi"/>
          <w:szCs w:val="20"/>
        </w:rPr>
      </w:pPr>
      <w:r w:rsidRPr="00DE6136">
        <w:rPr>
          <w:rFonts w:asciiTheme="minorBidi" w:hAnsiTheme="minorBidi"/>
          <w:szCs w:val="20"/>
        </w:rPr>
        <w:t xml:space="preserve">Le coût de production </w:t>
      </w:r>
      <w:r w:rsidR="005B6685" w:rsidRPr="005B6685">
        <w:rPr>
          <w:rFonts w:asciiTheme="minorBidi" w:hAnsiTheme="minorBidi"/>
          <w:szCs w:val="20"/>
        </w:rPr>
        <w:t xml:space="preserve">total </w:t>
      </w:r>
      <w:r w:rsidRPr="00DE6136">
        <w:rPr>
          <w:rFonts w:asciiTheme="minorBidi" w:hAnsiTheme="minorBidi"/>
          <w:szCs w:val="20"/>
        </w:rPr>
        <w:t>compren</w:t>
      </w:r>
      <w:r w:rsidR="005B6685">
        <w:rPr>
          <w:rFonts w:asciiTheme="minorBidi" w:hAnsiTheme="minorBidi"/>
          <w:szCs w:val="20"/>
        </w:rPr>
        <w:t>d</w:t>
      </w:r>
      <w:r w:rsidRPr="00DE6136">
        <w:rPr>
          <w:rFonts w:asciiTheme="minorBidi" w:hAnsiTheme="minorBidi"/>
          <w:szCs w:val="20"/>
        </w:rPr>
        <w:t xml:space="preserve"> les dépenses </w:t>
      </w:r>
      <w:r w:rsidR="005B6685">
        <w:rPr>
          <w:rFonts w:asciiTheme="minorBidi" w:hAnsiTheme="minorBidi"/>
          <w:szCs w:val="20"/>
        </w:rPr>
        <w:t>se rapport</w:t>
      </w:r>
      <w:r w:rsidRPr="00DE6136">
        <w:rPr>
          <w:rFonts w:asciiTheme="minorBidi" w:hAnsiTheme="minorBidi"/>
          <w:szCs w:val="20"/>
        </w:rPr>
        <w:t xml:space="preserve">ant exclusivement </w:t>
      </w:r>
      <w:r w:rsidR="005B6685">
        <w:rPr>
          <w:rFonts w:asciiTheme="minorBidi" w:hAnsiTheme="minorBidi"/>
          <w:szCs w:val="20"/>
        </w:rPr>
        <w:t>au</w:t>
      </w:r>
      <w:r w:rsidRPr="00DE6136">
        <w:rPr>
          <w:rFonts w:asciiTheme="minorBidi" w:hAnsiTheme="minorBidi"/>
          <w:szCs w:val="20"/>
        </w:rPr>
        <w:t xml:space="preserve"> système de </w:t>
      </w:r>
      <w:r>
        <w:rPr>
          <w:rFonts w:asciiTheme="minorBidi" w:hAnsiTheme="minorBidi"/>
          <w:szCs w:val="20"/>
        </w:rPr>
        <w:t>La Haye</w:t>
      </w:r>
      <w:r w:rsidRPr="00DE6136">
        <w:rPr>
          <w:rFonts w:asciiTheme="minorBidi" w:hAnsiTheme="minorBidi"/>
          <w:szCs w:val="20"/>
        </w:rPr>
        <w:t xml:space="preserve"> et </w:t>
      </w:r>
      <w:r w:rsidR="005B6685">
        <w:rPr>
          <w:rFonts w:asciiTheme="minorBidi" w:hAnsiTheme="minorBidi"/>
          <w:szCs w:val="20"/>
        </w:rPr>
        <w:t>cel</w:t>
      </w:r>
      <w:r w:rsidRPr="00DE6136">
        <w:rPr>
          <w:rFonts w:asciiTheme="minorBidi" w:hAnsiTheme="minorBidi"/>
          <w:szCs w:val="20"/>
        </w:rPr>
        <w:t xml:space="preserve">les </w:t>
      </w:r>
      <w:r w:rsidR="005B6685">
        <w:rPr>
          <w:rFonts w:asciiTheme="minorBidi" w:hAnsiTheme="minorBidi"/>
          <w:szCs w:val="20"/>
        </w:rPr>
        <w:t xml:space="preserve">relatives aux </w:t>
      </w:r>
      <w:r w:rsidRPr="00DE6136">
        <w:rPr>
          <w:rFonts w:asciiTheme="minorBidi" w:hAnsiTheme="minorBidi"/>
          <w:szCs w:val="20"/>
        </w:rPr>
        <w:t xml:space="preserve">activités </w:t>
      </w:r>
      <w:r w:rsidR="005B6685">
        <w:rPr>
          <w:rFonts w:asciiTheme="minorBidi" w:hAnsiTheme="minorBidi"/>
          <w:szCs w:val="20"/>
        </w:rPr>
        <w:t>de soutien à ce</w:t>
      </w:r>
      <w:r w:rsidRPr="00DE6136">
        <w:rPr>
          <w:rFonts w:asciiTheme="minorBidi" w:hAnsiTheme="minorBidi"/>
          <w:szCs w:val="20"/>
        </w:rPr>
        <w:t xml:space="preserve"> système.</w:t>
      </w:r>
    </w:p>
    <w:p w14:paraId="4958CA48" w14:textId="77777777" w:rsidR="00EB3C9D" w:rsidRPr="00DE6136" w:rsidRDefault="00EB3C9D" w:rsidP="00986700">
      <w:pPr>
        <w:pStyle w:val="ListParagraph"/>
        <w:spacing w:after="240"/>
        <w:ind w:left="0"/>
        <w:jc w:val="both"/>
        <w:rPr>
          <w:rFonts w:asciiTheme="minorBidi" w:hAnsiTheme="minorBidi"/>
          <w:szCs w:val="20"/>
        </w:rPr>
      </w:pPr>
    </w:p>
    <w:p w14:paraId="6E5506F8" w14:textId="7B42BBFF" w:rsidR="00EB3C9D" w:rsidRPr="00DE6136" w:rsidRDefault="005B6685" w:rsidP="00616FD3">
      <w:pPr>
        <w:pStyle w:val="ListParagraph"/>
        <w:numPr>
          <w:ilvl w:val="0"/>
          <w:numId w:val="49"/>
        </w:numPr>
        <w:spacing w:after="240"/>
        <w:ind w:left="0" w:firstLine="0"/>
        <w:jc w:val="both"/>
        <w:rPr>
          <w:rFonts w:asciiTheme="minorBidi" w:hAnsiTheme="minorBidi"/>
          <w:szCs w:val="20"/>
        </w:rPr>
      </w:pPr>
      <w:r>
        <w:rPr>
          <w:rFonts w:asciiTheme="minorBidi" w:hAnsiTheme="minorBidi"/>
          <w:szCs w:val="20"/>
        </w:rPr>
        <w:t>En ce qui concerne l</w:t>
      </w:r>
      <w:r w:rsidR="00EB3C9D" w:rsidRPr="00DE6136">
        <w:rPr>
          <w:rFonts w:asciiTheme="minorBidi" w:hAnsiTheme="minorBidi"/>
          <w:szCs w:val="20"/>
        </w:rPr>
        <w:t xml:space="preserve">es données antérieures à 2016, les dépenses </w:t>
      </w:r>
      <w:r>
        <w:rPr>
          <w:rFonts w:asciiTheme="minorBidi" w:hAnsiTheme="minorBidi"/>
          <w:szCs w:val="20"/>
        </w:rPr>
        <w:t>se rapport</w:t>
      </w:r>
      <w:r w:rsidR="00EB3C9D" w:rsidRPr="00DE6136">
        <w:rPr>
          <w:rFonts w:asciiTheme="minorBidi" w:hAnsiTheme="minorBidi"/>
          <w:szCs w:val="20"/>
        </w:rPr>
        <w:t xml:space="preserve">ant exclusivement </w:t>
      </w:r>
      <w:r>
        <w:rPr>
          <w:rFonts w:asciiTheme="minorBidi" w:hAnsiTheme="minorBidi"/>
          <w:szCs w:val="20"/>
        </w:rPr>
        <w:t>au</w:t>
      </w:r>
      <w:r w:rsidR="00EB3C9D" w:rsidRPr="00DE6136">
        <w:rPr>
          <w:rFonts w:asciiTheme="minorBidi" w:hAnsiTheme="minorBidi"/>
          <w:szCs w:val="20"/>
        </w:rPr>
        <w:t xml:space="preserve"> système de </w:t>
      </w:r>
      <w:r w:rsidR="00EB3C9D">
        <w:rPr>
          <w:rFonts w:asciiTheme="minorBidi" w:hAnsiTheme="minorBidi"/>
          <w:szCs w:val="20"/>
        </w:rPr>
        <w:t>La Haye</w:t>
      </w:r>
      <w:r w:rsidR="00EB3C9D" w:rsidRPr="00DE6136">
        <w:rPr>
          <w:rFonts w:asciiTheme="minorBidi" w:hAnsiTheme="minorBidi"/>
          <w:szCs w:val="20"/>
        </w:rPr>
        <w:t xml:space="preserve"> comprenaient celles du programme 31 (système de </w:t>
      </w:r>
      <w:r w:rsidR="00EB3C9D">
        <w:rPr>
          <w:rFonts w:asciiTheme="minorBidi" w:hAnsiTheme="minorBidi"/>
          <w:szCs w:val="20"/>
        </w:rPr>
        <w:t>La Haye</w:t>
      </w:r>
      <w:r w:rsidR="00EB3C9D" w:rsidRPr="00DE6136">
        <w:rPr>
          <w:rFonts w:asciiTheme="minorBidi" w:hAnsiTheme="minorBidi"/>
          <w:szCs w:val="20"/>
        </w:rPr>
        <w:t>)</w:t>
      </w:r>
      <w:r w:rsidR="005632A7">
        <w:rPr>
          <w:rFonts w:asciiTheme="minorBidi" w:hAnsiTheme="minorBidi"/>
          <w:szCs w:val="20"/>
        </w:rPr>
        <w:t xml:space="preserve"> et environ 8% des dépenses du b</w:t>
      </w:r>
      <w:r w:rsidR="00EB3C9D" w:rsidRPr="00DE6136">
        <w:rPr>
          <w:rFonts w:asciiTheme="minorBidi" w:hAnsiTheme="minorBidi"/>
          <w:szCs w:val="20"/>
        </w:rPr>
        <w:t>ureau de la vice</w:t>
      </w:r>
      <w:r w:rsidR="00B441CA">
        <w:rPr>
          <w:rFonts w:asciiTheme="minorBidi" w:hAnsiTheme="minorBidi"/>
          <w:szCs w:val="20"/>
        </w:rPr>
        <w:noBreakHyphen/>
      </w:r>
      <w:r w:rsidR="00EB3C9D" w:rsidRPr="00DE6136">
        <w:rPr>
          <w:rFonts w:asciiTheme="minorBidi" w:hAnsiTheme="minorBidi"/>
          <w:szCs w:val="20"/>
        </w:rPr>
        <w:t xml:space="preserve">directrice générale chargée du Secteur des marques et des dessins et modèles (programme 6 – systèmes de Madrid).  Les dépenses relatives au système de Madrid pour 2016 se rapportant au financement du système de </w:t>
      </w:r>
      <w:r w:rsidR="00EB3C9D">
        <w:rPr>
          <w:rFonts w:asciiTheme="minorBidi" w:hAnsiTheme="minorBidi"/>
          <w:szCs w:val="20"/>
        </w:rPr>
        <w:t>La Haye</w:t>
      </w:r>
      <w:r w:rsidR="00EB3C9D" w:rsidRPr="00DE6136">
        <w:rPr>
          <w:rFonts w:asciiTheme="minorBidi" w:hAnsiTheme="minorBidi"/>
          <w:szCs w:val="20"/>
        </w:rPr>
        <w:t xml:space="preserve"> (traduction et développement des systèmes informatiques) sont </w:t>
      </w:r>
      <w:r>
        <w:rPr>
          <w:rFonts w:asciiTheme="minorBidi" w:hAnsiTheme="minorBidi"/>
          <w:szCs w:val="20"/>
        </w:rPr>
        <w:t>incluses</w:t>
      </w:r>
      <w:r w:rsidR="00EB3C9D" w:rsidRPr="00DE6136">
        <w:rPr>
          <w:rFonts w:asciiTheme="minorBidi" w:hAnsiTheme="minorBidi"/>
          <w:szCs w:val="20"/>
        </w:rPr>
        <w:t xml:space="preserve"> dans les calculs.  Avant l</w:t>
      </w:r>
      <w:r w:rsidR="00EB3C9D">
        <w:rPr>
          <w:rFonts w:asciiTheme="minorBidi" w:hAnsiTheme="minorBidi"/>
          <w:szCs w:val="20"/>
        </w:rPr>
        <w:t>’</w:t>
      </w:r>
      <w:r w:rsidR="00EB3C9D" w:rsidRPr="00DE6136">
        <w:rPr>
          <w:rFonts w:asciiTheme="minorBidi" w:hAnsiTheme="minorBidi"/>
          <w:szCs w:val="20"/>
        </w:rPr>
        <w:t>exercice biennal 2016</w:t>
      </w:r>
      <w:r w:rsidR="00B441CA">
        <w:rPr>
          <w:rFonts w:asciiTheme="minorBidi" w:hAnsiTheme="minorBidi"/>
          <w:szCs w:val="20"/>
        </w:rPr>
        <w:noBreakHyphen/>
      </w:r>
      <w:r w:rsidR="00EB3C9D" w:rsidRPr="00DE6136">
        <w:rPr>
          <w:rFonts w:asciiTheme="minorBidi" w:hAnsiTheme="minorBidi"/>
          <w:szCs w:val="20"/>
        </w:rPr>
        <w:t>2017, les dépenses relatives à ces services ne pouvaient pas être distinguées des dépenses totales se rapportant à la traduction et aux développements des systèmes informatiques dans le programme 6 (système de Madrid) et n</w:t>
      </w:r>
      <w:r w:rsidR="00EB3C9D">
        <w:rPr>
          <w:rFonts w:asciiTheme="minorBidi" w:hAnsiTheme="minorBidi"/>
          <w:szCs w:val="20"/>
        </w:rPr>
        <w:t>’</w:t>
      </w:r>
      <w:r w:rsidR="00EB3C9D" w:rsidRPr="00DE6136">
        <w:rPr>
          <w:rFonts w:asciiTheme="minorBidi" w:hAnsiTheme="minorBidi"/>
          <w:szCs w:val="20"/>
        </w:rPr>
        <w:t>étaient donc pas prises en considération dans le calcul.  Compte tenu des changements apportés à la méthode de calcul, les données pour 2016 ne sont pas comparables aux données pour les années précédentes.  C</w:t>
      </w:r>
      <w:r w:rsidR="00EB3C9D">
        <w:rPr>
          <w:rFonts w:asciiTheme="minorBidi" w:hAnsiTheme="minorBidi"/>
          <w:szCs w:val="20"/>
        </w:rPr>
        <w:t>’</w:t>
      </w:r>
      <w:r w:rsidR="00EB3C9D" w:rsidRPr="00DE6136">
        <w:rPr>
          <w:rFonts w:asciiTheme="minorBidi" w:hAnsiTheme="minorBidi"/>
          <w:szCs w:val="20"/>
        </w:rPr>
        <w:t>est pourquoi les données pour la période 2012</w:t>
      </w:r>
      <w:r w:rsidR="00B441CA">
        <w:rPr>
          <w:rFonts w:asciiTheme="minorBidi" w:hAnsiTheme="minorBidi"/>
          <w:szCs w:val="20"/>
        </w:rPr>
        <w:noBreakHyphen/>
      </w:r>
      <w:r w:rsidR="00EB3C9D" w:rsidRPr="00DE6136">
        <w:rPr>
          <w:rFonts w:asciiTheme="minorBidi" w:hAnsiTheme="minorBidi"/>
          <w:szCs w:val="20"/>
        </w:rPr>
        <w:t>2015 et pour 2016 sont présentées séparément.</w:t>
      </w:r>
    </w:p>
    <w:p w14:paraId="4EF937A0" w14:textId="77777777" w:rsidR="00EB3C9D" w:rsidRPr="00DE6136" w:rsidRDefault="00EB3C9D" w:rsidP="00986700">
      <w:pPr>
        <w:pStyle w:val="ListParagraph"/>
        <w:spacing w:after="240"/>
        <w:ind w:left="0"/>
        <w:jc w:val="both"/>
        <w:rPr>
          <w:rFonts w:asciiTheme="minorBidi" w:hAnsiTheme="minorBidi"/>
          <w:szCs w:val="20"/>
        </w:rPr>
      </w:pPr>
    </w:p>
    <w:p w14:paraId="49D7E5BE" w14:textId="77777777" w:rsidR="00EB3C9D" w:rsidRPr="00DE6136" w:rsidRDefault="00EB3C9D" w:rsidP="00616FD3">
      <w:pPr>
        <w:pStyle w:val="ListParagraph"/>
        <w:numPr>
          <w:ilvl w:val="0"/>
          <w:numId w:val="49"/>
        </w:numPr>
        <w:spacing w:after="240"/>
        <w:ind w:left="0" w:firstLine="0"/>
        <w:jc w:val="both"/>
        <w:rPr>
          <w:rFonts w:asciiTheme="minorBidi" w:hAnsiTheme="minorBidi"/>
          <w:szCs w:val="20"/>
        </w:rPr>
      </w:pPr>
      <w:r w:rsidRPr="00DE6136">
        <w:rPr>
          <w:rFonts w:asciiTheme="minorBidi" w:hAnsiTheme="minorBidi"/>
          <w:szCs w:val="20"/>
        </w:rPr>
        <w:t>Les dépenses liées aux activités d</w:t>
      </w:r>
      <w:r>
        <w:rPr>
          <w:rFonts w:asciiTheme="minorBidi" w:hAnsiTheme="minorBidi"/>
          <w:szCs w:val="20"/>
        </w:rPr>
        <w:t>’</w:t>
      </w:r>
      <w:r w:rsidRPr="00DE6136">
        <w:rPr>
          <w:rFonts w:asciiTheme="minorBidi" w:hAnsiTheme="minorBidi"/>
          <w:szCs w:val="20"/>
        </w:rPr>
        <w:t xml:space="preserve">appui au système de </w:t>
      </w:r>
      <w:r>
        <w:rPr>
          <w:rFonts w:asciiTheme="minorBidi" w:hAnsiTheme="minorBidi"/>
          <w:szCs w:val="20"/>
        </w:rPr>
        <w:t>La Haye</w:t>
      </w:r>
      <w:r w:rsidRPr="00DE6136">
        <w:rPr>
          <w:rFonts w:asciiTheme="minorBidi" w:hAnsiTheme="minorBidi"/>
          <w:szCs w:val="20"/>
        </w:rPr>
        <w:t xml:space="preserve"> sont composées des dépenses des services généraux suivants</w:t>
      </w:r>
      <w:r>
        <w:rPr>
          <w:rFonts w:asciiTheme="minorBidi" w:hAnsiTheme="minorBidi"/>
          <w:szCs w:val="20"/>
        </w:rPr>
        <w:t> :</w:t>
      </w:r>
      <w:r w:rsidRPr="00DE6136">
        <w:rPr>
          <w:rFonts w:asciiTheme="minorBidi" w:hAnsiTheme="minorBidi"/>
          <w:szCs w:val="20"/>
        </w:rPr>
        <w:t xml:space="preserve"> services des conférences et services linguistiques, construction, direction générale, finances et budget, services d</w:t>
      </w:r>
      <w:r>
        <w:rPr>
          <w:rFonts w:asciiTheme="minorBidi" w:hAnsiTheme="minorBidi"/>
          <w:szCs w:val="20"/>
        </w:rPr>
        <w:t>’</w:t>
      </w:r>
      <w:r w:rsidRPr="00DE6136">
        <w:rPr>
          <w:rFonts w:asciiTheme="minorBidi" w:hAnsiTheme="minorBidi"/>
          <w:szCs w:val="20"/>
        </w:rPr>
        <w:t>appui généraux, gestion des ressources humaines, supervision interne, informatique et sûreté et sécurité.  Une petite part de ces dépenses (coût de l</w:t>
      </w:r>
      <w:r>
        <w:rPr>
          <w:rFonts w:asciiTheme="minorBidi" w:hAnsiTheme="minorBidi"/>
          <w:szCs w:val="20"/>
        </w:rPr>
        <w:t>’</w:t>
      </w:r>
      <w:r w:rsidRPr="00DE6136">
        <w:rPr>
          <w:rFonts w:asciiTheme="minorBidi" w:hAnsiTheme="minorBidi"/>
          <w:szCs w:val="20"/>
        </w:rPr>
        <w:t xml:space="preserve">hébergement des serveurs au CIC et partage des coûts de la Section des </w:t>
      </w:r>
      <w:r w:rsidRPr="00DE6136">
        <w:rPr>
          <w:rFonts w:asciiTheme="minorBidi" w:hAnsiTheme="minorBidi"/>
          <w:szCs w:val="20"/>
        </w:rPr>
        <w:lastRenderedPageBreak/>
        <w:t xml:space="preserve">recettes de la Division des finances) est directement attribuée au système de </w:t>
      </w:r>
      <w:r>
        <w:rPr>
          <w:rFonts w:asciiTheme="minorBidi" w:hAnsiTheme="minorBidi"/>
          <w:szCs w:val="20"/>
        </w:rPr>
        <w:t>La Haye</w:t>
      </w:r>
      <w:r w:rsidRPr="00DE6136">
        <w:rPr>
          <w:rFonts w:asciiTheme="minorBidi" w:hAnsiTheme="minorBidi"/>
          <w:szCs w:val="20"/>
        </w:rPr>
        <w:t xml:space="preserve">, tandis que le reste de ces dépenses attribuables au système de </w:t>
      </w:r>
      <w:r>
        <w:rPr>
          <w:rFonts w:asciiTheme="minorBidi" w:hAnsiTheme="minorBidi"/>
          <w:szCs w:val="20"/>
        </w:rPr>
        <w:t>La Haye</w:t>
      </w:r>
      <w:r w:rsidRPr="00DE6136">
        <w:rPr>
          <w:rFonts w:asciiTheme="minorBidi" w:hAnsiTheme="minorBidi"/>
          <w:szCs w:val="20"/>
        </w:rPr>
        <w:t xml:space="preserve"> est calculé en fonction des effectifs (</w:t>
      </w:r>
      <w:r>
        <w:rPr>
          <w:rFonts w:asciiTheme="minorBidi" w:hAnsiTheme="minorBidi"/>
          <w:szCs w:val="20"/>
        </w:rPr>
        <w:t>y compris</w:t>
      </w:r>
      <w:r w:rsidRPr="00DE6136">
        <w:rPr>
          <w:rFonts w:asciiTheme="minorBidi" w:hAnsiTheme="minorBidi"/>
          <w:szCs w:val="20"/>
        </w:rPr>
        <w:t xml:space="preserve"> les fonctionnaires au bénéfice d</w:t>
      </w:r>
      <w:r>
        <w:rPr>
          <w:rFonts w:asciiTheme="minorBidi" w:hAnsiTheme="minorBidi"/>
          <w:szCs w:val="20"/>
        </w:rPr>
        <w:t>’</w:t>
      </w:r>
      <w:r w:rsidRPr="00DE6136">
        <w:rPr>
          <w:rFonts w:asciiTheme="minorBidi" w:hAnsiTheme="minorBidi"/>
          <w:szCs w:val="20"/>
        </w:rPr>
        <w:t>un contrat à durée déterminée, les fonctionnaires temporaires et les boursiers).</w:t>
      </w:r>
    </w:p>
    <w:p w14:paraId="7A958416" w14:textId="77777777" w:rsidR="00EB3C9D" w:rsidRPr="00DE6136" w:rsidRDefault="00EB3C9D" w:rsidP="009867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1"/>
        <w:gridCol w:w="3786"/>
      </w:tblGrid>
      <w:tr w:rsidR="00EB3C9D" w14:paraId="1F2C4766" w14:textId="77777777" w:rsidTr="00AA49D8">
        <w:tc>
          <w:tcPr>
            <w:tcW w:w="6345" w:type="dxa"/>
          </w:tcPr>
          <w:p w14:paraId="54F92691" w14:textId="54E07EF2" w:rsidR="00EB3C9D" w:rsidRDefault="00653B48" w:rsidP="00986700">
            <w:r>
              <w:rPr>
                <w:noProof/>
                <w:lang w:val="en-US"/>
              </w:rPr>
              <w:drawing>
                <wp:inline distT="0" distB="0" distL="0" distR="0" wp14:anchorId="3576C8BA" wp14:editId="7E86D56F">
                  <wp:extent cx="3142800" cy="1908698"/>
                  <wp:effectExtent l="0" t="0" r="63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42800" cy="1908698"/>
                          </a:xfrm>
                          <a:prstGeom prst="rect">
                            <a:avLst/>
                          </a:prstGeom>
                          <a:noFill/>
                          <a:ln>
                            <a:noFill/>
                          </a:ln>
                        </pic:spPr>
                      </pic:pic>
                    </a:graphicData>
                  </a:graphic>
                </wp:inline>
              </w:drawing>
            </w:r>
          </w:p>
        </w:tc>
        <w:tc>
          <w:tcPr>
            <w:tcW w:w="2866" w:type="dxa"/>
          </w:tcPr>
          <w:p w14:paraId="75497C23" w14:textId="3D332217" w:rsidR="00EB3C9D" w:rsidRDefault="00653B48" w:rsidP="00986700">
            <w:r>
              <w:rPr>
                <w:noProof/>
                <w:lang w:val="en-US"/>
              </w:rPr>
              <w:drawing>
                <wp:inline distT="0" distB="0" distL="0" distR="0" wp14:anchorId="4E5752C4" wp14:editId="05BB218C">
                  <wp:extent cx="2260800" cy="1907323"/>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60800" cy="1907323"/>
                          </a:xfrm>
                          <a:prstGeom prst="rect">
                            <a:avLst/>
                          </a:prstGeom>
                          <a:noFill/>
                          <a:ln>
                            <a:noFill/>
                          </a:ln>
                        </pic:spPr>
                      </pic:pic>
                    </a:graphicData>
                  </a:graphic>
                </wp:inline>
              </w:drawing>
            </w:r>
          </w:p>
        </w:tc>
      </w:tr>
    </w:tbl>
    <w:p w14:paraId="00BBD120" w14:textId="77777777" w:rsidR="00EB3C9D" w:rsidRPr="00DE6136" w:rsidRDefault="00EB3C9D" w:rsidP="00986700">
      <w:pPr>
        <w:pStyle w:val="ListParagraph"/>
        <w:ind w:left="1080"/>
        <w:rPr>
          <w:rFonts w:asciiTheme="minorBidi" w:hAnsiTheme="minorBidi"/>
          <w:szCs w:val="20"/>
        </w:rPr>
      </w:pPr>
    </w:p>
    <w:p w14:paraId="40526D86"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 xml:space="preserve">Les dépenses totales relatives au traitement dans le cadre du système de </w:t>
      </w:r>
      <w:r>
        <w:rPr>
          <w:rFonts w:asciiTheme="minorBidi" w:hAnsiTheme="minorBidi"/>
          <w:szCs w:val="20"/>
        </w:rPr>
        <w:t>La Haye</w:t>
      </w:r>
      <w:r w:rsidRPr="00DE6136">
        <w:rPr>
          <w:rFonts w:asciiTheme="minorBidi" w:hAnsiTheme="minorBidi"/>
          <w:szCs w:val="20"/>
        </w:rPr>
        <w:t xml:space="preserve"> sont estimées à 8,86 millions de francs suisses en 2016.</w:t>
      </w:r>
    </w:p>
    <w:p w14:paraId="354090A9" w14:textId="77777777" w:rsidR="00EB3C9D" w:rsidRPr="00DE6136" w:rsidRDefault="00EB3C9D" w:rsidP="00986700">
      <w:pPr>
        <w:ind w:left="1134"/>
        <w:jc w:val="both"/>
        <w:rPr>
          <w:rFonts w:asciiTheme="minorBidi" w:hAnsiTheme="minorBidi"/>
          <w:szCs w:val="20"/>
        </w:rPr>
      </w:pPr>
    </w:p>
    <w:p w14:paraId="08FA86AE" w14:textId="3F1741E0" w:rsidR="00EB3C9D" w:rsidRDefault="005B6685" w:rsidP="00616FD3">
      <w:pPr>
        <w:numPr>
          <w:ilvl w:val="0"/>
          <w:numId w:val="43"/>
        </w:numPr>
        <w:tabs>
          <w:tab w:val="clear" w:pos="720"/>
          <w:tab w:val="num" w:pos="1134"/>
        </w:tabs>
        <w:ind w:left="1134" w:hanging="567"/>
        <w:jc w:val="both"/>
        <w:rPr>
          <w:rFonts w:asciiTheme="minorBidi" w:hAnsiTheme="minorBidi"/>
          <w:szCs w:val="20"/>
        </w:rPr>
      </w:pPr>
      <w:r>
        <w:rPr>
          <w:rFonts w:asciiTheme="minorBidi" w:hAnsiTheme="minorBidi"/>
          <w:szCs w:val="20"/>
        </w:rPr>
        <w:t>En 2016, l</w:t>
      </w:r>
      <w:r w:rsidR="00EB3C9D" w:rsidRPr="00DE6136">
        <w:rPr>
          <w:rFonts w:asciiTheme="minorBidi" w:hAnsiTheme="minorBidi"/>
          <w:szCs w:val="20"/>
        </w:rPr>
        <w:t>es coûts directs ont représenté 58% des dépenses totales.</w:t>
      </w:r>
    </w:p>
    <w:p w14:paraId="0E0D682D" w14:textId="77777777" w:rsidR="00EB3C9D" w:rsidRPr="00DE6136" w:rsidRDefault="00EB3C9D" w:rsidP="00986700">
      <w:pPr>
        <w:rPr>
          <w:rFonts w:asciiTheme="minorBidi" w:hAnsiTheme="minorBidi"/>
          <w:szCs w:val="20"/>
        </w:rPr>
      </w:pPr>
    </w:p>
    <w:p w14:paraId="33624B35" w14:textId="77777777" w:rsidR="00EB3C9D" w:rsidRDefault="00EB3C9D" w:rsidP="00986700">
      <w:pPr>
        <w:rPr>
          <w:rFonts w:asciiTheme="minorBidi" w:hAnsiTheme="minorBidi"/>
          <w:szCs w:val="20"/>
          <w:u w:val="single"/>
        </w:rPr>
      </w:pPr>
      <w:r w:rsidRPr="00DE6136">
        <w:rPr>
          <w:rFonts w:asciiTheme="minorBidi" w:hAnsiTheme="minorBidi"/>
          <w:szCs w:val="20"/>
          <w:u w:val="single"/>
        </w:rPr>
        <w:t>Coût unitaire</w:t>
      </w:r>
    </w:p>
    <w:p w14:paraId="5CEC0752" w14:textId="77777777" w:rsidR="00EB3C9D" w:rsidRPr="00DE6136" w:rsidRDefault="00EB3C9D" w:rsidP="00986700">
      <w:pPr>
        <w:rPr>
          <w:rFonts w:asciiTheme="minorBidi" w:hAnsiTheme="minorBidi"/>
          <w:szCs w:val="20"/>
          <w:u w:val="single"/>
        </w:rPr>
      </w:pPr>
    </w:p>
    <w:p w14:paraId="65E1B12C" w14:textId="77777777"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L</w:t>
      </w:r>
      <w:r>
        <w:rPr>
          <w:rFonts w:asciiTheme="minorBidi" w:hAnsiTheme="minorBidi"/>
          <w:szCs w:val="20"/>
        </w:rPr>
        <w:t>’</w:t>
      </w:r>
      <w:r w:rsidRPr="00DE6136">
        <w:rPr>
          <w:rFonts w:asciiTheme="minorBidi" w:hAnsiTheme="minorBidi"/>
          <w:szCs w:val="20"/>
        </w:rPr>
        <w:t>efficacité du Bureau international dans la réalisation des transactions peut être mesurée au moyen du coût unitaire, qui est défini comme étant le coût moyen d</w:t>
      </w:r>
      <w:r>
        <w:rPr>
          <w:rFonts w:asciiTheme="minorBidi" w:hAnsiTheme="minorBidi"/>
          <w:szCs w:val="20"/>
        </w:rPr>
        <w:t>’</w:t>
      </w:r>
      <w:r w:rsidRPr="00DE6136">
        <w:rPr>
          <w:rFonts w:asciiTheme="minorBidi" w:hAnsiTheme="minorBidi"/>
          <w:szCs w:val="20"/>
        </w:rPr>
        <w:t>une unité produite.</w:t>
      </w:r>
    </w:p>
    <w:p w14:paraId="1E56E3C4" w14:textId="77777777" w:rsidR="00EB3C9D" w:rsidRPr="00DE6136" w:rsidRDefault="00EB3C9D" w:rsidP="00986700">
      <w:pPr>
        <w:contextualSpacing/>
        <w:jc w:val="both"/>
        <w:rPr>
          <w:rFonts w:asciiTheme="minorBidi" w:hAnsiTheme="minorBidi"/>
          <w:szCs w:val="20"/>
        </w:rPr>
      </w:pPr>
    </w:p>
    <w:p w14:paraId="066C9692" w14:textId="003D2827"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Étant donné que le Bureau international procède à l</w:t>
      </w:r>
      <w:r>
        <w:rPr>
          <w:rFonts w:asciiTheme="minorBidi" w:hAnsiTheme="minorBidi"/>
          <w:szCs w:val="20"/>
        </w:rPr>
        <w:t>’</w:t>
      </w:r>
      <w:r w:rsidRPr="00DE6136">
        <w:rPr>
          <w:rFonts w:asciiTheme="minorBidi" w:hAnsiTheme="minorBidi"/>
          <w:szCs w:val="20"/>
        </w:rPr>
        <w:t>enregistrement des nouvelles demandes et tient à jour les enregistrements en vigueur, il convient de calculer le coût d</w:t>
      </w:r>
      <w:r>
        <w:rPr>
          <w:rFonts w:asciiTheme="minorBidi" w:hAnsiTheme="minorBidi"/>
          <w:szCs w:val="20"/>
        </w:rPr>
        <w:t>’</w:t>
      </w:r>
      <w:r w:rsidRPr="00DE6136">
        <w:rPr>
          <w:rFonts w:asciiTheme="minorBidi" w:hAnsiTheme="minorBidi"/>
          <w:szCs w:val="20"/>
        </w:rPr>
        <w:t>une unité produite en tenant compte d</w:t>
      </w:r>
      <w:r>
        <w:rPr>
          <w:rFonts w:asciiTheme="minorBidi" w:hAnsiTheme="minorBidi"/>
          <w:szCs w:val="20"/>
        </w:rPr>
        <w:t>’</w:t>
      </w:r>
      <w:r w:rsidRPr="00DE6136">
        <w:rPr>
          <w:rFonts w:asciiTheme="minorBidi" w:hAnsiTheme="minorBidi"/>
          <w:szCs w:val="20"/>
        </w:rPr>
        <w:t>un ensemble de transactions.  Deux</w:t>
      </w:r>
      <w:r>
        <w:rPr>
          <w:rFonts w:asciiTheme="minorBidi" w:hAnsiTheme="minorBidi"/>
          <w:szCs w:val="20"/>
        </w:rPr>
        <w:t> </w:t>
      </w:r>
      <w:r w:rsidRPr="00DE6136">
        <w:rPr>
          <w:rFonts w:asciiTheme="minorBidi" w:hAnsiTheme="minorBidi"/>
          <w:szCs w:val="20"/>
        </w:rPr>
        <w:t>indicateurs de coût unitaire sont présentés ci</w:t>
      </w:r>
      <w:r w:rsidR="00B441CA">
        <w:rPr>
          <w:rFonts w:asciiTheme="minorBidi" w:hAnsiTheme="minorBidi"/>
          <w:szCs w:val="20"/>
        </w:rPr>
        <w:noBreakHyphen/>
      </w:r>
      <w:r w:rsidRPr="00DE6136">
        <w:rPr>
          <w:rFonts w:asciiTheme="minorBidi" w:hAnsiTheme="minorBidi"/>
          <w:szCs w:val="20"/>
        </w:rPr>
        <w:t>après au moyen de deux</w:t>
      </w:r>
      <w:r>
        <w:rPr>
          <w:rFonts w:asciiTheme="minorBidi" w:hAnsiTheme="minorBidi"/>
          <w:szCs w:val="20"/>
        </w:rPr>
        <w:t> </w:t>
      </w:r>
      <w:r w:rsidRPr="00DE6136">
        <w:rPr>
          <w:rFonts w:asciiTheme="minorBidi" w:hAnsiTheme="minorBidi"/>
          <w:szCs w:val="20"/>
        </w:rPr>
        <w:t>unités produites différentes.</w:t>
      </w:r>
    </w:p>
    <w:p w14:paraId="0ED913A4" w14:textId="77777777" w:rsidR="00EB3C9D" w:rsidRPr="00DE6136" w:rsidRDefault="00EB3C9D" w:rsidP="00986700">
      <w:pPr>
        <w:pStyle w:val="ListParagraph"/>
        <w:tabs>
          <w:tab w:val="left" w:pos="0"/>
          <w:tab w:val="left" w:pos="567"/>
        </w:tabs>
        <w:ind w:left="0"/>
        <w:jc w:val="both"/>
        <w:rPr>
          <w:rFonts w:asciiTheme="minorBidi" w:hAnsiTheme="minorBidi"/>
          <w:szCs w:val="20"/>
        </w:rPr>
      </w:pPr>
    </w:p>
    <w:p w14:paraId="38D341B0" w14:textId="5E7844FA" w:rsidR="00EB3C9D"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Au regard des efforts déployés par le Bureau international en vue d</w:t>
      </w:r>
      <w:r>
        <w:rPr>
          <w:rFonts w:asciiTheme="minorBidi" w:hAnsiTheme="minorBidi"/>
          <w:szCs w:val="20"/>
        </w:rPr>
        <w:t>’</w:t>
      </w:r>
      <w:r w:rsidRPr="00DE6136">
        <w:rPr>
          <w:rFonts w:asciiTheme="minorBidi" w:hAnsiTheme="minorBidi"/>
          <w:szCs w:val="20"/>
        </w:rPr>
        <w:t>affiner en permanence la méthode de calcul des coûts unitaires, cette méthode a été révisée dans le programme et budget pour l</w:t>
      </w:r>
      <w:r>
        <w:rPr>
          <w:rFonts w:asciiTheme="minorBidi" w:hAnsiTheme="minorBidi"/>
          <w:szCs w:val="20"/>
        </w:rPr>
        <w:t>’</w:t>
      </w:r>
      <w:r w:rsidRPr="00DE6136">
        <w:rPr>
          <w:rFonts w:asciiTheme="minorBidi" w:hAnsiTheme="minorBidi"/>
          <w:szCs w:val="20"/>
        </w:rPr>
        <w:t>exercice biennal 2016</w:t>
      </w:r>
      <w:r w:rsidR="00B441CA">
        <w:rPr>
          <w:rFonts w:asciiTheme="minorBidi" w:hAnsiTheme="minorBidi"/>
          <w:szCs w:val="20"/>
        </w:rPr>
        <w:noBreakHyphen/>
      </w:r>
      <w:r w:rsidRPr="00DE6136">
        <w:rPr>
          <w:rFonts w:asciiTheme="minorBidi" w:hAnsiTheme="minorBidi"/>
          <w:szCs w:val="20"/>
        </w:rPr>
        <w:t xml:space="preserve">2017 de manière à prendre en considération de façon plus précise le coût du traitement au Bureau international des opérations réalisées dans le cadre du système de </w:t>
      </w:r>
      <w:r>
        <w:rPr>
          <w:rFonts w:asciiTheme="minorBidi" w:hAnsiTheme="minorBidi"/>
          <w:szCs w:val="20"/>
        </w:rPr>
        <w:t>La Haye</w:t>
      </w:r>
      <w:r w:rsidRPr="00DE6136">
        <w:rPr>
          <w:rFonts w:asciiTheme="minorBidi" w:hAnsiTheme="minorBidi"/>
          <w:szCs w:val="20"/>
        </w:rPr>
        <w:footnoteReference w:id="24"/>
      </w:r>
      <w:r w:rsidRPr="00DE6136">
        <w:rPr>
          <w:rFonts w:asciiTheme="minorBidi" w:hAnsiTheme="minorBidi"/>
          <w:szCs w:val="20"/>
        </w:rPr>
        <w:t>.</w:t>
      </w:r>
    </w:p>
    <w:p w14:paraId="1B8BBEE0" w14:textId="77777777" w:rsidR="00EB3C9D" w:rsidRPr="00DE6136" w:rsidRDefault="00EB3C9D" w:rsidP="00986700">
      <w:pPr>
        <w:pStyle w:val="ListParagraph"/>
        <w:tabs>
          <w:tab w:val="left" w:pos="0"/>
          <w:tab w:val="left" w:pos="567"/>
        </w:tabs>
        <w:ind w:left="0"/>
        <w:jc w:val="both"/>
        <w:rPr>
          <w:rFonts w:asciiTheme="minorBidi" w:hAnsiTheme="minorBidi"/>
          <w:szCs w:val="20"/>
          <w:highlight w:val="lightGray"/>
        </w:rPr>
      </w:pPr>
    </w:p>
    <w:p w14:paraId="5B266B38" w14:textId="77777777" w:rsidR="00EB3C9D" w:rsidRPr="00DE6136" w:rsidRDefault="00EB3C9D" w:rsidP="00986700">
      <w:pPr>
        <w:keepNext/>
        <w:keepLines/>
        <w:rPr>
          <w:rFonts w:asciiTheme="minorBidi" w:hAnsiTheme="minorBidi"/>
          <w:i/>
          <w:szCs w:val="20"/>
        </w:rPr>
      </w:pPr>
      <w:r w:rsidRPr="00DE6136">
        <w:rPr>
          <w:rFonts w:asciiTheme="minorBidi" w:hAnsiTheme="minorBidi"/>
          <w:i/>
          <w:szCs w:val="20"/>
        </w:rPr>
        <w:t>Coût unitaire par dessin ou modèle nouveau ou renouvelé</w:t>
      </w:r>
    </w:p>
    <w:p w14:paraId="6BEC26FF" w14:textId="77777777" w:rsidR="00EB3C9D" w:rsidRPr="00DE6136" w:rsidRDefault="00EB3C9D" w:rsidP="00986700">
      <w:pPr>
        <w:keepNext/>
        <w:keepLines/>
        <w:rPr>
          <w:rFonts w:asciiTheme="minorBidi" w:hAnsiTheme="minorBidi"/>
          <w:i/>
          <w:szCs w:val="20"/>
        </w:rPr>
      </w:pPr>
    </w:p>
    <w:p w14:paraId="5DA0F4CE" w14:textId="77777777" w:rsidR="00EB3C9D" w:rsidRPr="00DE6136" w:rsidRDefault="00EB3C9D" w:rsidP="00616FD3">
      <w:pPr>
        <w:pStyle w:val="ListParagraph"/>
        <w:numPr>
          <w:ilvl w:val="0"/>
          <w:numId w:val="49"/>
        </w:numPr>
        <w:tabs>
          <w:tab w:val="left" w:pos="0"/>
          <w:tab w:val="left" w:pos="567"/>
          <w:tab w:val="left" w:pos="1134"/>
        </w:tabs>
        <w:ind w:left="0" w:firstLine="0"/>
        <w:jc w:val="both"/>
        <w:rPr>
          <w:rFonts w:asciiTheme="minorBidi" w:hAnsiTheme="minorBidi"/>
          <w:szCs w:val="20"/>
        </w:rPr>
      </w:pPr>
      <w:r w:rsidRPr="00DE6136">
        <w:rPr>
          <w:rFonts w:asciiTheme="minorBidi" w:hAnsiTheme="minorBidi"/>
          <w:szCs w:val="20"/>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w:t>
      </w:r>
      <w:r>
        <w:rPr>
          <w:rFonts w:asciiTheme="minorBidi" w:hAnsiTheme="minorBidi"/>
          <w:szCs w:val="20"/>
        </w:rPr>
        <w:t> </w:t>
      </w:r>
      <w:r w:rsidRPr="00DE6136">
        <w:rPr>
          <w:rFonts w:asciiTheme="minorBidi" w:hAnsiTheme="minorBidi"/>
          <w:szCs w:val="20"/>
        </w:rPr>
        <w:t>types de documents illustrent globalement les activités principales du Bureau international.</w:t>
      </w:r>
    </w:p>
    <w:p w14:paraId="02DC5988" w14:textId="77777777" w:rsidR="00EB3C9D" w:rsidRPr="00DE6136" w:rsidRDefault="00EB3C9D" w:rsidP="00986700">
      <w:pPr>
        <w:jc w:val="both"/>
        <w:rPr>
          <w:rFonts w:asciiTheme="minorBidi" w:hAnsiTheme="minorBidi"/>
          <w:szCs w:val="20"/>
        </w:rPr>
      </w:pPr>
    </w:p>
    <w:p w14:paraId="5A636FF3" w14:textId="77777777"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Étant donné que le traitement des dessins et modèles contenus dans ces deux</w:t>
      </w:r>
      <w:r>
        <w:rPr>
          <w:rFonts w:asciiTheme="minorBidi" w:hAnsiTheme="minorBidi"/>
          <w:szCs w:val="20"/>
        </w:rPr>
        <w:t> </w:t>
      </w:r>
      <w:r w:rsidRPr="00DE6136">
        <w:rPr>
          <w:rFonts w:asciiTheme="minorBidi" w:hAnsiTheme="minorBidi"/>
          <w:szCs w:val="20"/>
        </w:rPr>
        <w:t>types de documents ne nécessite pas de faire appel aux mêmes ressources, des facteurs de pondération différents sont utilisés</w:t>
      </w:r>
      <w:r w:rsidRPr="00DE6136">
        <w:rPr>
          <w:rStyle w:val="FootnoteReference"/>
          <w:rFonts w:asciiTheme="minorBidi" w:hAnsiTheme="minorBidi"/>
          <w:szCs w:val="20"/>
        </w:rPr>
        <w:footnoteReference w:id="25"/>
      </w:r>
      <w:r w:rsidRPr="00DE6136">
        <w:rPr>
          <w:rFonts w:asciiTheme="minorBidi" w:hAnsiTheme="minorBidi"/>
          <w:szCs w:val="20"/>
        </w:rPr>
        <w:t>.  Pour calculer le coût unitaire, le coût total de production est divisé par le nombre de dessins ou modèles nouveaux ou renouvelés.</w:t>
      </w:r>
    </w:p>
    <w:p w14:paraId="33CAAA4D" w14:textId="77777777" w:rsidR="00EB3C9D" w:rsidRDefault="00EB3C9D" w:rsidP="00986700">
      <w:pPr>
        <w:pStyle w:val="ListParagraph"/>
        <w:ind w:left="0"/>
        <w:rPr>
          <w:rFonts w:asciiTheme="minorBidi" w:hAnsiTheme="minorBid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3598"/>
      </w:tblGrid>
      <w:tr w:rsidR="00EB3C9D" w14:paraId="1FACCF88" w14:textId="77777777" w:rsidTr="00AA49D8">
        <w:tc>
          <w:tcPr>
            <w:tcW w:w="5495" w:type="dxa"/>
          </w:tcPr>
          <w:p w14:paraId="00F42178" w14:textId="77777777" w:rsidR="00EB3C9D" w:rsidRDefault="00EB3C9D" w:rsidP="00986700">
            <w:pPr>
              <w:pStyle w:val="ListParagraph"/>
              <w:ind w:left="0"/>
              <w:rPr>
                <w:rFonts w:asciiTheme="minorBidi" w:hAnsiTheme="minorBidi"/>
                <w:szCs w:val="20"/>
              </w:rPr>
            </w:pPr>
            <w:r>
              <w:rPr>
                <w:rFonts w:asciiTheme="minorBidi" w:hAnsiTheme="minorBidi"/>
                <w:noProof/>
                <w:szCs w:val="20"/>
                <w:lang w:val="en-US"/>
              </w:rPr>
              <w:lastRenderedPageBreak/>
              <w:drawing>
                <wp:inline distT="0" distB="0" distL="0" distR="0" wp14:anchorId="290B4959" wp14:editId="3109958D">
                  <wp:extent cx="3475719"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75719" cy="2160000"/>
                          </a:xfrm>
                          <a:prstGeom prst="rect">
                            <a:avLst/>
                          </a:prstGeom>
                          <a:noFill/>
                          <a:ln>
                            <a:noFill/>
                          </a:ln>
                        </pic:spPr>
                      </pic:pic>
                    </a:graphicData>
                  </a:graphic>
                </wp:inline>
              </w:drawing>
            </w:r>
          </w:p>
        </w:tc>
        <w:tc>
          <w:tcPr>
            <w:tcW w:w="3716" w:type="dxa"/>
          </w:tcPr>
          <w:p w14:paraId="30B4B5BD" w14:textId="77777777" w:rsidR="00EB3C9D" w:rsidRDefault="00EB3C9D" w:rsidP="00986700">
            <w:pPr>
              <w:pStyle w:val="ListParagraph"/>
              <w:ind w:left="0"/>
              <w:rPr>
                <w:rFonts w:asciiTheme="minorBidi" w:hAnsiTheme="minorBidi"/>
                <w:szCs w:val="20"/>
              </w:rPr>
            </w:pPr>
            <w:r>
              <w:rPr>
                <w:rFonts w:asciiTheme="minorBidi" w:hAnsiTheme="minorBidi"/>
                <w:noProof/>
                <w:szCs w:val="20"/>
                <w:lang w:val="en-US"/>
              </w:rPr>
              <w:drawing>
                <wp:inline distT="0" distB="0" distL="0" distR="0" wp14:anchorId="57BB213B" wp14:editId="40F6BA90">
                  <wp:extent cx="2006984"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6984" cy="2160000"/>
                          </a:xfrm>
                          <a:prstGeom prst="rect">
                            <a:avLst/>
                          </a:prstGeom>
                          <a:noFill/>
                          <a:ln>
                            <a:noFill/>
                          </a:ln>
                        </pic:spPr>
                      </pic:pic>
                    </a:graphicData>
                  </a:graphic>
                </wp:inline>
              </w:drawing>
            </w:r>
          </w:p>
        </w:tc>
      </w:tr>
    </w:tbl>
    <w:p w14:paraId="43A25867" w14:textId="77777777" w:rsidR="00EB3C9D" w:rsidRPr="00DE6136" w:rsidRDefault="00EB3C9D" w:rsidP="00986700">
      <w:pPr>
        <w:pStyle w:val="ListParagraph"/>
        <w:ind w:left="0"/>
        <w:rPr>
          <w:rFonts w:asciiTheme="minorBidi" w:hAnsiTheme="minorBidi"/>
          <w:szCs w:val="20"/>
        </w:rPr>
      </w:pPr>
    </w:p>
    <w:p w14:paraId="46950C3F"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Le coût moyen de traitement d</w:t>
      </w:r>
      <w:r>
        <w:rPr>
          <w:rFonts w:asciiTheme="minorBidi" w:hAnsiTheme="minorBidi"/>
          <w:szCs w:val="20"/>
        </w:rPr>
        <w:t>’</w:t>
      </w:r>
      <w:r w:rsidRPr="00DE6136">
        <w:rPr>
          <w:rFonts w:asciiTheme="minorBidi" w:hAnsiTheme="minorBidi"/>
          <w:szCs w:val="20"/>
        </w:rPr>
        <w:t>un dessin ou modèle nouveau ou renouvelé s</w:t>
      </w:r>
      <w:r>
        <w:rPr>
          <w:rFonts w:asciiTheme="minorBidi" w:hAnsiTheme="minorBidi"/>
          <w:szCs w:val="20"/>
        </w:rPr>
        <w:t>’</w:t>
      </w:r>
      <w:r w:rsidRPr="00DE6136">
        <w:rPr>
          <w:rFonts w:asciiTheme="minorBidi" w:hAnsiTheme="minorBidi"/>
          <w:szCs w:val="20"/>
        </w:rPr>
        <w:t>établissait à 443 francs suisses en 2016.  Pour les raisons susmentionnées (voir l</w:t>
      </w:r>
      <w:r>
        <w:rPr>
          <w:rFonts w:asciiTheme="minorBidi" w:hAnsiTheme="minorBidi"/>
          <w:szCs w:val="20"/>
        </w:rPr>
        <w:t>’</w:t>
      </w:r>
      <w:r w:rsidRPr="00DE6136">
        <w:rPr>
          <w:rFonts w:asciiTheme="minorBidi" w:hAnsiTheme="minorBidi"/>
          <w:szCs w:val="20"/>
        </w:rPr>
        <w:t>indicateur relatif au coût total de production), les résultats pour 2016 ne peuvent pas être comparés à ceux des années précédentes.</w:t>
      </w:r>
    </w:p>
    <w:p w14:paraId="5F03B7A8" w14:textId="77777777" w:rsidR="00EB3C9D" w:rsidRPr="00DE6136" w:rsidRDefault="00EB3C9D" w:rsidP="00986700">
      <w:pPr>
        <w:jc w:val="center"/>
        <w:rPr>
          <w:rFonts w:asciiTheme="minorBidi" w:hAnsiTheme="minorBidi"/>
          <w:szCs w:val="20"/>
        </w:rPr>
      </w:pPr>
    </w:p>
    <w:p w14:paraId="2CA9A204" w14:textId="77777777" w:rsidR="00EB3C9D" w:rsidRPr="00DE6136" w:rsidRDefault="00EB3C9D" w:rsidP="00986700">
      <w:pPr>
        <w:keepNext/>
        <w:keepLines/>
        <w:rPr>
          <w:rFonts w:asciiTheme="minorBidi" w:hAnsiTheme="minorBidi"/>
          <w:i/>
          <w:szCs w:val="20"/>
        </w:rPr>
      </w:pPr>
      <w:r w:rsidRPr="00DE6136">
        <w:rPr>
          <w:rFonts w:asciiTheme="minorBidi" w:hAnsiTheme="minorBidi"/>
          <w:i/>
          <w:szCs w:val="20"/>
        </w:rPr>
        <w:t>Coût unitaire par document inscrit au registre</w:t>
      </w:r>
    </w:p>
    <w:p w14:paraId="02B94235" w14:textId="77777777" w:rsidR="00EB3C9D" w:rsidRPr="00DE6136" w:rsidRDefault="00EB3C9D" w:rsidP="00986700">
      <w:pPr>
        <w:keepNext/>
        <w:keepLines/>
        <w:rPr>
          <w:rFonts w:asciiTheme="minorBidi" w:hAnsiTheme="minorBidi"/>
          <w:i/>
          <w:szCs w:val="20"/>
        </w:rPr>
      </w:pPr>
    </w:p>
    <w:p w14:paraId="182D9B10" w14:textId="77777777"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Le nombre de documents inscrits au registre correspond à la charge de travail totale (voir plus haut la partie intitulée “Charge de travail totale”)</w:t>
      </w:r>
    </w:p>
    <w:p w14:paraId="28A263F2" w14:textId="77777777" w:rsidR="00EB3C9D" w:rsidRPr="00DE6136" w:rsidRDefault="00EB3C9D" w:rsidP="00986700">
      <w:pPr>
        <w:pStyle w:val="ListParagraph"/>
        <w:tabs>
          <w:tab w:val="left" w:pos="0"/>
          <w:tab w:val="left" w:pos="567"/>
        </w:tabs>
        <w:ind w:left="0"/>
        <w:jc w:val="both"/>
        <w:rPr>
          <w:rFonts w:asciiTheme="minorBidi" w:hAnsiTheme="minorBid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3581"/>
      </w:tblGrid>
      <w:tr w:rsidR="00EB3C9D" w14:paraId="6EF7E5B7" w14:textId="77777777" w:rsidTr="00AA49D8">
        <w:tc>
          <w:tcPr>
            <w:tcW w:w="5495" w:type="dxa"/>
          </w:tcPr>
          <w:p w14:paraId="78E10F0E" w14:textId="77777777" w:rsidR="00EB3C9D" w:rsidRDefault="00EB3C9D" w:rsidP="00986700">
            <w:pPr>
              <w:pStyle w:val="ListParagraph"/>
              <w:ind w:left="0"/>
              <w:rPr>
                <w:rFonts w:asciiTheme="minorBidi" w:hAnsiTheme="minorBidi"/>
                <w:szCs w:val="20"/>
              </w:rPr>
            </w:pPr>
            <w:r>
              <w:rPr>
                <w:rFonts w:asciiTheme="minorBidi" w:hAnsiTheme="minorBidi"/>
                <w:noProof/>
                <w:szCs w:val="20"/>
                <w:lang w:val="en-US"/>
              </w:rPr>
              <w:drawing>
                <wp:inline distT="0" distB="0" distL="0" distR="0" wp14:anchorId="545FEFE4" wp14:editId="7F82E5E6">
                  <wp:extent cx="3480320" cy="2160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80320" cy="2160000"/>
                          </a:xfrm>
                          <a:prstGeom prst="rect">
                            <a:avLst/>
                          </a:prstGeom>
                          <a:noFill/>
                          <a:ln>
                            <a:noFill/>
                          </a:ln>
                        </pic:spPr>
                      </pic:pic>
                    </a:graphicData>
                  </a:graphic>
                </wp:inline>
              </w:drawing>
            </w:r>
          </w:p>
        </w:tc>
        <w:tc>
          <w:tcPr>
            <w:tcW w:w="3716" w:type="dxa"/>
          </w:tcPr>
          <w:p w14:paraId="6D0B8B9D" w14:textId="77777777" w:rsidR="00EB3C9D" w:rsidRDefault="00EB3C9D" w:rsidP="00986700">
            <w:pPr>
              <w:pStyle w:val="ListParagraph"/>
              <w:ind w:left="0"/>
              <w:rPr>
                <w:rFonts w:asciiTheme="minorBidi" w:hAnsiTheme="minorBidi"/>
                <w:szCs w:val="20"/>
              </w:rPr>
            </w:pPr>
            <w:r>
              <w:rPr>
                <w:rFonts w:asciiTheme="minorBidi" w:hAnsiTheme="minorBidi"/>
                <w:noProof/>
                <w:szCs w:val="20"/>
                <w:lang w:val="en-US"/>
              </w:rPr>
              <w:drawing>
                <wp:inline distT="0" distB="0" distL="0" distR="0" wp14:anchorId="5BBAB438" wp14:editId="24A0B85D">
                  <wp:extent cx="1951167"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51167" cy="2160000"/>
                          </a:xfrm>
                          <a:prstGeom prst="rect">
                            <a:avLst/>
                          </a:prstGeom>
                          <a:noFill/>
                          <a:ln>
                            <a:noFill/>
                          </a:ln>
                        </pic:spPr>
                      </pic:pic>
                    </a:graphicData>
                  </a:graphic>
                </wp:inline>
              </w:drawing>
            </w:r>
          </w:p>
        </w:tc>
      </w:tr>
    </w:tbl>
    <w:p w14:paraId="37349C09" w14:textId="77777777" w:rsidR="00EB3C9D" w:rsidRPr="00DE6136" w:rsidRDefault="00EB3C9D" w:rsidP="00986700">
      <w:pPr>
        <w:jc w:val="both"/>
        <w:rPr>
          <w:rFonts w:asciiTheme="minorBidi" w:hAnsiTheme="minorBidi"/>
          <w:szCs w:val="20"/>
        </w:rPr>
      </w:pPr>
    </w:p>
    <w:p w14:paraId="7852D72A" w14:textId="77777777" w:rsidR="00EB3C9D" w:rsidRPr="00DE6136" w:rsidRDefault="00EB3C9D" w:rsidP="00986700">
      <w:pPr>
        <w:tabs>
          <w:tab w:val="left" w:pos="1134"/>
        </w:tabs>
        <w:jc w:val="center"/>
        <w:rPr>
          <w:rFonts w:asciiTheme="minorBidi" w:hAnsiTheme="minorBidi"/>
          <w:szCs w:val="20"/>
        </w:rPr>
      </w:pPr>
    </w:p>
    <w:p w14:paraId="1D15548E" w14:textId="77777777"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Le coût moyen d</w:t>
      </w:r>
      <w:r>
        <w:rPr>
          <w:rFonts w:asciiTheme="minorBidi" w:hAnsiTheme="minorBidi"/>
          <w:szCs w:val="20"/>
        </w:rPr>
        <w:t>’</w:t>
      </w:r>
      <w:r w:rsidRPr="00DE6136">
        <w:rPr>
          <w:rFonts w:asciiTheme="minorBidi" w:hAnsiTheme="minorBidi"/>
          <w:szCs w:val="20"/>
        </w:rPr>
        <w:t>inscription d</w:t>
      </w:r>
      <w:r>
        <w:rPr>
          <w:rFonts w:asciiTheme="minorBidi" w:hAnsiTheme="minorBidi"/>
          <w:szCs w:val="20"/>
        </w:rPr>
        <w:t>’</w:t>
      </w:r>
      <w:r w:rsidRPr="00DE6136">
        <w:rPr>
          <w:rFonts w:asciiTheme="minorBidi" w:hAnsiTheme="minorBidi"/>
          <w:szCs w:val="20"/>
        </w:rPr>
        <w:t>un document au registre est estimé à 1172 francs suisses en 2016.  Pour les raisons susmentionnées (voir l</w:t>
      </w:r>
      <w:r>
        <w:rPr>
          <w:rFonts w:asciiTheme="minorBidi" w:hAnsiTheme="minorBidi"/>
          <w:szCs w:val="20"/>
        </w:rPr>
        <w:t>’</w:t>
      </w:r>
      <w:r w:rsidRPr="00DE6136">
        <w:rPr>
          <w:rFonts w:asciiTheme="minorBidi" w:hAnsiTheme="minorBidi"/>
          <w:szCs w:val="20"/>
        </w:rPr>
        <w:t>indicateur relatif au coût total de production), les résultats pour 2016 ne peuvent pas être comparés à ceux des années précédentes.</w:t>
      </w:r>
    </w:p>
    <w:p w14:paraId="56598D72" w14:textId="77777777" w:rsidR="00EB3C9D" w:rsidRPr="00DE6136" w:rsidRDefault="00EB3C9D" w:rsidP="00986700">
      <w:pPr>
        <w:pStyle w:val="ListParagraph"/>
        <w:ind w:left="0"/>
        <w:rPr>
          <w:rFonts w:asciiTheme="minorBidi" w:hAnsiTheme="minorBidi"/>
          <w:szCs w:val="20"/>
        </w:rPr>
      </w:pPr>
    </w:p>
    <w:p w14:paraId="449441A7" w14:textId="77777777" w:rsidR="00EB3C9D" w:rsidRPr="00DE6136" w:rsidRDefault="00EB3C9D" w:rsidP="00986700">
      <w:pPr>
        <w:pStyle w:val="ListParagraph"/>
        <w:ind w:left="0"/>
        <w:rPr>
          <w:rFonts w:asciiTheme="minorBidi" w:hAnsiTheme="minorBidi"/>
          <w:szCs w:val="20"/>
        </w:rPr>
      </w:pPr>
    </w:p>
    <w:p w14:paraId="06A78B73" w14:textId="77777777" w:rsidR="00EB3C9D" w:rsidRPr="00DE6136" w:rsidRDefault="00EB3C9D" w:rsidP="00986700">
      <w:pPr>
        <w:keepNext/>
        <w:tabs>
          <w:tab w:val="left" w:pos="567"/>
        </w:tabs>
        <w:spacing w:before="120" w:after="240"/>
        <w:rPr>
          <w:rFonts w:asciiTheme="minorBidi" w:hAnsiTheme="minorBidi"/>
          <w:b/>
          <w:szCs w:val="20"/>
        </w:rPr>
      </w:pPr>
      <w:r w:rsidRPr="00DE6136">
        <w:rPr>
          <w:rFonts w:asciiTheme="minorBidi" w:hAnsiTheme="minorBidi"/>
          <w:b/>
          <w:szCs w:val="20"/>
        </w:rPr>
        <w:t>IV.</w:t>
      </w:r>
      <w:r w:rsidRPr="00DE6136">
        <w:rPr>
          <w:rFonts w:asciiTheme="minorBidi" w:hAnsiTheme="minorBidi"/>
          <w:b/>
          <w:szCs w:val="20"/>
        </w:rPr>
        <w:tab/>
        <w:t>Délai de traitement des demandes internationales</w:t>
      </w:r>
    </w:p>
    <w:p w14:paraId="649D5DD8" w14:textId="2C69EB7C" w:rsidR="00EB3C9D" w:rsidRPr="00DE6136" w:rsidRDefault="00EB3C9D" w:rsidP="00616FD3">
      <w:pPr>
        <w:pStyle w:val="ListParagraph"/>
        <w:numPr>
          <w:ilvl w:val="0"/>
          <w:numId w:val="49"/>
        </w:numPr>
        <w:tabs>
          <w:tab w:val="left" w:pos="0"/>
          <w:tab w:val="left" w:pos="567"/>
        </w:tabs>
        <w:ind w:left="0" w:firstLine="0"/>
        <w:jc w:val="both"/>
        <w:rPr>
          <w:rFonts w:asciiTheme="minorBidi" w:hAnsiTheme="minorBidi"/>
          <w:szCs w:val="20"/>
        </w:rPr>
      </w:pPr>
      <w:r w:rsidRPr="00DE6136">
        <w:rPr>
          <w:rFonts w:asciiTheme="minorBidi" w:hAnsiTheme="minorBidi"/>
          <w:szCs w:val="20"/>
        </w:rPr>
        <w:t xml:space="preserve">Cet indicateur rend compte du temps nécessaire au Bureau international pour traiter les demandes </w:t>
      </w:r>
      <w:r w:rsidR="005B6685">
        <w:rPr>
          <w:rFonts w:asciiTheme="minorBidi" w:hAnsiTheme="minorBidi"/>
          <w:szCs w:val="20"/>
        </w:rPr>
        <w:t>réguliè</w:t>
      </w:r>
      <w:r w:rsidRPr="00DE6136">
        <w:rPr>
          <w:rFonts w:asciiTheme="minorBidi" w:hAnsiTheme="minorBidi"/>
          <w:szCs w:val="20"/>
        </w:rPr>
        <w:t>res.  Le délai de traitement est le temps écoulé entre la date de réception d</w:t>
      </w:r>
      <w:r>
        <w:rPr>
          <w:rFonts w:asciiTheme="minorBidi" w:hAnsiTheme="minorBidi"/>
          <w:szCs w:val="20"/>
        </w:rPr>
        <w:t>’</w:t>
      </w:r>
      <w:r w:rsidRPr="00DE6136">
        <w:rPr>
          <w:rFonts w:asciiTheme="minorBidi" w:hAnsiTheme="minorBidi"/>
          <w:szCs w:val="20"/>
        </w:rPr>
        <w:t>une demande et la date de son inscription au registre.</w:t>
      </w:r>
    </w:p>
    <w:p w14:paraId="0B82838B" w14:textId="77777777" w:rsidR="00653B48" w:rsidRDefault="00653B48" w:rsidP="00986700">
      <w:pPr>
        <w:ind w:left="720"/>
        <w:jc w:val="both"/>
        <w:rPr>
          <w:rFonts w:asciiTheme="minorBidi" w:hAnsiTheme="minorBidi"/>
          <w:szCs w:val="20"/>
        </w:rPr>
      </w:pPr>
      <w:r w:rsidRPr="00653B48">
        <w:rPr>
          <w:noProof/>
          <w:lang w:val="en-US" w:eastAsia="en-US"/>
        </w:rPr>
        <w:lastRenderedPageBreak/>
        <w:drawing>
          <wp:inline distT="0" distB="0" distL="0" distR="0" wp14:anchorId="121C240B" wp14:editId="0AA8DF13">
            <wp:extent cx="4680000" cy="2944383"/>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0000" cy="2944383"/>
                    </a:xfrm>
                    <a:prstGeom prst="rect">
                      <a:avLst/>
                    </a:prstGeom>
                    <a:noFill/>
                    <a:ln>
                      <a:noFill/>
                    </a:ln>
                  </pic:spPr>
                </pic:pic>
              </a:graphicData>
            </a:graphic>
          </wp:inline>
        </w:drawing>
      </w:r>
    </w:p>
    <w:p w14:paraId="121B6250" w14:textId="77777777" w:rsidR="00653B48" w:rsidRDefault="00653B48" w:rsidP="00986700">
      <w:pPr>
        <w:ind w:left="720"/>
        <w:jc w:val="both"/>
        <w:rPr>
          <w:rFonts w:asciiTheme="minorBidi" w:hAnsiTheme="minorBidi"/>
          <w:szCs w:val="20"/>
        </w:rPr>
      </w:pPr>
    </w:p>
    <w:p w14:paraId="411884DB" w14:textId="28FD2258" w:rsidR="00EB3C9D" w:rsidRPr="00DE6136" w:rsidRDefault="005B6685" w:rsidP="00616FD3">
      <w:pPr>
        <w:numPr>
          <w:ilvl w:val="0"/>
          <w:numId w:val="43"/>
        </w:numPr>
        <w:tabs>
          <w:tab w:val="clear" w:pos="720"/>
          <w:tab w:val="num" w:pos="1134"/>
        </w:tabs>
        <w:ind w:left="1134" w:hanging="567"/>
        <w:jc w:val="both"/>
        <w:rPr>
          <w:rFonts w:asciiTheme="minorBidi" w:hAnsiTheme="minorBidi"/>
          <w:szCs w:val="20"/>
        </w:rPr>
      </w:pPr>
      <w:r>
        <w:rPr>
          <w:rFonts w:asciiTheme="minorBidi" w:hAnsiTheme="minorBidi"/>
          <w:szCs w:val="20"/>
        </w:rPr>
        <w:t>En </w:t>
      </w:r>
      <w:r w:rsidR="00EB3C9D" w:rsidRPr="00DE6136">
        <w:rPr>
          <w:rFonts w:asciiTheme="minorBidi" w:hAnsiTheme="minorBidi"/>
          <w:szCs w:val="20"/>
        </w:rPr>
        <w:t>2016, la part des demandes régulières traitées en moins d</w:t>
      </w:r>
      <w:r w:rsidR="00EB3C9D">
        <w:rPr>
          <w:rFonts w:asciiTheme="minorBidi" w:hAnsiTheme="minorBidi"/>
          <w:szCs w:val="20"/>
        </w:rPr>
        <w:t>’</w:t>
      </w:r>
      <w:r w:rsidR="00EB3C9D" w:rsidRPr="00DE6136">
        <w:rPr>
          <w:rFonts w:asciiTheme="minorBidi" w:hAnsiTheme="minorBidi"/>
          <w:szCs w:val="20"/>
        </w:rPr>
        <w:t>une semaine a diminué à 20%, contre 45% en 2014, ce qui témoigne de l</w:t>
      </w:r>
      <w:r w:rsidR="00EB3C9D">
        <w:rPr>
          <w:rFonts w:asciiTheme="minorBidi" w:hAnsiTheme="minorBidi"/>
          <w:szCs w:val="20"/>
        </w:rPr>
        <w:t>’</w:t>
      </w:r>
      <w:r w:rsidR="00EB3C9D" w:rsidRPr="00DE6136">
        <w:rPr>
          <w:rFonts w:asciiTheme="minorBidi" w:hAnsiTheme="minorBidi"/>
          <w:szCs w:val="20"/>
        </w:rPr>
        <w:t>augmentation de la complexité mentionnée dans la section</w:t>
      </w:r>
      <w:r>
        <w:rPr>
          <w:rFonts w:asciiTheme="minorBidi" w:hAnsiTheme="minorBidi"/>
          <w:szCs w:val="20"/>
        </w:rPr>
        <w:t> </w:t>
      </w:r>
      <w:r w:rsidR="00EB3C9D" w:rsidRPr="00DE6136">
        <w:rPr>
          <w:rFonts w:asciiTheme="minorBidi" w:hAnsiTheme="minorBidi"/>
          <w:szCs w:val="20"/>
        </w:rPr>
        <w:t>II ci</w:t>
      </w:r>
      <w:r w:rsidR="00B441CA">
        <w:rPr>
          <w:rFonts w:asciiTheme="minorBidi" w:hAnsiTheme="minorBidi"/>
          <w:szCs w:val="20"/>
        </w:rPr>
        <w:noBreakHyphen/>
      </w:r>
      <w:r w:rsidR="00EB3C9D" w:rsidRPr="00DE6136">
        <w:rPr>
          <w:rFonts w:asciiTheme="minorBidi" w:hAnsiTheme="minorBidi"/>
          <w:szCs w:val="20"/>
        </w:rPr>
        <w:t>dessus.</w:t>
      </w:r>
    </w:p>
    <w:p w14:paraId="64AD8E76" w14:textId="77777777" w:rsidR="00EB3C9D" w:rsidRPr="00DE6136" w:rsidRDefault="00EB3C9D" w:rsidP="00986700">
      <w:pPr>
        <w:ind w:left="1134"/>
        <w:jc w:val="both"/>
        <w:rPr>
          <w:rFonts w:asciiTheme="minorBidi" w:hAnsiTheme="minorBidi"/>
          <w:szCs w:val="20"/>
        </w:rPr>
      </w:pPr>
    </w:p>
    <w:p w14:paraId="713F3AF4" w14:textId="03DBCE91" w:rsidR="00EB3C9D" w:rsidRPr="00DE6136" w:rsidRDefault="00EB3C9D" w:rsidP="00616FD3">
      <w:pPr>
        <w:numPr>
          <w:ilvl w:val="0"/>
          <w:numId w:val="43"/>
        </w:numPr>
        <w:tabs>
          <w:tab w:val="clear" w:pos="720"/>
          <w:tab w:val="num" w:pos="1134"/>
        </w:tabs>
        <w:ind w:left="1134" w:hanging="567"/>
        <w:jc w:val="both"/>
        <w:rPr>
          <w:rFonts w:asciiTheme="minorBidi" w:hAnsiTheme="minorBidi"/>
          <w:szCs w:val="20"/>
        </w:rPr>
      </w:pPr>
      <w:r w:rsidRPr="00DE6136">
        <w:rPr>
          <w:rFonts w:asciiTheme="minorBidi" w:hAnsiTheme="minorBidi"/>
          <w:szCs w:val="20"/>
        </w:rPr>
        <w:t>E</w:t>
      </w:r>
      <w:r w:rsidR="005B6685">
        <w:rPr>
          <w:rFonts w:asciiTheme="minorBidi" w:hAnsiTheme="minorBidi"/>
          <w:szCs w:val="20"/>
        </w:rPr>
        <w:t>n </w:t>
      </w:r>
      <w:r w:rsidRPr="00DE6136">
        <w:rPr>
          <w:rFonts w:asciiTheme="minorBidi" w:hAnsiTheme="minorBidi"/>
          <w:szCs w:val="20"/>
        </w:rPr>
        <w:t>2016, 78% des demandes ont été traitées dans un délai de trois</w:t>
      </w:r>
      <w:r>
        <w:rPr>
          <w:rFonts w:asciiTheme="minorBidi" w:hAnsiTheme="minorBidi"/>
          <w:szCs w:val="20"/>
        </w:rPr>
        <w:t> </w:t>
      </w:r>
      <w:r w:rsidRPr="00DE6136">
        <w:rPr>
          <w:rFonts w:asciiTheme="minorBidi" w:hAnsiTheme="minorBidi"/>
          <w:szCs w:val="20"/>
        </w:rPr>
        <w:t>semaines à compter de leur réception par le Bureau international.</w:t>
      </w:r>
    </w:p>
    <w:p w14:paraId="21C586AC" w14:textId="77777777" w:rsidR="00EB3C9D" w:rsidRDefault="00EB3C9D" w:rsidP="00986700">
      <w:pPr>
        <w:rPr>
          <w:rFonts w:asciiTheme="minorBidi" w:hAnsiTheme="minorBidi"/>
          <w:szCs w:val="20"/>
        </w:rPr>
      </w:pPr>
    </w:p>
    <w:p w14:paraId="56B11218" w14:textId="77777777" w:rsidR="005B6685" w:rsidRPr="00DE6136" w:rsidRDefault="005B6685" w:rsidP="00986700">
      <w:pPr>
        <w:rPr>
          <w:rFonts w:asciiTheme="minorBidi" w:hAnsiTheme="minorBidi"/>
          <w:szCs w:val="20"/>
        </w:rPr>
      </w:pPr>
    </w:p>
    <w:p w14:paraId="31CC3AD8" w14:textId="77777777" w:rsidR="00EB3C9D" w:rsidRPr="00DE6136" w:rsidRDefault="00EB3C9D" w:rsidP="00986700">
      <w:pPr>
        <w:rPr>
          <w:rFonts w:cs="Arial"/>
          <w:szCs w:val="20"/>
        </w:rPr>
      </w:pPr>
    </w:p>
    <w:p w14:paraId="02FA3974" w14:textId="77777777" w:rsidR="00EB3C9D" w:rsidRPr="00DE6136" w:rsidRDefault="00EB3C9D" w:rsidP="00986700">
      <w:pPr>
        <w:pStyle w:val="ListParagraph"/>
        <w:ind w:left="0" w:hanging="11"/>
        <w:contextualSpacing w:val="0"/>
        <w:jc w:val="right"/>
        <w:rPr>
          <w:rFonts w:cs="Arial"/>
          <w:szCs w:val="20"/>
        </w:rPr>
      </w:pPr>
      <w:r w:rsidRPr="00DE6136">
        <w:rPr>
          <w:rFonts w:cs="Arial"/>
          <w:szCs w:val="20"/>
        </w:rPr>
        <w:t>[Fin de l</w:t>
      </w:r>
      <w:r>
        <w:rPr>
          <w:rFonts w:cs="Arial"/>
          <w:szCs w:val="20"/>
        </w:rPr>
        <w:t>’</w:t>
      </w:r>
      <w:r w:rsidRPr="00DE6136">
        <w:rPr>
          <w:rFonts w:cs="Arial"/>
          <w:szCs w:val="20"/>
        </w:rPr>
        <w:t>annexe]</w:t>
      </w:r>
    </w:p>
    <w:p w14:paraId="6221B341" w14:textId="77777777" w:rsidR="00EB3C9D" w:rsidRDefault="00EB3C9D" w:rsidP="00986700">
      <w:pPr>
        <w:rPr>
          <w:b/>
          <w:caps/>
          <w:sz w:val="22"/>
        </w:rPr>
      </w:pPr>
      <w:r>
        <w:br w:type="page"/>
      </w:r>
    </w:p>
    <w:p w14:paraId="6F11AB46" w14:textId="017E3772" w:rsidR="007A7A77" w:rsidRPr="00A970C5" w:rsidRDefault="007A7A77" w:rsidP="00986700">
      <w:pPr>
        <w:pStyle w:val="Heading2"/>
      </w:pPr>
      <w:bookmarkStart w:id="39" w:name="_Toc482979483"/>
      <w:r w:rsidRPr="00A970C5">
        <w:lastRenderedPageBreak/>
        <w:t>Programme 32</w:t>
      </w:r>
      <w:r w:rsidRPr="00A970C5">
        <w:tab/>
        <w:t>Système de Lisbonne</w:t>
      </w:r>
      <w:bookmarkEnd w:id="39"/>
    </w:p>
    <w:p w14:paraId="13E493DE" w14:textId="77777777" w:rsidR="007A7A77" w:rsidRPr="00A970C5" w:rsidRDefault="007A7A77" w:rsidP="00986700">
      <w:pPr>
        <w:rPr>
          <w:rStyle w:val="StyleStyleHeading3ComplexItalicLatin12ptChar"/>
          <w:rFonts w:eastAsia="SimSun"/>
          <w:szCs w:val="20"/>
        </w:rPr>
      </w:pPr>
    </w:p>
    <w:p w14:paraId="430973A8" w14:textId="77777777" w:rsidR="007A7A77" w:rsidRPr="00A970C5" w:rsidRDefault="007A7A77" w:rsidP="00986700">
      <w:pPr>
        <w:rPr>
          <w:bCs/>
        </w:rPr>
      </w:pPr>
    </w:p>
    <w:tbl>
      <w:tblPr>
        <w:tblW w:w="5000" w:type="pct"/>
        <w:tblCellMar>
          <w:top w:w="57" w:type="dxa"/>
          <w:bottom w:w="57" w:type="dxa"/>
        </w:tblCellMar>
        <w:tblLook w:val="01E0" w:firstRow="1" w:lastRow="1" w:firstColumn="1" w:lastColumn="1" w:noHBand="0" w:noVBand="0"/>
      </w:tblPr>
      <w:tblGrid>
        <w:gridCol w:w="9287"/>
      </w:tblGrid>
      <w:tr w:rsidR="007A7A77" w:rsidRPr="00A970C5" w14:paraId="03A8330B" w14:textId="77777777" w:rsidTr="00A91929">
        <w:trPr>
          <w:cantSplit/>
        </w:trPr>
        <w:tc>
          <w:tcPr>
            <w:tcW w:w="9287" w:type="dxa"/>
            <w:shd w:val="clear" w:color="auto" w:fill="C6D9F1" w:themeFill="text2" w:themeFillTint="33"/>
            <w:vAlign w:val="center"/>
          </w:tcPr>
          <w:p w14:paraId="5CA6BCDC" w14:textId="77777777" w:rsidR="007A7A77" w:rsidRPr="00A970C5" w:rsidRDefault="007A7A77" w:rsidP="00986700">
            <w:pPr>
              <w:keepNext/>
              <w:keepLines/>
              <w:jc w:val="center"/>
              <w:rPr>
                <w:rFonts w:eastAsia="Times New Roman" w:cs="Arial"/>
                <w:b/>
                <w:bCs/>
                <w:szCs w:val="20"/>
                <w:lang w:eastAsia="en-US"/>
              </w:rPr>
            </w:pPr>
            <w:r w:rsidRPr="00A970C5">
              <w:rPr>
                <w:rFonts w:eastAsia="Times New Roman" w:cs="Arial"/>
                <w:b/>
                <w:bCs/>
                <w:szCs w:val="20"/>
                <w:lang w:eastAsia="en-US"/>
              </w:rPr>
              <w:t xml:space="preserve">Stratégies de mise en œuvre </w:t>
            </w:r>
          </w:p>
        </w:tc>
      </w:tr>
    </w:tbl>
    <w:p w14:paraId="66BAEEC8" w14:textId="3E9F4E32" w:rsidR="007A7A77" w:rsidRPr="00A970C5" w:rsidRDefault="007A7A77" w:rsidP="00986700">
      <w:pPr>
        <w:pStyle w:val="ListParagraph"/>
        <w:ind w:left="567" w:hanging="567"/>
        <w:rPr>
          <w:rFonts w:cs="Arial"/>
          <w:szCs w:val="20"/>
        </w:rPr>
      </w:pPr>
    </w:p>
    <w:p w14:paraId="2C675AEE" w14:textId="77777777" w:rsidR="007A7A77" w:rsidRPr="00A970C5" w:rsidRDefault="007A7A77" w:rsidP="00986700">
      <w:pPr>
        <w:pStyle w:val="ListParagraph"/>
        <w:numPr>
          <w:ilvl w:val="0"/>
          <w:numId w:val="13"/>
        </w:numPr>
        <w:ind w:left="567" w:hanging="567"/>
        <w:jc w:val="both"/>
        <w:rPr>
          <w:rFonts w:cs="Arial"/>
          <w:szCs w:val="20"/>
        </w:rPr>
      </w:pPr>
      <w:r w:rsidRPr="00A970C5">
        <w:rPr>
          <w:rFonts w:cs="Arial"/>
          <w:szCs w:val="20"/>
        </w:rPr>
        <w:t>Organiser des activités de sensibilisation et de promotion en vue de l’entrée en vigueur de l’Acte de Genève, et y participer;</w:t>
      </w:r>
    </w:p>
    <w:p w14:paraId="141821FF" w14:textId="0087B98C" w:rsidR="007A7A77" w:rsidRPr="00A970C5" w:rsidRDefault="00A91929" w:rsidP="00986700">
      <w:pPr>
        <w:pStyle w:val="ListParagraph"/>
        <w:ind w:left="567" w:hanging="567"/>
        <w:jc w:val="both"/>
        <w:rPr>
          <w:rFonts w:cs="Arial"/>
          <w:szCs w:val="20"/>
        </w:rPr>
      </w:pPr>
      <w:r w:rsidRPr="00A91929">
        <w:rPr>
          <w:noProof/>
          <w:lang w:val="en-US" w:eastAsia="en-US"/>
        </w:rPr>
        <w:drawing>
          <wp:anchor distT="0" distB="0" distL="114300" distR="114300" simplePos="0" relativeHeight="251664384" behindDoc="1" locked="0" layoutInCell="1" allowOverlap="1" wp14:anchorId="774D4A2B" wp14:editId="71E5DA1E">
            <wp:simplePos x="0" y="0"/>
            <wp:positionH relativeFrom="column">
              <wp:posOffset>4496435</wp:posOffset>
            </wp:positionH>
            <wp:positionV relativeFrom="paragraph">
              <wp:posOffset>24765</wp:posOffset>
            </wp:positionV>
            <wp:extent cx="1511935" cy="1939925"/>
            <wp:effectExtent l="0" t="0" r="0" b="3175"/>
            <wp:wrapTight wrapText="bothSides">
              <wp:wrapPolygon edited="0">
                <wp:start x="10614" y="0"/>
                <wp:lineTo x="8981" y="424"/>
                <wp:lineTo x="4899" y="2757"/>
                <wp:lineTo x="4082" y="6151"/>
                <wp:lineTo x="4627" y="6788"/>
                <wp:lineTo x="8437" y="6788"/>
                <wp:lineTo x="2449" y="10181"/>
                <wp:lineTo x="1089" y="11454"/>
                <wp:lineTo x="0" y="12939"/>
                <wp:lineTo x="0" y="17605"/>
                <wp:lineTo x="2449" y="20363"/>
                <wp:lineTo x="4899" y="21211"/>
                <wp:lineTo x="5171" y="21423"/>
                <wp:lineTo x="10886" y="21423"/>
                <wp:lineTo x="11158" y="21211"/>
                <wp:lineTo x="13608" y="20363"/>
                <wp:lineTo x="16057" y="17393"/>
                <wp:lineTo x="16329" y="15060"/>
                <wp:lineTo x="15513" y="13575"/>
                <wp:lineTo x="20412" y="10181"/>
                <wp:lineTo x="21228" y="8060"/>
                <wp:lineTo x="21228" y="4666"/>
                <wp:lineTo x="20956" y="2757"/>
                <wp:lineTo x="16601" y="212"/>
                <wp:lineTo x="14969" y="0"/>
                <wp:lineTo x="10614" y="0"/>
              </wp:wrapPolygon>
            </wp:wrapTight>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1935"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CFCB0" w14:textId="5BF02256" w:rsidR="007A7A77" w:rsidRPr="00A970C5" w:rsidRDefault="007A7A77" w:rsidP="00986700">
      <w:pPr>
        <w:pStyle w:val="ListParagraph"/>
        <w:numPr>
          <w:ilvl w:val="0"/>
          <w:numId w:val="13"/>
        </w:numPr>
        <w:ind w:left="567" w:hanging="567"/>
        <w:jc w:val="both"/>
        <w:rPr>
          <w:rFonts w:cs="Arial"/>
          <w:szCs w:val="20"/>
        </w:rPr>
      </w:pPr>
      <w:r w:rsidRPr="00A970C5">
        <w:rPr>
          <w:rFonts w:cs="Arial"/>
          <w:szCs w:val="20"/>
        </w:rPr>
        <w:t>Accroître le nombre de membres du système de Lisbonne, tout en respectant le droit des États membres d’assurer la protection de leurs indications géographiques par les marques ou toute autre forme de protection juridique</w:t>
      </w:r>
      <w:r w:rsidR="005F5C77">
        <w:rPr>
          <w:rFonts w:cs="Arial"/>
          <w:szCs w:val="20"/>
        </w:rPr>
        <w:t>;  d</w:t>
      </w:r>
      <w:r w:rsidRPr="00A970C5">
        <w:rPr>
          <w:rFonts w:cs="Arial"/>
          <w:szCs w:val="20"/>
        </w:rPr>
        <w:t>ans ce contexte, mener des activités de sensibilisation et de formation pour promouvoir l’utilisation du système;</w:t>
      </w:r>
    </w:p>
    <w:p w14:paraId="44D6EFF6" w14:textId="77777777" w:rsidR="007A7A77" w:rsidRPr="00A970C5" w:rsidRDefault="007A7A77" w:rsidP="00986700">
      <w:pPr>
        <w:pStyle w:val="ListParagraph"/>
        <w:ind w:left="567" w:hanging="567"/>
        <w:jc w:val="both"/>
        <w:rPr>
          <w:rFonts w:cs="Arial"/>
          <w:szCs w:val="20"/>
        </w:rPr>
      </w:pPr>
    </w:p>
    <w:p w14:paraId="04C08C29" w14:textId="77777777" w:rsidR="007A7A77" w:rsidRPr="00A970C5" w:rsidRDefault="007A7A77" w:rsidP="00986700">
      <w:pPr>
        <w:pStyle w:val="ListParagraph"/>
        <w:numPr>
          <w:ilvl w:val="0"/>
          <w:numId w:val="13"/>
        </w:numPr>
        <w:ind w:left="567" w:hanging="567"/>
        <w:jc w:val="both"/>
        <w:rPr>
          <w:rFonts w:cs="Arial"/>
          <w:szCs w:val="20"/>
        </w:rPr>
      </w:pPr>
      <w:r w:rsidRPr="00A970C5">
        <w:rPr>
          <w:rFonts w:cs="Arial"/>
          <w:szCs w:val="20"/>
        </w:rPr>
        <w:t>Fournir une assistance juridique et technique axée sur la demande aux États membres et aux organisations intergouvernementales, en particulier aux pays en développement et aux pays les moins avancés, qui souhaitent adhérer au système de Lisbonne, notamment à l’Acte de Genève, tout en mettant l’accent sur la possibilité d’assurer la protection des indications géographiques par le biais du système des marques;</w:t>
      </w:r>
    </w:p>
    <w:p w14:paraId="69CDA190" w14:textId="77777777" w:rsidR="007A7A77" w:rsidRPr="00A970C5" w:rsidRDefault="007A7A77" w:rsidP="00986700">
      <w:pPr>
        <w:pStyle w:val="ListParagraph"/>
        <w:ind w:left="567" w:hanging="567"/>
        <w:jc w:val="both"/>
        <w:rPr>
          <w:rFonts w:cs="Arial"/>
          <w:szCs w:val="20"/>
        </w:rPr>
      </w:pPr>
    </w:p>
    <w:p w14:paraId="10BBF2A6" w14:textId="77777777" w:rsidR="007A7A77" w:rsidRPr="00A970C5" w:rsidRDefault="007A7A77" w:rsidP="00986700">
      <w:pPr>
        <w:pStyle w:val="ListParagraph"/>
        <w:numPr>
          <w:ilvl w:val="0"/>
          <w:numId w:val="13"/>
        </w:numPr>
        <w:ind w:left="567" w:hanging="567"/>
        <w:jc w:val="both"/>
        <w:rPr>
          <w:rFonts w:cs="Arial"/>
          <w:szCs w:val="20"/>
        </w:rPr>
      </w:pPr>
      <w:r w:rsidRPr="00A970C5">
        <w:rPr>
          <w:rFonts w:cs="Arial"/>
          <w:szCs w:val="20"/>
        </w:rPr>
        <w:t>Poursuivre le processus de modernisation et de simplification du cadre réglementaire du système de Lisbonne, notamment dans le cadre de sessions du groupe de travail sur le développement du système de Lisbonne;</w:t>
      </w:r>
    </w:p>
    <w:p w14:paraId="15587BE9" w14:textId="77777777" w:rsidR="007A7A77" w:rsidRPr="00A970C5" w:rsidRDefault="007A7A77" w:rsidP="00986700">
      <w:pPr>
        <w:pStyle w:val="ListParagraph"/>
        <w:ind w:left="567" w:hanging="567"/>
        <w:jc w:val="both"/>
        <w:rPr>
          <w:rFonts w:cs="Arial"/>
          <w:szCs w:val="20"/>
        </w:rPr>
      </w:pPr>
    </w:p>
    <w:p w14:paraId="7E96568F" w14:textId="77777777" w:rsidR="007A7A77" w:rsidRPr="00A970C5" w:rsidRDefault="007A7A77" w:rsidP="00986700">
      <w:pPr>
        <w:pStyle w:val="ListParagraph"/>
        <w:numPr>
          <w:ilvl w:val="0"/>
          <w:numId w:val="13"/>
        </w:numPr>
        <w:ind w:left="567" w:hanging="567"/>
        <w:jc w:val="both"/>
        <w:rPr>
          <w:rFonts w:cs="Arial"/>
          <w:szCs w:val="20"/>
        </w:rPr>
      </w:pPr>
      <w:r w:rsidRPr="00A970C5">
        <w:rPr>
          <w:rFonts w:cs="Arial"/>
          <w:szCs w:val="20"/>
        </w:rPr>
        <w:t>Améliorer la productivité et la qualité de service en ayant plus largement recours à l’informatique.</w:t>
      </w:r>
    </w:p>
    <w:p w14:paraId="68839FA3" w14:textId="77777777" w:rsidR="007A7A77" w:rsidRPr="00A970C5" w:rsidRDefault="007A7A77" w:rsidP="00986700">
      <w:pPr>
        <w:ind w:left="567" w:hanging="567"/>
        <w:jc w:val="both"/>
        <w:rPr>
          <w:rFonts w:cs="Arial"/>
          <w:szCs w:val="20"/>
        </w:rPr>
      </w:pPr>
    </w:p>
    <w:p w14:paraId="1C901B71" w14:textId="77777777" w:rsidR="007A7A77" w:rsidRPr="00A970C5" w:rsidRDefault="007A7A77" w:rsidP="00986700">
      <w:pPr>
        <w:ind w:left="567" w:hanging="567"/>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7A7A77" w:rsidRPr="00A970C5" w14:paraId="509ABE80" w14:textId="77777777" w:rsidTr="0060494B">
        <w:trPr>
          <w:cantSplit/>
        </w:trPr>
        <w:tc>
          <w:tcPr>
            <w:tcW w:w="9571" w:type="dxa"/>
            <w:shd w:val="clear" w:color="auto" w:fill="C6D9F1" w:themeFill="text2" w:themeFillTint="33"/>
            <w:vAlign w:val="center"/>
          </w:tcPr>
          <w:p w14:paraId="5F796EC1" w14:textId="30DB240D" w:rsidR="007A7A77" w:rsidRPr="00A970C5" w:rsidRDefault="005F5C77" w:rsidP="005F5C77">
            <w:pPr>
              <w:keepNext/>
              <w:keepLines/>
              <w:jc w:val="center"/>
              <w:rPr>
                <w:rFonts w:eastAsia="Times New Roman" w:cs="Arial"/>
                <w:b/>
                <w:bCs/>
                <w:szCs w:val="20"/>
                <w:lang w:eastAsia="en-US"/>
              </w:rPr>
            </w:pPr>
            <w:r>
              <w:rPr>
                <w:rFonts w:eastAsia="Times New Roman" w:cs="Arial"/>
                <w:b/>
                <w:bCs/>
                <w:szCs w:val="20"/>
                <w:lang w:eastAsia="en-US"/>
              </w:rPr>
              <w:t>Collaboration interprogrammes</w:t>
            </w:r>
          </w:p>
        </w:tc>
      </w:tr>
    </w:tbl>
    <w:p w14:paraId="5B8B0CEA" w14:textId="77777777" w:rsidR="007A7A77" w:rsidRPr="00A970C5" w:rsidRDefault="007A7A77" w:rsidP="005A64E3">
      <w:pPr>
        <w:keepNext/>
        <w:jc w:val="both"/>
        <w:rPr>
          <w:rFonts w:cs="Arial"/>
          <w:szCs w:val="20"/>
        </w:rPr>
      </w:pPr>
    </w:p>
    <w:p w14:paraId="16482E43" w14:textId="73538BEA" w:rsidR="007A7A77" w:rsidRPr="00A970C5" w:rsidRDefault="005A64E3" w:rsidP="005A64E3">
      <w:pPr>
        <w:jc w:val="center"/>
        <w:rPr>
          <w:rFonts w:cs="Arial"/>
          <w:szCs w:val="20"/>
        </w:rPr>
      </w:pPr>
      <w:r w:rsidRPr="005A64E3">
        <w:rPr>
          <w:noProof/>
          <w:lang w:val="en-US" w:eastAsia="en-US"/>
        </w:rPr>
        <w:drawing>
          <wp:inline distT="0" distB="0" distL="0" distR="0" wp14:anchorId="173CBC5D" wp14:editId="0B342366">
            <wp:extent cx="3600000" cy="3600000"/>
            <wp:effectExtent l="0" t="0" r="635"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A238772" w14:textId="77777777" w:rsidR="007A7A77" w:rsidRPr="00A970C5" w:rsidRDefault="007A7A77"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29"/>
        <w:gridCol w:w="4658"/>
      </w:tblGrid>
      <w:tr w:rsidR="007A7A77" w:rsidRPr="00A970C5" w14:paraId="5BF0CA08" w14:textId="77777777" w:rsidTr="0060494B">
        <w:trPr>
          <w:cantSplit/>
        </w:trPr>
        <w:tc>
          <w:tcPr>
            <w:tcW w:w="4785" w:type="dxa"/>
            <w:shd w:val="clear" w:color="auto" w:fill="C6D9F1" w:themeFill="text2" w:themeFillTint="33"/>
            <w:tcMar>
              <w:top w:w="57" w:type="dxa"/>
            </w:tcMar>
            <w:vAlign w:val="center"/>
          </w:tcPr>
          <w:p w14:paraId="70101437" w14:textId="77777777" w:rsidR="007A7A77" w:rsidRPr="00A970C5" w:rsidRDefault="007A7A77" w:rsidP="005A64E3">
            <w:pPr>
              <w:keepNext/>
              <w:jc w:val="center"/>
              <w:rPr>
                <w:rFonts w:cs="Arial"/>
                <w:b/>
                <w:bCs/>
                <w:sz w:val="18"/>
                <w:szCs w:val="18"/>
              </w:rPr>
            </w:pPr>
            <w:r w:rsidRPr="00A970C5">
              <w:rPr>
                <w:rFonts w:cs="Arial"/>
                <w:b/>
                <w:bCs/>
                <w:sz w:val="18"/>
                <w:szCs w:val="18"/>
              </w:rPr>
              <w:lastRenderedPageBreak/>
              <w:t>Risque</w:t>
            </w:r>
          </w:p>
        </w:tc>
        <w:tc>
          <w:tcPr>
            <w:tcW w:w="4786" w:type="dxa"/>
            <w:shd w:val="clear" w:color="auto" w:fill="C6D9F1" w:themeFill="text2" w:themeFillTint="33"/>
            <w:tcMar>
              <w:top w:w="57" w:type="dxa"/>
            </w:tcMar>
            <w:vAlign w:val="center"/>
          </w:tcPr>
          <w:p w14:paraId="33E46483" w14:textId="77777777" w:rsidR="007A7A77" w:rsidRPr="00A970C5" w:rsidRDefault="007A7A77" w:rsidP="005A64E3">
            <w:pPr>
              <w:keepNext/>
              <w:jc w:val="center"/>
              <w:rPr>
                <w:rFonts w:cs="Arial"/>
                <w:b/>
                <w:bCs/>
                <w:sz w:val="18"/>
                <w:szCs w:val="18"/>
              </w:rPr>
            </w:pPr>
            <w:r w:rsidRPr="00A970C5">
              <w:rPr>
                <w:rFonts w:cs="Arial"/>
                <w:b/>
                <w:bCs/>
                <w:sz w:val="18"/>
                <w:szCs w:val="18"/>
              </w:rPr>
              <w:t>Mesures d’atténuation</w:t>
            </w:r>
          </w:p>
        </w:tc>
      </w:tr>
      <w:tr w:rsidR="007A7A77" w:rsidRPr="00A970C5" w14:paraId="7622AA25" w14:textId="77777777" w:rsidTr="0060494B">
        <w:trPr>
          <w:cantSplit/>
        </w:trPr>
        <w:tc>
          <w:tcPr>
            <w:tcW w:w="4785" w:type="dxa"/>
            <w:shd w:val="clear" w:color="auto" w:fill="auto"/>
            <w:tcMar>
              <w:top w:w="57" w:type="dxa"/>
              <w:bottom w:w="57" w:type="dxa"/>
            </w:tcMar>
          </w:tcPr>
          <w:p w14:paraId="3F8389F2" w14:textId="77777777" w:rsidR="007A7A77" w:rsidRPr="00A970C5" w:rsidRDefault="007A7A77" w:rsidP="00986700">
            <w:pPr>
              <w:rPr>
                <w:rFonts w:cs="Arial"/>
                <w:sz w:val="16"/>
                <w:szCs w:val="16"/>
              </w:rPr>
            </w:pPr>
            <w:r w:rsidRPr="00A970C5">
              <w:rPr>
                <w:rFonts w:cs="Arial"/>
                <w:sz w:val="16"/>
                <w:szCs w:val="16"/>
              </w:rPr>
              <w:t xml:space="preserve">L’Acte de Genève de l’Arrangement de Lisbonne a été adopté en 2015;  l’absence de ratification par les États membres pourrait compromettre son entrée en vigueur.  </w:t>
            </w:r>
          </w:p>
        </w:tc>
        <w:tc>
          <w:tcPr>
            <w:tcW w:w="4786" w:type="dxa"/>
            <w:shd w:val="clear" w:color="auto" w:fill="auto"/>
            <w:tcMar>
              <w:top w:w="57" w:type="dxa"/>
              <w:bottom w:w="57" w:type="dxa"/>
            </w:tcMar>
          </w:tcPr>
          <w:p w14:paraId="344FD81D" w14:textId="24C05882" w:rsidR="007A7A77" w:rsidRPr="00A970C5" w:rsidRDefault="007A7A77" w:rsidP="00986700">
            <w:pPr>
              <w:rPr>
                <w:rFonts w:cs="Arial"/>
                <w:sz w:val="16"/>
                <w:szCs w:val="16"/>
              </w:rPr>
            </w:pPr>
            <w:r w:rsidRPr="00A970C5">
              <w:rPr>
                <w:rFonts w:cs="Arial"/>
                <w:sz w:val="16"/>
                <w:szCs w:val="16"/>
              </w:rPr>
              <w:t xml:space="preserve">La sensibilisation des États membres aux avantages du système de Lisbonne et aux </w:t>
            </w:r>
            <w:r w:rsidR="00AE7435">
              <w:rPr>
                <w:rFonts w:cs="Arial"/>
                <w:sz w:val="16"/>
                <w:szCs w:val="16"/>
              </w:rPr>
              <w:t xml:space="preserve">garanties et </w:t>
            </w:r>
            <w:r w:rsidRPr="00A970C5">
              <w:rPr>
                <w:rFonts w:cs="Arial"/>
                <w:sz w:val="16"/>
                <w:szCs w:val="16"/>
              </w:rPr>
              <w:t xml:space="preserve">éléments de flexibilité améliorés introduits dans l’Acte de Genève encouragera davantage de pays à adhérer au système de Lisbonne;  cela permettra une collaboration accrue avec les États membres, les organisations internationales et les organisations intergouvernementales intéressés, ainsi qu’une amélioration de l’accès à l’information (site Web, événements internationaux, etc.).  </w:t>
            </w:r>
          </w:p>
        </w:tc>
      </w:tr>
    </w:tbl>
    <w:p w14:paraId="2AE656F0" w14:textId="77777777" w:rsidR="007A7A77" w:rsidRPr="00A970C5" w:rsidRDefault="007A7A77" w:rsidP="00986700">
      <w:pPr>
        <w:jc w:val="both"/>
        <w:rPr>
          <w:rFonts w:cs="Arial"/>
          <w:szCs w:val="20"/>
        </w:rPr>
      </w:pPr>
    </w:p>
    <w:p w14:paraId="61A1F4A6" w14:textId="77777777" w:rsidR="007A7A77" w:rsidRPr="00A970C5" w:rsidRDefault="007A7A77"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18"/>
        <w:gridCol w:w="2330"/>
        <w:gridCol w:w="2314"/>
        <w:gridCol w:w="2325"/>
      </w:tblGrid>
      <w:tr w:rsidR="007A7A77" w:rsidRPr="00A970C5" w14:paraId="3493036B" w14:textId="77777777" w:rsidTr="0060494B">
        <w:trPr>
          <w:cantSplit/>
          <w:tblHeader/>
        </w:trPr>
        <w:tc>
          <w:tcPr>
            <w:tcW w:w="2392" w:type="dxa"/>
            <w:shd w:val="clear" w:color="000000" w:fill="C5D9F1"/>
            <w:tcMar>
              <w:top w:w="57" w:type="dxa"/>
            </w:tcMar>
            <w:vAlign w:val="center"/>
            <w:hideMark/>
          </w:tcPr>
          <w:p w14:paraId="1D337EBD" w14:textId="77777777" w:rsidR="007A7A77" w:rsidRPr="00A970C5" w:rsidRDefault="007A7A77" w:rsidP="00986700">
            <w:pPr>
              <w:jc w:val="center"/>
              <w:rPr>
                <w:rFonts w:eastAsia="Times New Roman" w:cs="Arial"/>
                <w:b/>
                <w:bCs/>
                <w:sz w:val="18"/>
                <w:szCs w:val="18"/>
                <w:lang w:eastAsia="en-US"/>
              </w:rPr>
            </w:pPr>
            <w:r w:rsidRPr="00A970C5">
              <w:rPr>
                <w:rFonts w:eastAsia="Times New Roman" w:cs="Arial"/>
                <w:b/>
                <w:bCs/>
                <w:sz w:val="18"/>
                <w:szCs w:val="18"/>
                <w:lang w:eastAsia="en-US"/>
              </w:rPr>
              <w:t xml:space="preserve">Résultat attendu </w:t>
            </w:r>
          </w:p>
        </w:tc>
        <w:tc>
          <w:tcPr>
            <w:tcW w:w="2393" w:type="dxa"/>
            <w:shd w:val="clear" w:color="000000" w:fill="C5D9F1"/>
            <w:tcMar>
              <w:top w:w="57" w:type="dxa"/>
            </w:tcMar>
            <w:vAlign w:val="center"/>
            <w:hideMark/>
          </w:tcPr>
          <w:p w14:paraId="5B91EADB" w14:textId="77777777" w:rsidR="007A7A77" w:rsidRPr="00A970C5" w:rsidRDefault="007A7A77" w:rsidP="00986700">
            <w:pPr>
              <w:jc w:val="center"/>
              <w:rPr>
                <w:rFonts w:eastAsia="Times New Roman" w:cs="Arial"/>
                <w:b/>
                <w:bCs/>
                <w:sz w:val="18"/>
                <w:szCs w:val="18"/>
                <w:lang w:eastAsia="en-US"/>
              </w:rPr>
            </w:pPr>
            <w:r w:rsidRPr="00A970C5">
              <w:rPr>
                <w:rFonts w:eastAsia="Times New Roman" w:cs="Arial"/>
                <w:b/>
                <w:bCs/>
                <w:sz w:val="18"/>
                <w:szCs w:val="18"/>
                <w:lang w:eastAsia="en-US"/>
              </w:rPr>
              <w:t>Indicateurs d’exécution</w:t>
            </w:r>
          </w:p>
        </w:tc>
        <w:tc>
          <w:tcPr>
            <w:tcW w:w="2393" w:type="dxa"/>
            <w:shd w:val="clear" w:color="000000" w:fill="C5D9F1"/>
            <w:tcMar>
              <w:top w:w="57" w:type="dxa"/>
            </w:tcMar>
            <w:vAlign w:val="center"/>
            <w:hideMark/>
          </w:tcPr>
          <w:p w14:paraId="07EBB75E" w14:textId="77777777" w:rsidR="007A7A77" w:rsidRPr="00A970C5" w:rsidRDefault="007A7A77" w:rsidP="00986700">
            <w:pPr>
              <w:jc w:val="center"/>
              <w:rPr>
                <w:rFonts w:eastAsia="Times New Roman" w:cs="Arial"/>
                <w:b/>
                <w:bCs/>
                <w:sz w:val="18"/>
                <w:szCs w:val="18"/>
                <w:lang w:eastAsia="en-US"/>
              </w:rPr>
            </w:pPr>
            <w:r w:rsidRPr="00A970C5">
              <w:rPr>
                <w:rFonts w:eastAsia="Times New Roman" w:cs="Arial"/>
                <w:b/>
                <w:bCs/>
                <w:sz w:val="18"/>
                <w:szCs w:val="18"/>
                <w:lang w:eastAsia="en-US"/>
              </w:rPr>
              <w:t>Niveaux de référence</w:t>
            </w:r>
          </w:p>
        </w:tc>
        <w:tc>
          <w:tcPr>
            <w:tcW w:w="2393" w:type="dxa"/>
            <w:shd w:val="clear" w:color="000000" w:fill="C5D9F1"/>
            <w:tcMar>
              <w:top w:w="57" w:type="dxa"/>
            </w:tcMar>
            <w:vAlign w:val="center"/>
            <w:hideMark/>
          </w:tcPr>
          <w:p w14:paraId="78E64286" w14:textId="77777777" w:rsidR="007A7A77" w:rsidRPr="00A970C5" w:rsidRDefault="007A7A77" w:rsidP="00986700">
            <w:pPr>
              <w:jc w:val="center"/>
              <w:rPr>
                <w:rFonts w:eastAsia="Times New Roman" w:cs="Arial"/>
                <w:b/>
                <w:bCs/>
                <w:sz w:val="18"/>
                <w:szCs w:val="18"/>
                <w:lang w:eastAsia="en-US"/>
              </w:rPr>
            </w:pPr>
            <w:r w:rsidRPr="00A970C5">
              <w:rPr>
                <w:rFonts w:eastAsia="Times New Roman" w:cs="Arial"/>
                <w:b/>
                <w:bCs/>
                <w:sz w:val="18"/>
                <w:szCs w:val="18"/>
                <w:lang w:eastAsia="en-US"/>
              </w:rPr>
              <w:t>Objectifs visés</w:t>
            </w:r>
          </w:p>
        </w:tc>
      </w:tr>
      <w:tr w:rsidR="007A7A77" w:rsidRPr="00A970C5" w14:paraId="42ECB78C" w14:textId="77777777" w:rsidTr="0060494B">
        <w:trPr>
          <w:cantSplit/>
        </w:trPr>
        <w:tc>
          <w:tcPr>
            <w:tcW w:w="2392" w:type="dxa"/>
            <w:shd w:val="clear" w:color="000000" w:fill="FFFFFF"/>
            <w:hideMark/>
          </w:tcPr>
          <w:p w14:paraId="06F6F990"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II.9 Utilisation élargie et plus efficace du système de Lisbonne, notamment par les pays en développement et les PMA</w:t>
            </w:r>
          </w:p>
        </w:tc>
        <w:tc>
          <w:tcPr>
            <w:tcW w:w="2393" w:type="dxa"/>
            <w:shd w:val="clear" w:color="000000" w:fill="FFFFFF"/>
            <w:hideMark/>
          </w:tcPr>
          <w:p w14:paraId="4BD0CD0C"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Extension de la portée géographique du système de Lisbonne</w:t>
            </w:r>
          </w:p>
        </w:tc>
        <w:tc>
          <w:tcPr>
            <w:tcW w:w="2393" w:type="dxa"/>
            <w:shd w:val="clear" w:color="000000" w:fill="FFFFFF"/>
            <w:hideMark/>
          </w:tcPr>
          <w:p w14:paraId="245726FE"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Nombre de parties contractantes de l’Acte de Genève fin 2017</w:t>
            </w:r>
          </w:p>
        </w:tc>
        <w:tc>
          <w:tcPr>
            <w:tcW w:w="2393" w:type="dxa"/>
            <w:shd w:val="clear" w:color="000000" w:fill="FFFFFF"/>
            <w:hideMark/>
          </w:tcPr>
          <w:p w14:paraId="3E7FABC0"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Jusqu’à cinq parties contractantes de l’Acte de Genève d’ici à la fin de 2019</w:t>
            </w:r>
          </w:p>
        </w:tc>
      </w:tr>
      <w:tr w:rsidR="007A7A77" w:rsidRPr="00A970C5" w14:paraId="0E319FB9" w14:textId="77777777" w:rsidTr="0060494B">
        <w:trPr>
          <w:cantSplit/>
        </w:trPr>
        <w:tc>
          <w:tcPr>
            <w:tcW w:w="2392" w:type="dxa"/>
            <w:shd w:val="clear" w:color="000000" w:fill="FFFFFF"/>
            <w:vAlign w:val="bottom"/>
            <w:hideMark/>
          </w:tcPr>
          <w:p w14:paraId="0E4A44B0" w14:textId="77777777" w:rsidR="007A7A77" w:rsidRPr="00A970C5" w:rsidRDefault="007A7A77" w:rsidP="00986700">
            <w:pPr>
              <w:jc w:val="right"/>
              <w:rPr>
                <w:rFonts w:eastAsia="Times New Roman" w:cs="Arial"/>
                <w:sz w:val="16"/>
                <w:szCs w:val="16"/>
                <w:lang w:eastAsia="en-US"/>
              </w:rPr>
            </w:pPr>
          </w:p>
        </w:tc>
        <w:tc>
          <w:tcPr>
            <w:tcW w:w="2393" w:type="dxa"/>
            <w:shd w:val="clear" w:color="000000" w:fill="FFFFFF"/>
            <w:hideMark/>
          </w:tcPr>
          <w:p w14:paraId="5239CAB6"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 xml:space="preserve">Nombre de demandes internationales et d’autres transactions </w:t>
            </w:r>
          </w:p>
        </w:tc>
        <w:tc>
          <w:tcPr>
            <w:tcW w:w="2393" w:type="dxa"/>
            <w:shd w:val="clear" w:color="000000" w:fill="FFFFFF"/>
            <w:hideMark/>
          </w:tcPr>
          <w:p w14:paraId="0E22797E"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89 transactions en 2016 :</w:t>
            </w:r>
          </w:p>
          <w:p w14:paraId="5B9B944A" w14:textId="77777777" w:rsidR="007A7A77" w:rsidRDefault="007A7A77" w:rsidP="00986700">
            <w:pPr>
              <w:rPr>
                <w:rFonts w:eastAsia="Times New Roman" w:cs="Arial"/>
                <w:sz w:val="16"/>
                <w:szCs w:val="16"/>
                <w:lang w:eastAsia="en-US"/>
              </w:rPr>
            </w:pPr>
            <w:r w:rsidRPr="00A970C5">
              <w:rPr>
                <w:rFonts w:eastAsia="Times New Roman" w:cs="Arial"/>
                <w:sz w:val="16"/>
                <w:szCs w:val="16"/>
                <w:lang w:eastAsia="en-US"/>
              </w:rPr>
              <w:t>– 25 demandes internationales</w:t>
            </w:r>
          </w:p>
          <w:p w14:paraId="594D786C" w14:textId="1E54056F" w:rsidR="00AE7435" w:rsidRPr="00A970C5" w:rsidRDefault="00AE7435" w:rsidP="00986700">
            <w:pPr>
              <w:rPr>
                <w:rFonts w:eastAsia="Times New Roman" w:cs="Arial"/>
                <w:sz w:val="16"/>
                <w:szCs w:val="16"/>
                <w:lang w:eastAsia="en-US"/>
              </w:rPr>
            </w:pPr>
            <w:r>
              <w:rPr>
                <w:rFonts w:eastAsia="Times New Roman" w:cs="Arial"/>
                <w:sz w:val="16"/>
                <w:szCs w:val="16"/>
                <w:lang w:eastAsia="en-US"/>
              </w:rPr>
              <w:t>– autres transactions :</w:t>
            </w:r>
          </w:p>
          <w:p w14:paraId="7A94B997" w14:textId="77777777" w:rsidR="007A7A77" w:rsidRPr="00A970C5" w:rsidRDefault="007A7A77" w:rsidP="00AE7435">
            <w:pPr>
              <w:ind w:left="172"/>
              <w:rPr>
                <w:rFonts w:eastAsia="Times New Roman" w:cs="Arial"/>
                <w:sz w:val="16"/>
                <w:szCs w:val="16"/>
                <w:lang w:eastAsia="en-US"/>
              </w:rPr>
            </w:pPr>
            <w:r w:rsidRPr="00A970C5">
              <w:rPr>
                <w:rFonts w:eastAsia="Times New Roman" w:cs="Arial"/>
                <w:sz w:val="16"/>
                <w:szCs w:val="16"/>
                <w:lang w:eastAsia="en-US"/>
              </w:rPr>
              <w:t>– 8 déclarations d’octroi de la protection</w:t>
            </w:r>
          </w:p>
          <w:p w14:paraId="18613EEE" w14:textId="77777777" w:rsidR="007A7A77" w:rsidRDefault="007A7A77" w:rsidP="00AE7435">
            <w:pPr>
              <w:ind w:left="172"/>
              <w:rPr>
                <w:rFonts w:eastAsia="Times New Roman" w:cs="Arial"/>
                <w:sz w:val="16"/>
                <w:szCs w:val="16"/>
                <w:lang w:eastAsia="en-US"/>
              </w:rPr>
            </w:pPr>
            <w:r w:rsidRPr="00A970C5">
              <w:rPr>
                <w:rFonts w:eastAsia="Times New Roman" w:cs="Arial"/>
                <w:sz w:val="16"/>
                <w:szCs w:val="16"/>
                <w:lang w:eastAsia="en-US"/>
              </w:rPr>
              <w:t>– 54 déclarations de refus</w:t>
            </w:r>
          </w:p>
          <w:p w14:paraId="36A0C679" w14:textId="65B7EE80" w:rsidR="00AE7435" w:rsidRPr="00A970C5" w:rsidRDefault="00AE7435" w:rsidP="00AE7435">
            <w:pPr>
              <w:ind w:left="172"/>
              <w:rPr>
                <w:rFonts w:eastAsia="Times New Roman" w:cs="Arial"/>
                <w:sz w:val="16"/>
                <w:szCs w:val="16"/>
                <w:lang w:eastAsia="en-US"/>
              </w:rPr>
            </w:pPr>
            <w:r>
              <w:rPr>
                <w:rFonts w:eastAsia="Times New Roman" w:cs="Arial"/>
                <w:sz w:val="16"/>
                <w:szCs w:val="16"/>
                <w:lang w:eastAsia="en-US"/>
              </w:rPr>
              <w:t>– 2 retraits de refus</w:t>
            </w:r>
          </w:p>
        </w:tc>
        <w:tc>
          <w:tcPr>
            <w:tcW w:w="2393" w:type="dxa"/>
            <w:shd w:val="clear" w:color="000000" w:fill="FFFFFF"/>
            <w:hideMark/>
          </w:tcPr>
          <w:p w14:paraId="50EAEA18" w14:textId="2A365AFA"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260 transactions en 2018</w:t>
            </w:r>
            <w:r w:rsidR="00B441CA">
              <w:rPr>
                <w:rFonts w:eastAsia="Times New Roman" w:cs="Arial"/>
                <w:sz w:val="16"/>
                <w:szCs w:val="16"/>
                <w:lang w:eastAsia="en-US"/>
              </w:rPr>
              <w:noBreakHyphen/>
            </w:r>
            <w:r w:rsidRPr="00A970C5">
              <w:rPr>
                <w:rFonts w:eastAsia="Times New Roman" w:cs="Arial"/>
                <w:sz w:val="16"/>
                <w:szCs w:val="16"/>
                <w:lang w:eastAsia="en-US"/>
              </w:rPr>
              <w:t>2019 :</w:t>
            </w:r>
          </w:p>
          <w:p w14:paraId="5F238843" w14:textId="77777777" w:rsidR="007A7A77" w:rsidRDefault="007A7A77" w:rsidP="00986700">
            <w:pPr>
              <w:rPr>
                <w:rFonts w:eastAsia="Times New Roman" w:cs="Arial"/>
                <w:sz w:val="16"/>
                <w:szCs w:val="16"/>
                <w:lang w:eastAsia="en-US"/>
              </w:rPr>
            </w:pPr>
            <w:r w:rsidRPr="00A970C5">
              <w:rPr>
                <w:rFonts w:eastAsia="Times New Roman" w:cs="Arial"/>
                <w:sz w:val="16"/>
                <w:szCs w:val="16"/>
                <w:lang w:eastAsia="en-US"/>
              </w:rPr>
              <w:t>– 100 nouvelles demandes internationales</w:t>
            </w:r>
          </w:p>
          <w:p w14:paraId="5C458D9F" w14:textId="44C194BD" w:rsidR="00AE7435" w:rsidRPr="00A970C5" w:rsidRDefault="00AE7435" w:rsidP="00986700">
            <w:pPr>
              <w:rPr>
                <w:rFonts w:eastAsia="Times New Roman" w:cs="Arial"/>
                <w:sz w:val="16"/>
                <w:szCs w:val="16"/>
                <w:lang w:eastAsia="en-US"/>
              </w:rPr>
            </w:pPr>
            <w:r>
              <w:rPr>
                <w:rFonts w:eastAsia="Times New Roman" w:cs="Arial"/>
                <w:sz w:val="16"/>
                <w:szCs w:val="16"/>
                <w:lang w:eastAsia="en-US"/>
              </w:rPr>
              <w:t>– 160 autres transactions :</w:t>
            </w:r>
          </w:p>
          <w:p w14:paraId="712F619B" w14:textId="77777777" w:rsidR="007A7A77" w:rsidRPr="00A970C5" w:rsidRDefault="007A7A77" w:rsidP="00AE7435">
            <w:pPr>
              <w:ind w:left="268"/>
              <w:rPr>
                <w:rFonts w:eastAsia="Times New Roman" w:cs="Arial"/>
                <w:sz w:val="16"/>
                <w:szCs w:val="16"/>
                <w:lang w:eastAsia="en-US"/>
              </w:rPr>
            </w:pPr>
            <w:r w:rsidRPr="00A970C5">
              <w:rPr>
                <w:rFonts w:eastAsia="Times New Roman" w:cs="Arial"/>
                <w:sz w:val="16"/>
                <w:szCs w:val="16"/>
                <w:lang w:eastAsia="en-US"/>
              </w:rPr>
              <w:t>– 40 déclarations d’octroi de la protection</w:t>
            </w:r>
          </w:p>
          <w:p w14:paraId="41C06D65" w14:textId="77777777" w:rsidR="007A7A77" w:rsidRPr="00A970C5" w:rsidRDefault="007A7A77" w:rsidP="00AE7435">
            <w:pPr>
              <w:ind w:left="268"/>
              <w:rPr>
                <w:rFonts w:eastAsia="Times New Roman" w:cs="Arial"/>
                <w:sz w:val="16"/>
                <w:szCs w:val="16"/>
                <w:lang w:eastAsia="en-US"/>
              </w:rPr>
            </w:pPr>
            <w:r w:rsidRPr="00A970C5">
              <w:rPr>
                <w:rFonts w:eastAsia="Times New Roman" w:cs="Arial"/>
                <w:sz w:val="16"/>
                <w:szCs w:val="16"/>
                <w:lang w:eastAsia="en-US"/>
              </w:rPr>
              <w:t>– 120 déclarations de refus</w:t>
            </w:r>
          </w:p>
        </w:tc>
      </w:tr>
      <w:tr w:rsidR="007A7A77" w:rsidRPr="00A970C5" w14:paraId="0BD6CF31" w14:textId="77777777" w:rsidTr="0060494B">
        <w:trPr>
          <w:cantSplit/>
        </w:trPr>
        <w:tc>
          <w:tcPr>
            <w:tcW w:w="2392" w:type="dxa"/>
            <w:shd w:val="clear" w:color="000000" w:fill="FFFFFF"/>
            <w:vAlign w:val="bottom"/>
            <w:hideMark/>
          </w:tcPr>
          <w:p w14:paraId="20C9427E" w14:textId="77777777" w:rsidR="007A7A77" w:rsidRPr="00A970C5" w:rsidRDefault="007A7A77" w:rsidP="00986700">
            <w:pPr>
              <w:jc w:val="right"/>
              <w:rPr>
                <w:rFonts w:eastAsia="Times New Roman" w:cs="Arial"/>
                <w:sz w:val="16"/>
                <w:szCs w:val="16"/>
                <w:lang w:eastAsia="en-US"/>
              </w:rPr>
            </w:pPr>
          </w:p>
        </w:tc>
        <w:tc>
          <w:tcPr>
            <w:tcW w:w="2393" w:type="dxa"/>
            <w:shd w:val="clear" w:color="000000" w:fill="FFFFFF"/>
            <w:hideMark/>
          </w:tcPr>
          <w:p w14:paraId="64089DC9"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Nombre d’enregistrements internationaux en vertu du système de Lisbonne étant en  vigueur et provenant de pays en développement et de PMA</w:t>
            </w:r>
          </w:p>
        </w:tc>
        <w:tc>
          <w:tcPr>
            <w:tcW w:w="2393" w:type="dxa"/>
            <w:shd w:val="clear" w:color="000000" w:fill="FFFFFF"/>
            <w:hideMark/>
          </w:tcPr>
          <w:p w14:paraId="399A02D5"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95 sur 1020 (fin 2016)</w:t>
            </w:r>
          </w:p>
        </w:tc>
        <w:tc>
          <w:tcPr>
            <w:tcW w:w="2393" w:type="dxa"/>
            <w:shd w:val="clear" w:color="000000" w:fill="FFFFFF"/>
            <w:hideMark/>
          </w:tcPr>
          <w:p w14:paraId="646B84E9"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100 sur 1070</w:t>
            </w:r>
          </w:p>
        </w:tc>
      </w:tr>
      <w:tr w:rsidR="007A7A77" w:rsidRPr="00A970C5" w14:paraId="13F10075" w14:textId="77777777" w:rsidTr="0060494B">
        <w:trPr>
          <w:cantSplit/>
        </w:trPr>
        <w:tc>
          <w:tcPr>
            <w:tcW w:w="2392" w:type="dxa"/>
            <w:shd w:val="clear" w:color="000000" w:fill="FFFFFF"/>
            <w:hideMark/>
          </w:tcPr>
          <w:p w14:paraId="4AD73788"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II.10 Amélioration de la productivité et de la qualité de service des opérations du système de Lisbonne</w:t>
            </w:r>
          </w:p>
        </w:tc>
        <w:tc>
          <w:tcPr>
            <w:tcW w:w="2393" w:type="dxa"/>
            <w:shd w:val="clear" w:color="000000" w:fill="FFFFFF"/>
            <w:hideMark/>
          </w:tcPr>
          <w:p w14:paraId="3D7A471B"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Progrès accomplis dans l’amélioration du cadre juridique</w:t>
            </w:r>
          </w:p>
        </w:tc>
        <w:tc>
          <w:tcPr>
            <w:tcW w:w="2393" w:type="dxa"/>
            <w:shd w:val="clear" w:color="000000" w:fill="FFFFFF"/>
            <w:hideMark/>
          </w:tcPr>
          <w:p w14:paraId="1706A377"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Cadre juridique actuel (Acte de 1958 et Acte de 1967) et cadre juridique de l’Acte de Genève (2015)</w:t>
            </w:r>
          </w:p>
        </w:tc>
        <w:tc>
          <w:tcPr>
            <w:tcW w:w="2393" w:type="dxa"/>
            <w:shd w:val="clear" w:color="000000" w:fill="FFFFFF"/>
            <w:hideMark/>
          </w:tcPr>
          <w:p w14:paraId="74B9B8BC"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Modifications du règlement d’exécution de l’Arrangement de Lisbonne et des instructions administratives pour son application, et introduction de nouveaux éléments après les nouvelles adhésions à l’Acte de 1967 et à l’Acte de Genève (2015)</w:t>
            </w:r>
          </w:p>
        </w:tc>
      </w:tr>
      <w:tr w:rsidR="007A7A77" w:rsidRPr="00A970C5" w14:paraId="42DF5236" w14:textId="77777777" w:rsidTr="0060494B">
        <w:trPr>
          <w:cantSplit/>
        </w:trPr>
        <w:tc>
          <w:tcPr>
            <w:tcW w:w="2392" w:type="dxa"/>
            <w:shd w:val="clear" w:color="000000" w:fill="FFFFFF"/>
            <w:vAlign w:val="bottom"/>
            <w:hideMark/>
          </w:tcPr>
          <w:p w14:paraId="1FAB3B3C" w14:textId="77777777" w:rsidR="007A7A77" w:rsidRPr="00A970C5" w:rsidRDefault="007A7A77" w:rsidP="00986700">
            <w:pPr>
              <w:jc w:val="right"/>
              <w:rPr>
                <w:rFonts w:eastAsia="Times New Roman" w:cs="Arial"/>
                <w:sz w:val="16"/>
                <w:szCs w:val="16"/>
                <w:lang w:eastAsia="en-US"/>
              </w:rPr>
            </w:pPr>
          </w:p>
        </w:tc>
        <w:tc>
          <w:tcPr>
            <w:tcW w:w="2393" w:type="dxa"/>
            <w:shd w:val="clear" w:color="000000" w:fill="FFFFFF"/>
            <w:hideMark/>
          </w:tcPr>
          <w:p w14:paraId="070C1F27"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Amélioration du fonctionnement du système d’enregistrement de Lisbonne, y compris des processus et procédures électroniques</w:t>
            </w:r>
          </w:p>
        </w:tc>
        <w:tc>
          <w:tcPr>
            <w:tcW w:w="2393" w:type="dxa"/>
            <w:shd w:val="clear" w:color="000000" w:fill="FFFFFF"/>
            <w:hideMark/>
          </w:tcPr>
          <w:p w14:paraId="7713D10A"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Processus et outils actuels pour la saisie, la notification et la publication des données</w:t>
            </w:r>
          </w:p>
        </w:tc>
        <w:tc>
          <w:tcPr>
            <w:tcW w:w="2393" w:type="dxa"/>
            <w:shd w:val="clear" w:color="000000" w:fill="FFFFFF"/>
            <w:hideMark/>
          </w:tcPr>
          <w:p w14:paraId="4E475D79"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 xml:space="preserve">– Formulaires de dépôt électronique en ligne </w:t>
            </w:r>
          </w:p>
          <w:p w14:paraId="22D9D9EE"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 Outils améliorés pour la saisie et la notification des données</w:t>
            </w:r>
          </w:p>
          <w:p w14:paraId="1A8A3350" w14:textId="77777777" w:rsidR="007A7A77" w:rsidRPr="00A970C5" w:rsidRDefault="007A7A77" w:rsidP="00986700">
            <w:pPr>
              <w:rPr>
                <w:rFonts w:eastAsia="Times New Roman" w:cs="Arial"/>
                <w:sz w:val="16"/>
                <w:szCs w:val="16"/>
                <w:lang w:eastAsia="en-US"/>
              </w:rPr>
            </w:pPr>
            <w:r w:rsidRPr="00A970C5">
              <w:rPr>
                <w:rFonts w:eastAsia="Times New Roman" w:cs="Arial"/>
                <w:sz w:val="16"/>
                <w:szCs w:val="16"/>
                <w:lang w:eastAsia="en-US"/>
              </w:rPr>
              <w:t>– Publication automatique des nouvelles transactions en vertu du service d’enregistrement de Lisbonne</w:t>
            </w:r>
          </w:p>
        </w:tc>
      </w:tr>
    </w:tbl>
    <w:p w14:paraId="0C61CCC5" w14:textId="77777777" w:rsidR="007A7A77" w:rsidRPr="00426A7C" w:rsidRDefault="007A7A77" w:rsidP="00986700">
      <w:pPr>
        <w:rPr>
          <w:lang w:eastAsia="en-US"/>
        </w:rPr>
      </w:pPr>
    </w:p>
    <w:tbl>
      <w:tblPr>
        <w:tblW w:w="5000" w:type="pct"/>
        <w:tblCellMar>
          <w:top w:w="57" w:type="dxa"/>
          <w:bottom w:w="57" w:type="dxa"/>
        </w:tblCellMar>
        <w:tblLook w:val="01E0" w:firstRow="1" w:lastRow="1" w:firstColumn="1" w:lastColumn="1" w:noHBand="0" w:noVBand="0"/>
      </w:tblPr>
      <w:tblGrid>
        <w:gridCol w:w="9287"/>
      </w:tblGrid>
      <w:tr w:rsidR="005E30D2" w:rsidRPr="00821D15" w14:paraId="265F7114" w14:textId="77777777" w:rsidTr="00EE0227">
        <w:trPr>
          <w:cantSplit/>
        </w:trPr>
        <w:tc>
          <w:tcPr>
            <w:tcW w:w="9571" w:type="dxa"/>
            <w:shd w:val="clear" w:color="auto" w:fill="C6D9F1" w:themeFill="text2" w:themeFillTint="33"/>
            <w:vAlign w:val="center"/>
          </w:tcPr>
          <w:p w14:paraId="50FA1E0B" w14:textId="77777777" w:rsidR="005E30D2" w:rsidRPr="00821D15" w:rsidRDefault="005E30D2" w:rsidP="00986700">
            <w:pPr>
              <w:jc w:val="center"/>
              <w:rPr>
                <w:rFonts w:cs="Arial"/>
                <w:b/>
                <w:szCs w:val="20"/>
              </w:rPr>
            </w:pPr>
            <w:r w:rsidRPr="00821D15">
              <w:rPr>
                <w:rFonts w:cs="Arial"/>
                <w:b/>
                <w:szCs w:val="20"/>
              </w:rPr>
              <w:t>Ressources allouées au programme 32</w:t>
            </w:r>
          </w:p>
        </w:tc>
      </w:tr>
    </w:tbl>
    <w:p w14:paraId="3681C104" w14:textId="77777777" w:rsidR="005E30D2" w:rsidRPr="00821D15" w:rsidRDefault="005E30D2" w:rsidP="00986700">
      <w:pPr>
        <w:rPr>
          <w:rFonts w:cs="Arial"/>
          <w:szCs w:val="20"/>
        </w:rPr>
      </w:pPr>
    </w:p>
    <w:p w14:paraId="2AD68B80" w14:textId="77777777" w:rsidR="005E30D2" w:rsidRPr="00821D15" w:rsidRDefault="005E30D2" w:rsidP="00616FD3">
      <w:pPr>
        <w:pStyle w:val="ListParagraph"/>
        <w:numPr>
          <w:ilvl w:val="0"/>
          <w:numId w:val="67"/>
        </w:numPr>
        <w:tabs>
          <w:tab w:val="left" w:pos="0"/>
          <w:tab w:val="left" w:pos="709"/>
        </w:tabs>
        <w:autoSpaceDE w:val="0"/>
        <w:autoSpaceDN w:val="0"/>
        <w:ind w:left="0" w:firstLine="0"/>
        <w:jc w:val="both"/>
        <w:rPr>
          <w:rFonts w:cs="Arial"/>
          <w:color w:val="000000"/>
          <w:szCs w:val="20"/>
        </w:rPr>
      </w:pPr>
      <w:r w:rsidRPr="00821D15">
        <w:rPr>
          <w:rFonts w:cs="Arial"/>
          <w:color w:val="000000"/>
          <w:szCs w:val="20"/>
        </w:rPr>
        <w:t>Les ressources globales allouées au programme en 2018</w:t>
      </w:r>
      <w:r w:rsidRPr="00821D15">
        <w:rPr>
          <w:rFonts w:cs="Arial"/>
          <w:color w:val="000000"/>
          <w:szCs w:val="20"/>
        </w:rPr>
        <w:noBreakHyphen/>
        <w:t>2019 restent stables.</w:t>
      </w:r>
    </w:p>
    <w:p w14:paraId="03B26733" w14:textId="77777777" w:rsidR="005E30D2" w:rsidRPr="00821D15" w:rsidRDefault="005E30D2" w:rsidP="00986700">
      <w:pPr>
        <w:rPr>
          <w:rFonts w:cs="Arial"/>
          <w:szCs w:val="20"/>
        </w:rPr>
      </w:pPr>
    </w:p>
    <w:p w14:paraId="6E2DBDC1" w14:textId="77777777" w:rsidR="005E30D2" w:rsidRPr="00821D15" w:rsidRDefault="005E30D2" w:rsidP="00616FD3">
      <w:pPr>
        <w:pStyle w:val="ListParagraph"/>
        <w:numPr>
          <w:ilvl w:val="0"/>
          <w:numId w:val="67"/>
        </w:numPr>
        <w:tabs>
          <w:tab w:val="left" w:pos="0"/>
          <w:tab w:val="left" w:pos="709"/>
        </w:tabs>
        <w:autoSpaceDE w:val="0"/>
        <w:autoSpaceDN w:val="0"/>
        <w:ind w:left="0" w:firstLine="0"/>
        <w:jc w:val="both"/>
        <w:rPr>
          <w:rFonts w:cs="Arial"/>
          <w:color w:val="000000"/>
          <w:szCs w:val="20"/>
        </w:rPr>
      </w:pPr>
      <w:r w:rsidRPr="00821D15">
        <w:rPr>
          <w:rFonts w:cs="Arial"/>
          <w:color w:val="000000"/>
          <w:szCs w:val="20"/>
        </w:rPr>
        <w:t xml:space="preserve">La légère augmentation des dépenses de personnel est due à des augmentations statutaires relatives aux dépenses de personnel.  </w:t>
      </w:r>
      <w:r w:rsidRPr="00821D15">
        <w:rPr>
          <w:rFonts w:cs="Arial"/>
          <w:szCs w:val="20"/>
        </w:rPr>
        <w:t>Les dépenses autres que les dépenses de personnel restent au même niveau que dans le budget approuvé pour 2016</w:t>
      </w:r>
      <w:r w:rsidRPr="00821D15">
        <w:rPr>
          <w:rFonts w:cs="Arial"/>
          <w:szCs w:val="20"/>
        </w:rPr>
        <w:noBreakHyphen/>
        <w:t>2017.</w:t>
      </w:r>
    </w:p>
    <w:p w14:paraId="6BD59816" w14:textId="77777777" w:rsidR="005E30D2" w:rsidRPr="00821D15" w:rsidRDefault="005E30D2" w:rsidP="00986700">
      <w:pPr>
        <w:pStyle w:val="ListParagraph"/>
        <w:tabs>
          <w:tab w:val="left" w:pos="0"/>
          <w:tab w:val="left" w:pos="709"/>
        </w:tabs>
        <w:autoSpaceDE w:val="0"/>
        <w:autoSpaceDN w:val="0"/>
        <w:ind w:left="0"/>
        <w:jc w:val="both"/>
        <w:rPr>
          <w:rFonts w:cs="Arial"/>
          <w:color w:val="000000"/>
          <w:szCs w:val="20"/>
        </w:rPr>
      </w:pPr>
    </w:p>
    <w:p w14:paraId="7C38714F" w14:textId="77777777" w:rsidR="005E30D2" w:rsidRPr="00821D15" w:rsidRDefault="005E30D2" w:rsidP="00616FD3">
      <w:pPr>
        <w:pStyle w:val="ListParagraph"/>
        <w:numPr>
          <w:ilvl w:val="0"/>
          <w:numId w:val="67"/>
        </w:numPr>
        <w:tabs>
          <w:tab w:val="left" w:pos="0"/>
          <w:tab w:val="left" w:pos="709"/>
        </w:tabs>
        <w:autoSpaceDE w:val="0"/>
        <w:autoSpaceDN w:val="0"/>
        <w:ind w:left="0" w:firstLine="0"/>
        <w:jc w:val="both"/>
        <w:rPr>
          <w:rFonts w:cs="Arial"/>
          <w:color w:val="000000"/>
          <w:szCs w:val="20"/>
        </w:rPr>
      </w:pPr>
      <w:r w:rsidRPr="00821D15">
        <w:rPr>
          <w:rFonts w:cs="Arial"/>
          <w:color w:val="000000"/>
          <w:szCs w:val="20"/>
        </w:rPr>
        <w:t>Le transfert de ressources du résultat escompté II.9 (utilisation plus large et plus efficace du système de Lisbonne) au résultat escompté II.10 (amélioration de la productivité et de la qualité de service des opérations du système de Lisbonne) résulte de la volonté de mettre l’accent sur les processus opérationnels et les systèmes informatiques du système de Lisbonne en 2018</w:t>
      </w:r>
      <w:r w:rsidRPr="00821D15">
        <w:rPr>
          <w:rFonts w:cs="Arial"/>
          <w:color w:val="000000"/>
          <w:szCs w:val="20"/>
        </w:rPr>
        <w:noBreakHyphen/>
        <w:t>2019.</w:t>
      </w:r>
    </w:p>
    <w:p w14:paraId="117D03A7" w14:textId="77777777" w:rsidR="00674550" w:rsidRDefault="00674550" w:rsidP="00986700">
      <w:pPr>
        <w:rPr>
          <w:rStyle w:val="StyleStyleHeading3ComplexItalicLatin12ptChar"/>
          <w:rFonts w:eastAsia="SimSun"/>
          <w:b w:val="0"/>
          <w:caps w:val="0"/>
          <w:lang w:val="fr-CH"/>
        </w:rPr>
      </w:pPr>
    </w:p>
    <w:p w14:paraId="5703101E" w14:textId="045F0A14"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32 : </w:t>
      </w:r>
      <w:r w:rsidRPr="00674550">
        <w:rPr>
          <w:rFonts w:eastAsia="Times New Roman" w:cs="Arial"/>
          <w:b/>
          <w:szCs w:val="20"/>
          <w:lang w:eastAsia="en-US"/>
        </w:rPr>
        <w:t>Ressources par résultat</w:t>
      </w:r>
    </w:p>
    <w:p w14:paraId="2B8E37F3"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401E035" w14:textId="77777777" w:rsidR="00674550" w:rsidRDefault="00674550" w:rsidP="00986700">
      <w:pPr>
        <w:rPr>
          <w:rStyle w:val="StyleStyleHeading3ComplexItalicLatin12ptChar"/>
          <w:rFonts w:eastAsia="SimSun"/>
          <w:b w:val="0"/>
          <w:caps w:val="0"/>
          <w:lang w:val="fr-CH"/>
        </w:rPr>
      </w:pPr>
    </w:p>
    <w:p w14:paraId="6843E752" w14:textId="37873999" w:rsidR="00717231" w:rsidRDefault="00717231" w:rsidP="00986700">
      <w:pPr>
        <w:jc w:val="center"/>
        <w:rPr>
          <w:rStyle w:val="StyleStyleHeading3ComplexItalicLatin12ptChar"/>
          <w:rFonts w:eastAsia="SimSun"/>
          <w:b w:val="0"/>
          <w:caps w:val="0"/>
          <w:lang w:val="fr-CH"/>
        </w:rPr>
      </w:pPr>
      <w:r w:rsidRPr="00717231">
        <w:rPr>
          <w:noProof/>
          <w:lang w:val="en-US" w:eastAsia="en-US"/>
        </w:rPr>
        <w:drawing>
          <wp:inline distT="0" distB="0" distL="0" distR="0" wp14:anchorId="5BAC250C" wp14:editId="44E938C8">
            <wp:extent cx="5400000" cy="1369014"/>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72ADED5E" w14:textId="77777777" w:rsidR="00B55ECC" w:rsidRDefault="00B55ECC" w:rsidP="00986700">
      <w:pPr>
        <w:rPr>
          <w:rStyle w:val="StyleStyleHeading3ComplexItalicLatin12ptChar"/>
          <w:rFonts w:eastAsia="SimSun"/>
          <w:b w:val="0"/>
          <w:caps w:val="0"/>
          <w:lang w:val="fr-CH"/>
        </w:rPr>
      </w:pPr>
    </w:p>
    <w:p w14:paraId="28034B65"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32</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3B2C01DD" w14:textId="21701FBD"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22503FD9" w14:textId="77777777" w:rsidR="008778B5" w:rsidRDefault="008778B5" w:rsidP="00986700">
      <w:pPr>
        <w:keepNext/>
        <w:rPr>
          <w:lang w:eastAsia="en-US"/>
        </w:rPr>
      </w:pPr>
    </w:p>
    <w:p w14:paraId="2BF4593F" w14:textId="6A5DDD93" w:rsidR="00B55ECC" w:rsidRDefault="008778B5" w:rsidP="00986700">
      <w:pPr>
        <w:jc w:val="center"/>
        <w:rPr>
          <w:lang w:eastAsia="en-US"/>
        </w:rPr>
      </w:pPr>
      <w:r w:rsidRPr="008778B5">
        <w:rPr>
          <w:noProof/>
          <w:lang w:val="en-US" w:eastAsia="en-US"/>
        </w:rPr>
        <w:drawing>
          <wp:inline distT="0" distB="0" distL="0" distR="0" wp14:anchorId="5DB3F2C3" wp14:editId="27029A9D">
            <wp:extent cx="5400000" cy="6031770"/>
            <wp:effectExtent l="0" t="0" r="0" b="762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5810A305" w14:textId="77777777" w:rsidR="00B55ECC" w:rsidRPr="00E16214" w:rsidRDefault="00B55ECC" w:rsidP="00986700">
      <w:pPr>
        <w:rPr>
          <w:lang w:eastAsia="en-US"/>
        </w:rPr>
      </w:pPr>
    </w:p>
    <w:p w14:paraId="5CCAA97B" w14:textId="77777777" w:rsidR="007A7A77" w:rsidRDefault="007A7A77" w:rsidP="00986700">
      <w:pPr>
        <w:rPr>
          <w:rStyle w:val="StyleStyleHeading3ComplexItalicLatin12ptChar"/>
          <w:rFonts w:eastAsia="SimSun"/>
          <w:bCs/>
          <w:kern w:val="32"/>
          <w:sz w:val="22"/>
          <w:szCs w:val="32"/>
          <w:lang w:val="fr-CH"/>
        </w:rPr>
      </w:pPr>
      <w:r>
        <w:rPr>
          <w:rStyle w:val="StyleStyleHeading3ComplexItalicLatin12ptChar"/>
          <w:rFonts w:eastAsia="SimSun"/>
          <w:b w:val="0"/>
          <w:caps w:val="0"/>
          <w:lang w:val="fr-CH"/>
        </w:rPr>
        <w:br w:type="page"/>
      </w:r>
    </w:p>
    <w:p w14:paraId="5E76B7CA" w14:textId="1EF94B4E" w:rsidR="0023034B" w:rsidRPr="00AC2D36" w:rsidRDefault="0023034B" w:rsidP="00986700">
      <w:pPr>
        <w:pStyle w:val="Heading2"/>
        <w:rPr>
          <w:rStyle w:val="StyleStyleHeading3ComplexItalicLatin12ptChar"/>
          <w:rFonts w:eastAsia="SimSun"/>
          <w:b/>
          <w:lang w:val="fr-CH"/>
        </w:rPr>
      </w:pPr>
      <w:bookmarkStart w:id="40" w:name="_Toc482979484"/>
      <w:r w:rsidRPr="00AC2D36">
        <w:rPr>
          <w:rStyle w:val="StyleStyleHeading3ComplexItalicLatin12ptChar"/>
          <w:rFonts w:eastAsia="SimSun"/>
          <w:b/>
          <w:caps/>
          <w:lang w:val="fr-CH"/>
        </w:rPr>
        <w:lastRenderedPageBreak/>
        <w:t>Programme 7</w:t>
      </w:r>
      <w:r w:rsidRPr="00AC2D36">
        <w:rPr>
          <w:rStyle w:val="StyleStyleHeading3ComplexItalicLatin12ptChar"/>
          <w:rFonts w:eastAsia="SimSun"/>
          <w:b/>
          <w:caps/>
          <w:lang w:val="fr-CH"/>
        </w:rPr>
        <w:tab/>
        <w:t>Centre d</w:t>
      </w:r>
      <w:r>
        <w:rPr>
          <w:rStyle w:val="StyleStyleHeading3ComplexItalicLatin12ptChar"/>
          <w:rFonts w:eastAsia="SimSun"/>
          <w:b/>
          <w:caps/>
          <w:lang w:val="fr-CH"/>
        </w:rPr>
        <w:t>’</w:t>
      </w:r>
      <w:r w:rsidRPr="00AC2D36">
        <w:rPr>
          <w:rStyle w:val="StyleStyleHeading3ComplexItalicLatin12ptChar"/>
          <w:rFonts w:eastAsia="SimSun"/>
          <w:b/>
          <w:caps/>
          <w:lang w:val="fr-CH"/>
        </w:rPr>
        <w:t>arbitrage et de m</w:t>
      </w:r>
      <w:r>
        <w:rPr>
          <w:rStyle w:val="StyleStyleHeading3ComplexItalicLatin12ptChar"/>
          <w:rFonts w:eastAsia="SimSun"/>
          <w:b/>
          <w:caps/>
          <w:lang w:val="fr-CH"/>
        </w:rPr>
        <w:t>édiation de l’OMPI</w:t>
      </w:r>
      <w:bookmarkEnd w:id="40"/>
    </w:p>
    <w:p w14:paraId="0B7597FA" w14:textId="77777777" w:rsidR="0023034B" w:rsidRPr="00AC2D36" w:rsidRDefault="0023034B" w:rsidP="00986700">
      <w:pPr>
        <w:pStyle w:val="StyleHeading3ComplexItalic"/>
        <w:rPr>
          <w:rStyle w:val="StyleStyleHeading3ComplexItalicLatin12ptChar"/>
          <w:rFonts w:eastAsia="SimSun"/>
          <w:szCs w:val="20"/>
          <w:lang w:val="fr-CH"/>
        </w:rPr>
      </w:pPr>
    </w:p>
    <w:p w14:paraId="39541242" w14:textId="77777777" w:rsidR="0023034B" w:rsidRPr="00AC2D36" w:rsidRDefault="0023034B" w:rsidP="00986700">
      <w:pPr>
        <w:tabs>
          <w:tab w:val="left" w:pos="1701"/>
        </w:tabs>
        <w:ind w:left="1701" w:hanging="1701"/>
        <w:rPr>
          <w:rFonts w:cs="Arial"/>
          <w:bCs/>
          <w:iCs/>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3034B" w:rsidRPr="005052F3" w14:paraId="55FF60A1" w14:textId="77777777" w:rsidTr="00072C10">
        <w:trPr>
          <w:cantSplit/>
        </w:trPr>
        <w:tc>
          <w:tcPr>
            <w:tcW w:w="9287" w:type="dxa"/>
            <w:shd w:val="clear" w:color="auto" w:fill="C6D9F1" w:themeFill="text2" w:themeFillTint="33"/>
            <w:vAlign w:val="center"/>
          </w:tcPr>
          <w:p w14:paraId="694D4FE8" w14:textId="77777777" w:rsidR="0023034B" w:rsidRPr="00AC2D36" w:rsidRDefault="0023034B" w:rsidP="00986700">
            <w:pPr>
              <w:keepNext/>
              <w:keepLines/>
              <w:jc w:val="center"/>
              <w:rPr>
                <w:rFonts w:eastAsia="Times New Roman" w:cs="Arial"/>
                <w:b/>
                <w:bCs/>
                <w:szCs w:val="20"/>
                <w:lang w:val="fr-CH" w:eastAsia="en-US"/>
              </w:rPr>
            </w:pPr>
            <w:r w:rsidRPr="00AC2D36">
              <w:rPr>
                <w:rFonts w:eastAsia="Times New Roman" w:cs="Arial"/>
                <w:b/>
                <w:bCs/>
                <w:szCs w:val="20"/>
                <w:lang w:val="fr-CH" w:eastAsia="en-US"/>
              </w:rPr>
              <w:t xml:space="preserve">Stratégies de mise en œuvre </w:t>
            </w:r>
          </w:p>
        </w:tc>
      </w:tr>
    </w:tbl>
    <w:p w14:paraId="412AE92A" w14:textId="37BD8853" w:rsidR="0023034B" w:rsidRPr="00AC2D36" w:rsidRDefault="0023034B" w:rsidP="00986700">
      <w:pPr>
        <w:jc w:val="both"/>
        <w:rPr>
          <w:rFonts w:cs="Arial"/>
          <w:szCs w:val="20"/>
          <w:lang w:val="fr-CH"/>
        </w:rPr>
      </w:pPr>
    </w:p>
    <w:p w14:paraId="263FC095" w14:textId="77777777" w:rsidR="0023034B" w:rsidRPr="00F70D99" w:rsidRDefault="0023034B" w:rsidP="00986700">
      <w:pPr>
        <w:pStyle w:val="ListParagraph"/>
        <w:numPr>
          <w:ilvl w:val="0"/>
          <w:numId w:val="14"/>
        </w:numPr>
        <w:ind w:left="567" w:hanging="567"/>
        <w:jc w:val="both"/>
        <w:rPr>
          <w:rFonts w:cs="Arial"/>
          <w:szCs w:val="20"/>
          <w:lang w:val="fr-CH"/>
        </w:rPr>
      </w:pPr>
      <w:r>
        <w:rPr>
          <w:rFonts w:cs="Arial"/>
          <w:szCs w:val="20"/>
          <w:lang w:val="fr-CH"/>
        </w:rPr>
        <w:t>F</w:t>
      </w:r>
      <w:r w:rsidRPr="00F70D99">
        <w:rPr>
          <w:rFonts w:cs="Arial"/>
          <w:szCs w:val="20"/>
          <w:lang w:val="fr-CH"/>
        </w:rPr>
        <w:t>aire mieux connaître aux parties prenantes les mécanismes de règlement extrajudiciaire des litiges de propriété intellectuelle par une collaboration</w:t>
      </w:r>
      <w:r>
        <w:rPr>
          <w:rFonts w:cs="Arial"/>
          <w:szCs w:val="20"/>
          <w:lang w:val="fr-CH"/>
        </w:rPr>
        <w:t xml:space="preserve"> renforcée avec les autres programmes de l’OMPI</w:t>
      </w:r>
      <w:r w:rsidRPr="00F70D99">
        <w:rPr>
          <w:rFonts w:cs="Arial"/>
          <w:szCs w:val="20"/>
          <w:lang w:val="fr-CH"/>
        </w:rPr>
        <w:t xml:space="preserve">, </w:t>
      </w:r>
      <w:r>
        <w:rPr>
          <w:rFonts w:cs="Arial"/>
          <w:szCs w:val="20"/>
          <w:lang w:val="fr-CH"/>
        </w:rPr>
        <w:t>les bureaux extérieurs de l’OMPI</w:t>
      </w:r>
      <w:r w:rsidRPr="00F70D99">
        <w:rPr>
          <w:rFonts w:cs="Arial"/>
          <w:szCs w:val="20"/>
          <w:lang w:val="fr-CH"/>
        </w:rPr>
        <w:t xml:space="preserve">, </w:t>
      </w:r>
      <w:r>
        <w:rPr>
          <w:rFonts w:cs="Arial"/>
          <w:szCs w:val="20"/>
          <w:lang w:val="fr-CH"/>
        </w:rPr>
        <w:t>les associations œuvrant dans les domaines de la propriété intellectuelle et du règlement extrajudiciaire des litiges</w:t>
      </w:r>
      <w:r w:rsidRPr="00F70D99">
        <w:rPr>
          <w:rFonts w:cs="Arial"/>
          <w:szCs w:val="20"/>
          <w:lang w:val="fr-CH"/>
        </w:rPr>
        <w:t xml:space="preserve"> </w:t>
      </w:r>
      <w:r>
        <w:rPr>
          <w:rFonts w:cs="Arial"/>
          <w:szCs w:val="20"/>
          <w:lang w:val="fr-CH"/>
        </w:rPr>
        <w:t>ainsi qu’avec les intermédiaires neutres de l’OMPI</w:t>
      </w:r>
      <w:r w:rsidRPr="00F70D99">
        <w:rPr>
          <w:rFonts w:cs="Arial"/>
          <w:szCs w:val="20"/>
          <w:lang w:val="fr-CH"/>
        </w:rPr>
        <w:t xml:space="preserve">, </w:t>
      </w:r>
      <w:r>
        <w:rPr>
          <w:rFonts w:cs="Arial"/>
          <w:szCs w:val="20"/>
          <w:lang w:val="fr-CH"/>
        </w:rPr>
        <w:t>en organisant des programmes de formation et de renforcement des capacités</w:t>
      </w:r>
      <w:r w:rsidRPr="00F70D99">
        <w:rPr>
          <w:rFonts w:cs="Arial"/>
          <w:szCs w:val="20"/>
          <w:lang w:val="fr-CH"/>
        </w:rPr>
        <w:t xml:space="preserve"> </w:t>
      </w:r>
      <w:r>
        <w:rPr>
          <w:rFonts w:cs="Arial"/>
          <w:szCs w:val="20"/>
          <w:lang w:val="fr-CH"/>
        </w:rPr>
        <w:t xml:space="preserve">et des </w:t>
      </w:r>
      <w:r w:rsidRPr="00F70D99">
        <w:rPr>
          <w:rFonts w:cs="Arial"/>
          <w:szCs w:val="20"/>
          <w:lang w:val="fr-CH"/>
        </w:rPr>
        <w:t>webina</w:t>
      </w:r>
      <w:r>
        <w:rPr>
          <w:rFonts w:cs="Arial"/>
          <w:szCs w:val="20"/>
          <w:lang w:val="fr-CH"/>
        </w:rPr>
        <w:t>i</w:t>
      </w:r>
      <w:r w:rsidRPr="00F70D99">
        <w:rPr>
          <w:rFonts w:cs="Arial"/>
          <w:szCs w:val="20"/>
          <w:lang w:val="fr-CH"/>
        </w:rPr>
        <w:t>r</w:t>
      </w:r>
      <w:r>
        <w:rPr>
          <w:rFonts w:cs="Arial"/>
          <w:szCs w:val="20"/>
          <w:lang w:val="fr-CH"/>
        </w:rPr>
        <w:t>e</w:t>
      </w:r>
      <w:r w:rsidRPr="00F70D99">
        <w:rPr>
          <w:rFonts w:cs="Arial"/>
          <w:szCs w:val="20"/>
          <w:lang w:val="fr-CH"/>
        </w:rPr>
        <w:t xml:space="preserve">s </w:t>
      </w:r>
      <w:r>
        <w:rPr>
          <w:rFonts w:cs="Arial"/>
          <w:szCs w:val="20"/>
          <w:lang w:val="fr-CH"/>
        </w:rPr>
        <w:t>et en actualisant les supports d’information</w:t>
      </w:r>
      <w:r w:rsidRPr="00F70D99">
        <w:rPr>
          <w:rFonts w:cs="Arial"/>
          <w:szCs w:val="20"/>
          <w:lang w:val="fr-CH"/>
        </w:rPr>
        <w:t xml:space="preserve"> </w:t>
      </w:r>
      <w:r>
        <w:rPr>
          <w:rFonts w:cs="Arial"/>
          <w:szCs w:val="20"/>
          <w:lang w:val="fr-CH"/>
        </w:rPr>
        <w:t>tant en ligne que hors ligne</w:t>
      </w:r>
      <w:r w:rsidRPr="00F70D99">
        <w:rPr>
          <w:rFonts w:cs="Arial"/>
          <w:szCs w:val="20"/>
          <w:lang w:val="fr-CH"/>
        </w:rPr>
        <w:t xml:space="preserve"> </w:t>
      </w:r>
      <w:r>
        <w:rPr>
          <w:rFonts w:cs="Arial"/>
          <w:szCs w:val="20"/>
          <w:lang w:val="fr-CH"/>
        </w:rPr>
        <w:t>dans diffé</w:t>
      </w:r>
      <w:r w:rsidRPr="00F70D99">
        <w:rPr>
          <w:rFonts w:cs="Arial"/>
          <w:szCs w:val="20"/>
          <w:lang w:val="fr-CH"/>
        </w:rPr>
        <w:t>rent</w:t>
      </w:r>
      <w:r>
        <w:rPr>
          <w:rFonts w:cs="Arial"/>
          <w:szCs w:val="20"/>
          <w:lang w:val="fr-CH"/>
        </w:rPr>
        <w:t>es</w:t>
      </w:r>
      <w:r w:rsidRPr="00F70D99">
        <w:rPr>
          <w:rFonts w:cs="Arial"/>
          <w:szCs w:val="20"/>
          <w:lang w:val="fr-CH"/>
        </w:rPr>
        <w:t xml:space="preserve"> langu</w:t>
      </w:r>
      <w:r>
        <w:rPr>
          <w:rFonts w:cs="Arial"/>
          <w:szCs w:val="20"/>
          <w:lang w:val="fr-CH"/>
        </w:rPr>
        <w:t>e</w:t>
      </w:r>
      <w:r w:rsidRPr="00F70D99">
        <w:rPr>
          <w:rFonts w:cs="Arial"/>
          <w:szCs w:val="20"/>
          <w:lang w:val="fr-CH"/>
        </w:rPr>
        <w:t>s;</w:t>
      </w:r>
    </w:p>
    <w:p w14:paraId="76CBE32D" w14:textId="77777777" w:rsidR="0023034B" w:rsidRPr="00F70D99" w:rsidRDefault="0023034B" w:rsidP="00986700">
      <w:pPr>
        <w:pStyle w:val="ListParagraph"/>
        <w:ind w:left="567" w:hanging="567"/>
        <w:jc w:val="both"/>
        <w:rPr>
          <w:rFonts w:cs="Arial"/>
          <w:szCs w:val="20"/>
          <w:lang w:val="fr-CH"/>
        </w:rPr>
      </w:pPr>
    </w:p>
    <w:p w14:paraId="06D72764" w14:textId="6EFAF5A7" w:rsidR="0023034B" w:rsidRPr="0043119F" w:rsidRDefault="002F0934" w:rsidP="00986700">
      <w:pPr>
        <w:pStyle w:val="ListParagraph"/>
        <w:numPr>
          <w:ilvl w:val="0"/>
          <w:numId w:val="14"/>
        </w:numPr>
        <w:ind w:left="567" w:hanging="567"/>
        <w:jc w:val="both"/>
        <w:rPr>
          <w:rFonts w:cs="Arial"/>
          <w:szCs w:val="20"/>
          <w:lang w:val="fr-CH"/>
        </w:rPr>
      </w:pPr>
      <w:r>
        <w:rPr>
          <w:rFonts w:cs="Arial"/>
          <w:szCs w:val="20"/>
          <w:lang w:val="fr-CH"/>
        </w:rPr>
        <w:t xml:space="preserve">Accroître </w:t>
      </w:r>
      <w:r w:rsidR="0023034B">
        <w:rPr>
          <w:rFonts w:cs="Arial"/>
          <w:szCs w:val="20"/>
          <w:lang w:val="fr-CH"/>
        </w:rPr>
        <w:t>l’attrait présenté par l</w:t>
      </w:r>
      <w:r w:rsidR="0023034B" w:rsidRPr="0043119F">
        <w:rPr>
          <w:rFonts w:cs="Arial"/>
          <w:szCs w:val="20"/>
          <w:lang w:val="fr-CH"/>
        </w:rPr>
        <w:t>es services d</w:t>
      </w:r>
      <w:r w:rsidR="0023034B">
        <w:rPr>
          <w:rFonts w:cs="Arial"/>
          <w:szCs w:val="20"/>
          <w:lang w:val="fr-CH"/>
        </w:rPr>
        <w:t>’</w:t>
      </w:r>
      <w:r w:rsidR="0023034B" w:rsidRPr="0043119F">
        <w:rPr>
          <w:rFonts w:cs="Arial"/>
          <w:szCs w:val="20"/>
          <w:lang w:val="fr-CH"/>
        </w:rPr>
        <w:t>arbitrage et de médiation de l</w:t>
      </w:r>
      <w:r w:rsidR="0023034B">
        <w:rPr>
          <w:rFonts w:cs="Arial"/>
          <w:szCs w:val="20"/>
          <w:lang w:val="fr-CH"/>
        </w:rPr>
        <w:t>’</w:t>
      </w:r>
      <w:r w:rsidR="0023034B" w:rsidRPr="0043119F">
        <w:rPr>
          <w:rFonts w:cs="Arial"/>
          <w:szCs w:val="20"/>
          <w:lang w:val="fr-CH"/>
        </w:rPr>
        <w:t xml:space="preserve">OMPI dans un marché concurrentiel en </w:t>
      </w:r>
      <w:r w:rsidR="0023034B">
        <w:rPr>
          <w:rFonts w:cs="Arial"/>
          <w:szCs w:val="20"/>
          <w:lang w:val="fr-CH"/>
        </w:rPr>
        <w:t>actualis</w:t>
      </w:r>
      <w:r w:rsidR="0023034B" w:rsidRPr="0043119F">
        <w:rPr>
          <w:rFonts w:cs="Arial"/>
          <w:szCs w:val="20"/>
          <w:lang w:val="fr-CH"/>
        </w:rPr>
        <w:t>ant et</w:t>
      </w:r>
      <w:r w:rsidR="0023034B">
        <w:rPr>
          <w:rFonts w:cs="Arial"/>
          <w:szCs w:val="20"/>
          <w:lang w:val="fr-CH"/>
        </w:rPr>
        <w:t xml:space="preserve"> en</w:t>
      </w:r>
      <w:r w:rsidR="0023034B" w:rsidRPr="0043119F">
        <w:rPr>
          <w:rFonts w:cs="Arial"/>
          <w:szCs w:val="20"/>
          <w:lang w:val="fr-CH"/>
        </w:rPr>
        <w:t xml:space="preserve"> adaptant </w:t>
      </w:r>
      <w:r w:rsidR="0023034B">
        <w:rPr>
          <w:rFonts w:cs="Arial"/>
          <w:szCs w:val="20"/>
          <w:lang w:val="fr-CH"/>
        </w:rPr>
        <w:t>les procédures de règlement des litiges et l’</w:t>
      </w:r>
      <w:r w:rsidR="0023034B" w:rsidRPr="0043119F">
        <w:rPr>
          <w:rFonts w:cs="Arial"/>
          <w:szCs w:val="20"/>
          <w:lang w:val="fr-CH"/>
        </w:rPr>
        <w:t>infrastructure</w:t>
      </w:r>
      <w:r w:rsidR="0023034B">
        <w:rPr>
          <w:rFonts w:cs="Arial"/>
          <w:szCs w:val="20"/>
          <w:lang w:val="fr-CH"/>
        </w:rPr>
        <w:t xml:space="preserve"> informatique</w:t>
      </w:r>
      <w:r w:rsidR="0023034B" w:rsidRPr="0043119F">
        <w:rPr>
          <w:rFonts w:cs="Arial"/>
          <w:szCs w:val="20"/>
          <w:lang w:val="fr-CH"/>
        </w:rPr>
        <w:t xml:space="preserve"> </w:t>
      </w:r>
      <w:r w:rsidR="0023034B">
        <w:rPr>
          <w:rFonts w:cs="Arial"/>
          <w:szCs w:val="20"/>
          <w:lang w:val="fr-CH"/>
        </w:rPr>
        <w:t>en fonction des besoins en évolution des utilisateurs</w:t>
      </w:r>
      <w:r w:rsidR="0023034B" w:rsidRPr="0043119F">
        <w:rPr>
          <w:rFonts w:cs="Arial"/>
          <w:szCs w:val="20"/>
          <w:lang w:val="fr-CH"/>
        </w:rPr>
        <w:t>;</w:t>
      </w:r>
    </w:p>
    <w:p w14:paraId="070EEC57" w14:textId="21CF55F1" w:rsidR="0023034B" w:rsidRPr="0043119F" w:rsidRDefault="0023034B" w:rsidP="00986700">
      <w:pPr>
        <w:pStyle w:val="ListParagraph"/>
        <w:ind w:left="567" w:hanging="567"/>
        <w:jc w:val="both"/>
        <w:rPr>
          <w:rFonts w:cs="Arial"/>
          <w:szCs w:val="20"/>
          <w:lang w:val="fr-CH"/>
        </w:rPr>
      </w:pPr>
    </w:p>
    <w:p w14:paraId="628D843E" w14:textId="2A20BA58" w:rsidR="0023034B" w:rsidRPr="00F979AC" w:rsidRDefault="00072C10" w:rsidP="00986700">
      <w:pPr>
        <w:pStyle w:val="ListParagraph"/>
        <w:numPr>
          <w:ilvl w:val="0"/>
          <w:numId w:val="14"/>
        </w:numPr>
        <w:ind w:left="567" w:hanging="567"/>
        <w:jc w:val="both"/>
        <w:rPr>
          <w:rFonts w:cs="Arial"/>
          <w:szCs w:val="20"/>
          <w:lang w:val="fr-CH"/>
        </w:rPr>
      </w:pPr>
      <w:r w:rsidRPr="00072C10">
        <w:rPr>
          <w:noProof/>
          <w:lang w:val="en-US" w:eastAsia="en-US"/>
        </w:rPr>
        <w:drawing>
          <wp:anchor distT="0" distB="0" distL="114300" distR="114300" simplePos="0" relativeHeight="251665408" behindDoc="1" locked="0" layoutInCell="1" allowOverlap="1" wp14:anchorId="3F7F54FC" wp14:editId="20BE5EA9">
            <wp:simplePos x="0" y="0"/>
            <wp:positionH relativeFrom="column">
              <wp:posOffset>4729480</wp:posOffset>
            </wp:positionH>
            <wp:positionV relativeFrom="paragraph">
              <wp:posOffset>46990</wp:posOffset>
            </wp:positionV>
            <wp:extent cx="1234440" cy="1234440"/>
            <wp:effectExtent l="0" t="0" r="3810" b="3810"/>
            <wp:wrapTight wrapText="bothSides">
              <wp:wrapPolygon edited="0">
                <wp:start x="8000" y="0"/>
                <wp:lineTo x="6000" y="667"/>
                <wp:lineTo x="1000" y="4333"/>
                <wp:lineTo x="0" y="9000"/>
                <wp:lineTo x="0" y="20333"/>
                <wp:lineTo x="9333" y="21333"/>
                <wp:lineTo x="12667" y="21333"/>
                <wp:lineTo x="14667" y="21333"/>
                <wp:lineTo x="20667" y="17333"/>
                <wp:lineTo x="21333" y="13000"/>
                <wp:lineTo x="21333" y="7667"/>
                <wp:lineTo x="21000" y="4333"/>
                <wp:lineTo x="15667" y="333"/>
                <wp:lineTo x="13667" y="0"/>
                <wp:lineTo x="8000" y="0"/>
              </wp:wrapPolygon>
            </wp:wrapTight>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34">
        <w:rPr>
          <w:rFonts w:cs="Arial"/>
          <w:szCs w:val="20"/>
          <w:lang w:val="fr-CH"/>
        </w:rPr>
        <w:t xml:space="preserve">Travailler </w:t>
      </w:r>
      <w:r w:rsidR="0023034B" w:rsidRPr="00F979AC">
        <w:rPr>
          <w:rFonts w:cs="Arial"/>
          <w:szCs w:val="20"/>
          <w:lang w:val="fr-CH"/>
        </w:rPr>
        <w:t xml:space="preserve">avec les titulaires de droits, les utilisateurs de la propriété intellectuelle et les autorités chargées des questions de propriété intellectuelle </w:t>
      </w:r>
      <w:r w:rsidR="0023034B">
        <w:rPr>
          <w:rFonts w:cs="Arial"/>
          <w:szCs w:val="20"/>
          <w:lang w:val="fr-CH"/>
        </w:rPr>
        <w:t>en vue d’élaborer et d’actualiser des mécanismes</w:t>
      </w:r>
      <w:r w:rsidR="0023034B" w:rsidRPr="00F979AC">
        <w:rPr>
          <w:rFonts w:cs="Arial"/>
          <w:szCs w:val="20"/>
          <w:lang w:val="fr-CH"/>
        </w:rPr>
        <w:t xml:space="preserve"> </w:t>
      </w:r>
      <w:r w:rsidR="0023034B">
        <w:rPr>
          <w:rFonts w:cs="Arial"/>
          <w:szCs w:val="20"/>
          <w:lang w:val="fr-CH"/>
        </w:rPr>
        <w:t>spécialement adaptés aux caractéristiques particulières</w:t>
      </w:r>
      <w:r w:rsidR="0023034B" w:rsidRPr="00F979AC">
        <w:rPr>
          <w:rFonts w:cs="Arial"/>
          <w:szCs w:val="20"/>
          <w:lang w:val="fr-CH"/>
        </w:rPr>
        <w:t xml:space="preserve"> </w:t>
      </w:r>
      <w:r w:rsidR="0023034B" w:rsidRPr="00C01D3A">
        <w:rPr>
          <w:rFonts w:cs="Arial"/>
          <w:szCs w:val="20"/>
          <w:lang w:val="fr-CH"/>
        </w:rPr>
        <w:t>des litiges récurrents dans leur domaine d</w:t>
      </w:r>
      <w:r w:rsidR="0023034B">
        <w:rPr>
          <w:rFonts w:cs="Arial"/>
          <w:szCs w:val="20"/>
          <w:lang w:val="fr-CH"/>
        </w:rPr>
        <w:t>’</w:t>
      </w:r>
      <w:r w:rsidR="0023034B" w:rsidRPr="00C01D3A">
        <w:rPr>
          <w:rFonts w:cs="Arial"/>
          <w:szCs w:val="20"/>
          <w:lang w:val="fr-CH"/>
        </w:rPr>
        <w:t>activité</w:t>
      </w:r>
      <w:r w:rsidR="0023034B" w:rsidRPr="00F979AC">
        <w:rPr>
          <w:rFonts w:cs="Arial"/>
          <w:szCs w:val="20"/>
          <w:lang w:val="fr-CH"/>
        </w:rPr>
        <w:t xml:space="preserve">, </w:t>
      </w:r>
      <w:r w:rsidR="0023034B">
        <w:rPr>
          <w:rFonts w:cs="Arial"/>
          <w:szCs w:val="20"/>
          <w:lang w:val="fr-CH"/>
        </w:rPr>
        <w:t xml:space="preserve">sur la base, entre autres, d’un </w:t>
      </w:r>
      <w:r w:rsidR="0023034B" w:rsidRPr="00BD6A7E">
        <w:rPr>
          <w:rFonts w:cs="Arial"/>
          <w:szCs w:val="20"/>
          <w:lang w:val="fr-CH"/>
        </w:rPr>
        <w:t>Guide de l</w:t>
      </w:r>
      <w:r w:rsidR="0023034B">
        <w:rPr>
          <w:rFonts w:cs="Arial"/>
          <w:szCs w:val="20"/>
          <w:lang w:val="fr-CH"/>
        </w:rPr>
        <w:t>’</w:t>
      </w:r>
      <w:r w:rsidR="0023034B" w:rsidRPr="00BD6A7E">
        <w:rPr>
          <w:rFonts w:cs="Arial"/>
          <w:szCs w:val="20"/>
          <w:lang w:val="fr-CH"/>
        </w:rPr>
        <w:t xml:space="preserve">OMPI </w:t>
      </w:r>
      <w:r w:rsidR="0023034B">
        <w:rPr>
          <w:rFonts w:cs="Arial"/>
          <w:szCs w:val="20"/>
          <w:lang w:val="fr-CH"/>
        </w:rPr>
        <w:t xml:space="preserve">actualisé </w:t>
      </w:r>
      <w:r w:rsidR="0023034B" w:rsidRPr="00BD6A7E">
        <w:rPr>
          <w:rFonts w:cs="Arial"/>
          <w:szCs w:val="20"/>
          <w:lang w:val="fr-CH"/>
        </w:rPr>
        <w:t xml:space="preserve">sur les modes extrajudiciaires de règlement des litiges </w:t>
      </w:r>
      <w:r w:rsidR="0023034B">
        <w:rPr>
          <w:rFonts w:cs="Arial"/>
          <w:szCs w:val="20"/>
          <w:lang w:val="fr-CH"/>
        </w:rPr>
        <w:t>à l’intention d</w:t>
      </w:r>
      <w:r w:rsidR="0023034B" w:rsidRPr="00BD6A7E">
        <w:rPr>
          <w:rFonts w:cs="Arial"/>
          <w:szCs w:val="20"/>
          <w:lang w:val="fr-CH"/>
        </w:rPr>
        <w:t xml:space="preserve">es offices </w:t>
      </w:r>
      <w:r w:rsidR="0023034B">
        <w:rPr>
          <w:rFonts w:cs="Arial"/>
          <w:szCs w:val="20"/>
          <w:lang w:val="fr-CH"/>
        </w:rPr>
        <w:t>de propriété intellectuelle et d</w:t>
      </w:r>
      <w:r w:rsidR="0023034B" w:rsidRPr="00BD6A7E">
        <w:rPr>
          <w:rFonts w:cs="Arial"/>
          <w:szCs w:val="20"/>
          <w:lang w:val="fr-CH"/>
        </w:rPr>
        <w:t>es tribunaux</w:t>
      </w:r>
      <w:r w:rsidR="0023034B" w:rsidRPr="00F979AC">
        <w:rPr>
          <w:rFonts w:cs="Arial"/>
          <w:szCs w:val="20"/>
          <w:lang w:val="fr-CH"/>
        </w:rPr>
        <w:t>;</w:t>
      </w:r>
    </w:p>
    <w:p w14:paraId="6A173907" w14:textId="77777777" w:rsidR="0023034B" w:rsidRPr="00F979AC" w:rsidRDefault="0023034B" w:rsidP="00986700">
      <w:pPr>
        <w:pStyle w:val="ListParagraph"/>
        <w:ind w:left="567" w:hanging="567"/>
        <w:jc w:val="both"/>
        <w:rPr>
          <w:rFonts w:cs="Arial"/>
          <w:szCs w:val="20"/>
          <w:lang w:val="fr-CH"/>
        </w:rPr>
      </w:pPr>
    </w:p>
    <w:p w14:paraId="17F3C113" w14:textId="45A0C409" w:rsidR="0023034B" w:rsidRPr="00957F7B" w:rsidRDefault="002F0934" w:rsidP="00986700">
      <w:pPr>
        <w:pStyle w:val="ListParagraph"/>
        <w:numPr>
          <w:ilvl w:val="0"/>
          <w:numId w:val="14"/>
        </w:numPr>
        <w:ind w:left="567" w:hanging="567"/>
        <w:jc w:val="both"/>
        <w:rPr>
          <w:rFonts w:cs="Arial"/>
          <w:szCs w:val="20"/>
          <w:lang w:val="fr-CH"/>
        </w:rPr>
      </w:pPr>
      <w:r w:rsidRPr="00957F7B">
        <w:rPr>
          <w:rFonts w:cs="Arial"/>
          <w:szCs w:val="20"/>
          <w:lang w:val="fr-CH"/>
        </w:rPr>
        <w:t xml:space="preserve">Accroître </w:t>
      </w:r>
      <w:r w:rsidR="0023034B" w:rsidRPr="00957F7B">
        <w:rPr>
          <w:rFonts w:cs="Arial"/>
          <w:szCs w:val="20"/>
          <w:lang w:val="fr-CH"/>
        </w:rPr>
        <w:t>l</w:t>
      </w:r>
      <w:r w:rsidR="0023034B">
        <w:rPr>
          <w:rFonts w:cs="Arial"/>
          <w:szCs w:val="20"/>
          <w:lang w:val="fr-CH"/>
        </w:rPr>
        <w:t>’</w:t>
      </w:r>
      <w:r w:rsidR="0023034B" w:rsidRPr="00957F7B">
        <w:rPr>
          <w:rFonts w:cs="Arial"/>
          <w:szCs w:val="20"/>
          <w:lang w:val="fr-CH"/>
        </w:rPr>
        <w:t xml:space="preserve">attrait présenté par </w:t>
      </w:r>
      <w:r w:rsidR="0023034B">
        <w:rPr>
          <w:rFonts w:cs="Arial"/>
          <w:szCs w:val="20"/>
          <w:lang w:val="fr-CH"/>
        </w:rPr>
        <w:t>le système</w:t>
      </w:r>
      <w:r w:rsidR="0023034B" w:rsidRPr="00957F7B">
        <w:rPr>
          <w:rFonts w:cs="Arial"/>
          <w:szCs w:val="20"/>
          <w:lang w:val="fr-CH"/>
        </w:rPr>
        <w:t xml:space="preserve"> d</w:t>
      </w:r>
      <w:r w:rsidR="0023034B">
        <w:rPr>
          <w:rFonts w:cs="Arial"/>
          <w:szCs w:val="20"/>
          <w:lang w:val="fr-CH"/>
        </w:rPr>
        <w:t>e règlement des litiges relatif</w:t>
      </w:r>
      <w:r w:rsidR="0023034B" w:rsidRPr="00957F7B">
        <w:rPr>
          <w:rFonts w:cs="Arial"/>
          <w:szCs w:val="20"/>
          <w:lang w:val="fr-CH"/>
        </w:rPr>
        <w:t xml:space="preserve"> aux noms de domaine</w:t>
      </w:r>
      <w:r w:rsidR="0023034B">
        <w:rPr>
          <w:rFonts w:cs="Arial"/>
          <w:szCs w:val="20"/>
          <w:lang w:val="fr-CH"/>
        </w:rPr>
        <w:t xml:space="preserve"> mis en place par l’OMPI dans un marché concurrentiel en actualisant et en adaptant les procédures de règlement des litiges et l’infrastructure informatique en fonction des besoins en évolution des utilisateurs</w:t>
      </w:r>
      <w:r w:rsidR="0023034B" w:rsidRPr="00957F7B">
        <w:rPr>
          <w:rFonts w:cs="Arial"/>
          <w:szCs w:val="20"/>
          <w:lang w:val="fr-CH"/>
        </w:rPr>
        <w:t>;</w:t>
      </w:r>
    </w:p>
    <w:p w14:paraId="7D42AF38" w14:textId="77777777" w:rsidR="0023034B" w:rsidRPr="00957F7B" w:rsidRDefault="0023034B" w:rsidP="00986700">
      <w:pPr>
        <w:pStyle w:val="ListParagraph"/>
        <w:ind w:left="567" w:hanging="567"/>
        <w:jc w:val="both"/>
        <w:rPr>
          <w:rFonts w:cs="Arial"/>
          <w:szCs w:val="20"/>
          <w:lang w:val="fr-CH"/>
        </w:rPr>
      </w:pPr>
    </w:p>
    <w:p w14:paraId="0248F5D4" w14:textId="22C7CE33" w:rsidR="0023034B" w:rsidRPr="003E46F5" w:rsidRDefault="002F0934" w:rsidP="00986700">
      <w:pPr>
        <w:pStyle w:val="ListParagraph"/>
        <w:numPr>
          <w:ilvl w:val="0"/>
          <w:numId w:val="14"/>
        </w:numPr>
        <w:ind w:left="567" w:hanging="567"/>
        <w:jc w:val="both"/>
        <w:rPr>
          <w:rFonts w:cs="Arial"/>
          <w:szCs w:val="20"/>
          <w:lang w:val="fr-CH"/>
        </w:rPr>
      </w:pPr>
      <w:r>
        <w:rPr>
          <w:rFonts w:cs="Arial"/>
          <w:szCs w:val="20"/>
          <w:lang w:val="fr-CH"/>
        </w:rPr>
        <w:t xml:space="preserve">Répondre </w:t>
      </w:r>
      <w:r w:rsidR="0023034B">
        <w:rPr>
          <w:rFonts w:cs="Arial"/>
          <w:szCs w:val="20"/>
          <w:lang w:val="fr-CH"/>
        </w:rPr>
        <w:t>à la demande concernant les</w:t>
      </w:r>
      <w:r w:rsidR="0023034B" w:rsidRPr="003E46F5">
        <w:rPr>
          <w:rFonts w:cs="Arial"/>
          <w:szCs w:val="20"/>
          <w:lang w:val="fr-CH"/>
        </w:rPr>
        <w:t xml:space="preserve"> noms de domaine de premier niveau </w:t>
      </w:r>
      <w:r w:rsidR="0023034B">
        <w:rPr>
          <w:rFonts w:cs="Arial"/>
          <w:szCs w:val="20"/>
          <w:lang w:val="fr-CH"/>
        </w:rPr>
        <w:t>de code</w:t>
      </w:r>
      <w:r w:rsidR="0023034B" w:rsidRPr="003E46F5">
        <w:rPr>
          <w:rFonts w:cs="Arial"/>
          <w:szCs w:val="20"/>
          <w:lang w:val="fr-CH"/>
        </w:rPr>
        <w:t xml:space="preserve"> de pays (ccTLD)</w:t>
      </w:r>
      <w:r w:rsidR="0023034B">
        <w:rPr>
          <w:rFonts w:cs="Arial"/>
          <w:szCs w:val="20"/>
          <w:lang w:val="fr-CH"/>
        </w:rPr>
        <w:t xml:space="preserve"> et donner des renseignements à ce sujet</w:t>
      </w:r>
      <w:r w:rsidR="0023034B" w:rsidRPr="003E46F5">
        <w:rPr>
          <w:rFonts w:cs="Arial"/>
          <w:szCs w:val="20"/>
          <w:lang w:val="fr-CH"/>
        </w:rPr>
        <w:t xml:space="preserve"> en vue d</w:t>
      </w:r>
      <w:r w:rsidR="0023034B">
        <w:rPr>
          <w:rFonts w:cs="Arial"/>
          <w:szCs w:val="20"/>
          <w:lang w:val="fr-CH"/>
        </w:rPr>
        <w:t>’</w:t>
      </w:r>
      <w:r w:rsidR="0023034B" w:rsidRPr="003E46F5">
        <w:rPr>
          <w:rFonts w:cs="Arial"/>
          <w:szCs w:val="20"/>
          <w:lang w:val="fr-CH"/>
        </w:rPr>
        <w:t>élaborer et d</w:t>
      </w:r>
      <w:r w:rsidR="0023034B">
        <w:rPr>
          <w:rFonts w:cs="Arial"/>
          <w:szCs w:val="20"/>
          <w:lang w:val="fr-CH"/>
        </w:rPr>
        <w:t>’</w:t>
      </w:r>
      <w:r w:rsidR="0023034B" w:rsidRPr="003E46F5">
        <w:rPr>
          <w:rFonts w:cs="Arial"/>
          <w:szCs w:val="20"/>
          <w:lang w:val="fr-CH"/>
        </w:rPr>
        <w:t>actualiser les</w:t>
      </w:r>
      <w:r w:rsidR="0023034B">
        <w:rPr>
          <w:rFonts w:cs="Arial"/>
          <w:szCs w:val="20"/>
          <w:lang w:val="fr-CH"/>
        </w:rPr>
        <w:t xml:space="preserve"> bonnes pratiques relatives aux mécanismes de règlement des litiges</w:t>
      </w:r>
      <w:r w:rsidR="0023034B" w:rsidRPr="003E46F5">
        <w:rPr>
          <w:rFonts w:cs="Arial"/>
          <w:szCs w:val="20"/>
          <w:lang w:val="fr-CH"/>
        </w:rPr>
        <w:t xml:space="preserve">, </w:t>
      </w:r>
      <w:r w:rsidR="0023034B">
        <w:rPr>
          <w:rFonts w:cs="Arial"/>
          <w:szCs w:val="20"/>
          <w:lang w:val="fr-CH"/>
        </w:rPr>
        <w:t>notamment en collaborant avec les associations régionales de</w:t>
      </w:r>
      <w:r w:rsidR="0023034B" w:rsidRPr="003E46F5">
        <w:rPr>
          <w:rFonts w:cs="Arial"/>
          <w:szCs w:val="20"/>
          <w:lang w:val="fr-CH"/>
        </w:rPr>
        <w:t xml:space="preserve"> ccTLD </w:t>
      </w:r>
      <w:r w:rsidR="0023034B">
        <w:rPr>
          <w:rFonts w:cs="Arial"/>
          <w:szCs w:val="20"/>
          <w:lang w:val="fr-CH"/>
        </w:rPr>
        <w:t>et les bureaux extérieurs de l’OMPI</w:t>
      </w:r>
      <w:r w:rsidR="0023034B" w:rsidRPr="003E46F5">
        <w:rPr>
          <w:rFonts w:cs="Arial"/>
          <w:szCs w:val="20"/>
          <w:lang w:val="fr-CH"/>
        </w:rPr>
        <w:t>;</w:t>
      </w:r>
    </w:p>
    <w:p w14:paraId="440B6A81" w14:textId="77777777" w:rsidR="0023034B" w:rsidRPr="003E46F5" w:rsidRDefault="0023034B" w:rsidP="00986700">
      <w:pPr>
        <w:pStyle w:val="ListParagraph"/>
        <w:ind w:left="567" w:hanging="567"/>
        <w:jc w:val="both"/>
        <w:rPr>
          <w:rFonts w:cs="Arial"/>
          <w:szCs w:val="20"/>
          <w:lang w:val="fr-CH"/>
        </w:rPr>
      </w:pPr>
    </w:p>
    <w:p w14:paraId="0501C251" w14:textId="5A044875" w:rsidR="0023034B" w:rsidRPr="00EB3ACB" w:rsidRDefault="002F0934" w:rsidP="00986700">
      <w:pPr>
        <w:pStyle w:val="ListParagraph"/>
        <w:numPr>
          <w:ilvl w:val="0"/>
          <w:numId w:val="14"/>
        </w:numPr>
        <w:ind w:left="567" w:hanging="567"/>
        <w:jc w:val="both"/>
        <w:rPr>
          <w:rFonts w:cs="Arial"/>
          <w:szCs w:val="20"/>
          <w:lang w:val="fr-CH"/>
        </w:rPr>
      </w:pPr>
      <w:r>
        <w:rPr>
          <w:rFonts w:cs="Arial"/>
          <w:szCs w:val="20"/>
          <w:lang w:val="fr-CH"/>
        </w:rPr>
        <w:t>P</w:t>
      </w:r>
      <w:r w:rsidRPr="00EB3ACB">
        <w:rPr>
          <w:rFonts w:cs="Arial"/>
          <w:szCs w:val="20"/>
          <w:lang w:val="fr-CH"/>
        </w:rPr>
        <w:t xml:space="preserve">articiper </w:t>
      </w:r>
      <w:r w:rsidR="0023034B" w:rsidRPr="00EB3ACB">
        <w:rPr>
          <w:rFonts w:cs="Arial"/>
          <w:szCs w:val="20"/>
          <w:lang w:val="fr-CH"/>
        </w:rPr>
        <w:t>aux processus lancés par l</w:t>
      </w:r>
      <w:r w:rsidR="0023034B">
        <w:rPr>
          <w:rFonts w:cs="Arial"/>
          <w:szCs w:val="20"/>
          <w:lang w:val="fr-CH"/>
        </w:rPr>
        <w:t>’</w:t>
      </w:r>
      <w:r w:rsidR="0023034B" w:rsidRPr="00EB3ACB">
        <w:rPr>
          <w:rFonts w:cs="Arial"/>
          <w:szCs w:val="20"/>
          <w:lang w:val="fr-CH"/>
        </w:rPr>
        <w:t xml:space="preserve">Internet Corporation for Assigned Names and Numbers (ICANN) et </w:t>
      </w:r>
      <w:r w:rsidR="0023034B">
        <w:rPr>
          <w:rFonts w:cs="Arial"/>
          <w:szCs w:val="20"/>
          <w:lang w:val="fr-CH"/>
        </w:rPr>
        <w:t>en assurer le suivi en vue</w:t>
      </w:r>
      <w:r w:rsidR="0023034B" w:rsidRPr="00EB3ACB">
        <w:rPr>
          <w:rFonts w:cs="Arial"/>
          <w:szCs w:val="20"/>
          <w:lang w:val="fr-CH"/>
        </w:rPr>
        <w:t xml:space="preserve"> d</w:t>
      </w:r>
      <w:r w:rsidR="0023034B">
        <w:rPr>
          <w:rFonts w:cs="Arial"/>
          <w:szCs w:val="20"/>
          <w:lang w:val="fr-CH"/>
        </w:rPr>
        <w:t>’</w:t>
      </w:r>
      <w:r w:rsidR="0023034B" w:rsidRPr="00EB3ACB">
        <w:rPr>
          <w:rFonts w:cs="Arial"/>
          <w:szCs w:val="20"/>
          <w:lang w:val="fr-CH"/>
        </w:rPr>
        <w:t>examiner les mécanismes de protection des droits relatifs aux marques dans le contexte du système des noms de domaine</w:t>
      </w:r>
      <w:r w:rsidR="0023034B">
        <w:rPr>
          <w:rFonts w:cs="Arial"/>
          <w:szCs w:val="20"/>
          <w:lang w:val="fr-CH"/>
        </w:rPr>
        <w:t xml:space="preserve"> (DNS) en prenant une part très active</w:t>
      </w:r>
      <w:r w:rsidR="0023034B" w:rsidRPr="00EB3ACB">
        <w:rPr>
          <w:rFonts w:cs="Arial"/>
          <w:szCs w:val="20"/>
          <w:lang w:val="fr-CH"/>
        </w:rPr>
        <w:t xml:space="preserve"> </w:t>
      </w:r>
      <w:r w:rsidR="0023034B">
        <w:rPr>
          <w:rFonts w:cs="Arial"/>
          <w:szCs w:val="20"/>
          <w:lang w:val="fr-CH"/>
        </w:rPr>
        <w:t>aux réunions de</w:t>
      </w:r>
      <w:r w:rsidR="0023034B" w:rsidRPr="00EB3ACB">
        <w:rPr>
          <w:rFonts w:cs="Arial"/>
          <w:szCs w:val="20"/>
          <w:lang w:val="fr-CH"/>
        </w:rPr>
        <w:t xml:space="preserve"> </w:t>
      </w:r>
      <w:r w:rsidR="0023034B">
        <w:rPr>
          <w:rFonts w:cs="Arial"/>
          <w:szCs w:val="20"/>
          <w:lang w:val="fr-CH"/>
        </w:rPr>
        <w:t>l’</w:t>
      </w:r>
      <w:r w:rsidR="0023034B" w:rsidRPr="00EB3ACB">
        <w:rPr>
          <w:rFonts w:cs="Arial"/>
          <w:szCs w:val="20"/>
          <w:lang w:val="fr-CH"/>
        </w:rPr>
        <w:t xml:space="preserve">ICANN, </w:t>
      </w:r>
      <w:r w:rsidR="0023034B">
        <w:rPr>
          <w:rFonts w:cs="Arial"/>
          <w:szCs w:val="20"/>
          <w:lang w:val="fr-CH"/>
        </w:rPr>
        <w:t xml:space="preserve">en </w:t>
      </w:r>
      <w:r w:rsidR="0023034B" w:rsidRPr="00EB3ACB">
        <w:rPr>
          <w:rFonts w:cs="Arial"/>
          <w:szCs w:val="20"/>
          <w:lang w:val="fr-CH"/>
        </w:rPr>
        <w:t>participa</w:t>
      </w:r>
      <w:r w:rsidR="0023034B">
        <w:rPr>
          <w:rFonts w:cs="Arial"/>
          <w:szCs w:val="20"/>
          <w:lang w:val="fr-CH"/>
        </w:rPr>
        <w:t>nt à des groupes de travail</w:t>
      </w:r>
      <w:r w:rsidR="0023034B" w:rsidRPr="00EB3ACB">
        <w:rPr>
          <w:rFonts w:cs="Arial"/>
          <w:szCs w:val="20"/>
          <w:lang w:val="fr-CH"/>
        </w:rPr>
        <w:t xml:space="preserve">, </w:t>
      </w:r>
      <w:r w:rsidR="0023034B">
        <w:rPr>
          <w:rFonts w:cs="Arial"/>
          <w:szCs w:val="20"/>
          <w:lang w:val="fr-CH"/>
        </w:rPr>
        <w:t>en renseignant les États membres et en travaillant avec les associations</w:t>
      </w:r>
      <w:r w:rsidR="0023034B" w:rsidRPr="005726E5">
        <w:rPr>
          <w:rFonts w:cs="Arial"/>
          <w:szCs w:val="20"/>
          <w:lang w:val="fr-CH"/>
        </w:rPr>
        <w:t xml:space="preserve"> </w:t>
      </w:r>
      <w:r w:rsidR="0023034B">
        <w:rPr>
          <w:rFonts w:cs="Arial"/>
          <w:szCs w:val="20"/>
          <w:lang w:val="fr-CH"/>
        </w:rPr>
        <w:t>de propriété intellectuelle</w:t>
      </w:r>
      <w:r w:rsidR="0023034B" w:rsidRPr="00EB3ACB">
        <w:rPr>
          <w:rFonts w:cs="Arial"/>
          <w:szCs w:val="20"/>
          <w:lang w:val="fr-CH"/>
        </w:rPr>
        <w:t>.</w:t>
      </w:r>
    </w:p>
    <w:p w14:paraId="2F8853AD" w14:textId="77777777" w:rsidR="0023034B" w:rsidRPr="00EB3ACB" w:rsidRDefault="0023034B" w:rsidP="00986700">
      <w:pPr>
        <w:jc w:val="both"/>
        <w:rPr>
          <w:rFonts w:cs="Arial"/>
          <w:szCs w:val="20"/>
          <w:lang w:val="fr-CH"/>
        </w:rPr>
      </w:pPr>
    </w:p>
    <w:p w14:paraId="1B1CEB34" w14:textId="77777777" w:rsidR="0023034B" w:rsidRPr="00EB3ACB" w:rsidRDefault="0023034B"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3034B" w:rsidRPr="005052F3" w14:paraId="74CA6CF0" w14:textId="77777777" w:rsidTr="005A64E3">
        <w:trPr>
          <w:cantSplit/>
        </w:trPr>
        <w:tc>
          <w:tcPr>
            <w:tcW w:w="9180" w:type="dxa"/>
            <w:shd w:val="clear" w:color="auto" w:fill="C6D9F1" w:themeFill="text2" w:themeFillTint="33"/>
            <w:vAlign w:val="center"/>
          </w:tcPr>
          <w:p w14:paraId="3F77DF9D" w14:textId="44431CFE" w:rsidR="0023034B" w:rsidRPr="00041ED1" w:rsidRDefault="0023034B" w:rsidP="005F5C77">
            <w:pPr>
              <w:keepNext/>
              <w:keepLines/>
              <w:jc w:val="center"/>
              <w:rPr>
                <w:rFonts w:eastAsia="Times New Roman" w:cs="Arial"/>
                <w:b/>
                <w:bCs/>
                <w:szCs w:val="20"/>
                <w:lang w:val="fr-CH" w:eastAsia="en-US"/>
              </w:rPr>
            </w:pPr>
            <w:r w:rsidRPr="00041ED1">
              <w:rPr>
                <w:rFonts w:cs="Arial"/>
                <w:b/>
                <w:bCs/>
                <w:color w:val="222222"/>
                <w:szCs w:val="19"/>
                <w:shd w:val="clear" w:color="auto" w:fill="C6D9F1"/>
                <w:lang w:val="fr-CH"/>
              </w:rPr>
              <w:lastRenderedPageBreak/>
              <w:t xml:space="preserve">Collaboration interprogrammes </w:t>
            </w:r>
          </w:p>
        </w:tc>
      </w:tr>
    </w:tbl>
    <w:p w14:paraId="14C22A67" w14:textId="77777777" w:rsidR="0023034B" w:rsidRPr="00AC2D36" w:rsidRDefault="0023034B" w:rsidP="005A64E3">
      <w:pPr>
        <w:keepNext/>
        <w:rPr>
          <w:lang w:val="fr-CH"/>
        </w:rPr>
      </w:pPr>
    </w:p>
    <w:p w14:paraId="77E16497" w14:textId="3366054A" w:rsidR="0023034B" w:rsidRDefault="005A64E3" w:rsidP="005A64E3">
      <w:pPr>
        <w:jc w:val="center"/>
        <w:rPr>
          <w:rFonts w:cs="Arial"/>
          <w:szCs w:val="20"/>
          <w:lang w:val="fr-CH"/>
        </w:rPr>
      </w:pPr>
      <w:r w:rsidRPr="005A64E3">
        <w:rPr>
          <w:noProof/>
          <w:lang w:val="en-US" w:eastAsia="en-US"/>
        </w:rPr>
        <w:drawing>
          <wp:inline distT="0" distB="0" distL="0" distR="0" wp14:anchorId="2380DE6B" wp14:editId="4F3A39C9">
            <wp:extent cx="3245936" cy="3600000"/>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45936" cy="3600000"/>
                    </a:xfrm>
                    <a:prstGeom prst="rect">
                      <a:avLst/>
                    </a:prstGeom>
                    <a:noFill/>
                    <a:ln>
                      <a:noFill/>
                    </a:ln>
                  </pic:spPr>
                </pic:pic>
              </a:graphicData>
            </a:graphic>
          </wp:inline>
        </w:drawing>
      </w:r>
    </w:p>
    <w:p w14:paraId="07C7B7FA" w14:textId="77777777" w:rsidR="005A64E3" w:rsidRPr="00AC2D36" w:rsidRDefault="005A64E3" w:rsidP="005A64E3">
      <w:pPr>
        <w:rPr>
          <w:lang w:val="fr-CH"/>
        </w:rPr>
      </w:pPr>
    </w:p>
    <w:tbl>
      <w:tblPr>
        <w:tblW w:w="5000" w:type="pct"/>
        <w:tblCellMar>
          <w:top w:w="57" w:type="dxa"/>
          <w:bottom w:w="57" w:type="dxa"/>
        </w:tblCellMar>
        <w:tblLook w:val="01E0" w:firstRow="1" w:lastRow="1" w:firstColumn="1" w:lastColumn="1" w:noHBand="0" w:noVBand="0"/>
      </w:tblPr>
      <w:tblGrid>
        <w:gridCol w:w="4639"/>
        <w:gridCol w:w="4648"/>
      </w:tblGrid>
      <w:tr w:rsidR="0023034B" w14:paraId="1B8C732E" w14:textId="77777777" w:rsidTr="005A64E3">
        <w:trPr>
          <w:cantSplit/>
        </w:trPr>
        <w:tc>
          <w:tcPr>
            <w:tcW w:w="4639" w:type="dxa"/>
            <w:shd w:val="clear" w:color="auto" w:fill="C6D9F1" w:themeFill="text2" w:themeFillTint="33"/>
            <w:vAlign w:val="center"/>
          </w:tcPr>
          <w:p w14:paraId="640B2E1C" w14:textId="77777777" w:rsidR="0023034B" w:rsidRPr="003C527B" w:rsidRDefault="0023034B" w:rsidP="00986700">
            <w:pPr>
              <w:keepNext/>
              <w:keepLines/>
              <w:jc w:val="center"/>
              <w:rPr>
                <w:rFonts w:cs="Arial"/>
                <w:b/>
                <w:bCs/>
                <w:sz w:val="18"/>
                <w:szCs w:val="18"/>
              </w:rPr>
            </w:pPr>
            <w:r>
              <w:rPr>
                <w:rFonts w:cs="Arial"/>
                <w:b/>
                <w:bCs/>
                <w:sz w:val="18"/>
                <w:szCs w:val="18"/>
              </w:rPr>
              <w:t>Risques</w:t>
            </w:r>
          </w:p>
        </w:tc>
        <w:tc>
          <w:tcPr>
            <w:tcW w:w="4648" w:type="dxa"/>
            <w:shd w:val="clear" w:color="auto" w:fill="C6D9F1" w:themeFill="text2" w:themeFillTint="33"/>
            <w:vAlign w:val="center"/>
          </w:tcPr>
          <w:p w14:paraId="1BF4DB44" w14:textId="77777777" w:rsidR="0023034B" w:rsidRPr="003C527B" w:rsidRDefault="0023034B" w:rsidP="00986700">
            <w:pPr>
              <w:keepNext/>
              <w:keepLines/>
              <w:jc w:val="center"/>
              <w:rPr>
                <w:rFonts w:cs="Arial"/>
                <w:b/>
                <w:bCs/>
                <w:sz w:val="18"/>
                <w:szCs w:val="18"/>
              </w:rPr>
            </w:pPr>
            <w:r>
              <w:rPr>
                <w:rFonts w:cs="Arial"/>
                <w:b/>
                <w:bCs/>
                <w:sz w:val="18"/>
                <w:szCs w:val="18"/>
              </w:rPr>
              <w:t>Mesures d’atténuation</w:t>
            </w:r>
          </w:p>
        </w:tc>
      </w:tr>
      <w:tr w:rsidR="0056581C" w:rsidRPr="005052F3" w14:paraId="6D18B932" w14:textId="77777777" w:rsidTr="005A64E3">
        <w:trPr>
          <w:cantSplit/>
        </w:trPr>
        <w:tc>
          <w:tcPr>
            <w:tcW w:w="4639" w:type="dxa"/>
            <w:shd w:val="clear" w:color="auto" w:fill="auto"/>
            <w:tcMar>
              <w:top w:w="57" w:type="dxa"/>
              <w:bottom w:w="57" w:type="dxa"/>
            </w:tcMar>
          </w:tcPr>
          <w:p w14:paraId="7D75F1FD" w14:textId="34A8F9F7" w:rsidR="0056581C" w:rsidRPr="00B02024" w:rsidRDefault="0056581C" w:rsidP="00AE7435">
            <w:pPr>
              <w:keepNext/>
              <w:keepLines/>
              <w:rPr>
                <w:rFonts w:cs="Arial"/>
                <w:sz w:val="16"/>
                <w:szCs w:val="16"/>
                <w:lang w:val="fr-CH"/>
              </w:rPr>
            </w:pPr>
            <w:r w:rsidRPr="00E0439D">
              <w:rPr>
                <w:sz w:val="16"/>
                <w:szCs w:val="16"/>
              </w:rPr>
              <w:t>Recul de la reconnaissance par le marché des services d’arbitrage et de médiation de l’OMPI;  évolution des ressources par rapport aux prestataires existants de services de règlement extrajudiciaire des litiges et apparition de nouveaux prestataires.</w:t>
            </w:r>
          </w:p>
        </w:tc>
        <w:tc>
          <w:tcPr>
            <w:tcW w:w="4648" w:type="dxa"/>
            <w:shd w:val="clear" w:color="auto" w:fill="auto"/>
            <w:tcMar>
              <w:top w:w="57" w:type="dxa"/>
              <w:bottom w:w="57" w:type="dxa"/>
            </w:tcMar>
          </w:tcPr>
          <w:p w14:paraId="30D16B93" w14:textId="42D3799B" w:rsidR="0056581C" w:rsidRPr="00B02024" w:rsidRDefault="0056581C" w:rsidP="00986700">
            <w:pPr>
              <w:keepNext/>
              <w:keepLines/>
              <w:rPr>
                <w:rFonts w:cs="Arial"/>
                <w:sz w:val="16"/>
                <w:szCs w:val="16"/>
                <w:lang w:val="fr-CH"/>
              </w:rPr>
            </w:pPr>
            <w:r w:rsidRPr="00E0439D">
              <w:rPr>
                <w:sz w:val="16"/>
                <w:szCs w:val="16"/>
              </w:rPr>
              <w:t>Promouvoir le rôle du Centre d’arbitrage et de médiation en tant que spécialiste du règlement extrajudiciaire des litiges en matière de propriété intellectuelle en intensifiant la collaboration avec d’autres programmes;  promouvoir la participation d’intermédiaires neutres de l’OMPI ou la participation en ligne à des manifestations;  établir de nouveaux partenariats avec des associations de propriété intellectuelle et de règlement extrajudiciaire des litiges;</w:t>
            </w:r>
            <w:r w:rsidRPr="00E0439D">
              <w:rPr>
                <w:sz w:val="16"/>
              </w:rPr>
              <w:t xml:space="preserve">  </w:t>
            </w:r>
            <w:r w:rsidRPr="00E0439D">
              <w:rPr>
                <w:sz w:val="16"/>
                <w:szCs w:val="16"/>
              </w:rPr>
              <w:t>mettre à profit au maximum la présence du Centre à Singapour et la collaboration avec les bureaux extérieurs de l’OMPI pour accroître l’activité régionale;  exploiter les études réalisées sur les nouvelles pratiques et attentes des utilisateurs;  améliorer l’infrastructure de commercialisation.</w:t>
            </w:r>
          </w:p>
        </w:tc>
      </w:tr>
      <w:tr w:rsidR="0056581C" w:rsidRPr="005052F3" w14:paraId="5D0AE545" w14:textId="77777777" w:rsidTr="005A64E3">
        <w:trPr>
          <w:cantSplit/>
        </w:trPr>
        <w:tc>
          <w:tcPr>
            <w:tcW w:w="4639" w:type="dxa"/>
            <w:shd w:val="clear" w:color="auto" w:fill="auto"/>
            <w:tcMar>
              <w:top w:w="57" w:type="dxa"/>
              <w:bottom w:w="57" w:type="dxa"/>
            </w:tcMar>
          </w:tcPr>
          <w:p w14:paraId="72EDF9C0" w14:textId="33E06D52" w:rsidR="0056581C" w:rsidRPr="007E6C9A" w:rsidRDefault="0056581C" w:rsidP="0056581C">
            <w:pPr>
              <w:rPr>
                <w:rFonts w:cs="Arial"/>
                <w:b/>
                <w:i/>
                <w:color w:val="000000"/>
                <w:sz w:val="16"/>
                <w:szCs w:val="16"/>
                <w:lang w:val="fr-CH"/>
              </w:rPr>
            </w:pPr>
            <w:r w:rsidRPr="00E0439D">
              <w:rPr>
                <w:sz w:val="16"/>
                <w:szCs w:val="16"/>
              </w:rPr>
              <w:t>Diminution des dépôts au titre des principes UDRP, avec une incidence sur l’influence de la politique de l’OMPI en ce qui concerne le DNS et l’importance du Centre quant aux règlements extrajudiciaires des litiges dans le cadre du DNS;  pression sur les mécanismes de l’ICANN (résultant notamment de la révision des principes UDRP et du Système de suspension uniforme rapide) et primauté du Centre dans le cadre du règlement extrajudiciaire des litiges relatifs au DNS;  atteinte au rôle du Centre dans l’administration des litiges et l’élaboration de politiques;  utilisation du Système de suspension uniforme rapide et accréditation de nouveaux fournisseurs entraînant une diminution des dépôts au titre des principes UDRP;  fragmentation du système des noms de domaine et concurrence en son sein.</w:t>
            </w:r>
          </w:p>
        </w:tc>
        <w:tc>
          <w:tcPr>
            <w:tcW w:w="4648" w:type="dxa"/>
            <w:shd w:val="clear" w:color="auto" w:fill="auto"/>
            <w:tcMar>
              <w:top w:w="57" w:type="dxa"/>
              <w:bottom w:w="57" w:type="dxa"/>
            </w:tcMar>
          </w:tcPr>
          <w:p w14:paraId="2E931EA1" w14:textId="69DFE3EC" w:rsidR="0056581C" w:rsidRPr="00967C85" w:rsidRDefault="0056581C" w:rsidP="0056581C">
            <w:pPr>
              <w:rPr>
                <w:rFonts w:cs="Arial"/>
                <w:color w:val="000000"/>
                <w:sz w:val="16"/>
                <w:szCs w:val="16"/>
                <w:lang w:val="fr-CH"/>
              </w:rPr>
            </w:pPr>
            <w:r w:rsidRPr="00E0439D">
              <w:rPr>
                <w:sz w:val="16"/>
                <w:szCs w:val="16"/>
              </w:rPr>
              <w:t>Assurer une plus grande facilité d’utilisation;  adapter les procédures UDRP (lorsque l’ICANN le permet);  suivre activement la révision des principes UDRP et du Système de suspension uniforme rapide par l’ICANN;  établir davantage de partenariats avec des associations de propriété intellectuelle et connexes;  donner la priorité à l’allocation de ressources en faveur de l’administration des litiges et de l’élaboration de politiques, afin de trouver un équilibre entre “rester sur le marché” et ajouter une valeur particulière à l’OMPI.</w:t>
            </w:r>
          </w:p>
        </w:tc>
      </w:tr>
    </w:tbl>
    <w:p w14:paraId="060A7FA8" w14:textId="77777777" w:rsidR="0023034B" w:rsidRPr="00967C85" w:rsidRDefault="0023034B" w:rsidP="00986700">
      <w:pPr>
        <w:jc w:val="both"/>
        <w:rPr>
          <w:rFonts w:cs="Arial"/>
          <w:szCs w:val="20"/>
          <w:lang w:val="fr-CH"/>
        </w:rPr>
      </w:pPr>
    </w:p>
    <w:p w14:paraId="5BCFFF9C" w14:textId="77777777" w:rsidR="0023034B" w:rsidRPr="00967C85" w:rsidRDefault="0023034B" w:rsidP="00986700">
      <w:pPr>
        <w:jc w:val="both"/>
        <w:rPr>
          <w:rFonts w:cs="Arial"/>
          <w:szCs w:val="20"/>
          <w:lang w:val="fr-CH"/>
        </w:rPr>
      </w:pPr>
    </w:p>
    <w:tbl>
      <w:tblPr>
        <w:tblW w:w="5000" w:type="pct"/>
        <w:tblCellMar>
          <w:top w:w="57" w:type="dxa"/>
          <w:bottom w:w="57" w:type="dxa"/>
        </w:tblCellMar>
        <w:tblLook w:val="04A0" w:firstRow="1" w:lastRow="0" w:firstColumn="1" w:lastColumn="0" w:noHBand="0" w:noVBand="1"/>
      </w:tblPr>
      <w:tblGrid>
        <w:gridCol w:w="2314"/>
        <w:gridCol w:w="2319"/>
        <w:gridCol w:w="2325"/>
        <w:gridCol w:w="2329"/>
      </w:tblGrid>
      <w:tr w:rsidR="0023034B" w:rsidRPr="00CE6D14" w14:paraId="4F19154C" w14:textId="77777777" w:rsidTr="005F5C77">
        <w:trPr>
          <w:cantSplit/>
          <w:tblHeader/>
        </w:trPr>
        <w:tc>
          <w:tcPr>
            <w:tcW w:w="2393" w:type="dxa"/>
            <w:shd w:val="clear" w:color="000000" w:fill="C5D9F1"/>
            <w:vAlign w:val="center"/>
            <w:hideMark/>
          </w:tcPr>
          <w:p w14:paraId="558DEA9F" w14:textId="77777777" w:rsidR="0023034B" w:rsidRPr="00CE6D14" w:rsidRDefault="0023034B" w:rsidP="00986700">
            <w:pPr>
              <w:keepNext/>
              <w:keepLines/>
              <w:jc w:val="center"/>
              <w:rPr>
                <w:rFonts w:eastAsia="Times New Roman" w:cs="Arial"/>
                <w:b/>
                <w:bCs/>
                <w:color w:val="000000"/>
                <w:sz w:val="18"/>
                <w:szCs w:val="18"/>
                <w:lang w:eastAsia="en-US"/>
              </w:rPr>
            </w:pPr>
            <w:r w:rsidRPr="00CE6D14">
              <w:rPr>
                <w:rFonts w:eastAsia="Times New Roman" w:cs="Arial"/>
                <w:b/>
                <w:bCs/>
                <w:color w:val="000000"/>
                <w:sz w:val="18"/>
                <w:szCs w:val="18"/>
                <w:lang w:eastAsia="en-US"/>
              </w:rPr>
              <w:lastRenderedPageBreak/>
              <w:t>R</w:t>
            </w:r>
            <w:r>
              <w:rPr>
                <w:rFonts w:eastAsia="Times New Roman" w:cs="Arial"/>
                <w:b/>
                <w:bCs/>
                <w:color w:val="000000"/>
                <w:sz w:val="18"/>
                <w:szCs w:val="18"/>
                <w:lang w:eastAsia="en-US"/>
              </w:rPr>
              <w:t>é</w:t>
            </w:r>
            <w:r w:rsidRPr="00CE6D14">
              <w:rPr>
                <w:rFonts w:eastAsia="Times New Roman" w:cs="Arial"/>
                <w:b/>
                <w:bCs/>
                <w:color w:val="000000"/>
                <w:sz w:val="18"/>
                <w:szCs w:val="18"/>
                <w:lang w:eastAsia="en-US"/>
              </w:rPr>
              <w:t>sult</w:t>
            </w:r>
            <w:r>
              <w:rPr>
                <w:rFonts w:eastAsia="Times New Roman" w:cs="Arial"/>
                <w:b/>
                <w:bCs/>
                <w:color w:val="000000"/>
                <w:sz w:val="18"/>
                <w:szCs w:val="18"/>
                <w:lang w:eastAsia="en-US"/>
              </w:rPr>
              <w:t>at escompté</w:t>
            </w:r>
            <w:r w:rsidRPr="00CE6D14">
              <w:rPr>
                <w:rFonts w:eastAsia="Times New Roman" w:cs="Arial"/>
                <w:b/>
                <w:bCs/>
                <w:color w:val="000000"/>
                <w:sz w:val="18"/>
                <w:szCs w:val="18"/>
                <w:lang w:eastAsia="en-US"/>
              </w:rPr>
              <w:t xml:space="preserve"> </w:t>
            </w:r>
          </w:p>
        </w:tc>
        <w:tc>
          <w:tcPr>
            <w:tcW w:w="2392" w:type="dxa"/>
            <w:shd w:val="clear" w:color="000000" w:fill="C5D9F1"/>
            <w:vAlign w:val="center"/>
            <w:hideMark/>
          </w:tcPr>
          <w:p w14:paraId="406EC5A1" w14:textId="77777777" w:rsidR="0023034B" w:rsidRPr="00CE6D14" w:rsidRDefault="0023034B" w:rsidP="00986700">
            <w:pPr>
              <w:keepNext/>
              <w:keepLines/>
              <w:jc w:val="center"/>
              <w:rPr>
                <w:rFonts w:eastAsia="Times New Roman" w:cs="Arial"/>
                <w:b/>
                <w:bCs/>
                <w:color w:val="000000"/>
                <w:sz w:val="18"/>
                <w:szCs w:val="18"/>
                <w:lang w:eastAsia="en-US"/>
              </w:rPr>
            </w:pPr>
            <w:r>
              <w:rPr>
                <w:rFonts w:cs="Arial"/>
                <w:b/>
                <w:bCs/>
                <w:color w:val="222222"/>
                <w:sz w:val="18"/>
                <w:szCs w:val="18"/>
                <w:shd w:val="clear" w:color="auto" w:fill="C5D9F1"/>
              </w:rPr>
              <w:t>Indicateurs d’exécution</w:t>
            </w:r>
          </w:p>
        </w:tc>
        <w:tc>
          <w:tcPr>
            <w:tcW w:w="2392" w:type="dxa"/>
            <w:shd w:val="clear" w:color="000000" w:fill="C5D9F1"/>
            <w:vAlign w:val="center"/>
            <w:hideMark/>
          </w:tcPr>
          <w:p w14:paraId="74A09298" w14:textId="77777777" w:rsidR="0023034B" w:rsidRPr="00CE6D14" w:rsidRDefault="0023034B"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Niveaux de référence</w:t>
            </w:r>
          </w:p>
        </w:tc>
        <w:tc>
          <w:tcPr>
            <w:tcW w:w="2394" w:type="dxa"/>
            <w:shd w:val="clear" w:color="000000" w:fill="C5D9F1"/>
            <w:vAlign w:val="center"/>
            <w:hideMark/>
          </w:tcPr>
          <w:p w14:paraId="4F24BAA4" w14:textId="77777777" w:rsidR="0023034B" w:rsidRPr="00CE6D14" w:rsidRDefault="0023034B"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Objectifs visés</w:t>
            </w:r>
          </w:p>
        </w:tc>
      </w:tr>
      <w:tr w:rsidR="0023034B" w:rsidRPr="005052F3" w14:paraId="3105CAB9" w14:textId="77777777" w:rsidTr="0023034B">
        <w:trPr>
          <w:cantSplit/>
        </w:trPr>
        <w:tc>
          <w:tcPr>
            <w:tcW w:w="2393" w:type="dxa"/>
            <w:shd w:val="clear" w:color="000000" w:fill="FFFFFF"/>
            <w:tcMar>
              <w:top w:w="57" w:type="dxa"/>
            </w:tcMar>
            <w:hideMark/>
          </w:tcPr>
          <w:p w14:paraId="552CDEF5" w14:textId="458E9131" w:rsidR="0023034B" w:rsidRPr="00777662" w:rsidRDefault="0023034B" w:rsidP="005F5C77">
            <w:pPr>
              <w:rPr>
                <w:rFonts w:eastAsia="Times New Roman" w:cs="Arial"/>
                <w:color w:val="000000"/>
                <w:sz w:val="16"/>
                <w:szCs w:val="16"/>
                <w:lang w:val="fr-CH" w:eastAsia="en-US"/>
              </w:rPr>
            </w:pPr>
            <w:r w:rsidRPr="00777662">
              <w:rPr>
                <w:rFonts w:eastAsia="Times New Roman" w:cs="Arial"/>
                <w:color w:val="000000"/>
                <w:sz w:val="16"/>
                <w:szCs w:val="16"/>
                <w:lang w:val="fr-CH" w:eastAsia="en-US"/>
              </w:rPr>
              <w:t>II.7 De plus en plus de litiges internationaux ou nationaux de propriété intellectuelle sont évités ou réglés par la médiation, l</w:t>
            </w:r>
            <w:r>
              <w:rPr>
                <w:rFonts w:eastAsia="Times New Roman" w:cs="Arial"/>
                <w:color w:val="000000"/>
                <w:sz w:val="16"/>
                <w:szCs w:val="16"/>
                <w:lang w:val="fr-CH" w:eastAsia="en-US"/>
              </w:rPr>
              <w:t>’</w:t>
            </w:r>
            <w:r w:rsidRPr="00777662">
              <w:rPr>
                <w:rFonts w:eastAsia="Times New Roman" w:cs="Arial"/>
                <w:color w:val="000000"/>
                <w:sz w:val="16"/>
                <w:szCs w:val="16"/>
                <w:lang w:val="fr-CH" w:eastAsia="en-US"/>
              </w:rPr>
              <w:t>arbitrage et les autres modes extrajudiciaires de règlement des litiges de l</w:t>
            </w:r>
            <w:r>
              <w:rPr>
                <w:rFonts w:eastAsia="Times New Roman" w:cs="Arial"/>
                <w:color w:val="000000"/>
                <w:sz w:val="16"/>
                <w:szCs w:val="16"/>
                <w:lang w:val="fr-CH" w:eastAsia="en-US"/>
              </w:rPr>
              <w:t>’</w:t>
            </w:r>
            <w:r w:rsidRPr="00777662">
              <w:rPr>
                <w:rFonts w:eastAsia="Times New Roman" w:cs="Arial"/>
                <w:color w:val="000000"/>
                <w:sz w:val="16"/>
                <w:szCs w:val="16"/>
                <w:lang w:val="fr-CH" w:eastAsia="en-US"/>
              </w:rPr>
              <w:t>OMPI</w:t>
            </w:r>
          </w:p>
        </w:tc>
        <w:tc>
          <w:tcPr>
            <w:tcW w:w="2392" w:type="dxa"/>
            <w:shd w:val="clear" w:color="000000" w:fill="FFFFFF"/>
            <w:tcMar>
              <w:top w:w="57" w:type="dxa"/>
            </w:tcMar>
            <w:hideMark/>
          </w:tcPr>
          <w:p w14:paraId="35724BE6" w14:textId="77777777" w:rsidR="0023034B" w:rsidRPr="00777662" w:rsidRDefault="0023034B" w:rsidP="005F5C77">
            <w:pPr>
              <w:rPr>
                <w:rFonts w:eastAsia="Times New Roman" w:cs="Arial"/>
                <w:color w:val="000000"/>
                <w:sz w:val="16"/>
                <w:szCs w:val="16"/>
                <w:lang w:val="fr-CH" w:eastAsia="en-US"/>
              </w:rPr>
            </w:pPr>
            <w:r w:rsidRPr="00777662">
              <w:rPr>
                <w:rFonts w:eastAsia="Times New Roman" w:cs="Arial"/>
                <w:color w:val="000000"/>
                <w:sz w:val="16"/>
                <w:szCs w:val="16"/>
                <w:lang w:val="fr-CH" w:eastAsia="en-US"/>
              </w:rPr>
              <w:t>Utilisation accrue de services et de clauses de règlement extrajudiciaire des litiges dans les transactions et les enregistrements de titres de propriété intellectuelle, notamment par le recours aux procédures de l</w:t>
            </w:r>
            <w:r>
              <w:rPr>
                <w:rFonts w:eastAsia="Times New Roman" w:cs="Arial"/>
                <w:color w:val="000000"/>
                <w:sz w:val="16"/>
                <w:szCs w:val="16"/>
                <w:lang w:val="fr-CH" w:eastAsia="en-US"/>
              </w:rPr>
              <w:t>’</w:t>
            </w:r>
            <w:r w:rsidRPr="00777662">
              <w:rPr>
                <w:rFonts w:eastAsia="Times New Roman" w:cs="Arial"/>
                <w:color w:val="000000"/>
                <w:sz w:val="16"/>
                <w:szCs w:val="16"/>
                <w:lang w:val="fr-CH" w:eastAsia="en-US"/>
              </w:rPr>
              <w:t>OMPI</w:t>
            </w:r>
          </w:p>
        </w:tc>
        <w:tc>
          <w:tcPr>
            <w:tcW w:w="2392" w:type="dxa"/>
            <w:shd w:val="clear" w:color="000000" w:fill="FFFFFF"/>
            <w:tcMar>
              <w:top w:w="57" w:type="dxa"/>
            </w:tcMar>
            <w:hideMark/>
          </w:tcPr>
          <w:p w14:paraId="7CD689CC" w14:textId="28FBA521" w:rsidR="0023034B" w:rsidRPr="00777662" w:rsidRDefault="005F5C77" w:rsidP="005F5C77">
            <w:pPr>
              <w:pStyle w:val="ListParagraph"/>
              <w:ind w:left="0"/>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777662">
              <w:rPr>
                <w:rFonts w:eastAsia="Times New Roman" w:cs="Arial"/>
                <w:color w:val="000000"/>
                <w:sz w:val="16"/>
                <w:szCs w:val="16"/>
                <w:lang w:val="fr-CH" w:eastAsia="en-US"/>
              </w:rPr>
              <w:t>482 litiges et 256</w:t>
            </w:r>
            <w:r w:rsidR="0023034B">
              <w:rPr>
                <w:rFonts w:eastAsia="Times New Roman" w:cs="Arial"/>
                <w:color w:val="000000"/>
                <w:sz w:val="16"/>
                <w:szCs w:val="16"/>
                <w:lang w:val="fr-CH" w:eastAsia="en-US"/>
              </w:rPr>
              <w:t> </w:t>
            </w:r>
            <w:r w:rsidR="0023034B" w:rsidRPr="00777662">
              <w:rPr>
                <w:rFonts w:eastAsia="Times New Roman" w:cs="Arial"/>
                <w:color w:val="000000"/>
                <w:sz w:val="16"/>
                <w:szCs w:val="16"/>
                <w:lang w:val="fr-CH" w:eastAsia="en-US"/>
              </w:rPr>
              <w:t>bons offices (cumul à la fin de</w:t>
            </w:r>
            <w:r w:rsidR="0023034B">
              <w:rPr>
                <w:rFonts w:eastAsia="Times New Roman" w:cs="Arial"/>
                <w:color w:val="000000"/>
                <w:sz w:val="16"/>
                <w:szCs w:val="16"/>
                <w:lang w:val="fr-CH" w:eastAsia="en-US"/>
              </w:rPr>
              <w:t> </w:t>
            </w:r>
            <w:r w:rsidR="0023034B" w:rsidRPr="00777662">
              <w:rPr>
                <w:rFonts w:eastAsia="Times New Roman" w:cs="Arial"/>
                <w:color w:val="000000"/>
                <w:sz w:val="16"/>
                <w:szCs w:val="16"/>
                <w:lang w:val="fr-CH" w:eastAsia="en-US"/>
              </w:rPr>
              <w:t>2016)</w:t>
            </w:r>
          </w:p>
          <w:p w14:paraId="4D714FBE" w14:textId="38D1B00B" w:rsidR="0023034B" w:rsidRPr="005F5C77" w:rsidRDefault="005F5C77" w:rsidP="005F5C77">
            <w:pPr>
              <w:rPr>
                <w:rFonts w:eastAsia="Times New Roman" w:cs="Arial"/>
                <w:color w:val="000000"/>
                <w:sz w:val="16"/>
                <w:szCs w:val="16"/>
                <w:lang w:eastAsia="en-US"/>
              </w:rPr>
            </w:pPr>
            <w:r>
              <w:rPr>
                <w:rFonts w:eastAsia="Times New Roman" w:cs="Arial"/>
                <w:color w:val="000000"/>
                <w:sz w:val="16"/>
                <w:szCs w:val="16"/>
                <w:lang w:eastAsia="en-US"/>
              </w:rPr>
              <w:t xml:space="preserve">– </w:t>
            </w:r>
            <w:r w:rsidR="0023034B" w:rsidRPr="005F5C77">
              <w:rPr>
                <w:rFonts w:eastAsia="Times New Roman" w:cs="Arial"/>
                <w:color w:val="000000"/>
                <w:sz w:val="16"/>
                <w:szCs w:val="16"/>
                <w:lang w:eastAsia="en-US"/>
              </w:rPr>
              <w:t>7 680 demandes (2015</w:t>
            </w:r>
            <w:r w:rsidR="00B441CA" w:rsidRPr="005F5C77">
              <w:rPr>
                <w:rFonts w:eastAsia="Times New Roman" w:cs="Arial"/>
                <w:color w:val="000000"/>
                <w:sz w:val="16"/>
                <w:szCs w:val="16"/>
                <w:lang w:eastAsia="en-US"/>
              </w:rPr>
              <w:noBreakHyphen/>
            </w:r>
            <w:r w:rsidR="0023034B" w:rsidRPr="005F5C77">
              <w:rPr>
                <w:rFonts w:eastAsia="Times New Roman" w:cs="Arial"/>
                <w:color w:val="000000"/>
                <w:sz w:val="16"/>
                <w:szCs w:val="16"/>
                <w:lang w:eastAsia="en-US"/>
              </w:rPr>
              <w:t>2016)</w:t>
            </w:r>
          </w:p>
          <w:p w14:paraId="0F0D16CD" w14:textId="0EDCA2B9"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3,06 millions de consultations sur Internet (2015</w:t>
            </w:r>
            <w:r w:rsidR="00B441CA" w:rsidRPr="005F5C77">
              <w:rPr>
                <w:rFonts w:eastAsia="Times New Roman" w:cs="Arial"/>
                <w:color w:val="000000"/>
                <w:sz w:val="16"/>
                <w:szCs w:val="16"/>
                <w:lang w:val="fr-CH" w:eastAsia="en-US"/>
              </w:rPr>
              <w:noBreakHyphen/>
            </w:r>
            <w:r w:rsidR="0023034B" w:rsidRPr="005F5C77">
              <w:rPr>
                <w:rFonts w:eastAsia="Times New Roman" w:cs="Arial"/>
                <w:color w:val="000000"/>
                <w:sz w:val="16"/>
                <w:szCs w:val="16"/>
                <w:lang w:val="fr-CH" w:eastAsia="en-US"/>
              </w:rPr>
              <w:t>2016)</w:t>
            </w:r>
          </w:p>
          <w:p w14:paraId="043063BC" w14:textId="7C24CA7B"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980 participants à des manifestations du Centre (2015</w:t>
            </w:r>
            <w:r w:rsidR="00B441CA" w:rsidRPr="005F5C77">
              <w:rPr>
                <w:rFonts w:eastAsia="Times New Roman" w:cs="Arial"/>
                <w:color w:val="000000"/>
                <w:sz w:val="16"/>
                <w:szCs w:val="16"/>
                <w:lang w:val="fr-CH" w:eastAsia="en-US"/>
              </w:rPr>
              <w:noBreakHyphen/>
            </w:r>
            <w:r w:rsidR="0023034B" w:rsidRPr="005F5C77">
              <w:rPr>
                <w:rFonts w:eastAsia="Times New Roman" w:cs="Arial"/>
                <w:color w:val="000000"/>
                <w:sz w:val="16"/>
                <w:szCs w:val="16"/>
                <w:lang w:val="fr-CH" w:eastAsia="en-US"/>
              </w:rPr>
              <w:t>2016)</w:t>
            </w:r>
          </w:p>
          <w:p w14:paraId="4F6ECBAF" w14:textId="6861937E"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9 860 participants à des manifestations où le Centre était représenté (2015</w:t>
            </w:r>
            <w:r w:rsidR="00B441CA" w:rsidRPr="005F5C77">
              <w:rPr>
                <w:rFonts w:eastAsia="Times New Roman" w:cs="Arial"/>
                <w:color w:val="000000"/>
                <w:sz w:val="16"/>
                <w:szCs w:val="16"/>
                <w:lang w:val="fr-CH" w:eastAsia="en-US"/>
              </w:rPr>
              <w:noBreakHyphen/>
            </w:r>
            <w:r w:rsidR="0023034B" w:rsidRPr="005F5C77">
              <w:rPr>
                <w:rFonts w:eastAsia="Times New Roman" w:cs="Arial"/>
                <w:color w:val="000000"/>
                <w:sz w:val="16"/>
                <w:szCs w:val="16"/>
                <w:lang w:val="fr-CH" w:eastAsia="en-US"/>
              </w:rPr>
              <w:t>2016)</w:t>
            </w:r>
          </w:p>
        </w:tc>
        <w:tc>
          <w:tcPr>
            <w:tcW w:w="2394" w:type="dxa"/>
            <w:shd w:val="clear" w:color="000000" w:fill="FFFFFF"/>
            <w:tcMar>
              <w:top w:w="57" w:type="dxa"/>
            </w:tcMar>
            <w:hideMark/>
          </w:tcPr>
          <w:p w14:paraId="6888CEBD" w14:textId="5F6D077D" w:rsidR="0023034B" w:rsidRPr="005F5C77" w:rsidRDefault="005F5C77" w:rsidP="005F5C77">
            <w:pPr>
              <w:rPr>
                <w:rFonts w:eastAsia="Times New Roman" w:cs="Arial"/>
                <w:color w:val="000000"/>
                <w:sz w:val="16"/>
                <w:szCs w:val="16"/>
                <w:lang w:eastAsia="en-US"/>
              </w:rPr>
            </w:pPr>
            <w:r>
              <w:rPr>
                <w:rFonts w:eastAsia="Times New Roman" w:cs="Arial"/>
                <w:color w:val="000000"/>
                <w:sz w:val="16"/>
                <w:szCs w:val="16"/>
                <w:lang w:eastAsia="en-US"/>
              </w:rPr>
              <w:t xml:space="preserve">– </w:t>
            </w:r>
            <w:r w:rsidR="0023034B" w:rsidRPr="005F5C77">
              <w:rPr>
                <w:rFonts w:eastAsia="Times New Roman" w:cs="Arial"/>
                <w:color w:val="000000"/>
                <w:sz w:val="16"/>
                <w:szCs w:val="16"/>
                <w:lang w:eastAsia="en-US"/>
              </w:rPr>
              <w:t>150 litiges et bons offices supplémentaires</w:t>
            </w:r>
          </w:p>
          <w:p w14:paraId="63702484" w14:textId="3C8DF45B" w:rsidR="0023034B" w:rsidRPr="005F5C77" w:rsidRDefault="005F5C77" w:rsidP="005F5C77">
            <w:pPr>
              <w:rPr>
                <w:rFonts w:eastAsia="Times New Roman" w:cs="Arial"/>
                <w:color w:val="000000"/>
                <w:sz w:val="16"/>
                <w:szCs w:val="16"/>
                <w:lang w:eastAsia="en-US"/>
              </w:rPr>
            </w:pPr>
            <w:r>
              <w:rPr>
                <w:rFonts w:eastAsia="Times New Roman" w:cs="Arial"/>
                <w:color w:val="000000"/>
                <w:sz w:val="16"/>
                <w:szCs w:val="16"/>
                <w:lang w:eastAsia="en-US"/>
              </w:rPr>
              <w:t xml:space="preserve">– </w:t>
            </w:r>
            <w:r w:rsidR="0023034B" w:rsidRPr="005F5C77">
              <w:rPr>
                <w:rFonts w:eastAsia="Times New Roman" w:cs="Arial"/>
                <w:color w:val="000000"/>
                <w:sz w:val="16"/>
                <w:szCs w:val="16"/>
                <w:lang w:eastAsia="en-US"/>
              </w:rPr>
              <w:t>7 500 demandes supplémentaires</w:t>
            </w:r>
          </w:p>
          <w:p w14:paraId="6035BF75" w14:textId="1C606C39"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3,0 millions de consultations supplémentaires</w:t>
            </w:r>
          </w:p>
          <w:p w14:paraId="08FECDBD" w14:textId="35A034E1"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1 500 participants à des manifestations du Centre</w:t>
            </w:r>
          </w:p>
          <w:p w14:paraId="32278428" w14:textId="65087506" w:rsidR="0023034B" w:rsidRPr="005F5C77" w:rsidRDefault="005F5C77" w:rsidP="005F5C77">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23034B" w:rsidRPr="005F5C77">
              <w:rPr>
                <w:rFonts w:eastAsia="Times New Roman" w:cs="Arial"/>
                <w:color w:val="000000"/>
                <w:sz w:val="16"/>
                <w:szCs w:val="16"/>
                <w:lang w:val="fr-CH" w:eastAsia="en-US"/>
              </w:rPr>
              <w:t>9 500 participants à des manifestations où le Centre était représenté</w:t>
            </w:r>
          </w:p>
        </w:tc>
      </w:tr>
      <w:tr w:rsidR="0023034B" w:rsidRPr="005052F3" w14:paraId="50982D16" w14:textId="77777777" w:rsidTr="0023034B">
        <w:trPr>
          <w:cantSplit/>
        </w:trPr>
        <w:tc>
          <w:tcPr>
            <w:tcW w:w="2393" w:type="dxa"/>
            <w:shd w:val="clear" w:color="000000" w:fill="FFFFFF"/>
            <w:tcMar>
              <w:top w:w="57" w:type="dxa"/>
            </w:tcMar>
            <w:hideMark/>
          </w:tcPr>
          <w:p w14:paraId="463EED07" w14:textId="77777777" w:rsidR="0023034B" w:rsidRPr="003802F8" w:rsidRDefault="0023034B" w:rsidP="00986700">
            <w:pPr>
              <w:rPr>
                <w:rFonts w:eastAsia="Times New Roman" w:cs="Arial"/>
                <w:color w:val="000000"/>
                <w:sz w:val="16"/>
                <w:szCs w:val="16"/>
                <w:lang w:val="fr-CH" w:eastAsia="en-US"/>
              </w:rPr>
            </w:pPr>
          </w:p>
        </w:tc>
        <w:tc>
          <w:tcPr>
            <w:tcW w:w="2392" w:type="dxa"/>
            <w:shd w:val="clear" w:color="000000" w:fill="FFFFFF"/>
            <w:tcMar>
              <w:top w:w="57" w:type="dxa"/>
            </w:tcMar>
            <w:hideMark/>
          </w:tcPr>
          <w:p w14:paraId="77180CDE" w14:textId="77777777" w:rsidR="0023034B" w:rsidRPr="003802F8" w:rsidRDefault="0023034B" w:rsidP="00986700">
            <w:pPr>
              <w:rPr>
                <w:rFonts w:eastAsia="Times New Roman" w:cs="Arial"/>
                <w:color w:val="000000"/>
                <w:sz w:val="16"/>
                <w:szCs w:val="16"/>
                <w:lang w:val="fr-CH" w:eastAsia="en-US"/>
              </w:rPr>
            </w:pPr>
            <w:r w:rsidRPr="003802F8">
              <w:rPr>
                <w:rFonts w:eastAsia="Times New Roman" w:cs="Arial"/>
                <w:color w:val="000000"/>
                <w:sz w:val="16"/>
                <w:szCs w:val="16"/>
                <w:lang w:val="fr-CH" w:eastAsia="en-US"/>
              </w:rPr>
              <w:t xml:space="preserve">Politiques de règlement extrajudiciaire des litiges </w:t>
            </w:r>
            <w:r>
              <w:rPr>
                <w:rFonts w:eastAsia="Times New Roman" w:cs="Arial"/>
                <w:color w:val="000000"/>
                <w:sz w:val="16"/>
                <w:szCs w:val="16"/>
                <w:lang w:val="fr-CH" w:eastAsia="en-US"/>
              </w:rPr>
              <w:t>à l’élaboration ou au soutien des</w:t>
            </w:r>
            <w:r w:rsidRPr="003802F8">
              <w:rPr>
                <w:rFonts w:eastAsia="Times New Roman" w:cs="Arial"/>
                <w:color w:val="000000"/>
                <w:sz w:val="16"/>
                <w:szCs w:val="16"/>
                <w:lang w:val="fr-CH" w:eastAsia="en-US"/>
              </w:rPr>
              <w:t>quelles le</w:t>
            </w:r>
            <w:r>
              <w:rPr>
                <w:rFonts w:eastAsia="Times New Roman" w:cs="Arial"/>
                <w:color w:val="000000"/>
                <w:sz w:val="16"/>
                <w:szCs w:val="16"/>
                <w:lang w:val="fr-CH" w:eastAsia="en-US"/>
              </w:rPr>
              <w:t xml:space="preserve"> Cent</w:t>
            </w:r>
            <w:r w:rsidRPr="003802F8">
              <w:rPr>
                <w:rFonts w:eastAsia="Times New Roman" w:cs="Arial"/>
                <w:color w:val="000000"/>
                <w:sz w:val="16"/>
                <w:szCs w:val="16"/>
                <w:lang w:val="fr-CH" w:eastAsia="en-US"/>
              </w:rPr>
              <w:t>r</w:t>
            </w:r>
            <w:r>
              <w:rPr>
                <w:rFonts w:eastAsia="Times New Roman" w:cs="Arial"/>
                <w:color w:val="000000"/>
                <w:sz w:val="16"/>
                <w:szCs w:val="16"/>
                <w:lang w:val="fr-CH" w:eastAsia="en-US"/>
              </w:rPr>
              <w:t>e a contribué</w:t>
            </w:r>
          </w:p>
        </w:tc>
        <w:tc>
          <w:tcPr>
            <w:tcW w:w="2392" w:type="dxa"/>
            <w:shd w:val="clear" w:color="000000" w:fill="FFFFFF"/>
            <w:tcMar>
              <w:top w:w="57" w:type="dxa"/>
            </w:tcMar>
            <w:hideMark/>
          </w:tcPr>
          <w:p w14:paraId="70B28CFE" w14:textId="77777777" w:rsidR="0023034B" w:rsidRPr="00D24275" w:rsidRDefault="0023034B" w:rsidP="00986700">
            <w:pPr>
              <w:rPr>
                <w:rFonts w:eastAsia="Times New Roman" w:cs="Arial"/>
                <w:color w:val="000000"/>
                <w:sz w:val="16"/>
                <w:szCs w:val="16"/>
                <w:lang w:val="fr-CH" w:eastAsia="en-US"/>
              </w:rPr>
            </w:pPr>
            <w:r w:rsidRPr="00D24275">
              <w:rPr>
                <w:rFonts w:eastAsia="Times New Roman" w:cs="Arial"/>
                <w:color w:val="000000"/>
                <w:sz w:val="16"/>
                <w:szCs w:val="16"/>
                <w:lang w:val="fr-CH" w:eastAsia="en-US"/>
              </w:rPr>
              <w:t>28 programmes adoptés (cumul à la fin de</w:t>
            </w:r>
            <w:r>
              <w:rPr>
                <w:rFonts w:eastAsia="Times New Roman" w:cs="Arial"/>
                <w:color w:val="000000"/>
                <w:sz w:val="16"/>
                <w:szCs w:val="16"/>
                <w:lang w:val="fr-CH" w:eastAsia="en-US"/>
              </w:rPr>
              <w:t> 2016)</w:t>
            </w:r>
            <w:r>
              <w:rPr>
                <w:rFonts w:eastAsia="Times New Roman" w:cs="Arial"/>
                <w:color w:val="000000"/>
                <w:sz w:val="16"/>
                <w:szCs w:val="16"/>
                <w:lang w:val="fr-CH" w:eastAsia="en-US"/>
              </w:rPr>
              <w:br/>
            </w:r>
            <w:r>
              <w:rPr>
                <w:rFonts w:eastAsia="Times New Roman" w:cs="Arial"/>
                <w:color w:val="000000"/>
                <w:sz w:val="16"/>
                <w:szCs w:val="16"/>
                <w:lang w:val="fr-CH" w:eastAsia="en-US"/>
              </w:rPr>
              <w:br/>
              <w:t>3</w:t>
            </w:r>
            <w:r w:rsidRPr="00D24275">
              <w:rPr>
                <w:rFonts w:eastAsia="Times New Roman" w:cs="Arial"/>
                <w:color w:val="000000"/>
                <w:sz w:val="16"/>
                <w:szCs w:val="16"/>
                <w:lang w:val="fr-CH" w:eastAsia="en-US"/>
              </w:rPr>
              <w:t xml:space="preserve"> </w:t>
            </w:r>
            <w:r>
              <w:rPr>
                <w:rFonts w:eastAsia="Times New Roman" w:cs="Arial"/>
                <w:color w:val="000000"/>
                <w:sz w:val="16"/>
                <w:szCs w:val="16"/>
                <w:lang w:val="fr-CH" w:eastAsia="en-US"/>
              </w:rPr>
              <w:t>programmes soutenus</w:t>
            </w:r>
            <w:r w:rsidRPr="00D24275">
              <w:rPr>
                <w:rFonts w:eastAsia="Times New Roman" w:cs="Arial"/>
                <w:color w:val="000000"/>
                <w:sz w:val="16"/>
                <w:szCs w:val="16"/>
                <w:lang w:val="fr-CH" w:eastAsia="en-US"/>
              </w:rPr>
              <w:t xml:space="preserve"> (2016)</w:t>
            </w:r>
          </w:p>
        </w:tc>
        <w:tc>
          <w:tcPr>
            <w:tcW w:w="2394" w:type="dxa"/>
            <w:shd w:val="clear" w:color="000000" w:fill="FFFFFF"/>
            <w:tcMar>
              <w:top w:w="57" w:type="dxa"/>
            </w:tcMar>
            <w:hideMark/>
          </w:tcPr>
          <w:p w14:paraId="0CD7DF24" w14:textId="77777777" w:rsidR="0023034B" w:rsidRPr="00D24275" w:rsidRDefault="0023034B" w:rsidP="00986700">
            <w:pPr>
              <w:rPr>
                <w:rFonts w:eastAsia="Times New Roman" w:cs="Arial"/>
                <w:color w:val="000000"/>
                <w:sz w:val="16"/>
                <w:szCs w:val="16"/>
                <w:lang w:val="fr-CH" w:eastAsia="en-US"/>
              </w:rPr>
            </w:pPr>
            <w:r>
              <w:rPr>
                <w:rFonts w:eastAsia="Times New Roman" w:cs="Arial"/>
                <w:color w:val="000000"/>
                <w:sz w:val="16"/>
                <w:szCs w:val="16"/>
                <w:lang w:val="fr-CH" w:eastAsia="en-US"/>
              </w:rPr>
              <w:t>2</w:t>
            </w:r>
            <w:r w:rsidRPr="00D24275">
              <w:rPr>
                <w:rFonts w:eastAsia="Times New Roman" w:cs="Arial"/>
                <w:color w:val="000000"/>
                <w:sz w:val="16"/>
                <w:szCs w:val="16"/>
                <w:lang w:val="fr-CH" w:eastAsia="en-US"/>
              </w:rPr>
              <w:t xml:space="preserve"> à </w:t>
            </w:r>
            <w:r>
              <w:rPr>
                <w:rFonts w:eastAsia="Times New Roman" w:cs="Arial"/>
                <w:color w:val="000000"/>
                <w:sz w:val="16"/>
                <w:szCs w:val="16"/>
                <w:lang w:val="fr-CH" w:eastAsia="en-US"/>
              </w:rPr>
              <w:t xml:space="preserve">4 programmes </w:t>
            </w:r>
            <w:r w:rsidRPr="00D24275">
              <w:rPr>
                <w:rFonts w:eastAsia="Times New Roman" w:cs="Arial"/>
                <w:color w:val="000000"/>
                <w:sz w:val="16"/>
                <w:szCs w:val="16"/>
                <w:lang w:val="fr-CH" w:eastAsia="en-US"/>
              </w:rPr>
              <w:t>supplémentaires adoptés</w:t>
            </w:r>
            <w:r w:rsidRPr="00D24275">
              <w:rPr>
                <w:rFonts w:eastAsia="Times New Roman" w:cs="Arial"/>
                <w:color w:val="000000"/>
                <w:sz w:val="16"/>
                <w:szCs w:val="16"/>
                <w:lang w:val="fr-CH" w:eastAsia="en-US"/>
              </w:rPr>
              <w:br/>
            </w:r>
            <w:r w:rsidRPr="00D24275">
              <w:rPr>
                <w:rFonts w:eastAsia="Times New Roman" w:cs="Arial"/>
                <w:color w:val="000000"/>
                <w:sz w:val="16"/>
                <w:szCs w:val="16"/>
                <w:lang w:val="fr-CH" w:eastAsia="en-US"/>
              </w:rPr>
              <w:br/>
            </w:r>
            <w:r>
              <w:rPr>
                <w:rFonts w:eastAsia="Times New Roman" w:cs="Arial"/>
                <w:color w:val="000000"/>
                <w:sz w:val="16"/>
                <w:szCs w:val="16"/>
                <w:lang w:val="fr-CH" w:eastAsia="en-US"/>
              </w:rPr>
              <w:t>4 programmes soutenus</w:t>
            </w:r>
          </w:p>
        </w:tc>
      </w:tr>
      <w:tr w:rsidR="0023034B" w:rsidRPr="005052F3" w14:paraId="0EE0296F" w14:textId="77777777" w:rsidTr="0023034B">
        <w:trPr>
          <w:cantSplit/>
        </w:trPr>
        <w:tc>
          <w:tcPr>
            <w:tcW w:w="2393" w:type="dxa"/>
            <w:shd w:val="clear" w:color="000000" w:fill="FFFFFF"/>
            <w:tcMar>
              <w:top w:w="57" w:type="dxa"/>
            </w:tcMar>
            <w:hideMark/>
          </w:tcPr>
          <w:p w14:paraId="0AE8CFC9" w14:textId="3465EF00" w:rsidR="0023034B" w:rsidRPr="008A6110" w:rsidRDefault="0023034B" w:rsidP="00986700">
            <w:pPr>
              <w:rPr>
                <w:rFonts w:eastAsia="Times New Roman" w:cs="Arial"/>
                <w:color w:val="000000"/>
                <w:sz w:val="16"/>
                <w:szCs w:val="16"/>
                <w:lang w:val="fr-CH" w:eastAsia="en-US"/>
              </w:rPr>
            </w:pPr>
            <w:r w:rsidRPr="008A6110">
              <w:rPr>
                <w:rFonts w:eastAsia="Times New Roman" w:cs="Arial"/>
                <w:color w:val="000000"/>
                <w:sz w:val="16"/>
                <w:szCs w:val="16"/>
                <w:lang w:val="fr-CH" w:eastAsia="en-US"/>
              </w:rPr>
              <w:t>II.8 Protection efficace de la propriété intellectuelle dans les gTLD et les ccTLD</w:t>
            </w:r>
          </w:p>
        </w:tc>
        <w:tc>
          <w:tcPr>
            <w:tcW w:w="2392" w:type="dxa"/>
            <w:shd w:val="clear" w:color="000000" w:fill="FFFFFF"/>
            <w:tcMar>
              <w:top w:w="57" w:type="dxa"/>
            </w:tcMar>
            <w:hideMark/>
          </w:tcPr>
          <w:p w14:paraId="207804E6" w14:textId="77777777" w:rsidR="0023034B" w:rsidRPr="008A6110" w:rsidRDefault="0023034B" w:rsidP="00986700">
            <w:pPr>
              <w:rPr>
                <w:rFonts w:eastAsia="Times New Roman" w:cs="Arial"/>
                <w:color w:val="000000"/>
                <w:sz w:val="16"/>
                <w:szCs w:val="16"/>
                <w:lang w:val="fr-CH" w:eastAsia="en-US"/>
              </w:rPr>
            </w:pPr>
            <w:r>
              <w:rPr>
                <w:rFonts w:eastAsia="Times New Roman" w:cs="Arial"/>
                <w:color w:val="000000"/>
                <w:sz w:val="16"/>
                <w:szCs w:val="16"/>
                <w:lang w:val="fr-CH" w:eastAsia="en-US"/>
              </w:rPr>
              <w:t>Nombre de litiges relatifs à des</w:t>
            </w:r>
            <w:r w:rsidRPr="008A6110">
              <w:rPr>
                <w:rFonts w:eastAsia="Times New Roman" w:cs="Arial"/>
                <w:color w:val="000000"/>
                <w:sz w:val="16"/>
                <w:szCs w:val="16"/>
                <w:lang w:val="fr-CH" w:eastAsia="en-US"/>
              </w:rPr>
              <w:t xml:space="preserve"> gTLD et </w:t>
            </w:r>
            <w:r>
              <w:rPr>
                <w:rFonts w:eastAsia="Times New Roman" w:cs="Arial"/>
                <w:color w:val="000000"/>
                <w:sz w:val="16"/>
                <w:szCs w:val="16"/>
                <w:lang w:val="fr-CH" w:eastAsia="en-US"/>
              </w:rPr>
              <w:t>des</w:t>
            </w:r>
            <w:r w:rsidRPr="008A6110">
              <w:rPr>
                <w:rFonts w:eastAsia="Times New Roman" w:cs="Arial"/>
                <w:color w:val="000000"/>
                <w:sz w:val="16"/>
                <w:szCs w:val="16"/>
                <w:lang w:val="fr-CH" w:eastAsia="en-US"/>
              </w:rPr>
              <w:t xml:space="preserve"> ccTLD</w:t>
            </w:r>
            <w:r>
              <w:rPr>
                <w:rFonts w:eastAsia="Times New Roman" w:cs="Arial"/>
                <w:color w:val="000000"/>
                <w:sz w:val="16"/>
                <w:szCs w:val="16"/>
                <w:lang w:val="fr-CH" w:eastAsia="en-US"/>
              </w:rPr>
              <w:t xml:space="preserve"> administrés par le Centre</w:t>
            </w:r>
            <w:r w:rsidRPr="008A6110">
              <w:rPr>
                <w:rFonts w:eastAsia="Times New Roman" w:cs="Arial"/>
                <w:color w:val="000000"/>
                <w:sz w:val="16"/>
                <w:szCs w:val="16"/>
                <w:lang w:val="fr-CH" w:eastAsia="en-US"/>
              </w:rPr>
              <w:t xml:space="preserve"> </w:t>
            </w:r>
            <w:r>
              <w:rPr>
                <w:rFonts w:eastAsia="Times New Roman" w:cs="Arial"/>
                <w:color w:val="000000"/>
                <w:sz w:val="16"/>
                <w:szCs w:val="16"/>
                <w:lang w:val="fr-CH" w:eastAsia="en-US"/>
              </w:rPr>
              <w:t>selon les principes UDRP</w:t>
            </w:r>
            <w:r w:rsidRPr="008A6110">
              <w:rPr>
                <w:rFonts w:eastAsia="Times New Roman" w:cs="Arial"/>
                <w:color w:val="000000"/>
                <w:sz w:val="16"/>
                <w:szCs w:val="16"/>
                <w:lang w:val="fr-CH" w:eastAsia="en-US"/>
              </w:rPr>
              <w:t xml:space="preserve"> </w:t>
            </w:r>
          </w:p>
        </w:tc>
        <w:tc>
          <w:tcPr>
            <w:tcW w:w="2392" w:type="dxa"/>
            <w:shd w:val="clear" w:color="000000" w:fill="FFFFFF"/>
            <w:tcMar>
              <w:top w:w="57" w:type="dxa"/>
            </w:tcMar>
            <w:hideMark/>
          </w:tcPr>
          <w:p w14:paraId="3760ABD8" w14:textId="77777777" w:rsidR="0023034B" w:rsidRPr="00F41310" w:rsidRDefault="0023034B" w:rsidP="00986700">
            <w:pPr>
              <w:rPr>
                <w:rFonts w:eastAsia="Times New Roman" w:cs="Arial"/>
                <w:color w:val="000000"/>
                <w:sz w:val="16"/>
                <w:szCs w:val="16"/>
                <w:lang w:val="fr-CH" w:eastAsia="en-US"/>
              </w:rPr>
            </w:pPr>
            <w:r w:rsidRPr="00F41310">
              <w:rPr>
                <w:rFonts w:eastAsia="Times New Roman" w:cs="Arial"/>
                <w:color w:val="000000"/>
                <w:sz w:val="16"/>
                <w:szCs w:val="16"/>
                <w:lang w:val="fr-CH" w:eastAsia="en-US"/>
              </w:rPr>
              <w:t xml:space="preserve">32 220 litiges gTLD </w:t>
            </w:r>
            <w:r>
              <w:rPr>
                <w:rFonts w:eastAsia="Times New Roman" w:cs="Arial"/>
                <w:color w:val="000000"/>
                <w:sz w:val="16"/>
                <w:szCs w:val="16"/>
                <w:lang w:val="fr-CH" w:eastAsia="en-US"/>
              </w:rPr>
              <w:t>administrés par le Centre</w:t>
            </w:r>
            <w:r w:rsidRPr="008A6110">
              <w:rPr>
                <w:rFonts w:eastAsia="Times New Roman" w:cs="Arial"/>
                <w:color w:val="000000"/>
                <w:sz w:val="16"/>
                <w:szCs w:val="16"/>
                <w:lang w:val="fr-CH" w:eastAsia="en-US"/>
              </w:rPr>
              <w:t xml:space="preserve"> </w:t>
            </w:r>
            <w:r w:rsidRPr="00F41310">
              <w:rPr>
                <w:rFonts w:eastAsia="Times New Roman" w:cs="Arial"/>
                <w:color w:val="000000"/>
                <w:sz w:val="16"/>
                <w:szCs w:val="16"/>
                <w:lang w:val="fr-CH" w:eastAsia="en-US"/>
              </w:rPr>
              <w:t>(cumul à la fin de</w:t>
            </w:r>
            <w:r>
              <w:rPr>
                <w:rFonts w:eastAsia="Times New Roman" w:cs="Arial"/>
                <w:color w:val="000000"/>
                <w:sz w:val="16"/>
                <w:szCs w:val="16"/>
                <w:lang w:val="fr-CH" w:eastAsia="en-US"/>
              </w:rPr>
              <w:t> </w:t>
            </w:r>
            <w:r w:rsidRPr="00F41310">
              <w:rPr>
                <w:rFonts w:eastAsia="Times New Roman" w:cs="Arial"/>
                <w:color w:val="000000"/>
                <w:sz w:val="16"/>
                <w:szCs w:val="16"/>
                <w:lang w:val="fr-CH" w:eastAsia="en-US"/>
              </w:rPr>
              <w:t>2016)</w:t>
            </w:r>
            <w:r w:rsidRPr="00F41310">
              <w:rPr>
                <w:rFonts w:eastAsia="Times New Roman" w:cs="Arial"/>
                <w:color w:val="000000"/>
                <w:sz w:val="16"/>
                <w:szCs w:val="16"/>
                <w:lang w:val="fr-CH" w:eastAsia="en-US"/>
              </w:rPr>
              <w:br/>
            </w:r>
            <w:r w:rsidRPr="00F41310">
              <w:rPr>
                <w:rFonts w:eastAsia="Times New Roman" w:cs="Arial"/>
                <w:color w:val="000000"/>
                <w:sz w:val="16"/>
                <w:szCs w:val="16"/>
                <w:lang w:val="fr-CH" w:eastAsia="en-US"/>
              </w:rPr>
              <w:br/>
              <w:t xml:space="preserve">3 903 </w:t>
            </w:r>
            <w:r>
              <w:rPr>
                <w:rFonts w:eastAsia="Times New Roman" w:cs="Arial"/>
                <w:color w:val="000000"/>
                <w:sz w:val="16"/>
                <w:szCs w:val="16"/>
                <w:lang w:val="fr-CH" w:eastAsia="en-US"/>
              </w:rPr>
              <w:t>litiges administrés par le Cent</w:t>
            </w:r>
            <w:r w:rsidRPr="00F41310">
              <w:rPr>
                <w:rFonts w:eastAsia="Times New Roman" w:cs="Arial"/>
                <w:color w:val="000000"/>
                <w:sz w:val="16"/>
                <w:szCs w:val="16"/>
                <w:lang w:val="fr-CH" w:eastAsia="en-US"/>
              </w:rPr>
              <w:t>r</w:t>
            </w:r>
            <w:r>
              <w:rPr>
                <w:rFonts w:eastAsia="Times New Roman" w:cs="Arial"/>
                <w:color w:val="000000"/>
                <w:sz w:val="16"/>
                <w:szCs w:val="16"/>
                <w:lang w:val="fr-CH" w:eastAsia="en-US"/>
              </w:rPr>
              <w:t>e portant uniquement sur des ccTLD (cumul à la fin de </w:t>
            </w:r>
            <w:r w:rsidRPr="00F41310">
              <w:rPr>
                <w:rFonts w:eastAsia="Times New Roman" w:cs="Arial"/>
                <w:color w:val="000000"/>
                <w:sz w:val="16"/>
                <w:szCs w:val="16"/>
                <w:lang w:val="fr-CH" w:eastAsia="en-US"/>
              </w:rPr>
              <w:t>2016)</w:t>
            </w:r>
          </w:p>
        </w:tc>
        <w:tc>
          <w:tcPr>
            <w:tcW w:w="2394" w:type="dxa"/>
            <w:shd w:val="clear" w:color="000000" w:fill="FFFFFF"/>
            <w:tcMar>
              <w:top w:w="57" w:type="dxa"/>
            </w:tcMar>
            <w:hideMark/>
          </w:tcPr>
          <w:p w14:paraId="12AD5177" w14:textId="77777777" w:rsidR="0023034B" w:rsidRPr="00F41310" w:rsidRDefault="0023034B" w:rsidP="00986700">
            <w:pPr>
              <w:rPr>
                <w:rFonts w:eastAsia="Times New Roman" w:cs="Arial"/>
                <w:color w:val="000000"/>
                <w:sz w:val="16"/>
                <w:szCs w:val="16"/>
                <w:lang w:val="fr-CH" w:eastAsia="en-US"/>
              </w:rPr>
            </w:pPr>
            <w:r w:rsidRPr="00F41310">
              <w:rPr>
                <w:rFonts w:eastAsia="Times New Roman" w:cs="Arial"/>
                <w:color w:val="000000"/>
                <w:sz w:val="16"/>
                <w:szCs w:val="16"/>
                <w:lang w:val="fr-CH" w:eastAsia="en-US"/>
              </w:rPr>
              <w:t>4 000 litiges gTLD supplémentaires</w:t>
            </w:r>
            <w:r w:rsidRPr="00F41310">
              <w:rPr>
                <w:rFonts w:eastAsia="Times New Roman" w:cs="Arial"/>
                <w:color w:val="000000"/>
                <w:sz w:val="16"/>
                <w:szCs w:val="16"/>
                <w:lang w:val="fr-CH" w:eastAsia="en-US"/>
              </w:rPr>
              <w:br/>
            </w:r>
            <w:r w:rsidRPr="00F41310">
              <w:rPr>
                <w:rFonts w:eastAsia="Times New Roman" w:cs="Arial"/>
                <w:color w:val="000000"/>
                <w:sz w:val="16"/>
                <w:szCs w:val="16"/>
                <w:lang w:val="fr-CH" w:eastAsia="en-US"/>
              </w:rPr>
              <w:br/>
            </w:r>
          </w:p>
          <w:p w14:paraId="1E1B0D76" w14:textId="77777777" w:rsidR="0023034B" w:rsidRPr="00EC7F75" w:rsidRDefault="0023034B" w:rsidP="00986700">
            <w:pPr>
              <w:rPr>
                <w:rFonts w:eastAsia="Times New Roman" w:cs="Arial"/>
                <w:color w:val="000000"/>
                <w:sz w:val="16"/>
                <w:szCs w:val="16"/>
                <w:lang w:val="fr-CH" w:eastAsia="en-US"/>
              </w:rPr>
            </w:pPr>
            <w:r w:rsidRPr="00F41310">
              <w:rPr>
                <w:rFonts w:eastAsia="Times New Roman" w:cs="Arial"/>
                <w:color w:val="000000"/>
                <w:sz w:val="16"/>
                <w:szCs w:val="16"/>
                <w:lang w:val="fr-CH" w:eastAsia="en-US"/>
              </w:rPr>
              <w:br/>
            </w:r>
            <w:r w:rsidRPr="00EC7F75">
              <w:rPr>
                <w:rFonts w:eastAsia="Times New Roman" w:cs="Arial"/>
                <w:color w:val="000000"/>
                <w:sz w:val="16"/>
                <w:szCs w:val="16"/>
                <w:lang w:val="fr-CH" w:eastAsia="en-US"/>
              </w:rPr>
              <w:t xml:space="preserve">450 litiges supplémentaires </w:t>
            </w:r>
            <w:r>
              <w:rPr>
                <w:rFonts w:eastAsia="Times New Roman" w:cs="Arial"/>
                <w:color w:val="000000"/>
                <w:sz w:val="16"/>
                <w:szCs w:val="16"/>
                <w:lang w:val="fr-CH" w:eastAsia="en-US"/>
              </w:rPr>
              <w:t xml:space="preserve">portant uniquement </w:t>
            </w:r>
            <w:r w:rsidRPr="00EC7F75">
              <w:rPr>
                <w:rFonts w:eastAsia="Times New Roman" w:cs="Arial"/>
                <w:color w:val="000000"/>
                <w:sz w:val="16"/>
                <w:szCs w:val="16"/>
                <w:lang w:val="fr-CH" w:eastAsia="en-US"/>
              </w:rPr>
              <w:t>sur des ccTLD</w:t>
            </w:r>
            <w:r>
              <w:rPr>
                <w:rFonts w:eastAsia="Times New Roman" w:cs="Arial"/>
                <w:color w:val="000000"/>
                <w:sz w:val="16"/>
                <w:szCs w:val="16"/>
                <w:lang w:val="fr-CH" w:eastAsia="en-US"/>
              </w:rPr>
              <w:t xml:space="preserve"> </w:t>
            </w:r>
          </w:p>
        </w:tc>
      </w:tr>
      <w:tr w:rsidR="0023034B" w:rsidRPr="005052F3" w14:paraId="4FD307E2" w14:textId="77777777" w:rsidTr="0023034B">
        <w:trPr>
          <w:cantSplit/>
        </w:trPr>
        <w:tc>
          <w:tcPr>
            <w:tcW w:w="2393" w:type="dxa"/>
            <w:shd w:val="clear" w:color="000000" w:fill="FFFFFF"/>
            <w:tcMar>
              <w:top w:w="57" w:type="dxa"/>
            </w:tcMar>
            <w:hideMark/>
          </w:tcPr>
          <w:p w14:paraId="48A23854" w14:textId="77777777" w:rsidR="0023034B" w:rsidRPr="00EC7F75" w:rsidRDefault="0023034B" w:rsidP="00986700">
            <w:pPr>
              <w:rPr>
                <w:rFonts w:eastAsia="Times New Roman" w:cs="Arial"/>
                <w:color w:val="000000"/>
                <w:sz w:val="16"/>
                <w:szCs w:val="16"/>
                <w:lang w:val="fr-CH" w:eastAsia="en-US"/>
              </w:rPr>
            </w:pPr>
          </w:p>
        </w:tc>
        <w:tc>
          <w:tcPr>
            <w:tcW w:w="2392" w:type="dxa"/>
            <w:shd w:val="clear" w:color="000000" w:fill="FFFFFF"/>
            <w:tcMar>
              <w:top w:w="57" w:type="dxa"/>
            </w:tcMar>
            <w:hideMark/>
          </w:tcPr>
          <w:p w14:paraId="1257C06A" w14:textId="77777777" w:rsidR="0023034B" w:rsidRPr="009955F8" w:rsidRDefault="0023034B" w:rsidP="00986700">
            <w:pPr>
              <w:rPr>
                <w:rFonts w:eastAsia="Times New Roman" w:cs="Arial"/>
                <w:color w:val="000000"/>
                <w:sz w:val="16"/>
                <w:szCs w:val="16"/>
                <w:lang w:val="fr-CH" w:eastAsia="en-US"/>
              </w:rPr>
            </w:pPr>
            <w:r w:rsidRPr="009955F8">
              <w:rPr>
                <w:rFonts w:eastAsia="Times New Roman" w:cs="Arial"/>
                <w:color w:val="000000"/>
                <w:sz w:val="16"/>
                <w:szCs w:val="16"/>
                <w:lang w:val="fr-CH" w:eastAsia="en-US"/>
              </w:rPr>
              <w:t xml:space="preserve">Politiques de règlement des litiges dans le système des noms de domaine </w:t>
            </w:r>
            <w:r>
              <w:rPr>
                <w:rFonts w:eastAsia="Times New Roman" w:cs="Arial"/>
                <w:color w:val="000000"/>
                <w:sz w:val="16"/>
                <w:szCs w:val="16"/>
                <w:lang w:val="fr-CH" w:eastAsia="en-US"/>
              </w:rPr>
              <w:t>à l’élaboration ou au soutien des</w:t>
            </w:r>
            <w:r w:rsidRPr="003802F8">
              <w:rPr>
                <w:rFonts w:eastAsia="Times New Roman" w:cs="Arial"/>
                <w:color w:val="000000"/>
                <w:sz w:val="16"/>
                <w:szCs w:val="16"/>
                <w:lang w:val="fr-CH" w:eastAsia="en-US"/>
              </w:rPr>
              <w:t>quelles le</w:t>
            </w:r>
            <w:r>
              <w:rPr>
                <w:rFonts w:eastAsia="Times New Roman" w:cs="Arial"/>
                <w:color w:val="000000"/>
                <w:sz w:val="16"/>
                <w:szCs w:val="16"/>
                <w:lang w:val="fr-CH" w:eastAsia="en-US"/>
              </w:rPr>
              <w:t xml:space="preserve"> Cent</w:t>
            </w:r>
            <w:r w:rsidRPr="003802F8">
              <w:rPr>
                <w:rFonts w:eastAsia="Times New Roman" w:cs="Arial"/>
                <w:color w:val="000000"/>
                <w:sz w:val="16"/>
                <w:szCs w:val="16"/>
                <w:lang w:val="fr-CH" w:eastAsia="en-US"/>
              </w:rPr>
              <w:t>r</w:t>
            </w:r>
            <w:r>
              <w:rPr>
                <w:rFonts w:eastAsia="Times New Roman" w:cs="Arial"/>
                <w:color w:val="000000"/>
                <w:sz w:val="16"/>
                <w:szCs w:val="16"/>
                <w:lang w:val="fr-CH" w:eastAsia="en-US"/>
              </w:rPr>
              <w:t>e a contribué</w:t>
            </w:r>
          </w:p>
        </w:tc>
        <w:tc>
          <w:tcPr>
            <w:tcW w:w="2392" w:type="dxa"/>
            <w:shd w:val="clear" w:color="000000" w:fill="FFFFFF"/>
            <w:tcMar>
              <w:top w:w="57" w:type="dxa"/>
            </w:tcMar>
            <w:hideMark/>
          </w:tcPr>
          <w:p w14:paraId="4B7D6A70" w14:textId="77777777" w:rsidR="0023034B" w:rsidRPr="009955F8" w:rsidRDefault="0023034B" w:rsidP="00986700">
            <w:pPr>
              <w:rPr>
                <w:rFonts w:eastAsia="Times New Roman" w:cs="Arial"/>
                <w:color w:val="000000"/>
                <w:sz w:val="16"/>
                <w:szCs w:val="16"/>
                <w:lang w:val="fr-CH" w:eastAsia="en-US"/>
              </w:rPr>
            </w:pPr>
            <w:r w:rsidRPr="009955F8">
              <w:rPr>
                <w:rFonts w:eastAsia="Times New Roman" w:cs="Arial"/>
                <w:color w:val="000000"/>
                <w:sz w:val="16"/>
                <w:szCs w:val="16"/>
                <w:lang w:val="fr-CH" w:eastAsia="en-US"/>
              </w:rPr>
              <w:t>Principes UDRP,</w:t>
            </w:r>
            <w:r>
              <w:rPr>
                <w:rFonts w:eastAsia="Times New Roman" w:cs="Arial"/>
                <w:color w:val="000000"/>
                <w:sz w:val="16"/>
                <w:szCs w:val="16"/>
                <w:lang w:val="fr-CH" w:eastAsia="en-US"/>
              </w:rPr>
              <w:t xml:space="preserve"> a</w:t>
            </w:r>
            <w:r w:rsidRPr="009955F8">
              <w:rPr>
                <w:rFonts w:eastAsia="Times New Roman" w:cs="Arial"/>
                <w:color w:val="000000"/>
                <w:sz w:val="16"/>
                <w:szCs w:val="16"/>
                <w:lang w:val="fr-CH" w:eastAsia="en-US"/>
              </w:rPr>
              <w:t>ctualisation des principes UDRP compte tenu des nouvelles dispositions sur le verrouillage des noms de domaine par les bureaux d</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enregistrement, procédure de l</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ICANN de règlement des litiges antérieure à l</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attribution, procédure de l</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ICANN de règlement des litiges postérieure à l</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attributio</w:t>
            </w:r>
            <w:r>
              <w:rPr>
                <w:rFonts w:eastAsia="Times New Roman" w:cs="Arial"/>
                <w:color w:val="000000"/>
                <w:sz w:val="16"/>
                <w:szCs w:val="16"/>
                <w:lang w:val="fr-CH" w:eastAsia="en-US"/>
              </w:rPr>
              <w:t>n (cumul à la fin de </w:t>
            </w:r>
            <w:r w:rsidRPr="009955F8">
              <w:rPr>
                <w:rFonts w:eastAsia="Times New Roman" w:cs="Arial"/>
                <w:color w:val="000000"/>
                <w:sz w:val="16"/>
                <w:szCs w:val="16"/>
                <w:lang w:val="fr-CH" w:eastAsia="en-US"/>
              </w:rPr>
              <w:t>2016)</w:t>
            </w:r>
          </w:p>
        </w:tc>
        <w:tc>
          <w:tcPr>
            <w:tcW w:w="2394" w:type="dxa"/>
            <w:shd w:val="clear" w:color="000000" w:fill="FFFFFF"/>
            <w:tcMar>
              <w:top w:w="57" w:type="dxa"/>
            </w:tcMar>
            <w:hideMark/>
          </w:tcPr>
          <w:p w14:paraId="256932EA" w14:textId="43CA8D69" w:rsidR="0023034B" w:rsidRPr="009955F8" w:rsidRDefault="0023034B" w:rsidP="00986700">
            <w:pPr>
              <w:rPr>
                <w:rFonts w:eastAsia="Times New Roman" w:cs="Arial"/>
                <w:color w:val="000000"/>
                <w:sz w:val="16"/>
                <w:szCs w:val="16"/>
                <w:lang w:val="fr-CH" w:eastAsia="en-US"/>
              </w:rPr>
            </w:pPr>
            <w:r w:rsidRPr="009955F8">
              <w:rPr>
                <w:rFonts w:eastAsia="Times New Roman" w:cs="Arial"/>
                <w:color w:val="000000"/>
                <w:sz w:val="16"/>
                <w:szCs w:val="16"/>
                <w:lang w:val="fr-CH" w:eastAsia="en-US"/>
              </w:rPr>
              <w:t>Mise en œuvre, au sein du système des noms de domaine, des recommandations de l</w:t>
            </w:r>
            <w:r>
              <w:rPr>
                <w:rFonts w:eastAsia="Times New Roman" w:cs="Arial"/>
                <w:color w:val="000000"/>
                <w:sz w:val="16"/>
                <w:szCs w:val="16"/>
                <w:lang w:val="fr-CH" w:eastAsia="en-US"/>
              </w:rPr>
              <w:t>’</w:t>
            </w:r>
            <w:r w:rsidRPr="009955F8">
              <w:rPr>
                <w:rFonts w:eastAsia="Times New Roman" w:cs="Arial"/>
                <w:color w:val="000000"/>
                <w:sz w:val="16"/>
                <w:szCs w:val="16"/>
                <w:lang w:val="fr-CH" w:eastAsia="en-US"/>
              </w:rPr>
              <w:t>OMPI en matière de principes et de procédures</w:t>
            </w:r>
          </w:p>
        </w:tc>
      </w:tr>
      <w:tr w:rsidR="0023034B" w:rsidRPr="005052F3" w14:paraId="0C1786B8" w14:textId="77777777" w:rsidTr="0023034B">
        <w:trPr>
          <w:cantSplit/>
        </w:trPr>
        <w:tc>
          <w:tcPr>
            <w:tcW w:w="2393" w:type="dxa"/>
            <w:shd w:val="clear" w:color="000000" w:fill="FFFFFF"/>
            <w:tcMar>
              <w:top w:w="57" w:type="dxa"/>
            </w:tcMar>
          </w:tcPr>
          <w:p w14:paraId="6DE250E0" w14:textId="77777777" w:rsidR="0023034B" w:rsidRPr="009955F8" w:rsidRDefault="0023034B" w:rsidP="00986700">
            <w:pPr>
              <w:rPr>
                <w:rFonts w:eastAsia="Times New Roman" w:cs="Arial"/>
                <w:color w:val="000000"/>
                <w:sz w:val="16"/>
                <w:szCs w:val="16"/>
                <w:lang w:val="fr-CH" w:eastAsia="en-US"/>
              </w:rPr>
            </w:pPr>
          </w:p>
        </w:tc>
        <w:tc>
          <w:tcPr>
            <w:tcW w:w="2392" w:type="dxa"/>
            <w:shd w:val="clear" w:color="000000" w:fill="FFFFFF"/>
            <w:tcMar>
              <w:top w:w="57" w:type="dxa"/>
            </w:tcMar>
          </w:tcPr>
          <w:p w14:paraId="1E45912C" w14:textId="77777777" w:rsidR="0023034B" w:rsidRPr="009955F8" w:rsidRDefault="0023034B" w:rsidP="00986700">
            <w:pPr>
              <w:rPr>
                <w:rFonts w:eastAsia="Times New Roman" w:cs="Arial"/>
                <w:color w:val="000000"/>
                <w:sz w:val="16"/>
                <w:szCs w:val="16"/>
                <w:lang w:val="fr-CH" w:eastAsia="en-US"/>
              </w:rPr>
            </w:pPr>
          </w:p>
        </w:tc>
        <w:tc>
          <w:tcPr>
            <w:tcW w:w="2392" w:type="dxa"/>
            <w:shd w:val="clear" w:color="000000" w:fill="FFFFFF"/>
            <w:tcMar>
              <w:top w:w="57" w:type="dxa"/>
            </w:tcMar>
          </w:tcPr>
          <w:p w14:paraId="6DDEF8C2" w14:textId="77777777" w:rsidR="0023034B" w:rsidRPr="00A0122A" w:rsidRDefault="0023034B" w:rsidP="00986700">
            <w:pPr>
              <w:rPr>
                <w:rFonts w:eastAsia="Times New Roman" w:cs="Arial"/>
                <w:color w:val="000000"/>
                <w:sz w:val="16"/>
                <w:szCs w:val="16"/>
                <w:lang w:val="fr-CH" w:eastAsia="en-US"/>
              </w:rPr>
            </w:pPr>
            <w:r w:rsidRPr="00A0122A">
              <w:rPr>
                <w:rFonts w:eastAsia="Times New Roman" w:cs="Arial"/>
                <w:color w:val="000000"/>
                <w:sz w:val="16"/>
                <w:szCs w:val="16"/>
                <w:lang w:val="fr-CH" w:eastAsia="en-US"/>
              </w:rPr>
              <w:t>74 politiques</w:t>
            </w:r>
            <w:r>
              <w:rPr>
                <w:rFonts w:eastAsia="Times New Roman" w:cs="Arial"/>
                <w:color w:val="000000"/>
                <w:sz w:val="16"/>
                <w:szCs w:val="16"/>
                <w:lang w:val="fr-CH" w:eastAsia="en-US"/>
              </w:rPr>
              <w:t xml:space="preserve"> administrées</w:t>
            </w:r>
            <w:r w:rsidRPr="00A0122A">
              <w:rPr>
                <w:rFonts w:eastAsia="Times New Roman" w:cs="Arial"/>
                <w:color w:val="000000"/>
                <w:sz w:val="16"/>
                <w:szCs w:val="16"/>
                <w:lang w:val="fr-CH" w:eastAsia="en-US"/>
              </w:rPr>
              <w:t xml:space="preserve"> portant sur les ccTLD </w:t>
            </w:r>
            <w:r>
              <w:rPr>
                <w:rFonts w:eastAsia="Times New Roman" w:cs="Arial"/>
                <w:color w:val="000000"/>
                <w:sz w:val="16"/>
                <w:szCs w:val="16"/>
                <w:lang w:val="fr-CH" w:eastAsia="en-US"/>
              </w:rPr>
              <w:t>(cumul à la fin de </w:t>
            </w:r>
            <w:r w:rsidRPr="00A0122A">
              <w:rPr>
                <w:rFonts w:eastAsia="Times New Roman" w:cs="Arial"/>
                <w:color w:val="000000"/>
                <w:sz w:val="16"/>
                <w:szCs w:val="16"/>
                <w:lang w:val="fr-CH" w:eastAsia="en-US"/>
              </w:rPr>
              <w:t>2016)</w:t>
            </w:r>
            <w:r w:rsidRPr="00A0122A">
              <w:rPr>
                <w:rFonts w:eastAsia="Times New Roman" w:cs="Arial"/>
                <w:color w:val="000000"/>
                <w:sz w:val="16"/>
                <w:szCs w:val="16"/>
                <w:lang w:val="fr-CH" w:eastAsia="en-US"/>
              </w:rPr>
              <w:br/>
            </w:r>
            <w:r w:rsidRPr="00A0122A">
              <w:rPr>
                <w:rFonts w:eastAsia="Times New Roman" w:cs="Arial"/>
                <w:color w:val="000000"/>
                <w:sz w:val="16"/>
                <w:szCs w:val="16"/>
                <w:lang w:val="fr-CH" w:eastAsia="en-US"/>
              </w:rPr>
              <w:br/>
            </w:r>
            <w:r>
              <w:rPr>
                <w:rFonts w:eastAsia="Times New Roman" w:cs="Arial"/>
                <w:color w:val="000000"/>
                <w:sz w:val="16"/>
                <w:szCs w:val="16"/>
                <w:lang w:val="fr-CH" w:eastAsia="en-US"/>
              </w:rPr>
              <w:t xml:space="preserve">4 politiques soutenues portant sur les ccTLD </w:t>
            </w:r>
            <w:r w:rsidRPr="00A0122A">
              <w:rPr>
                <w:rFonts w:eastAsia="Times New Roman" w:cs="Arial"/>
                <w:color w:val="000000"/>
                <w:sz w:val="16"/>
                <w:szCs w:val="16"/>
                <w:lang w:val="fr-CH" w:eastAsia="en-US"/>
              </w:rPr>
              <w:t>(2016)</w:t>
            </w:r>
          </w:p>
        </w:tc>
        <w:tc>
          <w:tcPr>
            <w:tcW w:w="2394" w:type="dxa"/>
            <w:shd w:val="clear" w:color="000000" w:fill="FFFFFF"/>
            <w:tcMar>
              <w:top w:w="57" w:type="dxa"/>
            </w:tcMar>
          </w:tcPr>
          <w:p w14:paraId="6AE01817" w14:textId="77777777" w:rsidR="0023034B" w:rsidRDefault="0023034B" w:rsidP="00986700">
            <w:pPr>
              <w:rPr>
                <w:rFonts w:eastAsia="Times New Roman" w:cs="Arial"/>
                <w:color w:val="000000"/>
                <w:sz w:val="16"/>
                <w:szCs w:val="16"/>
                <w:lang w:val="fr-CH" w:eastAsia="en-US"/>
              </w:rPr>
            </w:pPr>
            <w:r w:rsidRPr="00A0122A">
              <w:rPr>
                <w:rFonts w:eastAsia="Times New Roman" w:cs="Arial"/>
                <w:color w:val="000000"/>
                <w:sz w:val="16"/>
                <w:szCs w:val="16"/>
                <w:lang w:val="fr-CH" w:eastAsia="en-US"/>
              </w:rPr>
              <w:t>Deux politiques</w:t>
            </w:r>
            <w:r>
              <w:rPr>
                <w:rFonts w:eastAsia="Times New Roman" w:cs="Arial"/>
                <w:color w:val="000000"/>
                <w:sz w:val="16"/>
                <w:szCs w:val="16"/>
                <w:lang w:val="fr-CH" w:eastAsia="en-US"/>
              </w:rPr>
              <w:t xml:space="preserve"> </w:t>
            </w:r>
            <w:r w:rsidRPr="00A0122A">
              <w:rPr>
                <w:rFonts w:eastAsia="Times New Roman" w:cs="Arial"/>
                <w:color w:val="000000"/>
                <w:sz w:val="16"/>
                <w:szCs w:val="16"/>
                <w:lang w:val="fr-CH" w:eastAsia="en-US"/>
              </w:rPr>
              <w:t>supplémentaires</w:t>
            </w:r>
            <w:r>
              <w:rPr>
                <w:rFonts w:eastAsia="Times New Roman" w:cs="Arial"/>
                <w:color w:val="000000"/>
                <w:sz w:val="16"/>
                <w:szCs w:val="16"/>
                <w:lang w:val="fr-CH" w:eastAsia="en-US"/>
              </w:rPr>
              <w:t xml:space="preserve"> administrées</w:t>
            </w:r>
            <w:r w:rsidRPr="00A0122A">
              <w:rPr>
                <w:rFonts w:eastAsia="Times New Roman" w:cs="Arial"/>
                <w:color w:val="000000"/>
                <w:sz w:val="16"/>
                <w:szCs w:val="16"/>
                <w:lang w:val="fr-CH" w:eastAsia="en-US"/>
              </w:rPr>
              <w:t xml:space="preserve"> portant sur les</w:t>
            </w:r>
            <w:r>
              <w:rPr>
                <w:rFonts w:eastAsia="Times New Roman" w:cs="Arial"/>
                <w:color w:val="000000"/>
                <w:sz w:val="16"/>
                <w:szCs w:val="16"/>
                <w:lang w:val="fr-CH" w:eastAsia="en-US"/>
              </w:rPr>
              <w:t xml:space="preserve"> ccTLD</w:t>
            </w:r>
          </w:p>
          <w:p w14:paraId="2325D38C" w14:textId="77777777" w:rsidR="0023034B" w:rsidRDefault="0023034B" w:rsidP="00986700">
            <w:pPr>
              <w:rPr>
                <w:rFonts w:eastAsia="Times New Roman" w:cs="Arial"/>
                <w:color w:val="000000"/>
                <w:sz w:val="16"/>
                <w:szCs w:val="16"/>
                <w:lang w:val="fr-CH" w:eastAsia="en-US"/>
              </w:rPr>
            </w:pPr>
          </w:p>
          <w:p w14:paraId="1E786716" w14:textId="32092038" w:rsidR="0023034B" w:rsidRPr="00A0122A" w:rsidRDefault="0023034B" w:rsidP="00986700">
            <w:pPr>
              <w:rPr>
                <w:rFonts w:eastAsia="Times New Roman" w:cs="Arial"/>
                <w:color w:val="000000"/>
                <w:sz w:val="16"/>
                <w:szCs w:val="16"/>
                <w:lang w:val="fr-CH" w:eastAsia="en-US"/>
              </w:rPr>
            </w:pPr>
            <w:r>
              <w:rPr>
                <w:rFonts w:eastAsia="Times New Roman" w:cs="Arial"/>
                <w:color w:val="000000"/>
                <w:sz w:val="16"/>
                <w:szCs w:val="16"/>
                <w:lang w:val="fr-CH" w:eastAsia="en-US"/>
              </w:rPr>
              <w:t>4</w:t>
            </w:r>
            <w:r w:rsidRPr="00A0122A">
              <w:rPr>
                <w:rFonts w:eastAsia="Times New Roman" w:cs="Arial"/>
                <w:color w:val="000000"/>
                <w:sz w:val="16"/>
                <w:szCs w:val="16"/>
                <w:lang w:val="fr-CH" w:eastAsia="en-US"/>
              </w:rPr>
              <w:t xml:space="preserve"> politiques soutenues portant sur les ccTLD </w:t>
            </w:r>
          </w:p>
        </w:tc>
      </w:tr>
    </w:tbl>
    <w:p w14:paraId="7D97FE82" w14:textId="77777777" w:rsidR="0023034B" w:rsidRDefault="0023034B" w:rsidP="00986700">
      <w:pPr>
        <w:rPr>
          <w:rStyle w:val="StyleStyleHeading3ComplexItalicLatin12ptChar"/>
          <w:rFonts w:eastAsia="SimSun"/>
          <w:b w:val="0"/>
          <w:lang w:val="fr-CH"/>
        </w:rPr>
      </w:pPr>
    </w:p>
    <w:tbl>
      <w:tblPr>
        <w:tblW w:w="5000" w:type="pct"/>
        <w:tblCellMar>
          <w:top w:w="57" w:type="dxa"/>
          <w:bottom w:w="57" w:type="dxa"/>
        </w:tblCellMar>
        <w:tblLook w:val="01E0" w:firstRow="1" w:lastRow="1" w:firstColumn="1" w:lastColumn="1" w:noHBand="0" w:noVBand="0"/>
      </w:tblPr>
      <w:tblGrid>
        <w:gridCol w:w="9287"/>
      </w:tblGrid>
      <w:tr w:rsidR="00EE0227" w:rsidRPr="00821D15" w14:paraId="28C0BD1D" w14:textId="77777777" w:rsidTr="00EE0227">
        <w:trPr>
          <w:cantSplit/>
        </w:trPr>
        <w:tc>
          <w:tcPr>
            <w:tcW w:w="9571" w:type="dxa"/>
            <w:shd w:val="clear" w:color="auto" w:fill="C6D9F1" w:themeFill="text2" w:themeFillTint="33"/>
            <w:vAlign w:val="center"/>
          </w:tcPr>
          <w:p w14:paraId="7FC44CBC" w14:textId="77777777" w:rsidR="00EE0227" w:rsidRPr="00821D15" w:rsidRDefault="00EE0227" w:rsidP="00986700">
            <w:pPr>
              <w:jc w:val="center"/>
              <w:rPr>
                <w:rFonts w:cs="Arial"/>
                <w:b/>
                <w:szCs w:val="20"/>
              </w:rPr>
            </w:pPr>
            <w:r w:rsidRPr="00821D15">
              <w:rPr>
                <w:rFonts w:cs="Arial"/>
                <w:b/>
                <w:szCs w:val="20"/>
              </w:rPr>
              <w:t>Ressources allouées au programme 7</w:t>
            </w:r>
          </w:p>
        </w:tc>
      </w:tr>
    </w:tbl>
    <w:p w14:paraId="0523BBE9" w14:textId="77777777" w:rsidR="00EE0227" w:rsidRPr="00821D15" w:rsidRDefault="00EE0227" w:rsidP="00986700">
      <w:pPr>
        <w:rPr>
          <w:rFonts w:cs="Arial"/>
          <w:szCs w:val="20"/>
        </w:rPr>
      </w:pPr>
    </w:p>
    <w:p w14:paraId="46EC79DD" w14:textId="77777777" w:rsidR="00EE0227" w:rsidRPr="00821D15" w:rsidRDefault="00EE0227" w:rsidP="00616FD3">
      <w:pPr>
        <w:pStyle w:val="ListParagraph"/>
        <w:numPr>
          <w:ilvl w:val="0"/>
          <w:numId w:val="68"/>
        </w:numPr>
        <w:ind w:left="0" w:firstLine="0"/>
        <w:rPr>
          <w:rFonts w:cs="Arial"/>
          <w:szCs w:val="20"/>
        </w:rPr>
      </w:pPr>
      <w:r w:rsidRPr="00821D15">
        <w:rPr>
          <w:rFonts w:cs="Arial"/>
          <w:szCs w:val="20"/>
        </w:rPr>
        <w:t>Les ressources globales allouées au programme en 2018</w:t>
      </w:r>
      <w:r w:rsidRPr="00821D15">
        <w:rPr>
          <w:rFonts w:cs="Arial"/>
          <w:szCs w:val="20"/>
        </w:rPr>
        <w:noBreakHyphen/>
        <w:t>2019 restent stables.</w:t>
      </w:r>
    </w:p>
    <w:p w14:paraId="790BF12B" w14:textId="77777777" w:rsidR="00EE0227" w:rsidRPr="00821D15" w:rsidRDefault="00EE0227" w:rsidP="00986700">
      <w:pPr>
        <w:rPr>
          <w:rFonts w:cs="Arial"/>
          <w:szCs w:val="20"/>
        </w:rPr>
      </w:pPr>
    </w:p>
    <w:p w14:paraId="5A2FEF50" w14:textId="77777777" w:rsidR="00EE0227" w:rsidRPr="00821D15" w:rsidRDefault="00EE0227" w:rsidP="00616FD3">
      <w:pPr>
        <w:pStyle w:val="ListParagraph"/>
        <w:numPr>
          <w:ilvl w:val="0"/>
          <w:numId w:val="68"/>
        </w:numPr>
        <w:ind w:left="0" w:firstLine="0"/>
        <w:rPr>
          <w:rFonts w:cs="Arial"/>
          <w:szCs w:val="20"/>
        </w:rPr>
      </w:pPr>
      <w:r w:rsidRPr="00821D15">
        <w:rPr>
          <w:rFonts w:cs="Arial"/>
          <w:szCs w:val="20"/>
        </w:rPr>
        <w:t>L’augmentation des dépenses autres que les dépenses de personnel est due à une provision supplémentaire pour les programmes de bourses afin de pouvoir répondre à l’augmentation de la charge de travail concernant les noms de domaine et le règlement extrajudiciaire des litiges.</w:t>
      </w:r>
    </w:p>
    <w:p w14:paraId="7BFCB117" w14:textId="77777777" w:rsidR="00EE0227" w:rsidRPr="00821D15" w:rsidRDefault="00EE0227" w:rsidP="00986700">
      <w:pPr>
        <w:rPr>
          <w:rFonts w:cs="Arial"/>
          <w:szCs w:val="20"/>
        </w:rPr>
      </w:pPr>
    </w:p>
    <w:p w14:paraId="2822C82D" w14:textId="77777777" w:rsidR="00EE0227" w:rsidRPr="00821D15" w:rsidRDefault="00EE0227" w:rsidP="00616FD3">
      <w:pPr>
        <w:pStyle w:val="ListParagraph"/>
        <w:numPr>
          <w:ilvl w:val="0"/>
          <w:numId w:val="68"/>
        </w:numPr>
        <w:ind w:left="0" w:firstLine="0"/>
        <w:rPr>
          <w:rFonts w:cs="Arial"/>
          <w:szCs w:val="20"/>
        </w:rPr>
      </w:pPr>
      <w:r w:rsidRPr="00821D15">
        <w:rPr>
          <w:rFonts w:cs="Arial"/>
          <w:szCs w:val="20"/>
        </w:rPr>
        <w:t>La diminution des dépenses de personnel est le résultat net de la régularisation de deux fonctions de nature continue et de l’écart concernant le coût des agents temporaires inscrit au budget pour 2018</w:t>
      </w:r>
      <w:r w:rsidRPr="00821D15">
        <w:rPr>
          <w:rFonts w:cs="Arial"/>
          <w:szCs w:val="20"/>
        </w:rPr>
        <w:noBreakHyphen/>
        <w:t>2019 par rapport au budget approuvé pour 2016</w:t>
      </w:r>
      <w:r w:rsidRPr="00821D15">
        <w:rPr>
          <w:rFonts w:cs="Arial"/>
          <w:szCs w:val="20"/>
        </w:rPr>
        <w:noBreakHyphen/>
        <w:t>2017.</w:t>
      </w:r>
    </w:p>
    <w:p w14:paraId="67DC0BF9" w14:textId="77777777" w:rsidR="00EE0227" w:rsidRDefault="00EE0227" w:rsidP="00986700">
      <w:pPr>
        <w:rPr>
          <w:rStyle w:val="StyleStyleHeading3ComplexItalicLatin12ptChar"/>
          <w:rFonts w:eastAsia="SimSun"/>
          <w:b w:val="0"/>
          <w:lang w:val="fr-CH"/>
        </w:rPr>
      </w:pPr>
    </w:p>
    <w:p w14:paraId="4D124874" w14:textId="4D73F20F"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7 : </w:t>
      </w:r>
      <w:r w:rsidRPr="00674550">
        <w:rPr>
          <w:rFonts w:eastAsia="Times New Roman" w:cs="Arial"/>
          <w:b/>
          <w:szCs w:val="20"/>
          <w:lang w:eastAsia="en-US"/>
        </w:rPr>
        <w:t>Ressources par résultat</w:t>
      </w:r>
    </w:p>
    <w:p w14:paraId="517263E7"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59B9706E" w14:textId="77777777" w:rsidR="00717231" w:rsidRDefault="00717231" w:rsidP="00986700"/>
    <w:p w14:paraId="3A1B2199" w14:textId="547F14CD" w:rsidR="00717231" w:rsidRDefault="00717231" w:rsidP="00986700">
      <w:pPr>
        <w:jc w:val="center"/>
      </w:pPr>
      <w:r w:rsidRPr="00717231">
        <w:rPr>
          <w:noProof/>
          <w:lang w:val="en-US" w:eastAsia="en-US"/>
        </w:rPr>
        <w:lastRenderedPageBreak/>
        <w:drawing>
          <wp:inline distT="0" distB="0" distL="0" distR="0" wp14:anchorId="4EDA3626" wp14:editId="40F13A63">
            <wp:extent cx="5400000" cy="150000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00" cy="1500000"/>
                    </a:xfrm>
                    <a:prstGeom prst="rect">
                      <a:avLst/>
                    </a:prstGeom>
                    <a:noFill/>
                    <a:ln>
                      <a:noFill/>
                    </a:ln>
                  </pic:spPr>
                </pic:pic>
              </a:graphicData>
            </a:graphic>
          </wp:inline>
        </w:drawing>
      </w:r>
    </w:p>
    <w:p w14:paraId="25DF4081" w14:textId="77777777" w:rsidR="00B55ECC" w:rsidRDefault="00B55ECC" w:rsidP="00986700"/>
    <w:p w14:paraId="38C5B584"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7</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4F6EBB7" w14:textId="13D16677"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4FBDA0E6" w14:textId="77777777" w:rsidR="008778B5" w:rsidRDefault="008778B5" w:rsidP="00986700">
      <w:pPr>
        <w:keepNext/>
        <w:rPr>
          <w:lang w:eastAsia="en-US"/>
        </w:rPr>
      </w:pPr>
    </w:p>
    <w:p w14:paraId="3C3A2DB3" w14:textId="2A076895" w:rsidR="00B55ECC" w:rsidRDefault="008778B5" w:rsidP="00986700">
      <w:pPr>
        <w:jc w:val="center"/>
        <w:rPr>
          <w:lang w:eastAsia="en-US"/>
        </w:rPr>
      </w:pPr>
      <w:r w:rsidRPr="008778B5">
        <w:rPr>
          <w:noProof/>
          <w:lang w:val="en-US" w:eastAsia="en-US"/>
        </w:rPr>
        <w:drawing>
          <wp:inline distT="0" distB="0" distL="0" distR="0" wp14:anchorId="50A75505" wp14:editId="2B0E0700">
            <wp:extent cx="5400000" cy="6031770"/>
            <wp:effectExtent l="0" t="0" r="0" b="762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1EF7F02D" w14:textId="77777777" w:rsidR="00B55ECC" w:rsidRPr="00E16214" w:rsidRDefault="00B55ECC" w:rsidP="00986700">
      <w:pPr>
        <w:rPr>
          <w:lang w:eastAsia="en-US"/>
        </w:rPr>
      </w:pPr>
    </w:p>
    <w:p w14:paraId="41D46BC6" w14:textId="78C37D2E" w:rsidR="0023034B" w:rsidRDefault="0023034B" w:rsidP="00986700">
      <w:pPr>
        <w:rPr>
          <w:rFonts w:ascii="Arial Bold" w:eastAsia="SimSun" w:hAnsi="Arial Bold" w:cs="Arial" w:hint="eastAsia"/>
          <w:b/>
          <w:bCs/>
          <w:caps/>
          <w:kern w:val="32"/>
          <w:sz w:val="22"/>
          <w:szCs w:val="32"/>
          <w:lang w:eastAsia="en-US"/>
        </w:rPr>
      </w:pPr>
      <w:r>
        <w:rPr>
          <w:rFonts w:hint="eastAsia"/>
        </w:rPr>
        <w:br w:type="page"/>
      </w:r>
    </w:p>
    <w:p w14:paraId="02EE4D90" w14:textId="77777777" w:rsidR="0099440C" w:rsidRPr="00DA0571" w:rsidRDefault="0099440C" w:rsidP="00986700">
      <w:pPr>
        <w:pStyle w:val="Heading4"/>
      </w:pPr>
      <w:bookmarkStart w:id="41" w:name="_Toc367350581"/>
      <w:bookmarkStart w:id="42" w:name="_Toc481222385"/>
      <w:bookmarkStart w:id="43" w:name="_Toc482979485"/>
      <w:r w:rsidRPr="00DA0571">
        <w:lastRenderedPageBreak/>
        <w:t>Objectif stratégique III</w:t>
      </w:r>
      <w:r w:rsidRPr="00DA0571">
        <w:tab/>
      </w:r>
      <w:bookmarkEnd w:id="41"/>
      <w:bookmarkEnd w:id="42"/>
      <w:r w:rsidRPr="00DA0571">
        <w:t>Favoriser l’utilisation de la propriété intellectuelle au service du développement</w:t>
      </w:r>
      <w:bookmarkEnd w:id="43"/>
    </w:p>
    <w:p w14:paraId="0B224477" w14:textId="77777777" w:rsidR="0099440C" w:rsidRPr="00DA0571" w:rsidRDefault="0099440C" w:rsidP="00986700">
      <w:pPr>
        <w:tabs>
          <w:tab w:val="left" w:pos="1701"/>
        </w:tabs>
        <w:ind w:left="1701" w:hanging="1701"/>
        <w:rPr>
          <w:bCs/>
          <w:caps/>
        </w:rPr>
      </w:pPr>
    </w:p>
    <w:p w14:paraId="3CA930B8" w14:textId="77777777" w:rsidR="0099440C" w:rsidRPr="00DA0571" w:rsidRDefault="0099440C" w:rsidP="00986700">
      <w:pPr>
        <w:tabs>
          <w:tab w:val="left" w:pos="1701"/>
        </w:tabs>
        <w:ind w:left="1701" w:hanging="1701"/>
        <w:rPr>
          <w:bCs/>
          <w:caps/>
        </w:rPr>
      </w:pPr>
    </w:p>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841"/>
        <w:gridCol w:w="2427"/>
      </w:tblGrid>
      <w:tr w:rsidR="0099440C" w:rsidRPr="00DA0571" w14:paraId="7D4552F1" w14:textId="77777777" w:rsidTr="00A861A4">
        <w:trPr>
          <w:cantSplit/>
          <w:tblHeader/>
        </w:trPr>
        <w:tc>
          <w:tcPr>
            <w:tcW w:w="2932" w:type="dxa"/>
            <w:shd w:val="clear" w:color="auto" w:fill="B8CCE4" w:themeFill="accent1" w:themeFillTint="66"/>
            <w:vAlign w:val="center"/>
            <w:hideMark/>
          </w:tcPr>
          <w:p w14:paraId="41BEE91D" w14:textId="77777777" w:rsidR="0099440C" w:rsidRPr="00DA0571" w:rsidRDefault="0099440C" w:rsidP="00986700">
            <w:pPr>
              <w:jc w:val="center"/>
              <w:rPr>
                <w:b/>
                <w:bCs/>
                <w:sz w:val="18"/>
                <w:szCs w:val="18"/>
              </w:rPr>
            </w:pPr>
            <w:r w:rsidRPr="00DA0571">
              <w:rPr>
                <w:b/>
                <w:bCs/>
                <w:sz w:val="18"/>
                <w:szCs w:val="18"/>
              </w:rPr>
              <w:t>Résultats escomptés</w:t>
            </w:r>
          </w:p>
        </w:tc>
        <w:tc>
          <w:tcPr>
            <w:tcW w:w="3841" w:type="dxa"/>
            <w:shd w:val="clear" w:color="auto" w:fill="B8CCE4" w:themeFill="accent1" w:themeFillTint="66"/>
            <w:vAlign w:val="center"/>
            <w:hideMark/>
          </w:tcPr>
          <w:p w14:paraId="5401C5C4" w14:textId="77777777" w:rsidR="0099440C" w:rsidRPr="00DA0571" w:rsidRDefault="0099440C" w:rsidP="00986700">
            <w:pPr>
              <w:jc w:val="center"/>
              <w:rPr>
                <w:b/>
                <w:bCs/>
                <w:sz w:val="18"/>
                <w:szCs w:val="18"/>
              </w:rPr>
            </w:pPr>
            <w:r w:rsidRPr="00DA0571">
              <w:rPr>
                <w:b/>
                <w:sz w:val="18"/>
                <w:szCs w:val="18"/>
              </w:rPr>
              <w:t>Indicateurs d’exécution</w:t>
            </w:r>
          </w:p>
        </w:tc>
        <w:tc>
          <w:tcPr>
            <w:tcW w:w="2427" w:type="dxa"/>
            <w:shd w:val="clear" w:color="auto" w:fill="B8CCE4" w:themeFill="accent1" w:themeFillTint="66"/>
            <w:vAlign w:val="center"/>
            <w:hideMark/>
          </w:tcPr>
          <w:p w14:paraId="630CCDF0" w14:textId="77777777" w:rsidR="0099440C" w:rsidRPr="00DA0571" w:rsidRDefault="0099440C" w:rsidP="00986700">
            <w:pPr>
              <w:jc w:val="center"/>
              <w:rPr>
                <w:b/>
                <w:bCs/>
                <w:sz w:val="16"/>
                <w:szCs w:val="16"/>
              </w:rPr>
            </w:pPr>
            <w:r w:rsidRPr="00DA0571">
              <w:rPr>
                <w:b/>
                <w:sz w:val="18"/>
                <w:szCs w:val="16"/>
              </w:rPr>
              <w:t>Programme(s) concerné(s)</w:t>
            </w:r>
          </w:p>
        </w:tc>
      </w:tr>
      <w:tr w:rsidR="0099440C" w:rsidRPr="00DA0571" w14:paraId="36191637" w14:textId="77777777" w:rsidTr="00A861A4">
        <w:trPr>
          <w:cantSplit/>
        </w:trPr>
        <w:tc>
          <w:tcPr>
            <w:tcW w:w="2932" w:type="dxa"/>
            <w:vMerge w:val="restart"/>
            <w:hideMark/>
          </w:tcPr>
          <w:p w14:paraId="678BD0D3" w14:textId="77777777" w:rsidR="0099440C" w:rsidRPr="00DA0571" w:rsidRDefault="0099440C" w:rsidP="00986700">
            <w:pPr>
              <w:rPr>
                <w:sz w:val="16"/>
                <w:szCs w:val="16"/>
              </w:rPr>
            </w:pPr>
            <w:r w:rsidRPr="00DA0571">
              <w:rPr>
                <w:sz w:val="16"/>
                <w:szCs w:val="16"/>
              </w:rPr>
              <w:t>III.1 Stratégies et plans nationaux en matière de propriété intellectuelle conformes aux objectifs de développement nationaux</w:t>
            </w:r>
          </w:p>
        </w:tc>
        <w:tc>
          <w:tcPr>
            <w:tcW w:w="3841" w:type="dxa"/>
            <w:hideMark/>
          </w:tcPr>
          <w:p w14:paraId="79D7106E" w14:textId="28E7217C" w:rsidR="0099440C" w:rsidRPr="00DA0571" w:rsidRDefault="0099440C" w:rsidP="00986700">
            <w:pPr>
              <w:rPr>
                <w:sz w:val="16"/>
                <w:szCs w:val="16"/>
              </w:rPr>
            </w:pPr>
            <w:r w:rsidRPr="00DA0571">
              <w:rPr>
                <w:sz w:val="16"/>
                <w:szCs w:val="16"/>
              </w:rPr>
              <w:t>Nombre de pays qui élaborent actuellement des stratégies nationales en matière de droit d’auteur</w:t>
            </w:r>
            <w:r w:rsidR="00AE7435">
              <w:rPr>
                <w:sz w:val="16"/>
                <w:szCs w:val="16"/>
              </w:rPr>
              <w:t xml:space="preserve"> dans le cadre de leur stratégie nationale en matière de propriété intellectuelle</w:t>
            </w:r>
          </w:p>
        </w:tc>
        <w:tc>
          <w:tcPr>
            <w:tcW w:w="2427" w:type="dxa"/>
            <w:hideMark/>
          </w:tcPr>
          <w:p w14:paraId="4A9E4DBD" w14:textId="77777777" w:rsidR="0099440C" w:rsidRPr="00DA0571" w:rsidRDefault="0099440C" w:rsidP="00986700">
            <w:pPr>
              <w:jc w:val="center"/>
              <w:rPr>
                <w:sz w:val="16"/>
                <w:szCs w:val="16"/>
              </w:rPr>
            </w:pPr>
            <w:r w:rsidRPr="00DA0571">
              <w:rPr>
                <w:sz w:val="16"/>
                <w:szCs w:val="16"/>
              </w:rPr>
              <w:t>Programme 3</w:t>
            </w:r>
          </w:p>
        </w:tc>
      </w:tr>
      <w:tr w:rsidR="0099440C" w:rsidRPr="00DA0571" w14:paraId="10C9ACDF" w14:textId="77777777" w:rsidTr="00A861A4">
        <w:trPr>
          <w:cantSplit/>
        </w:trPr>
        <w:tc>
          <w:tcPr>
            <w:tcW w:w="2932" w:type="dxa"/>
            <w:vMerge/>
            <w:hideMark/>
          </w:tcPr>
          <w:p w14:paraId="7B760B8D" w14:textId="77777777" w:rsidR="0099440C" w:rsidRPr="00DA0571" w:rsidRDefault="0099440C" w:rsidP="00986700">
            <w:pPr>
              <w:rPr>
                <w:sz w:val="16"/>
                <w:szCs w:val="16"/>
              </w:rPr>
            </w:pPr>
          </w:p>
        </w:tc>
        <w:tc>
          <w:tcPr>
            <w:tcW w:w="3841" w:type="dxa"/>
            <w:hideMark/>
          </w:tcPr>
          <w:p w14:paraId="7AA61CAD" w14:textId="77777777" w:rsidR="0099440C" w:rsidRPr="00DA0571" w:rsidRDefault="0099440C" w:rsidP="00986700">
            <w:pPr>
              <w:rPr>
                <w:sz w:val="16"/>
                <w:szCs w:val="16"/>
              </w:rPr>
            </w:pPr>
            <w:r w:rsidRPr="00DA0571">
              <w:rPr>
                <w:sz w:val="16"/>
                <w:szCs w:val="16"/>
              </w:rPr>
              <w:t>Nombre de pays ayant adopté des stratégies nationales en matière de droit d’auteur dans le cadre de leurs stratégies nationales de propriété intellectuelle</w:t>
            </w:r>
          </w:p>
        </w:tc>
        <w:tc>
          <w:tcPr>
            <w:tcW w:w="2427" w:type="dxa"/>
            <w:hideMark/>
          </w:tcPr>
          <w:p w14:paraId="51A70DCF" w14:textId="77777777" w:rsidR="0099440C" w:rsidRPr="00DA0571" w:rsidRDefault="0099440C" w:rsidP="00986700">
            <w:pPr>
              <w:jc w:val="center"/>
              <w:rPr>
                <w:sz w:val="16"/>
                <w:szCs w:val="16"/>
              </w:rPr>
            </w:pPr>
            <w:r w:rsidRPr="00DA0571">
              <w:rPr>
                <w:sz w:val="16"/>
                <w:szCs w:val="16"/>
              </w:rPr>
              <w:t>Programme 3</w:t>
            </w:r>
          </w:p>
        </w:tc>
      </w:tr>
      <w:tr w:rsidR="0099440C" w:rsidRPr="00DA0571" w14:paraId="19FF5572" w14:textId="77777777" w:rsidTr="00A861A4">
        <w:trPr>
          <w:cantSplit/>
        </w:trPr>
        <w:tc>
          <w:tcPr>
            <w:tcW w:w="2932" w:type="dxa"/>
            <w:hideMark/>
          </w:tcPr>
          <w:p w14:paraId="23F9A55B" w14:textId="77777777" w:rsidR="0099440C" w:rsidRPr="00DA0571" w:rsidRDefault="0099440C" w:rsidP="00986700">
            <w:pPr>
              <w:rPr>
                <w:sz w:val="16"/>
                <w:szCs w:val="16"/>
              </w:rPr>
            </w:pPr>
          </w:p>
        </w:tc>
        <w:tc>
          <w:tcPr>
            <w:tcW w:w="3841" w:type="dxa"/>
            <w:hideMark/>
          </w:tcPr>
          <w:p w14:paraId="3B494C55" w14:textId="77777777" w:rsidR="0099440C" w:rsidRPr="00DA0571" w:rsidRDefault="0099440C" w:rsidP="00986700">
            <w:pPr>
              <w:rPr>
                <w:sz w:val="16"/>
                <w:szCs w:val="16"/>
              </w:rPr>
            </w:pPr>
            <w:r w:rsidRPr="00DA0571">
              <w:rPr>
                <w:sz w:val="16"/>
                <w:szCs w:val="16"/>
              </w:rPr>
              <w:t>Nombre de pays qui élaborent actuellement des stratégies nationales de propriété intellectuelle</w:t>
            </w:r>
          </w:p>
        </w:tc>
        <w:tc>
          <w:tcPr>
            <w:tcW w:w="2427" w:type="dxa"/>
            <w:hideMark/>
          </w:tcPr>
          <w:p w14:paraId="06021C2B" w14:textId="77777777" w:rsidR="0099440C" w:rsidRPr="00DA0571" w:rsidRDefault="0099440C" w:rsidP="00986700">
            <w:pPr>
              <w:jc w:val="center"/>
              <w:rPr>
                <w:sz w:val="16"/>
                <w:szCs w:val="16"/>
              </w:rPr>
            </w:pPr>
            <w:r w:rsidRPr="00DA0571">
              <w:rPr>
                <w:sz w:val="16"/>
                <w:szCs w:val="16"/>
              </w:rPr>
              <w:t>Programme 9</w:t>
            </w:r>
          </w:p>
        </w:tc>
      </w:tr>
      <w:tr w:rsidR="0099440C" w:rsidRPr="00DA0571" w14:paraId="1B7A3E62" w14:textId="77777777" w:rsidTr="00A861A4">
        <w:trPr>
          <w:cantSplit/>
        </w:trPr>
        <w:tc>
          <w:tcPr>
            <w:tcW w:w="2932" w:type="dxa"/>
            <w:hideMark/>
          </w:tcPr>
          <w:p w14:paraId="737DB640" w14:textId="77777777" w:rsidR="0099440C" w:rsidRPr="00DA0571" w:rsidRDefault="0099440C" w:rsidP="00986700">
            <w:pPr>
              <w:rPr>
                <w:sz w:val="16"/>
                <w:szCs w:val="16"/>
              </w:rPr>
            </w:pPr>
          </w:p>
        </w:tc>
        <w:tc>
          <w:tcPr>
            <w:tcW w:w="3841" w:type="dxa"/>
            <w:hideMark/>
          </w:tcPr>
          <w:p w14:paraId="38C5AC29" w14:textId="2D63144C" w:rsidR="0099440C" w:rsidRPr="00DA0571" w:rsidRDefault="0099440C" w:rsidP="00AE7435">
            <w:pPr>
              <w:rPr>
                <w:sz w:val="16"/>
                <w:szCs w:val="16"/>
              </w:rPr>
            </w:pPr>
            <w:r w:rsidRPr="00DA0571">
              <w:rPr>
                <w:sz w:val="16"/>
                <w:szCs w:val="16"/>
              </w:rPr>
              <w:t>Nombre de pays qui mettent en œuvre actuellement des stratégies en matière de propriété intellectuelle et des plans de développement relatifs à la propriété intellectuelle à l’échelle nationale</w:t>
            </w:r>
          </w:p>
        </w:tc>
        <w:tc>
          <w:tcPr>
            <w:tcW w:w="2427" w:type="dxa"/>
            <w:hideMark/>
          </w:tcPr>
          <w:p w14:paraId="126A84ED" w14:textId="77777777" w:rsidR="0099440C" w:rsidRPr="00DA0571" w:rsidRDefault="0099440C" w:rsidP="00986700">
            <w:pPr>
              <w:jc w:val="center"/>
              <w:rPr>
                <w:sz w:val="16"/>
                <w:szCs w:val="16"/>
              </w:rPr>
            </w:pPr>
            <w:r w:rsidRPr="00DA0571">
              <w:rPr>
                <w:sz w:val="16"/>
                <w:szCs w:val="16"/>
              </w:rPr>
              <w:t>Programme 9</w:t>
            </w:r>
          </w:p>
        </w:tc>
      </w:tr>
      <w:tr w:rsidR="005F5C77" w:rsidRPr="00DA0571" w14:paraId="30688474" w14:textId="77777777" w:rsidTr="00A861A4">
        <w:trPr>
          <w:cantSplit/>
        </w:trPr>
        <w:tc>
          <w:tcPr>
            <w:tcW w:w="2932" w:type="dxa"/>
          </w:tcPr>
          <w:p w14:paraId="1F76065E" w14:textId="77777777" w:rsidR="005F5C77" w:rsidRPr="00DA0571" w:rsidRDefault="005F5C77" w:rsidP="00986700">
            <w:pPr>
              <w:rPr>
                <w:sz w:val="16"/>
                <w:szCs w:val="16"/>
              </w:rPr>
            </w:pPr>
          </w:p>
        </w:tc>
        <w:tc>
          <w:tcPr>
            <w:tcW w:w="3841" w:type="dxa"/>
          </w:tcPr>
          <w:p w14:paraId="0DDF167F" w14:textId="0A309E69" w:rsidR="005F5C77" w:rsidRPr="00DA0571" w:rsidRDefault="00AE7435" w:rsidP="00986700">
            <w:pPr>
              <w:rPr>
                <w:sz w:val="16"/>
                <w:szCs w:val="16"/>
              </w:rPr>
            </w:pPr>
            <w:r>
              <w:rPr>
                <w:sz w:val="16"/>
                <w:szCs w:val="16"/>
              </w:rPr>
              <w:t>Nombre de pays ayant adopté une stratégie nationale en matière de propriété intellectuelle</w:t>
            </w:r>
          </w:p>
        </w:tc>
        <w:tc>
          <w:tcPr>
            <w:tcW w:w="2427" w:type="dxa"/>
          </w:tcPr>
          <w:p w14:paraId="745554C0" w14:textId="77777777" w:rsidR="005F5C77" w:rsidRDefault="005F5C77" w:rsidP="00986700">
            <w:pPr>
              <w:jc w:val="center"/>
              <w:rPr>
                <w:sz w:val="16"/>
                <w:szCs w:val="16"/>
              </w:rPr>
            </w:pPr>
            <w:r>
              <w:rPr>
                <w:sz w:val="16"/>
                <w:szCs w:val="16"/>
              </w:rPr>
              <w:t>Programme 9</w:t>
            </w:r>
          </w:p>
          <w:p w14:paraId="426ED184" w14:textId="5F0D3ADF" w:rsidR="005F5C77" w:rsidRPr="00DA0571" w:rsidRDefault="005F5C77" w:rsidP="00986700">
            <w:pPr>
              <w:jc w:val="center"/>
              <w:rPr>
                <w:sz w:val="16"/>
                <w:szCs w:val="16"/>
              </w:rPr>
            </w:pPr>
            <w:r>
              <w:rPr>
                <w:sz w:val="16"/>
                <w:szCs w:val="16"/>
              </w:rPr>
              <w:t>Programme 10</w:t>
            </w:r>
          </w:p>
        </w:tc>
      </w:tr>
      <w:tr w:rsidR="0099440C" w:rsidRPr="00DA0571" w14:paraId="3A2D3054" w14:textId="77777777" w:rsidTr="00A861A4">
        <w:trPr>
          <w:cantSplit/>
        </w:trPr>
        <w:tc>
          <w:tcPr>
            <w:tcW w:w="2932" w:type="dxa"/>
            <w:hideMark/>
          </w:tcPr>
          <w:p w14:paraId="3BB7F79D" w14:textId="08A151AC" w:rsidR="0099440C" w:rsidRPr="00DA0571" w:rsidRDefault="0099440C" w:rsidP="00986700">
            <w:pPr>
              <w:rPr>
                <w:sz w:val="16"/>
                <w:szCs w:val="16"/>
              </w:rPr>
            </w:pPr>
          </w:p>
        </w:tc>
        <w:tc>
          <w:tcPr>
            <w:tcW w:w="3841" w:type="dxa"/>
            <w:hideMark/>
          </w:tcPr>
          <w:p w14:paraId="1BA31CDA" w14:textId="77777777" w:rsidR="0099440C" w:rsidRPr="00DA0571" w:rsidRDefault="0099440C" w:rsidP="00986700">
            <w:pPr>
              <w:rPr>
                <w:sz w:val="16"/>
                <w:szCs w:val="16"/>
              </w:rPr>
            </w:pPr>
            <w:r w:rsidRPr="00DA0571">
              <w:rPr>
                <w:sz w:val="16"/>
                <w:szCs w:val="16"/>
              </w:rPr>
              <w:t>Nombre de pays ayant élaboré des stratégies ou des plans nationaux en matière de propriété intellectuelle conformes aux objectifs nationaux de développement</w:t>
            </w:r>
          </w:p>
        </w:tc>
        <w:tc>
          <w:tcPr>
            <w:tcW w:w="2427" w:type="dxa"/>
            <w:hideMark/>
          </w:tcPr>
          <w:p w14:paraId="5B96905D" w14:textId="77777777" w:rsidR="0099440C" w:rsidRPr="00DA0571" w:rsidRDefault="0099440C" w:rsidP="00986700">
            <w:pPr>
              <w:jc w:val="center"/>
              <w:rPr>
                <w:sz w:val="16"/>
                <w:szCs w:val="16"/>
              </w:rPr>
            </w:pPr>
            <w:r w:rsidRPr="00DA0571">
              <w:rPr>
                <w:sz w:val="16"/>
                <w:szCs w:val="16"/>
              </w:rPr>
              <w:t>Programme 10</w:t>
            </w:r>
          </w:p>
        </w:tc>
      </w:tr>
      <w:tr w:rsidR="0099440C" w:rsidRPr="00DA0571" w14:paraId="20D48321" w14:textId="77777777" w:rsidTr="00A861A4">
        <w:trPr>
          <w:cantSplit/>
        </w:trPr>
        <w:tc>
          <w:tcPr>
            <w:tcW w:w="2932" w:type="dxa"/>
            <w:hideMark/>
          </w:tcPr>
          <w:p w14:paraId="72A3D99C" w14:textId="77777777" w:rsidR="0099440C" w:rsidRPr="00DA0571" w:rsidRDefault="0099440C" w:rsidP="00986700">
            <w:pPr>
              <w:rPr>
                <w:sz w:val="16"/>
                <w:szCs w:val="16"/>
              </w:rPr>
            </w:pPr>
          </w:p>
        </w:tc>
        <w:tc>
          <w:tcPr>
            <w:tcW w:w="3841" w:type="dxa"/>
            <w:hideMark/>
          </w:tcPr>
          <w:p w14:paraId="12E0205F" w14:textId="77777777" w:rsidR="0099440C" w:rsidRPr="00DA0571" w:rsidRDefault="0099440C" w:rsidP="00986700">
            <w:pPr>
              <w:rPr>
                <w:sz w:val="16"/>
                <w:szCs w:val="16"/>
              </w:rPr>
            </w:pPr>
            <w:r w:rsidRPr="00DA0571">
              <w:rPr>
                <w:sz w:val="16"/>
                <w:szCs w:val="16"/>
              </w:rPr>
              <w:t>Nombre de pays qui révisent actuellement leurs stratégies en matière de propriété intellectuelle</w:t>
            </w:r>
          </w:p>
        </w:tc>
        <w:tc>
          <w:tcPr>
            <w:tcW w:w="2427" w:type="dxa"/>
            <w:hideMark/>
          </w:tcPr>
          <w:p w14:paraId="3B46A92A" w14:textId="77777777" w:rsidR="0099440C" w:rsidRPr="00DA0571" w:rsidRDefault="0099440C" w:rsidP="00986700">
            <w:pPr>
              <w:jc w:val="center"/>
              <w:rPr>
                <w:sz w:val="16"/>
                <w:szCs w:val="16"/>
              </w:rPr>
            </w:pPr>
            <w:r w:rsidRPr="00DA0571">
              <w:rPr>
                <w:sz w:val="16"/>
                <w:szCs w:val="16"/>
              </w:rPr>
              <w:t>Programme 9</w:t>
            </w:r>
          </w:p>
        </w:tc>
      </w:tr>
      <w:tr w:rsidR="0099440C" w:rsidRPr="00DA0571" w14:paraId="309ADEDE" w14:textId="77777777" w:rsidTr="00A861A4">
        <w:trPr>
          <w:cantSplit/>
        </w:trPr>
        <w:tc>
          <w:tcPr>
            <w:tcW w:w="2932" w:type="dxa"/>
            <w:vMerge w:val="restart"/>
            <w:hideMark/>
          </w:tcPr>
          <w:p w14:paraId="13B75EC9" w14:textId="77777777" w:rsidR="0099440C" w:rsidRPr="00DA0571" w:rsidRDefault="0099440C" w:rsidP="00986700">
            <w:pPr>
              <w:rPr>
                <w:sz w:val="16"/>
                <w:szCs w:val="16"/>
              </w:rPr>
            </w:pPr>
            <w:r w:rsidRPr="00DA0571">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3841" w:type="dxa"/>
            <w:hideMark/>
          </w:tcPr>
          <w:p w14:paraId="7CBBF7AB" w14:textId="77777777" w:rsidR="0099440C" w:rsidRPr="00DA0571" w:rsidRDefault="0099440C" w:rsidP="00986700">
            <w:pPr>
              <w:rPr>
                <w:sz w:val="16"/>
                <w:szCs w:val="16"/>
              </w:rPr>
            </w:pPr>
            <w:r w:rsidRPr="00DA0571">
              <w:rPr>
                <w:sz w:val="16"/>
                <w:szCs w:val="16"/>
              </w:rPr>
              <w:t>Nombre et pourcentage de participants ayant donné un retour d’information positif sur les activités de sensibilisation du public et de promotion dans les domaines des marques, dessins et modèles industriels et indications géographiques</w:t>
            </w:r>
          </w:p>
        </w:tc>
        <w:tc>
          <w:tcPr>
            <w:tcW w:w="2427" w:type="dxa"/>
            <w:hideMark/>
          </w:tcPr>
          <w:p w14:paraId="5219533B" w14:textId="77777777" w:rsidR="0099440C" w:rsidRPr="00DA0571" w:rsidRDefault="0099440C" w:rsidP="00986700">
            <w:pPr>
              <w:jc w:val="center"/>
              <w:rPr>
                <w:sz w:val="16"/>
                <w:szCs w:val="16"/>
              </w:rPr>
            </w:pPr>
            <w:r w:rsidRPr="00DA0571">
              <w:rPr>
                <w:sz w:val="16"/>
                <w:szCs w:val="16"/>
              </w:rPr>
              <w:t>Programme 2</w:t>
            </w:r>
          </w:p>
        </w:tc>
      </w:tr>
      <w:tr w:rsidR="0099440C" w:rsidRPr="00DA0571" w14:paraId="1ECD1252" w14:textId="77777777" w:rsidTr="00A861A4">
        <w:trPr>
          <w:cantSplit/>
        </w:trPr>
        <w:tc>
          <w:tcPr>
            <w:tcW w:w="2932" w:type="dxa"/>
            <w:vMerge/>
            <w:hideMark/>
          </w:tcPr>
          <w:p w14:paraId="4064BBB9" w14:textId="77777777" w:rsidR="0099440C" w:rsidRPr="00DA0571" w:rsidRDefault="0099440C" w:rsidP="00986700">
            <w:pPr>
              <w:rPr>
                <w:sz w:val="16"/>
                <w:szCs w:val="16"/>
              </w:rPr>
            </w:pPr>
          </w:p>
        </w:tc>
        <w:tc>
          <w:tcPr>
            <w:tcW w:w="3841" w:type="dxa"/>
            <w:hideMark/>
          </w:tcPr>
          <w:p w14:paraId="73827036" w14:textId="77777777" w:rsidR="0099440C" w:rsidRPr="00DA0571" w:rsidRDefault="0099440C" w:rsidP="00986700">
            <w:pPr>
              <w:rPr>
                <w:sz w:val="16"/>
                <w:szCs w:val="16"/>
              </w:rPr>
            </w:pPr>
            <w:r w:rsidRPr="00DA0571">
              <w:rPr>
                <w:sz w:val="16"/>
                <w:szCs w:val="16"/>
              </w:rPr>
              <w:t>ABC – nombre de livres accessibles publiés par des partenaires locaux ou des ONG participant à des projets de renforcement des capacités</w:t>
            </w:r>
          </w:p>
        </w:tc>
        <w:tc>
          <w:tcPr>
            <w:tcW w:w="2427" w:type="dxa"/>
            <w:hideMark/>
          </w:tcPr>
          <w:p w14:paraId="6E17B6CF" w14:textId="77777777" w:rsidR="0099440C" w:rsidRPr="00DA0571" w:rsidRDefault="0099440C" w:rsidP="00986700">
            <w:pPr>
              <w:jc w:val="center"/>
              <w:rPr>
                <w:sz w:val="16"/>
                <w:szCs w:val="16"/>
              </w:rPr>
            </w:pPr>
            <w:r w:rsidRPr="00DA0571">
              <w:rPr>
                <w:sz w:val="16"/>
                <w:szCs w:val="16"/>
              </w:rPr>
              <w:t>Programme 3</w:t>
            </w:r>
          </w:p>
        </w:tc>
      </w:tr>
      <w:tr w:rsidR="0099440C" w:rsidRPr="00DA0571" w14:paraId="337926DC" w14:textId="77777777" w:rsidTr="00A861A4">
        <w:trPr>
          <w:cantSplit/>
        </w:trPr>
        <w:tc>
          <w:tcPr>
            <w:tcW w:w="2932" w:type="dxa"/>
            <w:hideMark/>
          </w:tcPr>
          <w:p w14:paraId="3C4495A7" w14:textId="77777777" w:rsidR="0099440C" w:rsidRPr="00DA0571" w:rsidRDefault="0099440C" w:rsidP="00986700">
            <w:pPr>
              <w:rPr>
                <w:sz w:val="16"/>
                <w:szCs w:val="16"/>
              </w:rPr>
            </w:pPr>
          </w:p>
        </w:tc>
        <w:tc>
          <w:tcPr>
            <w:tcW w:w="3841" w:type="dxa"/>
            <w:hideMark/>
          </w:tcPr>
          <w:p w14:paraId="2E2DF48C" w14:textId="77777777" w:rsidR="0099440C" w:rsidRPr="00DA0571" w:rsidRDefault="0099440C" w:rsidP="00986700">
            <w:pPr>
              <w:rPr>
                <w:sz w:val="16"/>
                <w:szCs w:val="16"/>
              </w:rPr>
            </w:pPr>
            <w:r w:rsidRPr="00DA0571">
              <w:rPr>
                <w:sz w:val="16"/>
                <w:szCs w:val="16"/>
              </w:rPr>
              <w:t>Nombre d’institutions ayant pris des mesures pour faire progresser le développement de leur cadre en matière de droit d’auteur</w:t>
            </w:r>
          </w:p>
        </w:tc>
        <w:tc>
          <w:tcPr>
            <w:tcW w:w="2427" w:type="dxa"/>
            <w:hideMark/>
          </w:tcPr>
          <w:p w14:paraId="340B6046" w14:textId="77777777" w:rsidR="0099440C" w:rsidRPr="00DA0571" w:rsidRDefault="0099440C" w:rsidP="00986700">
            <w:pPr>
              <w:jc w:val="center"/>
              <w:rPr>
                <w:sz w:val="16"/>
                <w:szCs w:val="16"/>
              </w:rPr>
            </w:pPr>
            <w:r w:rsidRPr="00DA0571">
              <w:rPr>
                <w:sz w:val="16"/>
                <w:szCs w:val="16"/>
              </w:rPr>
              <w:t>Programme 3</w:t>
            </w:r>
          </w:p>
        </w:tc>
      </w:tr>
      <w:tr w:rsidR="0099440C" w:rsidRPr="00DA0571" w14:paraId="430EF34B" w14:textId="77777777" w:rsidTr="00A861A4">
        <w:trPr>
          <w:cantSplit/>
        </w:trPr>
        <w:tc>
          <w:tcPr>
            <w:tcW w:w="2932" w:type="dxa"/>
            <w:hideMark/>
          </w:tcPr>
          <w:p w14:paraId="49D4A00F" w14:textId="77777777" w:rsidR="0099440C" w:rsidRPr="00DA0571" w:rsidRDefault="0099440C" w:rsidP="00986700">
            <w:pPr>
              <w:rPr>
                <w:sz w:val="16"/>
                <w:szCs w:val="16"/>
              </w:rPr>
            </w:pPr>
          </w:p>
        </w:tc>
        <w:tc>
          <w:tcPr>
            <w:tcW w:w="3841" w:type="dxa"/>
            <w:hideMark/>
          </w:tcPr>
          <w:p w14:paraId="7D0D4CFE" w14:textId="77777777" w:rsidR="0099440C" w:rsidRPr="00DA0571" w:rsidRDefault="0099440C" w:rsidP="00986700">
            <w:pPr>
              <w:rPr>
                <w:sz w:val="16"/>
                <w:szCs w:val="16"/>
              </w:rPr>
            </w:pPr>
            <w:r w:rsidRPr="00DA0571">
              <w:rPr>
                <w:sz w:val="16"/>
                <w:szCs w:val="16"/>
              </w:rPr>
              <w:t>Pourcentage de participants aux activités de renforcement des capacités en matière de gestion des droits ayant indiqué avoir pris des mesures concrètes en s’appuyant sur la formation reçue</w:t>
            </w:r>
          </w:p>
        </w:tc>
        <w:tc>
          <w:tcPr>
            <w:tcW w:w="2427" w:type="dxa"/>
            <w:hideMark/>
          </w:tcPr>
          <w:p w14:paraId="024F9B8C" w14:textId="77777777" w:rsidR="0099440C" w:rsidRPr="00DA0571" w:rsidRDefault="0099440C" w:rsidP="00986700">
            <w:pPr>
              <w:jc w:val="center"/>
              <w:rPr>
                <w:sz w:val="16"/>
                <w:szCs w:val="16"/>
              </w:rPr>
            </w:pPr>
            <w:r w:rsidRPr="00DA0571">
              <w:rPr>
                <w:sz w:val="16"/>
                <w:szCs w:val="16"/>
              </w:rPr>
              <w:t>Programme 3</w:t>
            </w:r>
          </w:p>
        </w:tc>
      </w:tr>
      <w:tr w:rsidR="0099440C" w:rsidRPr="00DA0571" w14:paraId="137EFCE6" w14:textId="77777777" w:rsidTr="00A861A4">
        <w:trPr>
          <w:cantSplit/>
        </w:trPr>
        <w:tc>
          <w:tcPr>
            <w:tcW w:w="2932" w:type="dxa"/>
            <w:hideMark/>
          </w:tcPr>
          <w:p w14:paraId="2F986F3F" w14:textId="77777777" w:rsidR="0099440C" w:rsidRPr="00DA0571" w:rsidRDefault="0099440C" w:rsidP="00986700">
            <w:pPr>
              <w:rPr>
                <w:sz w:val="16"/>
                <w:szCs w:val="16"/>
              </w:rPr>
            </w:pPr>
          </w:p>
        </w:tc>
        <w:tc>
          <w:tcPr>
            <w:tcW w:w="3841" w:type="dxa"/>
            <w:hideMark/>
          </w:tcPr>
          <w:p w14:paraId="05F09D0E" w14:textId="77777777" w:rsidR="0099440C" w:rsidRPr="00DA0571" w:rsidRDefault="0099440C" w:rsidP="00986700">
            <w:pPr>
              <w:rPr>
                <w:sz w:val="16"/>
                <w:szCs w:val="16"/>
              </w:rPr>
            </w:pPr>
            <w:r w:rsidRPr="00DA0571">
              <w:rPr>
                <w:sz w:val="16"/>
                <w:szCs w:val="16"/>
              </w:rPr>
              <w:t xml:space="preserve">Nombre d’organisations de gestion collective ayant suivi une formation qui ont pris des mesures concrètes en ce qui concerne la perception et la répartition des redevances </w:t>
            </w:r>
          </w:p>
        </w:tc>
        <w:tc>
          <w:tcPr>
            <w:tcW w:w="2427" w:type="dxa"/>
            <w:hideMark/>
          </w:tcPr>
          <w:p w14:paraId="7AC5DB67" w14:textId="77777777" w:rsidR="0099440C" w:rsidRPr="00DA0571" w:rsidRDefault="0099440C" w:rsidP="00986700">
            <w:pPr>
              <w:jc w:val="center"/>
              <w:rPr>
                <w:sz w:val="16"/>
                <w:szCs w:val="16"/>
              </w:rPr>
            </w:pPr>
            <w:r w:rsidRPr="00DA0571">
              <w:rPr>
                <w:sz w:val="16"/>
                <w:szCs w:val="16"/>
              </w:rPr>
              <w:t>Programme 3</w:t>
            </w:r>
          </w:p>
        </w:tc>
      </w:tr>
      <w:tr w:rsidR="0099440C" w:rsidRPr="00DA0571" w14:paraId="1660CE06" w14:textId="77777777" w:rsidTr="00A861A4">
        <w:trPr>
          <w:cantSplit/>
        </w:trPr>
        <w:tc>
          <w:tcPr>
            <w:tcW w:w="2932" w:type="dxa"/>
            <w:hideMark/>
          </w:tcPr>
          <w:p w14:paraId="09B8CE69" w14:textId="77777777" w:rsidR="0099440C" w:rsidRPr="00DA0571" w:rsidRDefault="0099440C" w:rsidP="00986700">
            <w:pPr>
              <w:rPr>
                <w:sz w:val="16"/>
                <w:szCs w:val="16"/>
              </w:rPr>
            </w:pPr>
          </w:p>
        </w:tc>
        <w:tc>
          <w:tcPr>
            <w:tcW w:w="3841" w:type="dxa"/>
            <w:hideMark/>
          </w:tcPr>
          <w:p w14:paraId="11D3573B" w14:textId="77777777" w:rsidR="0099440C" w:rsidRPr="00DA0571" w:rsidRDefault="0099440C" w:rsidP="00986700">
            <w:pPr>
              <w:rPr>
                <w:sz w:val="16"/>
                <w:szCs w:val="16"/>
              </w:rPr>
            </w:pPr>
            <w:r w:rsidRPr="00DA0571">
              <w:rPr>
                <w:sz w:val="16"/>
                <w:szCs w:val="16"/>
              </w:rPr>
              <w:t xml:space="preserve">Niveau de satisfaction des participants aux activités de sensibilisation du public et de promotion de l’OMPI </w:t>
            </w:r>
          </w:p>
        </w:tc>
        <w:tc>
          <w:tcPr>
            <w:tcW w:w="2427" w:type="dxa"/>
            <w:hideMark/>
          </w:tcPr>
          <w:p w14:paraId="73C6380A" w14:textId="77777777" w:rsidR="0099440C" w:rsidRPr="00DA0571" w:rsidRDefault="0099440C" w:rsidP="00986700">
            <w:pPr>
              <w:jc w:val="center"/>
              <w:rPr>
                <w:sz w:val="16"/>
                <w:szCs w:val="16"/>
              </w:rPr>
            </w:pPr>
            <w:r w:rsidRPr="00DA0571">
              <w:rPr>
                <w:sz w:val="16"/>
                <w:szCs w:val="16"/>
              </w:rPr>
              <w:t>Programme 4</w:t>
            </w:r>
          </w:p>
        </w:tc>
      </w:tr>
      <w:tr w:rsidR="0099440C" w:rsidRPr="00DA0571" w14:paraId="6DAD6911" w14:textId="77777777" w:rsidTr="00A861A4">
        <w:trPr>
          <w:cantSplit/>
        </w:trPr>
        <w:tc>
          <w:tcPr>
            <w:tcW w:w="2932" w:type="dxa"/>
            <w:hideMark/>
          </w:tcPr>
          <w:p w14:paraId="1ACC6F5C" w14:textId="77777777" w:rsidR="0099440C" w:rsidRPr="00DA0571" w:rsidRDefault="0099440C" w:rsidP="00986700">
            <w:pPr>
              <w:rPr>
                <w:sz w:val="16"/>
                <w:szCs w:val="16"/>
              </w:rPr>
            </w:pPr>
          </w:p>
        </w:tc>
        <w:tc>
          <w:tcPr>
            <w:tcW w:w="3841" w:type="dxa"/>
            <w:hideMark/>
          </w:tcPr>
          <w:p w14:paraId="2FD8D239" w14:textId="77777777" w:rsidR="0099440C" w:rsidRPr="00DA0571" w:rsidRDefault="0099440C" w:rsidP="00986700">
            <w:pPr>
              <w:rPr>
                <w:sz w:val="16"/>
                <w:szCs w:val="16"/>
              </w:rPr>
            </w:pPr>
            <w:r w:rsidRPr="00DA0571">
              <w:rPr>
                <w:sz w:val="16"/>
                <w:szCs w:val="16"/>
              </w:rPr>
              <w:t xml:space="preserve">Nombre de participants aux activités de formation et de renforcement des capacités dans les domaines des ressources génétiques, des savoirs traditionnels ou des expressions culturelles traditionnelles ayant obtenu un score de 50% ou plus à un court questionnaire de fond à choix multiples </w:t>
            </w:r>
          </w:p>
        </w:tc>
        <w:tc>
          <w:tcPr>
            <w:tcW w:w="2427" w:type="dxa"/>
            <w:hideMark/>
          </w:tcPr>
          <w:p w14:paraId="2C059838" w14:textId="77777777" w:rsidR="0099440C" w:rsidRPr="00DA0571" w:rsidRDefault="0099440C" w:rsidP="00986700">
            <w:pPr>
              <w:jc w:val="center"/>
              <w:rPr>
                <w:sz w:val="16"/>
                <w:szCs w:val="16"/>
              </w:rPr>
            </w:pPr>
            <w:r w:rsidRPr="00DA0571">
              <w:rPr>
                <w:sz w:val="16"/>
                <w:szCs w:val="16"/>
              </w:rPr>
              <w:t>Programme 4</w:t>
            </w:r>
          </w:p>
        </w:tc>
      </w:tr>
      <w:tr w:rsidR="0099440C" w:rsidRPr="00DA0571" w14:paraId="2131E463" w14:textId="77777777" w:rsidTr="00A861A4">
        <w:trPr>
          <w:cantSplit/>
        </w:trPr>
        <w:tc>
          <w:tcPr>
            <w:tcW w:w="2932" w:type="dxa"/>
            <w:hideMark/>
          </w:tcPr>
          <w:p w14:paraId="30A4B161" w14:textId="77777777" w:rsidR="0099440C" w:rsidRPr="00DA0571" w:rsidRDefault="0099440C" w:rsidP="00986700">
            <w:pPr>
              <w:rPr>
                <w:sz w:val="16"/>
                <w:szCs w:val="16"/>
              </w:rPr>
            </w:pPr>
          </w:p>
        </w:tc>
        <w:tc>
          <w:tcPr>
            <w:tcW w:w="3841" w:type="dxa"/>
            <w:hideMark/>
          </w:tcPr>
          <w:p w14:paraId="3935A7FC" w14:textId="77777777" w:rsidR="0099440C" w:rsidRPr="00DA0571" w:rsidRDefault="0099440C" w:rsidP="00986700">
            <w:pPr>
              <w:rPr>
                <w:sz w:val="16"/>
                <w:szCs w:val="16"/>
              </w:rPr>
            </w:pPr>
            <w:r w:rsidRPr="00DA0571">
              <w:rPr>
                <w:sz w:val="16"/>
                <w:szCs w:val="16"/>
              </w:rPr>
              <w:t>Pourcentage de participants à des manifestations de l’OMPI qui font part de leur satisfaction à l’égard du contenu et de l’organisation de ces manifestations</w:t>
            </w:r>
          </w:p>
        </w:tc>
        <w:tc>
          <w:tcPr>
            <w:tcW w:w="2427" w:type="dxa"/>
            <w:hideMark/>
          </w:tcPr>
          <w:p w14:paraId="5A7A4EE7" w14:textId="77777777" w:rsidR="0099440C" w:rsidRPr="00DA0571" w:rsidRDefault="0099440C" w:rsidP="00986700">
            <w:pPr>
              <w:jc w:val="center"/>
              <w:rPr>
                <w:sz w:val="16"/>
                <w:szCs w:val="16"/>
              </w:rPr>
            </w:pPr>
            <w:r w:rsidRPr="00DA0571">
              <w:rPr>
                <w:sz w:val="16"/>
                <w:szCs w:val="16"/>
              </w:rPr>
              <w:t>Programme 9</w:t>
            </w:r>
          </w:p>
        </w:tc>
      </w:tr>
      <w:tr w:rsidR="0099440C" w:rsidRPr="00DA0571" w14:paraId="5EC46984" w14:textId="77777777" w:rsidTr="00A861A4">
        <w:trPr>
          <w:cantSplit/>
        </w:trPr>
        <w:tc>
          <w:tcPr>
            <w:tcW w:w="2932" w:type="dxa"/>
            <w:hideMark/>
          </w:tcPr>
          <w:p w14:paraId="12137618" w14:textId="77777777" w:rsidR="0099440C" w:rsidRPr="00DA0571" w:rsidRDefault="0099440C" w:rsidP="00986700">
            <w:pPr>
              <w:rPr>
                <w:sz w:val="16"/>
                <w:szCs w:val="16"/>
              </w:rPr>
            </w:pPr>
          </w:p>
        </w:tc>
        <w:tc>
          <w:tcPr>
            <w:tcW w:w="3841" w:type="dxa"/>
            <w:hideMark/>
          </w:tcPr>
          <w:p w14:paraId="0FA63F2D" w14:textId="77777777" w:rsidR="0099440C" w:rsidRPr="00DA0571" w:rsidRDefault="0099440C" w:rsidP="00986700">
            <w:pPr>
              <w:rPr>
                <w:sz w:val="16"/>
                <w:szCs w:val="16"/>
              </w:rPr>
            </w:pPr>
            <w:r w:rsidRPr="00DA0571">
              <w:rPr>
                <w:sz w:val="16"/>
                <w:szCs w:val="16"/>
              </w:rPr>
              <w:t>Nombre de pays en transition ayant mis en place des programmes ou des cours de formation annuels en matière de propriété intellectuelle à l’intention de spécialistes de la propriété intellectuelle</w:t>
            </w:r>
          </w:p>
        </w:tc>
        <w:tc>
          <w:tcPr>
            <w:tcW w:w="2427" w:type="dxa"/>
            <w:hideMark/>
          </w:tcPr>
          <w:p w14:paraId="77D26D9F" w14:textId="77777777" w:rsidR="0099440C" w:rsidRPr="00DA0571" w:rsidRDefault="0099440C" w:rsidP="00986700">
            <w:pPr>
              <w:jc w:val="center"/>
              <w:rPr>
                <w:sz w:val="16"/>
                <w:szCs w:val="16"/>
              </w:rPr>
            </w:pPr>
            <w:r w:rsidRPr="00DA0571">
              <w:rPr>
                <w:sz w:val="16"/>
                <w:szCs w:val="16"/>
              </w:rPr>
              <w:t>Programme 10</w:t>
            </w:r>
          </w:p>
        </w:tc>
      </w:tr>
      <w:tr w:rsidR="0099440C" w:rsidRPr="00DA0571" w14:paraId="1B4E4295" w14:textId="77777777" w:rsidTr="00A861A4">
        <w:trPr>
          <w:cantSplit/>
        </w:trPr>
        <w:tc>
          <w:tcPr>
            <w:tcW w:w="2932" w:type="dxa"/>
            <w:hideMark/>
          </w:tcPr>
          <w:p w14:paraId="3010D76D" w14:textId="77777777" w:rsidR="0099440C" w:rsidRPr="00DA0571" w:rsidRDefault="0099440C" w:rsidP="00986700">
            <w:pPr>
              <w:rPr>
                <w:sz w:val="16"/>
                <w:szCs w:val="16"/>
              </w:rPr>
            </w:pPr>
          </w:p>
        </w:tc>
        <w:tc>
          <w:tcPr>
            <w:tcW w:w="3841" w:type="dxa"/>
            <w:hideMark/>
          </w:tcPr>
          <w:p w14:paraId="11254EB6" w14:textId="77777777" w:rsidR="0099440C" w:rsidRPr="00DA0571" w:rsidRDefault="0099440C" w:rsidP="00986700">
            <w:pPr>
              <w:rPr>
                <w:sz w:val="16"/>
                <w:szCs w:val="16"/>
              </w:rPr>
            </w:pPr>
            <w:r w:rsidRPr="00DA0571">
              <w:rPr>
                <w:sz w:val="16"/>
                <w:szCs w:val="16"/>
              </w:rPr>
              <w:t>Pourcentage de personnes ayant suivi une formation satisfaites des programmes de l’Académie de l’OMPI</w:t>
            </w:r>
          </w:p>
        </w:tc>
        <w:tc>
          <w:tcPr>
            <w:tcW w:w="2427" w:type="dxa"/>
            <w:hideMark/>
          </w:tcPr>
          <w:p w14:paraId="5F4954FC" w14:textId="77777777" w:rsidR="0099440C" w:rsidRPr="00DA0571" w:rsidRDefault="0099440C" w:rsidP="00986700">
            <w:pPr>
              <w:jc w:val="center"/>
              <w:rPr>
                <w:sz w:val="16"/>
                <w:szCs w:val="16"/>
              </w:rPr>
            </w:pPr>
            <w:r w:rsidRPr="00DA0571">
              <w:rPr>
                <w:sz w:val="16"/>
                <w:szCs w:val="16"/>
              </w:rPr>
              <w:t>Programme 11</w:t>
            </w:r>
          </w:p>
        </w:tc>
      </w:tr>
      <w:tr w:rsidR="0099440C" w:rsidRPr="00DA0571" w14:paraId="78C115FC" w14:textId="77777777" w:rsidTr="00A861A4">
        <w:trPr>
          <w:cantSplit/>
        </w:trPr>
        <w:tc>
          <w:tcPr>
            <w:tcW w:w="2932" w:type="dxa"/>
            <w:hideMark/>
          </w:tcPr>
          <w:p w14:paraId="245D0B59" w14:textId="77777777" w:rsidR="0099440C" w:rsidRPr="00DA0571" w:rsidRDefault="0099440C" w:rsidP="00986700">
            <w:pPr>
              <w:rPr>
                <w:sz w:val="16"/>
                <w:szCs w:val="16"/>
              </w:rPr>
            </w:pPr>
          </w:p>
        </w:tc>
        <w:tc>
          <w:tcPr>
            <w:tcW w:w="3841" w:type="dxa"/>
            <w:hideMark/>
          </w:tcPr>
          <w:p w14:paraId="2089182C" w14:textId="77777777" w:rsidR="0099440C" w:rsidRPr="00DA0571" w:rsidRDefault="0099440C" w:rsidP="00986700">
            <w:pPr>
              <w:rPr>
                <w:sz w:val="16"/>
                <w:szCs w:val="16"/>
              </w:rPr>
            </w:pPr>
            <w:r w:rsidRPr="00DA0571">
              <w:rPr>
                <w:sz w:val="16"/>
                <w:szCs w:val="16"/>
              </w:rPr>
              <w:t>Niveau de satisfaction des participants aux activités de formation et de renforcement des capacités de l’OMPI</w:t>
            </w:r>
          </w:p>
        </w:tc>
        <w:tc>
          <w:tcPr>
            <w:tcW w:w="2427" w:type="dxa"/>
            <w:hideMark/>
          </w:tcPr>
          <w:p w14:paraId="4671045C" w14:textId="77777777" w:rsidR="0099440C" w:rsidRPr="00DA0571" w:rsidRDefault="0099440C" w:rsidP="00986700">
            <w:pPr>
              <w:jc w:val="center"/>
              <w:rPr>
                <w:sz w:val="16"/>
                <w:szCs w:val="16"/>
              </w:rPr>
            </w:pPr>
            <w:r w:rsidRPr="00DA0571">
              <w:rPr>
                <w:sz w:val="16"/>
                <w:szCs w:val="16"/>
              </w:rPr>
              <w:t>Programme 17</w:t>
            </w:r>
          </w:p>
        </w:tc>
      </w:tr>
      <w:tr w:rsidR="0099440C" w:rsidRPr="00DA0571" w14:paraId="35CC5E04" w14:textId="77777777" w:rsidTr="00A861A4">
        <w:trPr>
          <w:cantSplit/>
        </w:trPr>
        <w:tc>
          <w:tcPr>
            <w:tcW w:w="2932" w:type="dxa"/>
            <w:hideMark/>
          </w:tcPr>
          <w:p w14:paraId="22755936" w14:textId="77777777" w:rsidR="0099440C" w:rsidRPr="00DA0571" w:rsidRDefault="0099440C" w:rsidP="00986700">
            <w:pPr>
              <w:rPr>
                <w:sz w:val="16"/>
                <w:szCs w:val="16"/>
              </w:rPr>
            </w:pPr>
          </w:p>
        </w:tc>
        <w:tc>
          <w:tcPr>
            <w:tcW w:w="3841" w:type="dxa"/>
            <w:hideMark/>
          </w:tcPr>
          <w:p w14:paraId="0AEC3F6B" w14:textId="77777777" w:rsidR="0099440C" w:rsidRPr="00DA0571" w:rsidRDefault="0099440C" w:rsidP="00986700">
            <w:pPr>
              <w:rPr>
                <w:sz w:val="16"/>
                <w:szCs w:val="16"/>
              </w:rPr>
            </w:pPr>
            <w:r w:rsidRPr="00DA0571">
              <w:rPr>
                <w:sz w:val="16"/>
                <w:szCs w:val="16"/>
              </w:rPr>
              <w:t>Nombre de dispositions prises pour l’hébergement de scientifiques de pays en développement</w:t>
            </w:r>
          </w:p>
        </w:tc>
        <w:tc>
          <w:tcPr>
            <w:tcW w:w="2427" w:type="dxa"/>
            <w:hideMark/>
          </w:tcPr>
          <w:p w14:paraId="24499456" w14:textId="77777777" w:rsidR="0099440C" w:rsidRPr="00DA0571" w:rsidRDefault="0099440C" w:rsidP="00986700">
            <w:pPr>
              <w:jc w:val="center"/>
              <w:rPr>
                <w:sz w:val="16"/>
                <w:szCs w:val="16"/>
              </w:rPr>
            </w:pPr>
            <w:r w:rsidRPr="00DA0571">
              <w:rPr>
                <w:sz w:val="16"/>
                <w:szCs w:val="16"/>
              </w:rPr>
              <w:t>Programme 18</w:t>
            </w:r>
          </w:p>
        </w:tc>
      </w:tr>
      <w:tr w:rsidR="0099440C" w:rsidRPr="00DA0571" w14:paraId="5B524B06" w14:textId="77777777" w:rsidTr="00A861A4">
        <w:trPr>
          <w:cantSplit/>
        </w:trPr>
        <w:tc>
          <w:tcPr>
            <w:tcW w:w="2932" w:type="dxa"/>
            <w:hideMark/>
          </w:tcPr>
          <w:p w14:paraId="7C3F90D2" w14:textId="77777777" w:rsidR="0099440C" w:rsidRPr="00DA0571" w:rsidRDefault="0099440C" w:rsidP="00986700">
            <w:pPr>
              <w:rPr>
                <w:sz w:val="16"/>
                <w:szCs w:val="16"/>
              </w:rPr>
            </w:pPr>
          </w:p>
        </w:tc>
        <w:tc>
          <w:tcPr>
            <w:tcW w:w="3841" w:type="dxa"/>
            <w:hideMark/>
          </w:tcPr>
          <w:p w14:paraId="2DA3D289" w14:textId="77777777" w:rsidR="0099440C" w:rsidRPr="00DA0571" w:rsidRDefault="0099440C" w:rsidP="00986700">
            <w:pPr>
              <w:rPr>
                <w:sz w:val="16"/>
                <w:szCs w:val="16"/>
              </w:rPr>
            </w:pPr>
            <w:r w:rsidRPr="00DA0571">
              <w:rPr>
                <w:sz w:val="16"/>
                <w:szCs w:val="16"/>
              </w:rPr>
              <w:t>Pourcentage de décideurs, de fonctionnaires gouvernementaux, de spécialistes de la propriété intellectuelle et d’autres groupes cibles, y compris les universités, les organisations de gestion collective et les journalistes ayant une meilleure connaissance des politiques en matière de propriété intellectuelle et des façons de mettre à profit le développement de la propriété intellectuelle</w:t>
            </w:r>
          </w:p>
        </w:tc>
        <w:tc>
          <w:tcPr>
            <w:tcW w:w="2427" w:type="dxa"/>
            <w:hideMark/>
          </w:tcPr>
          <w:p w14:paraId="00D08A32" w14:textId="77777777" w:rsidR="0099440C" w:rsidRPr="00DA0571" w:rsidRDefault="0099440C" w:rsidP="00986700">
            <w:pPr>
              <w:jc w:val="center"/>
              <w:rPr>
                <w:sz w:val="16"/>
                <w:szCs w:val="16"/>
              </w:rPr>
            </w:pPr>
            <w:r w:rsidRPr="00DA0571">
              <w:rPr>
                <w:sz w:val="16"/>
                <w:szCs w:val="16"/>
              </w:rPr>
              <w:t>Programme 20</w:t>
            </w:r>
          </w:p>
        </w:tc>
      </w:tr>
      <w:tr w:rsidR="0099440C" w:rsidRPr="00DA0571" w14:paraId="6288FD4B" w14:textId="77777777" w:rsidTr="00A861A4">
        <w:trPr>
          <w:cantSplit/>
        </w:trPr>
        <w:tc>
          <w:tcPr>
            <w:tcW w:w="2932" w:type="dxa"/>
            <w:hideMark/>
          </w:tcPr>
          <w:p w14:paraId="7F14FB1F" w14:textId="77777777" w:rsidR="0099440C" w:rsidRPr="00DA0571" w:rsidRDefault="0099440C" w:rsidP="00986700">
            <w:pPr>
              <w:rPr>
                <w:sz w:val="16"/>
                <w:szCs w:val="16"/>
              </w:rPr>
            </w:pPr>
          </w:p>
        </w:tc>
        <w:tc>
          <w:tcPr>
            <w:tcW w:w="3841" w:type="dxa"/>
            <w:hideMark/>
          </w:tcPr>
          <w:p w14:paraId="62F2C6AD" w14:textId="77777777" w:rsidR="0099440C" w:rsidRPr="00DA0571" w:rsidRDefault="0099440C" w:rsidP="00986700">
            <w:pPr>
              <w:rPr>
                <w:sz w:val="16"/>
                <w:szCs w:val="16"/>
              </w:rPr>
            </w:pPr>
            <w:r w:rsidRPr="00DA0571">
              <w:rPr>
                <w:sz w:val="16"/>
                <w:szCs w:val="16"/>
              </w:rPr>
              <w:t>Pourcentage de professionnels de la propriété intellectuelle ayant suivi une formation qui utilisent leurs compétences améliorées dans le cadre de leurs activités professionnelles</w:t>
            </w:r>
          </w:p>
        </w:tc>
        <w:tc>
          <w:tcPr>
            <w:tcW w:w="2427" w:type="dxa"/>
            <w:hideMark/>
          </w:tcPr>
          <w:p w14:paraId="16BCC2C7" w14:textId="77777777" w:rsidR="0099440C" w:rsidRPr="00DA0571" w:rsidRDefault="0099440C" w:rsidP="00986700">
            <w:pPr>
              <w:jc w:val="center"/>
              <w:rPr>
                <w:sz w:val="16"/>
                <w:szCs w:val="16"/>
              </w:rPr>
            </w:pPr>
            <w:r w:rsidRPr="00DA0571">
              <w:rPr>
                <w:sz w:val="16"/>
                <w:szCs w:val="16"/>
              </w:rPr>
              <w:t>Programme 30</w:t>
            </w:r>
          </w:p>
        </w:tc>
      </w:tr>
      <w:tr w:rsidR="0099440C" w:rsidRPr="00DA0571" w14:paraId="29799E5B" w14:textId="77777777" w:rsidTr="00A861A4">
        <w:trPr>
          <w:cantSplit/>
        </w:trPr>
        <w:tc>
          <w:tcPr>
            <w:tcW w:w="2932" w:type="dxa"/>
            <w:hideMark/>
          </w:tcPr>
          <w:p w14:paraId="3C6A1E82" w14:textId="77777777" w:rsidR="0099440C" w:rsidRPr="00DA0571" w:rsidRDefault="0099440C" w:rsidP="00986700">
            <w:pPr>
              <w:rPr>
                <w:sz w:val="16"/>
                <w:szCs w:val="16"/>
              </w:rPr>
            </w:pPr>
          </w:p>
        </w:tc>
        <w:tc>
          <w:tcPr>
            <w:tcW w:w="3841" w:type="dxa"/>
            <w:hideMark/>
          </w:tcPr>
          <w:p w14:paraId="4E212928" w14:textId="77777777" w:rsidR="0099440C" w:rsidRPr="00DA0571" w:rsidRDefault="0099440C" w:rsidP="00986700">
            <w:pPr>
              <w:rPr>
                <w:sz w:val="16"/>
                <w:szCs w:val="16"/>
              </w:rPr>
            </w:pPr>
            <w:r w:rsidRPr="00DA0571">
              <w:rPr>
                <w:sz w:val="16"/>
                <w:szCs w:val="16"/>
              </w:rPr>
              <w:t>Nombre d’utilisateurs consultant ou téléchargeant des publications, outils et ressources de l’OMPI en ligne ou sur papier en ce qui concerne la gestion du droit d’auteur dans les secteurs de la création</w:t>
            </w:r>
          </w:p>
        </w:tc>
        <w:tc>
          <w:tcPr>
            <w:tcW w:w="2427" w:type="dxa"/>
            <w:hideMark/>
          </w:tcPr>
          <w:p w14:paraId="6934CBC1" w14:textId="77777777" w:rsidR="0099440C" w:rsidRPr="00DA0571" w:rsidRDefault="0099440C" w:rsidP="00986700">
            <w:pPr>
              <w:jc w:val="center"/>
              <w:rPr>
                <w:sz w:val="16"/>
                <w:szCs w:val="16"/>
              </w:rPr>
            </w:pPr>
            <w:r w:rsidRPr="00DA0571">
              <w:rPr>
                <w:sz w:val="16"/>
                <w:szCs w:val="16"/>
              </w:rPr>
              <w:t>Programme 3</w:t>
            </w:r>
          </w:p>
        </w:tc>
      </w:tr>
      <w:tr w:rsidR="0099440C" w:rsidRPr="00DA0571" w14:paraId="208537FE" w14:textId="77777777" w:rsidTr="00A861A4">
        <w:trPr>
          <w:cantSplit/>
        </w:trPr>
        <w:tc>
          <w:tcPr>
            <w:tcW w:w="2932" w:type="dxa"/>
            <w:hideMark/>
          </w:tcPr>
          <w:p w14:paraId="39BCCA79" w14:textId="77777777" w:rsidR="0099440C" w:rsidRPr="00DA0571" w:rsidRDefault="0099440C" w:rsidP="00986700">
            <w:pPr>
              <w:rPr>
                <w:sz w:val="16"/>
                <w:szCs w:val="16"/>
              </w:rPr>
            </w:pPr>
          </w:p>
        </w:tc>
        <w:tc>
          <w:tcPr>
            <w:tcW w:w="3841" w:type="dxa"/>
            <w:hideMark/>
          </w:tcPr>
          <w:p w14:paraId="1AB04D64" w14:textId="77777777" w:rsidR="0099440C" w:rsidRPr="00DA0571" w:rsidRDefault="0099440C" w:rsidP="00986700">
            <w:pPr>
              <w:rPr>
                <w:sz w:val="16"/>
                <w:szCs w:val="16"/>
              </w:rPr>
            </w:pPr>
            <w:r w:rsidRPr="00DA0571">
              <w:rPr>
                <w:sz w:val="16"/>
                <w:szCs w:val="16"/>
              </w:rPr>
              <w:t>Nombre d’instituts de formation et d’institutions de propriété intellectuelle offrant des programmes de cours et des supports pédagogiques dans le domaine de propriété intellectuelle et du tourisme</w:t>
            </w:r>
          </w:p>
        </w:tc>
        <w:tc>
          <w:tcPr>
            <w:tcW w:w="2427" w:type="dxa"/>
            <w:hideMark/>
          </w:tcPr>
          <w:p w14:paraId="7895A91A" w14:textId="77777777" w:rsidR="0099440C" w:rsidRPr="00DA0571" w:rsidRDefault="0099440C" w:rsidP="00986700">
            <w:pPr>
              <w:jc w:val="center"/>
              <w:rPr>
                <w:sz w:val="16"/>
                <w:szCs w:val="16"/>
              </w:rPr>
            </w:pPr>
            <w:r w:rsidRPr="00DA0571">
              <w:rPr>
                <w:sz w:val="16"/>
                <w:szCs w:val="16"/>
              </w:rPr>
              <w:t>Programme 9</w:t>
            </w:r>
          </w:p>
        </w:tc>
      </w:tr>
      <w:tr w:rsidR="0099440C" w:rsidRPr="00DA0571" w14:paraId="137D8F6B" w14:textId="77777777" w:rsidTr="00A861A4">
        <w:trPr>
          <w:cantSplit/>
        </w:trPr>
        <w:tc>
          <w:tcPr>
            <w:tcW w:w="2932" w:type="dxa"/>
            <w:hideMark/>
          </w:tcPr>
          <w:p w14:paraId="31C1D42E" w14:textId="77777777" w:rsidR="0099440C" w:rsidRPr="00DA0571" w:rsidRDefault="0099440C" w:rsidP="00986700">
            <w:pPr>
              <w:rPr>
                <w:sz w:val="16"/>
                <w:szCs w:val="16"/>
              </w:rPr>
            </w:pPr>
          </w:p>
        </w:tc>
        <w:tc>
          <w:tcPr>
            <w:tcW w:w="3841" w:type="dxa"/>
            <w:hideMark/>
          </w:tcPr>
          <w:p w14:paraId="73F5B86F" w14:textId="77777777" w:rsidR="0099440C" w:rsidRPr="00DA0571" w:rsidRDefault="0099440C" w:rsidP="00986700">
            <w:pPr>
              <w:rPr>
                <w:sz w:val="16"/>
                <w:szCs w:val="16"/>
              </w:rPr>
            </w:pPr>
            <w:r w:rsidRPr="00DA0571">
              <w:rPr>
                <w:sz w:val="16"/>
                <w:szCs w:val="16"/>
              </w:rPr>
              <w:t>Pourcentage de participants à des ateliers de l’OMPI qui mettent en pratique, dans le cadre de leur travail ou de leur entreprise, les compétences acquises</w:t>
            </w:r>
          </w:p>
        </w:tc>
        <w:tc>
          <w:tcPr>
            <w:tcW w:w="2427" w:type="dxa"/>
            <w:hideMark/>
          </w:tcPr>
          <w:p w14:paraId="34B15E5B" w14:textId="77777777" w:rsidR="0099440C" w:rsidRPr="00DA0571" w:rsidRDefault="0099440C" w:rsidP="00986700">
            <w:pPr>
              <w:jc w:val="center"/>
              <w:rPr>
                <w:sz w:val="16"/>
                <w:szCs w:val="16"/>
              </w:rPr>
            </w:pPr>
            <w:r w:rsidRPr="00DA0571">
              <w:rPr>
                <w:sz w:val="16"/>
                <w:szCs w:val="16"/>
              </w:rPr>
              <w:t>Programme 9</w:t>
            </w:r>
          </w:p>
        </w:tc>
      </w:tr>
      <w:tr w:rsidR="0099440C" w:rsidRPr="00DA0571" w14:paraId="3AD61A88" w14:textId="77777777" w:rsidTr="00A861A4">
        <w:trPr>
          <w:cantSplit/>
        </w:trPr>
        <w:tc>
          <w:tcPr>
            <w:tcW w:w="2932" w:type="dxa"/>
            <w:hideMark/>
          </w:tcPr>
          <w:p w14:paraId="52F3C4DA" w14:textId="77777777" w:rsidR="0099440C" w:rsidRPr="00DA0571" w:rsidRDefault="0099440C" w:rsidP="00986700">
            <w:pPr>
              <w:rPr>
                <w:sz w:val="16"/>
                <w:szCs w:val="16"/>
              </w:rPr>
            </w:pPr>
          </w:p>
        </w:tc>
        <w:tc>
          <w:tcPr>
            <w:tcW w:w="3841" w:type="dxa"/>
            <w:hideMark/>
          </w:tcPr>
          <w:p w14:paraId="6CD3B5E3" w14:textId="77777777" w:rsidR="0099440C" w:rsidRPr="00DA0571" w:rsidRDefault="0099440C" w:rsidP="00986700">
            <w:pPr>
              <w:rPr>
                <w:sz w:val="16"/>
                <w:szCs w:val="16"/>
              </w:rPr>
            </w:pPr>
            <w:r w:rsidRPr="00DA0571">
              <w:rPr>
                <w:sz w:val="16"/>
                <w:szCs w:val="16"/>
              </w:rPr>
              <w:t>Pourcentage d’experts nationaux et régionaux en propriété intellectuelle invités en tant que spécialistes lors de manifestations de l’OMPI</w:t>
            </w:r>
          </w:p>
        </w:tc>
        <w:tc>
          <w:tcPr>
            <w:tcW w:w="2427" w:type="dxa"/>
            <w:hideMark/>
          </w:tcPr>
          <w:p w14:paraId="10F5A560" w14:textId="77777777" w:rsidR="0099440C" w:rsidRPr="00DA0571" w:rsidRDefault="0099440C" w:rsidP="00986700">
            <w:pPr>
              <w:jc w:val="center"/>
              <w:rPr>
                <w:sz w:val="16"/>
                <w:szCs w:val="16"/>
              </w:rPr>
            </w:pPr>
            <w:r w:rsidRPr="00DA0571">
              <w:rPr>
                <w:sz w:val="16"/>
                <w:szCs w:val="16"/>
              </w:rPr>
              <w:t>Programme 9</w:t>
            </w:r>
          </w:p>
        </w:tc>
      </w:tr>
      <w:tr w:rsidR="0099440C" w:rsidRPr="00DA0571" w14:paraId="6F1CE3A2" w14:textId="77777777" w:rsidTr="00A861A4">
        <w:trPr>
          <w:cantSplit/>
        </w:trPr>
        <w:tc>
          <w:tcPr>
            <w:tcW w:w="2932" w:type="dxa"/>
            <w:hideMark/>
          </w:tcPr>
          <w:p w14:paraId="42C4B843" w14:textId="77777777" w:rsidR="0099440C" w:rsidRPr="00DA0571" w:rsidRDefault="0099440C" w:rsidP="00986700">
            <w:pPr>
              <w:rPr>
                <w:sz w:val="16"/>
                <w:szCs w:val="16"/>
              </w:rPr>
            </w:pPr>
          </w:p>
        </w:tc>
        <w:tc>
          <w:tcPr>
            <w:tcW w:w="3841" w:type="dxa"/>
            <w:hideMark/>
          </w:tcPr>
          <w:p w14:paraId="0FDDA88D" w14:textId="77777777" w:rsidR="0099440C" w:rsidRPr="00DA0571" w:rsidRDefault="0099440C" w:rsidP="00986700">
            <w:pPr>
              <w:rPr>
                <w:sz w:val="16"/>
                <w:szCs w:val="16"/>
              </w:rPr>
            </w:pPr>
            <w:r w:rsidRPr="00DA0571">
              <w:rPr>
                <w:sz w:val="16"/>
                <w:szCs w:val="16"/>
              </w:rPr>
              <w:t>Pourcentage de professionnels et de fonctionnaires dans le domaine de la propriété intellectuelle ayant suivi une formation qui utilisent des compétences améliorées dans le cadre de leurs activités professionnelles</w:t>
            </w:r>
          </w:p>
        </w:tc>
        <w:tc>
          <w:tcPr>
            <w:tcW w:w="2427" w:type="dxa"/>
            <w:hideMark/>
          </w:tcPr>
          <w:p w14:paraId="4597E444" w14:textId="77777777" w:rsidR="0099440C" w:rsidRPr="00DA0571" w:rsidRDefault="0099440C" w:rsidP="00986700">
            <w:pPr>
              <w:jc w:val="center"/>
              <w:rPr>
                <w:sz w:val="16"/>
                <w:szCs w:val="16"/>
              </w:rPr>
            </w:pPr>
            <w:r w:rsidRPr="00DA0571">
              <w:rPr>
                <w:sz w:val="16"/>
                <w:szCs w:val="16"/>
              </w:rPr>
              <w:t>Programme 10</w:t>
            </w:r>
          </w:p>
        </w:tc>
      </w:tr>
      <w:tr w:rsidR="0099440C" w:rsidRPr="00DA0571" w14:paraId="56092045" w14:textId="77777777" w:rsidTr="00A861A4">
        <w:trPr>
          <w:cantSplit/>
        </w:trPr>
        <w:tc>
          <w:tcPr>
            <w:tcW w:w="2932" w:type="dxa"/>
            <w:hideMark/>
          </w:tcPr>
          <w:p w14:paraId="4255C360" w14:textId="77777777" w:rsidR="0099440C" w:rsidRPr="00DA0571" w:rsidRDefault="0099440C" w:rsidP="00986700">
            <w:pPr>
              <w:rPr>
                <w:sz w:val="16"/>
                <w:szCs w:val="16"/>
              </w:rPr>
            </w:pPr>
          </w:p>
        </w:tc>
        <w:tc>
          <w:tcPr>
            <w:tcW w:w="3841" w:type="dxa"/>
            <w:hideMark/>
          </w:tcPr>
          <w:p w14:paraId="6F350793" w14:textId="77777777" w:rsidR="0099440C" w:rsidRPr="00DA0571" w:rsidRDefault="0099440C" w:rsidP="00986700">
            <w:pPr>
              <w:rPr>
                <w:sz w:val="16"/>
                <w:szCs w:val="16"/>
              </w:rPr>
            </w:pPr>
            <w:r w:rsidRPr="00DA0571">
              <w:rPr>
                <w:sz w:val="16"/>
                <w:szCs w:val="16"/>
              </w:rPr>
              <w:t xml:space="preserve">Pourcentage de participants aux cours qui utilisent des connaissances nouvelles et des compétences améliorées en matière de propriété intellectuelle dans le cadre de leurs activités professionnelles </w:t>
            </w:r>
          </w:p>
        </w:tc>
        <w:tc>
          <w:tcPr>
            <w:tcW w:w="2427" w:type="dxa"/>
            <w:hideMark/>
          </w:tcPr>
          <w:p w14:paraId="60707A1A" w14:textId="77777777" w:rsidR="0099440C" w:rsidRPr="00DA0571" w:rsidRDefault="0099440C" w:rsidP="00986700">
            <w:pPr>
              <w:jc w:val="center"/>
              <w:rPr>
                <w:sz w:val="16"/>
                <w:szCs w:val="16"/>
              </w:rPr>
            </w:pPr>
            <w:r w:rsidRPr="00DA0571">
              <w:rPr>
                <w:sz w:val="16"/>
                <w:szCs w:val="16"/>
              </w:rPr>
              <w:t>Programme 11</w:t>
            </w:r>
          </w:p>
        </w:tc>
      </w:tr>
      <w:tr w:rsidR="0099440C" w:rsidRPr="00DA0571" w14:paraId="56F80C18" w14:textId="77777777" w:rsidTr="00A861A4">
        <w:trPr>
          <w:cantSplit/>
        </w:trPr>
        <w:tc>
          <w:tcPr>
            <w:tcW w:w="2932" w:type="dxa"/>
            <w:hideMark/>
          </w:tcPr>
          <w:p w14:paraId="3727D554" w14:textId="77777777" w:rsidR="0099440C" w:rsidRPr="00DA0571" w:rsidRDefault="0099440C" w:rsidP="00986700">
            <w:pPr>
              <w:rPr>
                <w:sz w:val="16"/>
                <w:szCs w:val="16"/>
              </w:rPr>
            </w:pPr>
          </w:p>
        </w:tc>
        <w:tc>
          <w:tcPr>
            <w:tcW w:w="3841" w:type="dxa"/>
            <w:hideMark/>
          </w:tcPr>
          <w:p w14:paraId="0E2FBE54" w14:textId="77777777" w:rsidR="0099440C" w:rsidRPr="00DA0571" w:rsidRDefault="0099440C" w:rsidP="00986700">
            <w:pPr>
              <w:rPr>
                <w:sz w:val="16"/>
                <w:szCs w:val="16"/>
              </w:rPr>
            </w:pPr>
            <w:r w:rsidRPr="00DA0571">
              <w:rPr>
                <w:sz w:val="16"/>
                <w:szCs w:val="16"/>
              </w:rPr>
              <w:t>Nombre et pourcentage de participants aux activités de formation et de renforcement des capacités provenant de bureaux de gestion de la technologie dans des universités ou des instituts de recherche ayant obtenu un score de 60% ou plus à un court questionnaire de fond à choix multiples</w:t>
            </w:r>
          </w:p>
        </w:tc>
        <w:tc>
          <w:tcPr>
            <w:tcW w:w="2427" w:type="dxa"/>
            <w:hideMark/>
          </w:tcPr>
          <w:p w14:paraId="58A54294" w14:textId="77777777" w:rsidR="0099440C" w:rsidRPr="00DA0571" w:rsidRDefault="0099440C" w:rsidP="00986700">
            <w:pPr>
              <w:jc w:val="center"/>
              <w:rPr>
                <w:sz w:val="16"/>
                <w:szCs w:val="16"/>
              </w:rPr>
            </w:pPr>
            <w:r w:rsidRPr="00DA0571">
              <w:rPr>
                <w:sz w:val="16"/>
                <w:szCs w:val="16"/>
              </w:rPr>
              <w:t>Programme 30</w:t>
            </w:r>
          </w:p>
        </w:tc>
      </w:tr>
      <w:tr w:rsidR="0099440C" w:rsidRPr="00DA0571" w14:paraId="1248C2E7" w14:textId="77777777" w:rsidTr="00A861A4">
        <w:trPr>
          <w:cantSplit/>
        </w:trPr>
        <w:tc>
          <w:tcPr>
            <w:tcW w:w="2932" w:type="dxa"/>
            <w:hideMark/>
          </w:tcPr>
          <w:p w14:paraId="04F4D6E1" w14:textId="77777777" w:rsidR="0099440C" w:rsidRPr="00DA0571" w:rsidRDefault="0099440C" w:rsidP="00986700">
            <w:pPr>
              <w:rPr>
                <w:sz w:val="16"/>
                <w:szCs w:val="16"/>
              </w:rPr>
            </w:pPr>
          </w:p>
        </w:tc>
        <w:tc>
          <w:tcPr>
            <w:tcW w:w="3841" w:type="dxa"/>
            <w:hideMark/>
          </w:tcPr>
          <w:p w14:paraId="3FE42744" w14:textId="77777777" w:rsidR="0099440C" w:rsidRPr="00DA0571" w:rsidRDefault="0099440C" w:rsidP="00986700">
            <w:pPr>
              <w:rPr>
                <w:sz w:val="16"/>
                <w:szCs w:val="16"/>
              </w:rPr>
            </w:pPr>
            <w:r w:rsidRPr="00DA0571">
              <w:rPr>
                <w:sz w:val="16"/>
                <w:szCs w:val="16"/>
              </w:rPr>
              <w:t>Nombre et pourcentage de participants aux activités de formation et de renforcement des capacités ayant obtenu un score de 60% ou plus à un court questionnaire de fond à choix multiples</w:t>
            </w:r>
          </w:p>
        </w:tc>
        <w:tc>
          <w:tcPr>
            <w:tcW w:w="2427" w:type="dxa"/>
            <w:hideMark/>
          </w:tcPr>
          <w:p w14:paraId="2EC33804" w14:textId="77777777" w:rsidR="0099440C" w:rsidRPr="00DA0571" w:rsidRDefault="0099440C" w:rsidP="00986700">
            <w:pPr>
              <w:jc w:val="center"/>
              <w:rPr>
                <w:sz w:val="16"/>
                <w:szCs w:val="16"/>
              </w:rPr>
            </w:pPr>
            <w:r w:rsidRPr="00DA0571">
              <w:rPr>
                <w:sz w:val="16"/>
                <w:szCs w:val="16"/>
              </w:rPr>
              <w:t>Programme 9</w:t>
            </w:r>
          </w:p>
        </w:tc>
      </w:tr>
      <w:tr w:rsidR="0099440C" w:rsidRPr="00DA0571" w14:paraId="080F3A9B" w14:textId="77777777" w:rsidTr="00A861A4">
        <w:trPr>
          <w:cantSplit/>
        </w:trPr>
        <w:tc>
          <w:tcPr>
            <w:tcW w:w="2932" w:type="dxa"/>
            <w:hideMark/>
          </w:tcPr>
          <w:p w14:paraId="0C69DC68" w14:textId="77777777" w:rsidR="0099440C" w:rsidRPr="00DA0571" w:rsidRDefault="0099440C" w:rsidP="00986700">
            <w:pPr>
              <w:rPr>
                <w:sz w:val="16"/>
                <w:szCs w:val="16"/>
              </w:rPr>
            </w:pPr>
          </w:p>
        </w:tc>
        <w:tc>
          <w:tcPr>
            <w:tcW w:w="3841" w:type="dxa"/>
            <w:hideMark/>
          </w:tcPr>
          <w:p w14:paraId="54393601" w14:textId="77777777" w:rsidR="0099440C" w:rsidRPr="00DA0571" w:rsidRDefault="0099440C" w:rsidP="00986700">
            <w:pPr>
              <w:rPr>
                <w:sz w:val="16"/>
                <w:szCs w:val="16"/>
              </w:rPr>
            </w:pPr>
            <w:r w:rsidRPr="00DA0571">
              <w:rPr>
                <w:sz w:val="16"/>
                <w:szCs w:val="16"/>
              </w:rPr>
              <w:t>Pourcentage des supérieurs hiérarchiques satisfaits de l’utilisation que font les fonctionnaires ayant suivi une formation de leurs connaissances et compétences améliorées en matière de propriété intellectuelle dans le cadre de leurs activités professionnelles</w:t>
            </w:r>
          </w:p>
        </w:tc>
        <w:tc>
          <w:tcPr>
            <w:tcW w:w="2427" w:type="dxa"/>
            <w:hideMark/>
          </w:tcPr>
          <w:p w14:paraId="31D9B55B" w14:textId="77777777" w:rsidR="0099440C" w:rsidRPr="00DA0571" w:rsidRDefault="0099440C" w:rsidP="00986700">
            <w:pPr>
              <w:jc w:val="center"/>
              <w:rPr>
                <w:sz w:val="16"/>
                <w:szCs w:val="16"/>
              </w:rPr>
            </w:pPr>
            <w:r w:rsidRPr="00DA0571">
              <w:rPr>
                <w:sz w:val="16"/>
                <w:szCs w:val="16"/>
              </w:rPr>
              <w:t>Programme 11</w:t>
            </w:r>
          </w:p>
        </w:tc>
      </w:tr>
      <w:tr w:rsidR="0099440C" w:rsidRPr="00DA0571" w14:paraId="72C85D3C" w14:textId="77777777" w:rsidTr="00A861A4">
        <w:trPr>
          <w:cantSplit/>
        </w:trPr>
        <w:tc>
          <w:tcPr>
            <w:tcW w:w="2932" w:type="dxa"/>
            <w:hideMark/>
          </w:tcPr>
          <w:p w14:paraId="4B47F7EB" w14:textId="77777777" w:rsidR="0099440C" w:rsidRPr="00DA0571" w:rsidRDefault="0099440C" w:rsidP="00986700">
            <w:pPr>
              <w:rPr>
                <w:sz w:val="16"/>
                <w:szCs w:val="16"/>
              </w:rPr>
            </w:pPr>
          </w:p>
        </w:tc>
        <w:tc>
          <w:tcPr>
            <w:tcW w:w="3841" w:type="dxa"/>
            <w:hideMark/>
          </w:tcPr>
          <w:p w14:paraId="22FEC146" w14:textId="77777777" w:rsidR="0099440C" w:rsidRPr="00DA0571" w:rsidRDefault="0099440C" w:rsidP="00986700">
            <w:pPr>
              <w:rPr>
                <w:sz w:val="16"/>
                <w:szCs w:val="16"/>
              </w:rPr>
            </w:pPr>
            <w:r w:rsidRPr="00DA0571">
              <w:rPr>
                <w:sz w:val="16"/>
                <w:szCs w:val="16"/>
              </w:rPr>
              <w:t>Pourcentage de participants aux activités de formation et de renforcement des capacités de l’OMPI provenant de bureaux de gestion de la technologie dans des universités ou des instituts de recherche qui utilisent des connaissances nouvelles et des compétences améliorées dans le cadre de leurs activités professionnelles</w:t>
            </w:r>
          </w:p>
        </w:tc>
        <w:tc>
          <w:tcPr>
            <w:tcW w:w="2427" w:type="dxa"/>
            <w:hideMark/>
          </w:tcPr>
          <w:p w14:paraId="2249582C" w14:textId="77777777" w:rsidR="0099440C" w:rsidRPr="00DA0571" w:rsidRDefault="0099440C" w:rsidP="00986700">
            <w:pPr>
              <w:jc w:val="center"/>
              <w:rPr>
                <w:sz w:val="16"/>
                <w:szCs w:val="16"/>
              </w:rPr>
            </w:pPr>
            <w:r w:rsidRPr="00DA0571">
              <w:rPr>
                <w:sz w:val="16"/>
                <w:szCs w:val="16"/>
              </w:rPr>
              <w:t>Programme 30</w:t>
            </w:r>
          </w:p>
        </w:tc>
      </w:tr>
      <w:tr w:rsidR="0099440C" w:rsidRPr="00DA0571" w14:paraId="0AD942F9" w14:textId="77777777" w:rsidTr="00A861A4">
        <w:trPr>
          <w:cantSplit/>
        </w:trPr>
        <w:tc>
          <w:tcPr>
            <w:tcW w:w="2932" w:type="dxa"/>
            <w:hideMark/>
          </w:tcPr>
          <w:p w14:paraId="0BADAB0E" w14:textId="77777777" w:rsidR="0099440C" w:rsidRPr="00DA0571" w:rsidRDefault="0099440C" w:rsidP="00986700">
            <w:pPr>
              <w:rPr>
                <w:sz w:val="16"/>
                <w:szCs w:val="16"/>
              </w:rPr>
            </w:pPr>
          </w:p>
        </w:tc>
        <w:tc>
          <w:tcPr>
            <w:tcW w:w="3841" w:type="dxa"/>
            <w:hideMark/>
          </w:tcPr>
          <w:p w14:paraId="2087ECEA" w14:textId="79590D55" w:rsidR="0099440C" w:rsidRPr="00DA0571" w:rsidRDefault="0099440C" w:rsidP="00986700">
            <w:pPr>
              <w:rPr>
                <w:sz w:val="16"/>
                <w:szCs w:val="16"/>
              </w:rPr>
            </w:pPr>
            <w:r w:rsidRPr="00DA0571">
              <w:rPr>
                <w:sz w:val="16"/>
                <w:szCs w:val="16"/>
              </w:rPr>
              <w:t>Nombre de pays participant à des projets de coopération Sud</w:t>
            </w:r>
            <w:r w:rsidR="00B441CA">
              <w:rPr>
                <w:sz w:val="16"/>
                <w:szCs w:val="16"/>
              </w:rPr>
              <w:noBreakHyphen/>
            </w:r>
            <w:r w:rsidRPr="00DA0571">
              <w:rPr>
                <w:sz w:val="16"/>
                <w:szCs w:val="16"/>
              </w:rPr>
              <w:t>Sud</w:t>
            </w:r>
          </w:p>
        </w:tc>
        <w:tc>
          <w:tcPr>
            <w:tcW w:w="2427" w:type="dxa"/>
            <w:hideMark/>
          </w:tcPr>
          <w:p w14:paraId="199882A9" w14:textId="77777777" w:rsidR="0099440C" w:rsidRPr="00DA0571" w:rsidRDefault="0099440C" w:rsidP="00986700">
            <w:pPr>
              <w:jc w:val="center"/>
              <w:rPr>
                <w:sz w:val="16"/>
                <w:szCs w:val="16"/>
              </w:rPr>
            </w:pPr>
            <w:r w:rsidRPr="00DA0571">
              <w:rPr>
                <w:sz w:val="16"/>
                <w:szCs w:val="16"/>
              </w:rPr>
              <w:t>Programme 9</w:t>
            </w:r>
          </w:p>
        </w:tc>
      </w:tr>
      <w:tr w:rsidR="0099440C" w:rsidRPr="00DA0571" w14:paraId="11C38C17" w14:textId="77777777" w:rsidTr="00A861A4">
        <w:trPr>
          <w:cantSplit/>
        </w:trPr>
        <w:tc>
          <w:tcPr>
            <w:tcW w:w="2932" w:type="dxa"/>
            <w:hideMark/>
          </w:tcPr>
          <w:p w14:paraId="4BEAF910" w14:textId="77777777" w:rsidR="0099440C" w:rsidRPr="00DA0571" w:rsidRDefault="0099440C" w:rsidP="00986700">
            <w:pPr>
              <w:rPr>
                <w:sz w:val="16"/>
                <w:szCs w:val="16"/>
              </w:rPr>
            </w:pPr>
          </w:p>
        </w:tc>
        <w:tc>
          <w:tcPr>
            <w:tcW w:w="3841" w:type="dxa"/>
            <w:hideMark/>
          </w:tcPr>
          <w:p w14:paraId="1061B3E8" w14:textId="77777777" w:rsidR="0099440C" w:rsidRPr="00DA0571" w:rsidRDefault="0099440C" w:rsidP="00986700">
            <w:pPr>
              <w:rPr>
                <w:sz w:val="16"/>
                <w:szCs w:val="16"/>
              </w:rPr>
            </w:pPr>
            <w:r w:rsidRPr="00DA0571">
              <w:rPr>
                <w:sz w:val="16"/>
                <w:szCs w:val="16"/>
              </w:rPr>
              <w:t xml:space="preserve">Pourcentage général d’hommes et de femmes participant aux cours de l’Académie de l’OMPI </w:t>
            </w:r>
          </w:p>
        </w:tc>
        <w:tc>
          <w:tcPr>
            <w:tcW w:w="2427" w:type="dxa"/>
            <w:hideMark/>
          </w:tcPr>
          <w:p w14:paraId="0F3F7DA3" w14:textId="77777777" w:rsidR="0099440C" w:rsidRPr="00DA0571" w:rsidRDefault="0099440C" w:rsidP="00986700">
            <w:pPr>
              <w:jc w:val="center"/>
              <w:rPr>
                <w:sz w:val="16"/>
                <w:szCs w:val="16"/>
              </w:rPr>
            </w:pPr>
            <w:r w:rsidRPr="00DA0571">
              <w:rPr>
                <w:sz w:val="16"/>
                <w:szCs w:val="16"/>
              </w:rPr>
              <w:t>Programme 11</w:t>
            </w:r>
          </w:p>
        </w:tc>
      </w:tr>
      <w:tr w:rsidR="0099440C" w:rsidRPr="00DA0571" w14:paraId="4818DB02" w14:textId="77777777" w:rsidTr="00A861A4">
        <w:trPr>
          <w:cantSplit/>
        </w:trPr>
        <w:tc>
          <w:tcPr>
            <w:tcW w:w="2932" w:type="dxa"/>
            <w:hideMark/>
          </w:tcPr>
          <w:p w14:paraId="15E218D6" w14:textId="77777777" w:rsidR="0099440C" w:rsidRPr="00DA0571" w:rsidRDefault="0099440C" w:rsidP="00986700">
            <w:pPr>
              <w:rPr>
                <w:sz w:val="16"/>
                <w:szCs w:val="16"/>
              </w:rPr>
            </w:pPr>
          </w:p>
        </w:tc>
        <w:tc>
          <w:tcPr>
            <w:tcW w:w="3841" w:type="dxa"/>
            <w:hideMark/>
          </w:tcPr>
          <w:p w14:paraId="1DDF925A" w14:textId="77777777" w:rsidR="0099440C" w:rsidRPr="00DA0571" w:rsidRDefault="0099440C" w:rsidP="00986700">
            <w:pPr>
              <w:rPr>
                <w:sz w:val="16"/>
                <w:szCs w:val="16"/>
              </w:rPr>
            </w:pPr>
            <w:r w:rsidRPr="00DA0571">
              <w:rPr>
                <w:sz w:val="16"/>
                <w:szCs w:val="16"/>
              </w:rPr>
              <w:t xml:space="preserve">Pourcentage d’augmentation du nombre de participants suivant les cours d’enseignement à distance de l’Académie </w:t>
            </w:r>
          </w:p>
        </w:tc>
        <w:tc>
          <w:tcPr>
            <w:tcW w:w="2427" w:type="dxa"/>
            <w:tcBorders>
              <w:left w:val="nil"/>
            </w:tcBorders>
            <w:hideMark/>
          </w:tcPr>
          <w:p w14:paraId="24FE3A8C" w14:textId="77777777" w:rsidR="0099440C" w:rsidRPr="00DA0571" w:rsidRDefault="0099440C" w:rsidP="00986700">
            <w:pPr>
              <w:jc w:val="center"/>
              <w:rPr>
                <w:sz w:val="16"/>
                <w:szCs w:val="16"/>
              </w:rPr>
            </w:pPr>
            <w:r w:rsidRPr="00DA0571">
              <w:rPr>
                <w:sz w:val="16"/>
                <w:szCs w:val="16"/>
              </w:rPr>
              <w:t>Programme 11</w:t>
            </w:r>
          </w:p>
        </w:tc>
      </w:tr>
      <w:tr w:rsidR="0099440C" w:rsidRPr="00DA0571" w14:paraId="6F5A4E24" w14:textId="77777777" w:rsidTr="00A861A4">
        <w:trPr>
          <w:cantSplit/>
        </w:trPr>
        <w:tc>
          <w:tcPr>
            <w:tcW w:w="2932" w:type="dxa"/>
            <w:hideMark/>
          </w:tcPr>
          <w:p w14:paraId="7C96C6DF" w14:textId="77777777" w:rsidR="0099440C" w:rsidRPr="00DA0571" w:rsidRDefault="0099440C" w:rsidP="00986700">
            <w:pPr>
              <w:rPr>
                <w:sz w:val="16"/>
                <w:szCs w:val="16"/>
              </w:rPr>
            </w:pPr>
          </w:p>
        </w:tc>
        <w:tc>
          <w:tcPr>
            <w:tcW w:w="3841" w:type="dxa"/>
            <w:tcMar>
              <w:top w:w="85" w:type="dxa"/>
              <w:bottom w:w="28" w:type="dxa"/>
            </w:tcMar>
            <w:hideMark/>
          </w:tcPr>
          <w:p w14:paraId="3F584F79" w14:textId="77777777" w:rsidR="0099440C" w:rsidRPr="00DA0571" w:rsidRDefault="0099440C" w:rsidP="00986700">
            <w:pPr>
              <w:rPr>
                <w:sz w:val="16"/>
                <w:szCs w:val="16"/>
              </w:rPr>
            </w:pPr>
            <w:r w:rsidRPr="00DA0571">
              <w:rPr>
                <w:sz w:val="16"/>
                <w:szCs w:val="16"/>
              </w:rPr>
              <w:t xml:space="preserve">Taux de réussite des examens pour les cours d’enseignement à distance de niveau avancé </w:t>
            </w:r>
          </w:p>
        </w:tc>
        <w:tc>
          <w:tcPr>
            <w:tcW w:w="2427" w:type="dxa"/>
            <w:tcBorders>
              <w:left w:val="nil"/>
            </w:tcBorders>
            <w:hideMark/>
          </w:tcPr>
          <w:p w14:paraId="39EDB58A" w14:textId="77777777" w:rsidR="0099440C" w:rsidRPr="00DA0571" w:rsidRDefault="0099440C" w:rsidP="00986700">
            <w:pPr>
              <w:jc w:val="center"/>
              <w:rPr>
                <w:sz w:val="16"/>
                <w:szCs w:val="16"/>
              </w:rPr>
            </w:pPr>
            <w:r w:rsidRPr="00DA0571">
              <w:rPr>
                <w:sz w:val="16"/>
                <w:szCs w:val="16"/>
              </w:rPr>
              <w:t>Programme 11</w:t>
            </w:r>
          </w:p>
        </w:tc>
      </w:tr>
      <w:tr w:rsidR="0099440C" w:rsidRPr="00DA0571" w14:paraId="07A96749" w14:textId="77777777" w:rsidTr="00A861A4">
        <w:trPr>
          <w:cantSplit/>
        </w:trPr>
        <w:tc>
          <w:tcPr>
            <w:tcW w:w="2932" w:type="dxa"/>
            <w:hideMark/>
          </w:tcPr>
          <w:p w14:paraId="7674A134" w14:textId="77777777" w:rsidR="0099440C" w:rsidRPr="00DA0571" w:rsidRDefault="0099440C" w:rsidP="00986700">
            <w:pPr>
              <w:rPr>
                <w:sz w:val="16"/>
                <w:szCs w:val="16"/>
              </w:rPr>
            </w:pPr>
          </w:p>
        </w:tc>
        <w:tc>
          <w:tcPr>
            <w:tcW w:w="3841" w:type="dxa"/>
            <w:hideMark/>
          </w:tcPr>
          <w:p w14:paraId="735937E8" w14:textId="77777777" w:rsidR="0099440C" w:rsidRPr="00DA0571" w:rsidRDefault="0099440C" w:rsidP="00986700">
            <w:pPr>
              <w:rPr>
                <w:sz w:val="16"/>
                <w:szCs w:val="16"/>
              </w:rPr>
            </w:pPr>
            <w:r w:rsidRPr="00DA0571">
              <w:rPr>
                <w:sz w:val="16"/>
                <w:szCs w:val="16"/>
              </w:rPr>
              <w:t>Nombre de nouvelles académies nationales créées devenues viables</w:t>
            </w:r>
          </w:p>
        </w:tc>
        <w:tc>
          <w:tcPr>
            <w:tcW w:w="2427" w:type="dxa"/>
            <w:tcBorders>
              <w:left w:val="nil"/>
            </w:tcBorders>
            <w:hideMark/>
          </w:tcPr>
          <w:p w14:paraId="40C2AE66" w14:textId="77777777" w:rsidR="0099440C" w:rsidRPr="00DA0571" w:rsidRDefault="0099440C" w:rsidP="00986700">
            <w:pPr>
              <w:jc w:val="center"/>
              <w:rPr>
                <w:sz w:val="16"/>
                <w:szCs w:val="16"/>
              </w:rPr>
            </w:pPr>
            <w:r w:rsidRPr="00DA0571">
              <w:rPr>
                <w:sz w:val="16"/>
                <w:szCs w:val="16"/>
              </w:rPr>
              <w:t>Programme 11</w:t>
            </w:r>
          </w:p>
        </w:tc>
      </w:tr>
      <w:tr w:rsidR="0099440C" w:rsidRPr="00DA0571" w14:paraId="041B8B82" w14:textId="77777777" w:rsidTr="00A861A4">
        <w:trPr>
          <w:cantSplit/>
        </w:trPr>
        <w:tc>
          <w:tcPr>
            <w:tcW w:w="2932" w:type="dxa"/>
            <w:hideMark/>
          </w:tcPr>
          <w:p w14:paraId="08EC0209" w14:textId="77777777" w:rsidR="0099440C" w:rsidRPr="00DA0571" w:rsidRDefault="0099440C" w:rsidP="00986700">
            <w:pPr>
              <w:rPr>
                <w:sz w:val="16"/>
                <w:szCs w:val="16"/>
              </w:rPr>
            </w:pPr>
            <w:r w:rsidRPr="00DA0571">
              <w:rPr>
                <w:sz w:val="16"/>
                <w:szCs w:val="16"/>
              </w:rPr>
              <w:t>III.3 Intégration des recommandations du Plan d’action pour le développement dans les travaux de l’OMPI</w:t>
            </w:r>
          </w:p>
        </w:tc>
        <w:tc>
          <w:tcPr>
            <w:tcW w:w="3841" w:type="dxa"/>
            <w:hideMark/>
          </w:tcPr>
          <w:p w14:paraId="6116D4AE" w14:textId="77777777" w:rsidR="0099440C" w:rsidRPr="00DA0571" w:rsidRDefault="0099440C" w:rsidP="00986700">
            <w:pPr>
              <w:rPr>
                <w:sz w:val="16"/>
                <w:szCs w:val="16"/>
              </w:rPr>
            </w:pPr>
            <w:r w:rsidRPr="00DA0571">
              <w:rPr>
                <w:sz w:val="16"/>
                <w:szCs w:val="16"/>
              </w:rPr>
              <w:t>Principes énoncés dans le Plan d’action pour le développement et activités relatives à la mise en œuvre de ce dernier intégrés dans les programmes de l’OMPI</w:t>
            </w:r>
          </w:p>
        </w:tc>
        <w:tc>
          <w:tcPr>
            <w:tcW w:w="2427" w:type="dxa"/>
            <w:tcBorders>
              <w:left w:val="nil"/>
            </w:tcBorders>
            <w:hideMark/>
          </w:tcPr>
          <w:p w14:paraId="43EA0701" w14:textId="77777777" w:rsidR="0099440C" w:rsidRPr="00DA0571" w:rsidRDefault="0099440C" w:rsidP="00986700">
            <w:pPr>
              <w:jc w:val="center"/>
              <w:rPr>
                <w:sz w:val="16"/>
                <w:szCs w:val="16"/>
              </w:rPr>
            </w:pPr>
            <w:r w:rsidRPr="00DA0571">
              <w:rPr>
                <w:sz w:val="16"/>
                <w:szCs w:val="16"/>
              </w:rPr>
              <w:t>Programme 8</w:t>
            </w:r>
          </w:p>
        </w:tc>
      </w:tr>
      <w:tr w:rsidR="0099440C" w:rsidRPr="00DA0571" w14:paraId="0AD63DA1" w14:textId="77777777" w:rsidTr="00A861A4">
        <w:trPr>
          <w:cantSplit/>
        </w:trPr>
        <w:tc>
          <w:tcPr>
            <w:tcW w:w="2932" w:type="dxa"/>
            <w:hideMark/>
          </w:tcPr>
          <w:p w14:paraId="2FC39B0C" w14:textId="77777777" w:rsidR="0099440C" w:rsidRPr="00DA0571" w:rsidRDefault="0099440C" w:rsidP="00986700">
            <w:pPr>
              <w:rPr>
                <w:sz w:val="16"/>
                <w:szCs w:val="16"/>
              </w:rPr>
            </w:pPr>
          </w:p>
        </w:tc>
        <w:tc>
          <w:tcPr>
            <w:tcW w:w="3841" w:type="dxa"/>
            <w:hideMark/>
          </w:tcPr>
          <w:p w14:paraId="7E1FE443" w14:textId="77777777" w:rsidR="0099440C" w:rsidRPr="00DA0571" w:rsidRDefault="0099440C" w:rsidP="00986700">
            <w:pPr>
              <w:rPr>
                <w:sz w:val="16"/>
                <w:szCs w:val="16"/>
              </w:rPr>
            </w:pPr>
            <w:r w:rsidRPr="00DA0571">
              <w:rPr>
                <w:sz w:val="16"/>
                <w:szCs w:val="16"/>
              </w:rPr>
              <w:t>Mise en œuvre effective des recommandations de l’examen indépendant du Plan d’action pour le développement, suivi de ces recommandations et présentation de rapports concernant les progrès au CDIP</w:t>
            </w:r>
          </w:p>
        </w:tc>
        <w:tc>
          <w:tcPr>
            <w:tcW w:w="2427" w:type="dxa"/>
            <w:hideMark/>
          </w:tcPr>
          <w:p w14:paraId="2884D46E" w14:textId="77777777" w:rsidR="0099440C" w:rsidRPr="00DA0571" w:rsidRDefault="0099440C" w:rsidP="00986700">
            <w:pPr>
              <w:jc w:val="center"/>
              <w:rPr>
                <w:sz w:val="16"/>
                <w:szCs w:val="16"/>
              </w:rPr>
            </w:pPr>
            <w:r w:rsidRPr="00DA0571">
              <w:rPr>
                <w:sz w:val="16"/>
                <w:szCs w:val="16"/>
              </w:rPr>
              <w:t>Programme 8</w:t>
            </w:r>
          </w:p>
        </w:tc>
      </w:tr>
      <w:tr w:rsidR="0099440C" w:rsidRPr="00DA0571" w14:paraId="5358C751" w14:textId="77777777" w:rsidTr="00A861A4">
        <w:trPr>
          <w:cantSplit/>
        </w:trPr>
        <w:tc>
          <w:tcPr>
            <w:tcW w:w="2932" w:type="dxa"/>
            <w:hideMark/>
          </w:tcPr>
          <w:p w14:paraId="58070FC5" w14:textId="77777777" w:rsidR="0099440C" w:rsidRPr="00DA0571" w:rsidRDefault="0099440C" w:rsidP="00986700">
            <w:pPr>
              <w:rPr>
                <w:sz w:val="16"/>
                <w:szCs w:val="16"/>
              </w:rPr>
            </w:pPr>
          </w:p>
        </w:tc>
        <w:tc>
          <w:tcPr>
            <w:tcW w:w="3841" w:type="dxa"/>
            <w:hideMark/>
          </w:tcPr>
          <w:p w14:paraId="21F4E0F2" w14:textId="77777777" w:rsidR="0099440C" w:rsidRPr="00DA0571" w:rsidRDefault="0099440C" w:rsidP="00986700">
            <w:pPr>
              <w:rPr>
                <w:sz w:val="16"/>
                <w:szCs w:val="16"/>
              </w:rPr>
            </w:pPr>
            <w:r w:rsidRPr="00DA0571">
              <w:rPr>
                <w:sz w:val="16"/>
                <w:szCs w:val="16"/>
              </w:rPr>
              <w:t>Mise en œuvre effective et présentation de rapports sur la décision du CDIP au sujet de l’étude extérieure sur l’assistance technique fournie par l’OMPI dans le domaine de la coopération pour le développement</w:t>
            </w:r>
          </w:p>
        </w:tc>
        <w:tc>
          <w:tcPr>
            <w:tcW w:w="2427" w:type="dxa"/>
            <w:hideMark/>
          </w:tcPr>
          <w:p w14:paraId="4A66585D" w14:textId="77777777" w:rsidR="0099440C" w:rsidRPr="00DA0571" w:rsidRDefault="0099440C" w:rsidP="00986700">
            <w:pPr>
              <w:jc w:val="center"/>
              <w:rPr>
                <w:sz w:val="16"/>
                <w:szCs w:val="16"/>
              </w:rPr>
            </w:pPr>
            <w:r w:rsidRPr="00DA0571">
              <w:rPr>
                <w:sz w:val="16"/>
                <w:szCs w:val="16"/>
              </w:rPr>
              <w:t>Programme 8</w:t>
            </w:r>
          </w:p>
        </w:tc>
      </w:tr>
      <w:tr w:rsidR="0099440C" w:rsidRPr="00DA0571" w14:paraId="5D71B25D" w14:textId="77777777" w:rsidTr="00A861A4">
        <w:trPr>
          <w:cantSplit/>
        </w:trPr>
        <w:tc>
          <w:tcPr>
            <w:tcW w:w="2932" w:type="dxa"/>
            <w:hideMark/>
          </w:tcPr>
          <w:p w14:paraId="0FE35EF9" w14:textId="77777777" w:rsidR="0099440C" w:rsidRPr="00DA0571" w:rsidRDefault="0099440C" w:rsidP="00986700">
            <w:pPr>
              <w:rPr>
                <w:sz w:val="16"/>
                <w:szCs w:val="16"/>
              </w:rPr>
            </w:pPr>
          </w:p>
        </w:tc>
        <w:tc>
          <w:tcPr>
            <w:tcW w:w="3841" w:type="dxa"/>
            <w:hideMark/>
          </w:tcPr>
          <w:p w14:paraId="20BF2331" w14:textId="77777777" w:rsidR="0099440C" w:rsidRPr="00DA0571" w:rsidRDefault="0099440C" w:rsidP="00986700">
            <w:pPr>
              <w:rPr>
                <w:sz w:val="16"/>
                <w:szCs w:val="16"/>
              </w:rPr>
            </w:pPr>
            <w:r w:rsidRPr="00DA0571">
              <w:rPr>
                <w:sz w:val="16"/>
                <w:szCs w:val="16"/>
              </w:rPr>
              <w:t>Poursuite de l’amélioration du mécanisme pour la création, la mise en œuvre, le suivi et l’évaluation des projets et activités relatifs au Plan d’action pour le développement</w:t>
            </w:r>
          </w:p>
        </w:tc>
        <w:tc>
          <w:tcPr>
            <w:tcW w:w="2427" w:type="dxa"/>
            <w:hideMark/>
          </w:tcPr>
          <w:p w14:paraId="5FB5D322" w14:textId="77777777" w:rsidR="0099440C" w:rsidRPr="00DA0571" w:rsidRDefault="0099440C" w:rsidP="00986700">
            <w:pPr>
              <w:jc w:val="center"/>
              <w:rPr>
                <w:sz w:val="16"/>
                <w:szCs w:val="16"/>
              </w:rPr>
            </w:pPr>
            <w:r w:rsidRPr="00DA0571">
              <w:rPr>
                <w:sz w:val="16"/>
                <w:szCs w:val="16"/>
              </w:rPr>
              <w:t>Programme 8</w:t>
            </w:r>
          </w:p>
        </w:tc>
      </w:tr>
      <w:tr w:rsidR="0099440C" w:rsidRPr="00DA0571" w14:paraId="2872A28F" w14:textId="77777777" w:rsidTr="00A861A4">
        <w:trPr>
          <w:cantSplit/>
        </w:trPr>
        <w:tc>
          <w:tcPr>
            <w:tcW w:w="2932" w:type="dxa"/>
            <w:hideMark/>
          </w:tcPr>
          <w:p w14:paraId="6DD49304" w14:textId="77777777" w:rsidR="0099440C" w:rsidRPr="00DA0571" w:rsidRDefault="0099440C" w:rsidP="00986700">
            <w:pPr>
              <w:rPr>
                <w:sz w:val="16"/>
                <w:szCs w:val="16"/>
              </w:rPr>
            </w:pPr>
          </w:p>
        </w:tc>
        <w:tc>
          <w:tcPr>
            <w:tcW w:w="3841" w:type="dxa"/>
            <w:hideMark/>
          </w:tcPr>
          <w:p w14:paraId="0F18FC9D" w14:textId="77777777" w:rsidR="0099440C" w:rsidRPr="00DA0571" w:rsidRDefault="0099440C" w:rsidP="00986700">
            <w:pPr>
              <w:rPr>
                <w:sz w:val="16"/>
                <w:szCs w:val="16"/>
              </w:rPr>
            </w:pPr>
            <w:r w:rsidRPr="00DA0571">
              <w:rPr>
                <w:sz w:val="16"/>
                <w:szCs w:val="16"/>
              </w:rPr>
              <w:t>Niveau de satisfaction des États membres à l’égard de la diffusion par l’OMPI des informations relatives au Plan d’action pour le développement et à sa mise en œuvre</w:t>
            </w:r>
          </w:p>
        </w:tc>
        <w:tc>
          <w:tcPr>
            <w:tcW w:w="2427" w:type="dxa"/>
            <w:hideMark/>
          </w:tcPr>
          <w:p w14:paraId="4C9FC5C3" w14:textId="77777777" w:rsidR="0099440C" w:rsidRPr="00DA0571" w:rsidRDefault="0099440C" w:rsidP="00986700">
            <w:pPr>
              <w:jc w:val="center"/>
              <w:rPr>
                <w:sz w:val="16"/>
                <w:szCs w:val="16"/>
              </w:rPr>
            </w:pPr>
            <w:r w:rsidRPr="00DA0571">
              <w:rPr>
                <w:sz w:val="16"/>
                <w:szCs w:val="16"/>
              </w:rPr>
              <w:t>Programme 8</w:t>
            </w:r>
          </w:p>
        </w:tc>
      </w:tr>
      <w:tr w:rsidR="0099440C" w:rsidRPr="00DA0571" w14:paraId="7F1A5337" w14:textId="77777777" w:rsidTr="00A861A4">
        <w:trPr>
          <w:cantSplit/>
        </w:trPr>
        <w:tc>
          <w:tcPr>
            <w:tcW w:w="2932" w:type="dxa"/>
            <w:vMerge w:val="restart"/>
            <w:hideMark/>
          </w:tcPr>
          <w:p w14:paraId="50D2FDD2" w14:textId="77777777" w:rsidR="0099440C" w:rsidRPr="00DA0571" w:rsidRDefault="0099440C" w:rsidP="00986700">
            <w:pPr>
              <w:rPr>
                <w:sz w:val="16"/>
                <w:szCs w:val="16"/>
              </w:rPr>
            </w:pPr>
            <w:r w:rsidRPr="00DA0571">
              <w:rPr>
                <w:sz w:val="16"/>
                <w:szCs w:val="16"/>
              </w:rPr>
              <w:t>III.4 Accords de coopération renforcés avec des institutions des pays en développement, PMA et pays en transition, adaptés aux besoins de ces pays</w:t>
            </w:r>
          </w:p>
        </w:tc>
        <w:tc>
          <w:tcPr>
            <w:tcW w:w="3841" w:type="dxa"/>
            <w:hideMark/>
          </w:tcPr>
          <w:p w14:paraId="49605221" w14:textId="77777777" w:rsidR="0099440C" w:rsidRPr="00DA0571" w:rsidRDefault="0099440C" w:rsidP="00986700">
            <w:pPr>
              <w:rPr>
                <w:sz w:val="16"/>
                <w:szCs w:val="16"/>
              </w:rPr>
            </w:pPr>
            <w:r w:rsidRPr="00DA0571">
              <w:rPr>
                <w:sz w:val="16"/>
                <w:szCs w:val="16"/>
              </w:rPr>
              <w:t>Nombre de pays ayant pris des mesures pour améliorer leurs capacités techniques ou pour moderniser leurs structures en matière de droit d’auteur ou de gestion collective afin de faciliter les échanges transfrontières.</w:t>
            </w:r>
          </w:p>
        </w:tc>
        <w:tc>
          <w:tcPr>
            <w:tcW w:w="2427" w:type="dxa"/>
            <w:hideMark/>
          </w:tcPr>
          <w:p w14:paraId="0F3BAAF6" w14:textId="77777777" w:rsidR="0099440C" w:rsidRPr="00DA0571" w:rsidRDefault="0099440C" w:rsidP="00986700">
            <w:pPr>
              <w:jc w:val="center"/>
              <w:rPr>
                <w:sz w:val="16"/>
                <w:szCs w:val="16"/>
              </w:rPr>
            </w:pPr>
            <w:r w:rsidRPr="00DA0571">
              <w:rPr>
                <w:sz w:val="16"/>
                <w:szCs w:val="16"/>
              </w:rPr>
              <w:t>Programme 3</w:t>
            </w:r>
          </w:p>
        </w:tc>
      </w:tr>
      <w:tr w:rsidR="0099440C" w:rsidRPr="00DA0571" w14:paraId="129177C8" w14:textId="77777777" w:rsidTr="00A861A4">
        <w:trPr>
          <w:cantSplit/>
        </w:trPr>
        <w:tc>
          <w:tcPr>
            <w:tcW w:w="2932" w:type="dxa"/>
            <w:vMerge/>
            <w:hideMark/>
          </w:tcPr>
          <w:p w14:paraId="2FF7597F" w14:textId="77777777" w:rsidR="0099440C" w:rsidRPr="00DA0571" w:rsidRDefault="0099440C" w:rsidP="00986700">
            <w:pPr>
              <w:rPr>
                <w:sz w:val="16"/>
                <w:szCs w:val="16"/>
              </w:rPr>
            </w:pPr>
          </w:p>
        </w:tc>
        <w:tc>
          <w:tcPr>
            <w:tcW w:w="3841" w:type="dxa"/>
            <w:hideMark/>
          </w:tcPr>
          <w:p w14:paraId="3F3121FF" w14:textId="77777777" w:rsidR="0099440C" w:rsidRPr="00DA0571" w:rsidRDefault="0099440C" w:rsidP="00986700">
            <w:pPr>
              <w:rPr>
                <w:sz w:val="16"/>
                <w:szCs w:val="16"/>
              </w:rPr>
            </w:pPr>
            <w:r w:rsidRPr="00DA0571">
              <w:rPr>
                <w:sz w:val="16"/>
                <w:szCs w:val="16"/>
              </w:rPr>
              <w:t>Nombre de correspondances obtenues à travers WIPO Match</w:t>
            </w:r>
          </w:p>
        </w:tc>
        <w:tc>
          <w:tcPr>
            <w:tcW w:w="2427" w:type="dxa"/>
            <w:hideMark/>
          </w:tcPr>
          <w:p w14:paraId="5AF20AB4" w14:textId="77777777" w:rsidR="0099440C" w:rsidRPr="00DA0571" w:rsidRDefault="0099440C" w:rsidP="00986700">
            <w:pPr>
              <w:jc w:val="center"/>
              <w:rPr>
                <w:sz w:val="16"/>
                <w:szCs w:val="16"/>
              </w:rPr>
            </w:pPr>
            <w:r w:rsidRPr="00DA0571">
              <w:rPr>
                <w:sz w:val="16"/>
                <w:szCs w:val="16"/>
              </w:rPr>
              <w:t>Programme 9</w:t>
            </w:r>
          </w:p>
        </w:tc>
      </w:tr>
      <w:tr w:rsidR="0099440C" w:rsidRPr="00DA0571" w14:paraId="7D7F3B47" w14:textId="77777777" w:rsidTr="00A861A4">
        <w:trPr>
          <w:cantSplit/>
        </w:trPr>
        <w:tc>
          <w:tcPr>
            <w:tcW w:w="2932" w:type="dxa"/>
            <w:hideMark/>
          </w:tcPr>
          <w:p w14:paraId="71ACE5B5" w14:textId="77777777" w:rsidR="0099440C" w:rsidRPr="00DA0571" w:rsidRDefault="0099440C" w:rsidP="00986700">
            <w:pPr>
              <w:rPr>
                <w:sz w:val="16"/>
                <w:szCs w:val="16"/>
              </w:rPr>
            </w:pPr>
          </w:p>
        </w:tc>
        <w:tc>
          <w:tcPr>
            <w:tcW w:w="3841" w:type="dxa"/>
            <w:hideMark/>
          </w:tcPr>
          <w:p w14:paraId="10F5377C" w14:textId="77777777" w:rsidR="0099440C" w:rsidRPr="00DA0571" w:rsidRDefault="0099440C" w:rsidP="00986700">
            <w:pPr>
              <w:rPr>
                <w:sz w:val="16"/>
                <w:szCs w:val="16"/>
              </w:rPr>
            </w:pPr>
            <w:r w:rsidRPr="00DA0571">
              <w:rPr>
                <w:sz w:val="16"/>
                <w:szCs w:val="16"/>
              </w:rPr>
              <w:t>Nombre d’accords conclus avec des institutions dans les pays en développement et les PMA afin de promouvoir l’utilisation efficace des systèmes de propriété intellectuelle</w:t>
            </w:r>
          </w:p>
        </w:tc>
        <w:tc>
          <w:tcPr>
            <w:tcW w:w="2427" w:type="dxa"/>
            <w:hideMark/>
          </w:tcPr>
          <w:p w14:paraId="2A5E44B9" w14:textId="77777777" w:rsidR="0099440C" w:rsidRPr="00DA0571" w:rsidRDefault="0099440C" w:rsidP="00986700">
            <w:pPr>
              <w:jc w:val="center"/>
              <w:rPr>
                <w:sz w:val="16"/>
                <w:szCs w:val="16"/>
              </w:rPr>
            </w:pPr>
            <w:r w:rsidRPr="00DA0571">
              <w:rPr>
                <w:sz w:val="16"/>
                <w:szCs w:val="16"/>
              </w:rPr>
              <w:t>Programme 9</w:t>
            </w:r>
          </w:p>
        </w:tc>
      </w:tr>
      <w:tr w:rsidR="0099440C" w:rsidRPr="00DA0571" w14:paraId="2FF57874" w14:textId="77777777" w:rsidTr="00A861A4">
        <w:trPr>
          <w:cantSplit/>
        </w:trPr>
        <w:tc>
          <w:tcPr>
            <w:tcW w:w="2932" w:type="dxa"/>
            <w:hideMark/>
          </w:tcPr>
          <w:p w14:paraId="15121D57" w14:textId="77777777" w:rsidR="0099440C" w:rsidRPr="00DA0571" w:rsidRDefault="0099440C" w:rsidP="00986700">
            <w:pPr>
              <w:rPr>
                <w:sz w:val="16"/>
                <w:szCs w:val="16"/>
              </w:rPr>
            </w:pPr>
          </w:p>
        </w:tc>
        <w:tc>
          <w:tcPr>
            <w:tcW w:w="3841" w:type="dxa"/>
            <w:hideMark/>
          </w:tcPr>
          <w:p w14:paraId="72FC4089" w14:textId="77777777" w:rsidR="0099440C" w:rsidRPr="00DA0571" w:rsidRDefault="0099440C" w:rsidP="00986700">
            <w:pPr>
              <w:rPr>
                <w:sz w:val="16"/>
                <w:szCs w:val="16"/>
              </w:rPr>
            </w:pPr>
            <w:r w:rsidRPr="00DA0571">
              <w:rPr>
                <w:sz w:val="16"/>
                <w:szCs w:val="16"/>
              </w:rPr>
              <w:t>Nombre de partenariats établis</w:t>
            </w:r>
          </w:p>
        </w:tc>
        <w:tc>
          <w:tcPr>
            <w:tcW w:w="2427" w:type="dxa"/>
            <w:hideMark/>
          </w:tcPr>
          <w:p w14:paraId="5244AEDF" w14:textId="77777777" w:rsidR="0099440C" w:rsidRPr="00DA0571" w:rsidRDefault="0099440C" w:rsidP="00986700">
            <w:pPr>
              <w:jc w:val="center"/>
              <w:rPr>
                <w:sz w:val="16"/>
                <w:szCs w:val="16"/>
              </w:rPr>
            </w:pPr>
            <w:r w:rsidRPr="00DA0571">
              <w:rPr>
                <w:sz w:val="16"/>
                <w:szCs w:val="16"/>
              </w:rPr>
              <w:t>Programme 10</w:t>
            </w:r>
          </w:p>
        </w:tc>
      </w:tr>
      <w:tr w:rsidR="00A861A4" w:rsidRPr="00DA0571" w14:paraId="705344BC" w14:textId="77777777" w:rsidTr="00A861A4">
        <w:trPr>
          <w:cantSplit/>
        </w:trPr>
        <w:tc>
          <w:tcPr>
            <w:tcW w:w="2932" w:type="dxa"/>
            <w:hideMark/>
          </w:tcPr>
          <w:p w14:paraId="771AD301" w14:textId="77777777" w:rsidR="00A861A4" w:rsidRPr="00DA0571" w:rsidRDefault="00A861A4" w:rsidP="00986700">
            <w:pPr>
              <w:rPr>
                <w:sz w:val="16"/>
                <w:szCs w:val="16"/>
              </w:rPr>
            </w:pPr>
            <w:r w:rsidRPr="00DA0571">
              <w:rPr>
                <w:sz w:val="16"/>
                <w:szCs w:val="16"/>
              </w:rPr>
              <w:t>III.6 Renforcement des capacités des PME, des universités et des instituts de recherche s’agissant de mettre la propriété intellectuelle au service de l’innovation</w:t>
            </w:r>
          </w:p>
        </w:tc>
        <w:tc>
          <w:tcPr>
            <w:tcW w:w="3841" w:type="dxa"/>
            <w:hideMark/>
          </w:tcPr>
          <w:p w14:paraId="5B1DB789" w14:textId="77777777" w:rsidR="00A861A4" w:rsidRPr="00DA0571" w:rsidRDefault="00A861A4" w:rsidP="00986700">
            <w:pPr>
              <w:rPr>
                <w:sz w:val="16"/>
                <w:szCs w:val="16"/>
              </w:rPr>
            </w:pPr>
            <w:r w:rsidRPr="00DA0571">
              <w:rPr>
                <w:sz w:val="16"/>
                <w:szCs w:val="16"/>
              </w:rPr>
              <w:t>Nombre d’universités ou d’instituts de recherche ayant élaboré ou amélioré leurs politiques en matière de propriété intellectuelle</w:t>
            </w:r>
          </w:p>
        </w:tc>
        <w:tc>
          <w:tcPr>
            <w:tcW w:w="2427" w:type="dxa"/>
            <w:hideMark/>
          </w:tcPr>
          <w:p w14:paraId="6DB6D13F" w14:textId="77777777" w:rsidR="00A861A4" w:rsidRDefault="00A861A4" w:rsidP="00986700">
            <w:pPr>
              <w:jc w:val="center"/>
              <w:rPr>
                <w:sz w:val="16"/>
                <w:szCs w:val="16"/>
              </w:rPr>
            </w:pPr>
            <w:r w:rsidRPr="00DA0571">
              <w:rPr>
                <w:sz w:val="16"/>
                <w:szCs w:val="16"/>
              </w:rPr>
              <w:t>Programme 9</w:t>
            </w:r>
          </w:p>
          <w:p w14:paraId="1E16EB72" w14:textId="50F74B1C" w:rsidR="00A861A4" w:rsidRPr="00DA0571" w:rsidRDefault="00A861A4" w:rsidP="00A861A4">
            <w:pPr>
              <w:jc w:val="center"/>
              <w:rPr>
                <w:sz w:val="16"/>
                <w:szCs w:val="16"/>
              </w:rPr>
            </w:pPr>
            <w:r w:rsidRPr="00DA0571">
              <w:rPr>
                <w:sz w:val="16"/>
                <w:szCs w:val="16"/>
              </w:rPr>
              <w:t>Programme 30</w:t>
            </w:r>
          </w:p>
        </w:tc>
      </w:tr>
      <w:tr w:rsidR="00A861A4" w:rsidRPr="00DA0571" w14:paraId="550D9322" w14:textId="77777777" w:rsidTr="00A861A4">
        <w:trPr>
          <w:cantSplit/>
        </w:trPr>
        <w:tc>
          <w:tcPr>
            <w:tcW w:w="2932" w:type="dxa"/>
            <w:hideMark/>
          </w:tcPr>
          <w:p w14:paraId="51B24244" w14:textId="77777777" w:rsidR="00A861A4" w:rsidRPr="00DA0571" w:rsidRDefault="00A861A4" w:rsidP="00986700">
            <w:pPr>
              <w:rPr>
                <w:sz w:val="16"/>
                <w:szCs w:val="16"/>
              </w:rPr>
            </w:pPr>
          </w:p>
        </w:tc>
        <w:tc>
          <w:tcPr>
            <w:tcW w:w="3841" w:type="dxa"/>
            <w:hideMark/>
          </w:tcPr>
          <w:p w14:paraId="3EA50059" w14:textId="77777777" w:rsidR="00A861A4" w:rsidRPr="00DA0571" w:rsidRDefault="00A861A4" w:rsidP="00986700">
            <w:pPr>
              <w:rPr>
                <w:sz w:val="16"/>
                <w:szCs w:val="16"/>
              </w:rPr>
            </w:pPr>
            <w:r w:rsidRPr="00DA0571">
              <w:rPr>
                <w:sz w:val="16"/>
                <w:szCs w:val="16"/>
              </w:rPr>
              <w:t xml:space="preserve">Nombre de pays dans lesquels des politiques en matière de propriété intellectuelle ont été élaborées ou adoptées en faveur des institutions d’appui aux PME </w:t>
            </w:r>
          </w:p>
        </w:tc>
        <w:tc>
          <w:tcPr>
            <w:tcW w:w="2427" w:type="dxa"/>
            <w:hideMark/>
          </w:tcPr>
          <w:p w14:paraId="46114593" w14:textId="77777777" w:rsidR="00A861A4" w:rsidRDefault="00A861A4" w:rsidP="00986700">
            <w:pPr>
              <w:jc w:val="center"/>
              <w:rPr>
                <w:sz w:val="16"/>
                <w:szCs w:val="16"/>
              </w:rPr>
            </w:pPr>
            <w:r w:rsidRPr="00DA0571">
              <w:rPr>
                <w:sz w:val="16"/>
                <w:szCs w:val="16"/>
              </w:rPr>
              <w:t>Programme 9</w:t>
            </w:r>
          </w:p>
          <w:p w14:paraId="5B0B2169" w14:textId="604C615A" w:rsidR="00A861A4" w:rsidRPr="00DA0571" w:rsidRDefault="00A861A4" w:rsidP="00A861A4">
            <w:pPr>
              <w:jc w:val="center"/>
              <w:rPr>
                <w:sz w:val="16"/>
                <w:szCs w:val="16"/>
              </w:rPr>
            </w:pPr>
            <w:r w:rsidRPr="00DA0571">
              <w:rPr>
                <w:sz w:val="16"/>
                <w:szCs w:val="16"/>
              </w:rPr>
              <w:t>Programme 30</w:t>
            </w:r>
          </w:p>
        </w:tc>
      </w:tr>
      <w:tr w:rsidR="0099440C" w:rsidRPr="00DA0571" w14:paraId="2DEEA081" w14:textId="77777777" w:rsidTr="00A861A4">
        <w:trPr>
          <w:cantSplit/>
        </w:trPr>
        <w:tc>
          <w:tcPr>
            <w:tcW w:w="2932" w:type="dxa"/>
            <w:hideMark/>
          </w:tcPr>
          <w:p w14:paraId="06F29E1E" w14:textId="77777777" w:rsidR="0099440C" w:rsidRPr="00DA0571" w:rsidRDefault="0099440C" w:rsidP="00986700">
            <w:pPr>
              <w:rPr>
                <w:sz w:val="16"/>
                <w:szCs w:val="16"/>
              </w:rPr>
            </w:pPr>
          </w:p>
        </w:tc>
        <w:tc>
          <w:tcPr>
            <w:tcW w:w="3841" w:type="dxa"/>
            <w:hideMark/>
          </w:tcPr>
          <w:p w14:paraId="24A8A32A" w14:textId="77777777" w:rsidR="0099440C" w:rsidRPr="00DA0571" w:rsidRDefault="0099440C" w:rsidP="00986700">
            <w:pPr>
              <w:rPr>
                <w:sz w:val="16"/>
                <w:szCs w:val="16"/>
              </w:rPr>
            </w:pPr>
            <w:r w:rsidRPr="00DA0571">
              <w:rPr>
                <w:sz w:val="16"/>
                <w:szCs w:val="16"/>
              </w:rPr>
              <w:t xml:space="preserve">Niveau de satisfaction des participants aux activités de formation et de renforcement des capacités de l’OMPI visant les institutions d’appui aux PME </w:t>
            </w:r>
          </w:p>
        </w:tc>
        <w:tc>
          <w:tcPr>
            <w:tcW w:w="2427" w:type="dxa"/>
            <w:hideMark/>
          </w:tcPr>
          <w:p w14:paraId="748859EC" w14:textId="77777777" w:rsidR="0099440C" w:rsidRPr="00DA0571" w:rsidRDefault="0099440C" w:rsidP="00986700">
            <w:pPr>
              <w:jc w:val="center"/>
              <w:rPr>
                <w:sz w:val="16"/>
                <w:szCs w:val="16"/>
              </w:rPr>
            </w:pPr>
            <w:r w:rsidRPr="00DA0571">
              <w:rPr>
                <w:sz w:val="16"/>
                <w:szCs w:val="16"/>
              </w:rPr>
              <w:t>Programme 30</w:t>
            </w:r>
          </w:p>
        </w:tc>
      </w:tr>
      <w:tr w:rsidR="0099440C" w:rsidRPr="00DA0571" w14:paraId="24F05011" w14:textId="77777777" w:rsidTr="00A861A4">
        <w:trPr>
          <w:cantSplit/>
        </w:trPr>
        <w:tc>
          <w:tcPr>
            <w:tcW w:w="2932" w:type="dxa"/>
            <w:hideMark/>
          </w:tcPr>
          <w:p w14:paraId="369052C0" w14:textId="77777777" w:rsidR="0099440C" w:rsidRPr="00DA0571" w:rsidRDefault="0099440C" w:rsidP="00986700">
            <w:pPr>
              <w:rPr>
                <w:sz w:val="16"/>
                <w:szCs w:val="16"/>
              </w:rPr>
            </w:pPr>
          </w:p>
        </w:tc>
        <w:tc>
          <w:tcPr>
            <w:tcW w:w="3841" w:type="dxa"/>
            <w:hideMark/>
          </w:tcPr>
          <w:p w14:paraId="59C35A14" w14:textId="77777777" w:rsidR="0099440C" w:rsidRPr="00DA0571" w:rsidRDefault="0099440C" w:rsidP="00986700">
            <w:pPr>
              <w:rPr>
                <w:sz w:val="16"/>
                <w:szCs w:val="16"/>
              </w:rPr>
            </w:pPr>
            <w:r w:rsidRPr="00DA0571">
              <w:rPr>
                <w:sz w:val="16"/>
                <w:szCs w:val="16"/>
              </w:rPr>
              <w:t>Pourcentage d’institutions d’appui aux PME ayant suivi une formation qui dispensent des programmes de formation et des services d’orientation sur la gestion des actifs de propriété intellectuelle</w:t>
            </w:r>
          </w:p>
        </w:tc>
        <w:tc>
          <w:tcPr>
            <w:tcW w:w="2427" w:type="dxa"/>
            <w:hideMark/>
          </w:tcPr>
          <w:p w14:paraId="3663924C" w14:textId="77777777" w:rsidR="0099440C" w:rsidRPr="00DA0571" w:rsidRDefault="0099440C" w:rsidP="00986700">
            <w:pPr>
              <w:jc w:val="center"/>
              <w:rPr>
                <w:sz w:val="16"/>
                <w:szCs w:val="16"/>
              </w:rPr>
            </w:pPr>
            <w:r w:rsidRPr="00DA0571">
              <w:rPr>
                <w:sz w:val="16"/>
                <w:szCs w:val="16"/>
              </w:rPr>
              <w:t>Programme 30</w:t>
            </w:r>
          </w:p>
        </w:tc>
      </w:tr>
      <w:tr w:rsidR="0099440C" w:rsidRPr="00DA0571" w14:paraId="5F5EA804" w14:textId="77777777" w:rsidTr="00A861A4">
        <w:trPr>
          <w:cantSplit/>
        </w:trPr>
        <w:tc>
          <w:tcPr>
            <w:tcW w:w="2932" w:type="dxa"/>
            <w:hideMark/>
          </w:tcPr>
          <w:p w14:paraId="323C6994" w14:textId="77777777" w:rsidR="0099440C" w:rsidRPr="00DA0571" w:rsidRDefault="0099440C" w:rsidP="00986700">
            <w:pPr>
              <w:rPr>
                <w:sz w:val="16"/>
                <w:szCs w:val="16"/>
              </w:rPr>
            </w:pPr>
          </w:p>
        </w:tc>
        <w:tc>
          <w:tcPr>
            <w:tcW w:w="3841" w:type="dxa"/>
            <w:hideMark/>
          </w:tcPr>
          <w:p w14:paraId="52AB1E98" w14:textId="77777777" w:rsidR="0099440C" w:rsidRPr="00DA0571" w:rsidRDefault="0099440C" w:rsidP="00986700">
            <w:pPr>
              <w:rPr>
                <w:sz w:val="16"/>
                <w:szCs w:val="16"/>
              </w:rPr>
            </w:pPr>
            <w:r w:rsidRPr="00DA0571">
              <w:rPr>
                <w:sz w:val="16"/>
                <w:szCs w:val="16"/>
              </w:rPr>
              <w:t xml:space="preserve">Nombre de pages vues uniques sur le site Web consacré aux PME </w:t>
            </w:r>
          </w:p>
        </w:tc>
        <w:tc>
          <w:tcPr>
            <w:tcW w:w="2427" w:type="dxa"/>
            <w:hideMark/>
          </w:tcPr>
          <w:p w14:paraId="09C1802B" w14:textId="77777777" w:rsidR="0099440C" w:rsidRPr="00DA0571" w:rsidRDefault="0099440C" w:rsidP="00986700">
            <w:pPr>
              <w:jc w:val="center"/>
              <w:rPr>
                <w:sz w:val="16"/>
                <w:szCs w:val="16"/>
              </w:rPr>
            </w:pPr>
            <w:r w:rsidRPr="00DA0571">
              <w:rPr>
                <w:sz w:val="16"/>
                <w:szCs w:val="16"/>
              </w:rPr>
              <w:t>Programme 30</w:t>
            </w:r>
          </w:p>
        </w:tc>
      </w:tr>
    </w:tbl>
    <w:p w14:paraId="4D609CB6" w14:textId="77777777" w:rsidR="0099440C" w:rsidRPr="00DA0571" w:rsidRDefault="0099440C" w:rsidP="00986700">
      <w:pPr>
        <w:rPr>
          <w:sz w:val="16"/>
          <w:szCs w:val="16"/>
        </w:rPr>
      </w:pPr>
    </w:p>
    <w:p w14:paraId="643D34FF" w14:textId="77777777" w:rsidR="0099440C" w:rsidRDefault="0099440C" w:rsidP="00986700">
      <w:pPr>
        <w:rPr>
          <w:b/>
          <w:caps/>
          <w:sz w:val="22"/>
        </w:rPr>
      </w:pPr>
      <w:r>
        <w:br w:type="page"/>
      </w:r>
    </w:p>
    <w:p w14:paraId="69F148E5" w14:textId="01B5D21F" w:rsidR="00866E9D" w:rsidRPr="00866E9D" w:rsidRDefault="00866E9D" w:rsidP="00986700">
      <w:pPr>
        <w:pStyle w:val="Heading2"/>
      </w:pPr>
      <w:bookmarkStart w:id="44" w:name="_Toc482979486"/>
      <w:r w:rsidRPr="00866E9D">
        <w:rPr>
          <w:rFonts w:hint="eastAsia"/>
        </w:rPr>
        <w:lastRenderedPageBreak/>
        <w:t>Programme 8</w:t>
      </w:r>
      <w:r w:rsidRPr="00866E9D">
        <w:rPr>
          <w:rFonts w:hint="eastAsia"/>
        </w:rPr>
        <w:tab/>
        <w:t>Coordination du Plan d</w:t>
      </w:r>
      <w:r w:rsidRPr="00866E9D">
        <w:t>’a</w:t>
      </w:r>
      <w:r w:rsidRPr="00866E9D">
        <w:rPr>
          <w:rFonts w:hint="eastAsia"/>
        </w:rPr>
        <w:t>ction pour le</w:t>
      </w:r>
      <w:r w:rsidR="00072C10">
        <w:t> </w:t>
      </w:r>
      <w:r w:rsidRPr="00866E9D">
        <w:rPr>
          <w:rFonts w:hint="eastAsia"/>
        </w:rPr>
        <w:t>développement</w:t>
      </w:r>
      <w:bookmarkEnd w:id="44"/>
    </w:p>
    <w:p w14:paraId="68866469" w14:textId="77777777" w:rsidR="00866E9D" w:rsidRPr="00725118" w:rsidRDefault="00866E9D" w:rsidP="00986700">
      <w:pPr>
        <w:tabs>
          <w:tab w:val="left" w:pos="1701"/>
        </w:tabs>
        <w:ind w:left="1701" w:hanging="1701"/>
        <w:rPr>
          <w:rFonts w:asciiTheme="minorBidi" w:hAnsiTheme="minorBidi"/>
          <w:caps/>
          <w:szCs w:val="20"/>
        </w:rPr>
      </w:pPr>
    </w:p>
    <w:p w14:paraId="06C70D94" w14:textId="77777777" w:rsidR="00866E9D" w:rsidRPr="00725118" w:rsidRDefault="00866E9D" w:rsidP="00986700">
      <w:pPr>
        <w:tabs>
          <w:tab w:val="left" w:pos="1701"/>
        </w:tabs>
        <w:ind w:left="1701" w:hanging="1701"/>
        <w:rPr>
          <w:rFonts w:asciiTheme="minorBidi" w:hAnsiTheme="minorBidi"/>
          <w:iCs/>
          <w:szCs w:val="20"/>
        </w:rPr>
      </w:pPr>
    </w:p>
    <w:tbl>
      <w:tblPr>
        <w:tblW w:w="5000" w:type="pct"/>
        <w:tblCellMar>
          <w:top w:w="57" w:type="dxa"/>
          <w:bottom w:w="57" w:type="dxa"/>
        </w:tblCellMar>
        <w:tblLook w:val="01E0" w:firstRow="1" w:lastRow="1" w:firstColumn="1" w:lastColumn="1" w:noHBand="0" w:noVBand="0"/>
      </w:tblPr>
      <w:tblGrid>
        <w:gridCol w:w="9287"/>
      </w:tblGrid>
      <w:tr w:rsidR="00866E9D" w:rsidRPr="00725118" w14:paraId="1E6BC9CD" w14:textId="77777777" w:rsidTr="00866E9D">
        <w:trPr>
          <w:cantSplit/>
        </w:trPr>
        <w:tc>
          <w:tcPr>
            <w:tcW w:w="9571" w:type="dxa"/>
            <w:shd w:val="clear" w:color="auto" w:fill="C6D9F1" w:themeFill="text2" w:themeFillTint="33"/>
            <w:vAlign w:val="center"/>
          </w:tcPr>
          <w:p w14:paraId="1D609CCB" w14:textId="77777777" w:rsidR="00866E9D" w:rsidRPr="00725118" w:rsidRDefault="00866E9D" w:rsidP="00986700">
            <w:pPr>
              <w:keepNext/>
              <w:keepLines/>
              <w:jc w:val="center"/>
              <w:rPr>
                <w:rFonts w:eastAsia="Times New Roman" w:cs="Arial"/>
                <w:b/>
                <w:bCs/>
                <w:szCs w:val="20"/>
                <w:lang w:eastAsia="en-US"/>
              </w:rPr>
            </w:pPr>
            <w:r w:rsidRPr="00725118">
              <w:rPr>
                <w:rFonts w:eastAsia="Times New Roman" w:cs="Arial"/>
                <w:b/>
                <w:bCs/>
                <w:szCs w:val="20"/>
                <w:lang w:eastAsia="en-US"/>
              </w:rPr>
              <w:t>Stratégies de mise en œuvre</w:t>
            </w:r>
          </w:p>
        </w:tc>
      </w:tr>
    </w:tbl>
    <w:p w14:paraId="28297DD6" w14:textId="77777777" w:rsidR="00866E9D" w:rsidRPr="00725118" w:rsidRDefault="00866E9D" w:rsidP="00986700">
      <w:pPr>
        <w:jc w:val="both"/>
        <w:rPr>
          <w:rFonts w:cs="Arial"/>
          <w:szCs w:val="20"/>
        </w:rPr>
      </w:pPr>
    </w:p>
    <w:p w14:paraId="5ACD55B4"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Aider le Comité du développement et de la propriété intellectuelle (CDIP) à mener à bien le mandat qui lui a été confié d’examiner, de mettre en œuvre, de contrôler, d’évaluer toutes les recommandations adoptées par le comité et d’en rendre compte, et à engager des débats sur la propriété intellectuelle et les questions de développement;</w:t>
      </w:r>
    </w:p>
    <w:p w14:paraId="125DC7DD" w14:textId="77777777" w:rsidR="00866E9D" w:rsidRPr="00725118" w:rsidRDefault="00866E9D" w:rsidP="00986700">
      <w:pPr>
        <w:ind w:left="567" w:hanging="567"/>
        <w:jc w:val="both"/>
        <w:rPr>
          <w:rFonts w:cs="Arial"/>
          <w:szCs w:val="20"/>
        </w:rPr>
      </w:pPr>
    </w:p>
    <w:p w14:paraId="32C92B39"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Gérer et coordonner le processus de mise en œuvre du Plan d’action pour le développement et veiller à ce que les 45 recommandations du Plan d’action pour le développement qui ont été adoptées soient intégrées et prises en considération dans toutes les activités de l’Organisation;</w:t>
      </w:r>
    </w:p>
    <w:p w14:paraId="6A8BFD8D" w14:textId="77777777" w:rsidR="00866E9D" w:rsidRPr="00725118" w:rsidRDefault="00866E9D" w:rsidP="00986700">
      <w:pPr>
        <w:ind w:left="567" w:hanging="567"/>
        <w:jc w:val="both"/>
        <w:rPr>
          <w:rFonts w:cs="Arial"/>
          <w:szCs w:val="20"/>
        </w:rPr>
      </w:pPr>
    </w:p>
    <w:p w14:paraId="178AEDE1" w14:textId="5F47142D"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Mettre l’accent sur la mise en œuvre des objectifs prioritaires, notamment</w:t>
      </w:r>
      <w:r w:rsidR="005F5C77">
        <w:rPr>
          <w:rFonts w:cs="Arial"/>
          <w:szCs w:val="20"/>
        </w:rPr>
        <w:t> : i) </w:t>
      </w:r>
      <w:r w:rsidRPr="00725118">
        <w:rPr>
          <w:rFonts w:cs="Arial"/>
          <w:szCs w:val="20"/>
        </w:rPr>
        <w:t>le renforcement de l’intégration du Plan d’action pour le développement</w:t>
      </w:r>
      <w:r w:rsidR="005F5C77">
        <w:rPr>
          <w:rFonts w:cs="Arial"/>
          <w:szCs w:val="20"/>
        </w:rPr>
        <w:t xml:space="preserve">; </w:t>
      </w:r>
      <w:r w:rsidRPr="00725118">
        <w:rPr>
          <w:rFonts w:cs="Arial"/>
          <w:szCs w:val="20"/>
        </w:rPr>
        <w:t xml:space="preserve"> </w:t>
      </w:r>
      <w:r w:rsidR="005F5C77">
        <w:rPr>
          <w:rFonts w:cs="Arial"/>
          <w:szCs w:val="20"/>
        </w:rPr>
        <w:t>ii) </w:t>
      </w:r>
      <w:r w:rsidRPr="00725118">
        <w:rPr>
          <w:rFonts w:cs="Arial"/>
          <w:szCs w:val="20"/>
        </w:rPr>
        <w:t>les recommandations émanant de l’étude indépendante de la mise en œuvre du Plan d’action pour le développement qui ont été approuvées par les États membres</w:t>
      </w:r>
      <w:r w:rsidR="005F5C77">
        <w:rPr>
          <w:rFonts w:cs="Arial"/>
          <w:szCs w:val="20"/>
        </w:rPr>
        <w:t xml:space="preserve">; </w:t>
      </w:r>
      <w:r w:rsidR="005F5C77" w:rsidRPr="00725118">
        <w:rPr>
          <w:rFonts w:cs="Arial"/>
          <w:szCs w:val="20"/>
        </w:rPr>
        <w:t xml:space="preserve"> </w:t>
      </w:r>
      <w:r w:rsidR="005F5C77">
        <w:rPr>
          <w:rFonts w:cs="Arial"/>
          <w:szCs w:val="20"/>
        </w:rPr>
        <w:t>iii) </w:t>
      </w:r>
      <w:r w:rsidRPr="00725118">
        <w:rPr>
          <w:rFonts w:cs="Arial"/>
          <w:szCs w:val="20"/>
        </w:rPr>
        <w:t>les décisions relatives à l’étude extérieure sur l’assistance technique fournie par l’OMPI dans le domaine de la coopération pour le développement</w:t>
      </w:r>
      <w:r w:rsidR="005F5C77">
        <w:rPr>
          <w:rFonts w:cs="Arial"/>
          <w:szCs w:val="20"/>
        </w:rPr>
        <w:t xml:space="preserve">; </w:t>
      </w:r>
      <w:r w:rsidR="005F5C77" w:rsidRPr="00725118">
        <w:rPr>
          <w:rFonts w:cs="Arial"/>
          <w:szCs w:val="20"/>
        </w:rPr>
        <w:t xml:space="preserve"> </w:t>
      </w:r>
      <w:r w:rsidR="005F5C77">
        <w:rPr>
          <w:rFonts w:cs="Arial"/>
          <w:szCs w:val="20"/>
        </w:rPr>
        <w:t>iv) </w:t>
      </w:r>
      <w:r w:rsidRPr="00725118">
        <w:rPr>
          <w:rFonts w:cs="Arial"/>
          <w:szCs w:val="20"/>
        </w:rPr>
        <w:t>le mécanisme de mise à jour de la base de données consacrée aux éléments de flexibilité du système de propriété intellectuelle et les mesures de coordination visant à assurer une meilleure diffusion de son contenu</w:t>
      </w:r>
      <w:r w:rsidR="005F5C77">
        <w:rPr>
          <w:rFonts w:cs="Arial"/>
          <w:szCs w:val="20"/>
        </w:rPr>
        <w:t xml:space="preserve">; </w:t>
      </w:r>
      <w:r w:rsidR="005F5C77" w:rsidRPr="00725118">
        <w:rPr>
          <w:rFonts w:cs="Arial"/>
          <w:szCs w:val="20"/>
        </w:rPr>
        <w:t xml:space="preserve"> </w:t>
      </w:r>
      <w:r w:rsidR="005F5C77">
        <w:rPr>
          <w:rFonts w:cs="Arial"/>
          <w:szCs w:val="20"/>
        </w:rPr>
        <w:t>v) </w:t>
      </w:r>
      <w:r w:rsidRPr="00725118">
        <w:rPr>
          <w:rFonts w:cs="Arial"/>
          <w:szCs w:val="20"/>
        </w:rPr>
        <w:t xml:space="preserve">la coordination et la mise en œuvre des décisions du comité relatives au transfert de technologie, et </w:t>
      </w:r>
      <w:r w:rsidR="005F5C77">
        <w:rPr>
          <w:rFonts w:cs="Arial"/>
          <w:szCs w:val="20"/>
        </w:rPr>
        <w:t>vi) </w:t>
      </w:r>
      <w:r w:rsidRPr="00725118">
        <w:rPr>
          <w:rFonts w:cs="Arial"/>
          <w:szCs w:val="20"/>
        </w:rPr>
        <w:t>l’établissement de rapports sur la contribution de l’OMPI à la réalisation des objectifs de développement durable;</w:t>
      </w:r>
    </w:p>
    <w:p w14:paraId="47D49A8B" w14:textId="77777777" w:rsidR="00866E9D" w:rsidRPr="00725118" w:rsidRDefault="00866E9D" w:rsidP="00986700">
      <w:pPr>
        <w:ind w:left="567" w:hanging="567"/>
        <w:jc w:val="both"/>
        <w:rPr>
          <w:rFonts w:cs="Arial"/>
          <w:szCs w:val="20"/>
        </w:rPr>
      </w:pPr>
    </w:p>
    <w:p w14:paraId="42399D1D"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Continuer à faciliter les processus de négociation entre les États membres et de proposer des stratégies de mise en œuvre des recommandations du Plan d’action pour le développement, tout en veillant efficacement à la mise en œuvre, au suivi, à l’évaluation et à l’établissement de rapports en ce qui concerne les projets relatifs au Plan d’action pour le développement et les activités menées dans ce cadre;</w:t>
      </w:r>
    </w:p>
    <w:p w14:paraId="374D3A7A" w14:textId="77777777" w:rsidR="00866E9D" w:rsidRPr="00725118" w:rsidRDefault="00866E9D" w:rsidP="00986700">
      <w:pPr>
        <w:ind w:left="567" w:hanging="567"/>
        <w:jc w:val="both"/>
        <w:rPr>
          <w:rFonts w:cs="Arial"/>
          <w:szCs w:val="20"/>
        </w:rPr>
      </w:pPr>
    </w:p>
    <w:p w14:paraId="28C9251A"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Fournir une assistance aux autres programmes dans la mise en œuvre des recommandations du plan d’action et veiller en particulier à ce que les principes énoncés dans le cadre du Plan d’action pour le développement continuent d’orienter les activités d’assistance technique de l’OMPI;</w:t>
      </w:r>
    </w:p>
    <w:p w14:paraId="47A11490" w14:textId="77777777" w:rsidR="00866E9D" w:rsidRPr="00725118" w:rsidRDefault="00866E9D" w:rsidP="00986700">
      <w:pPr>
        <w:ind w:left="567" w:hanging="567"/>
        <w:jc w:val="both"/>
        <w:rPr>
          <w:rFonts w:cs="Arial"/>
          <w:szCs w:val="20"/>
        </w:rPr>
      </w:pPr>
    </w:p>
    <w:p w14:paraId="099EA20C"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Mieux faire connaître les questions relatives au Plan d’action pour le développement et appuyer les nouveaux projets et activités proposés par les États membres;</w:t>
      </w:r>
    </w:p>
    <w:p w14:paraId="25BB4FA6" w14:textId="77777777" w:rsidR="00866E9D" w:rsidRPr="00725118" w:rsidRDefault="00866E9D" w:rsidP="00986700">
      <w:pPr>
        <w:ind w:left="567" w:hanging="567"/>
        <w:jc w:val="both"/>
        <w:rPr>
          <w:rFonts w:cs="Arial"/>
          <w:szCs w:val="20"/>
        </w:rPr>
      </w:pPr>
    </w:p>
    <w:p w14:paraId="1DEB4A01" w14:textId="77777777" w:rsidR="00866E9D" w:rsidRPr="00725118" w:rsidRDefault="00866E9D" w:rsidP="00616FD3">
      <w:pPr>
        <w:pStyle w:val="ListParagraph"/>
        <w:numPr>
          <w:ilvl w:val="0"/>
          <w:numId w:val="34"/>
        </w:numPr>
        <w:ind w:left="567" w:hanging="567"/>
        <w:jc w:val="both"/>
        <w:rPr>
          <w:rFonts w:cs="Arial"/>
          <w:szCs w:val="20"/>
        </w:rPr>
      </w:pPr>
      <w:r w:rsidRPr="00725118">
        <w:rPr>
          <w:rFonts w:cs="Arial"/>
          <w:szCs w:val="20"/>
        </w:rPr>
        <w:t>Continuer à mettre en œuvre d’autres activités dans le domaine de la propriété intellectuelle et du développement, comme demandé par le CDIP et l’Assemblée générale, telles que des conférences et des séminaires, notamment une Conférence internationale sur la propriété intellectuelle et le développement.</w:t>
      </w:r>
    </w:p>
    <w:p w14:paraId="6682D2C4" w14:textId="77777777" w:rsidR="00866E9D" w:rsidRPr="00725118" w:rsidRDefault="00866E9D" w:rsidP="00986700">
      <w:pPr>
        <w:jc w:val="both"/>
        <w:rPr>
          <w:rFonts w:cs="Arial"/>
          <w:szCs w:val="20"/>
        </w:rPr>
      </w:pPr>
    </w:p>
    <w:p w14:paraId="43DC9134" w14:textId="77777777" w:rsidR="00866E9D" w:rsidRPr="00725118" w:rsidRDefault="00866E9D"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3"/>
        <w:gridCol w:w="4644"/>
      </w:tblGrid>
      <w:tr w:rsidR="00866E9D" w:rsidRPr="00725118" w14:paraId="65449923" w14:textId="77777777" w:rsidTr="00866E9D">
        <w:trPr>
          <w:cantSplit/>
        </w:trPr>
        <w:tc>
          <w:tcPr>
            <w:tcW w:w="4785" w:type="dxa"/>
            <w:shd w:val="clear" w:color="auto" w:fill="C6D9F1" w:themeFill="text2" w:themeFillTint="33"/>
            <w:vAlign w:val="center"/>
          </w:tcPr>
          <w:p w14:paraId="7FBB5639" w14:textId="77777777" w:rsidR="00866E9D" w:rsidRPr="00725118" w:rsidRDefault="00866E9D" w:rsidP="00986700">
            <w:pPr>
              <w:keepNext/>
              <w:jc w:val="center"/>
              <w:rPr>
                <w:rFonts w:eastAsiaTheme="minorHAnsi" w:cs="Arial"/>
                <w:b/>
                <w:bCs/>
                <w:sz w:val="18"/>
                <w:szCs w:val="18"/>
              </w:rPr>
            </w:pPr>
            <w:r w:rsidRPr="00725118">
              <w:rPr>
                <w:rFonts w:cs="Arial"/>
                <w:b/>
                <w:bCs/>
                <w:sz w:val="18"/>
                <w:szCs w:val="18"/>
              </w:rPr>
              <w:t>Risques</w:t>
            </w:r>
          </w:p>
        </w:tc>
        <w:tc>
          <w:tcPr>
            <w:tcW w:w="4786" w:type="dxa"/>
            <w:shd w:val="clear" w:color="auto" w:fill="C6D9F1" w:themeFill="text2" w:themeFillTint="33"/>
            <w:vAlign w:val="center"/>
          </w:tcPr>
          <w:p w14:paraId="50E7BCD8" w14:textId="77777777" w:rsidR="00866E9D" w:rsidRPr="00725118" w:rsidRDefault="00866E9D" w:rsidP="00986700">
            <w:pPr>
              <w:keepNext/>
              <w:jc w:val="center"/>
              <w:rPr>
                <w:rFonts w:eastAsiaTheme="minorHAnsi" w:cs="Arial"/>
                <w:b/>
                <w:bCs/>
                <w:sz w:val="18"/>
                <w:szCs w:val="18"/>
              </w:rPr>
            </w:pPr>
            <w:r w:rsidRPr="00725118">
              <w:rPr>
                <w:rFonts w:cs="Arial"/>
                <w:b/>
                <w:bCs/>
                <w:sz w:val="18"/>
                <w:szCs w:val="18"/>
              </w:rPr>
              <w:t>Mesures d’atténuation</w:t>
            </w:r>
          </w:p>
        </w:tc>
      </w:tr>
      <w:tr w:rsidR="00866E9D" w:rsidRPr="00725118" w14:paraId="2DDDA183" w14:textId="77777777" w:rsidTr="00866E9D">
        <w:trPr>
          <w:cantSplit/>
        </w:trPr>
        <w:tc>
          <w:tcPr>
            <w:tcW w:w="4785" w:type="dxa"/>
            <w:shd w:val="clear" w:color="auto" w:fill="auto"/>
            <w:tcMar>
              <w:top w:w="57" w:type="dxa"/>
              <w:bottom w:w="57" w:type="dxa"/>
            </w:tcMar>
          </w:tcPr>
          <w:p w14:paraId="13B3B86C" w14:textId="77777777" w:rsidR="00866E9D" w:rsidRPr="00725118" w:rsidRDefault="00866E9D" w:rsidP="00986700">
            <w:pPr>
              <w:rPr>
                <w:rFonts w:eastAsia="Times New Roman" w:cs="Arial"/>
                <w:sz w:val="16"/>
                <w:szCs w:val="16"/>
              </w:rPr>
            </w:pPr>
            <w:r w:rsidRPr="00725118">
              <w:rPr>
                <w:rFonts w:eastAsia="Times New Roman" w:cs="Arial"/>
                <w:color w:val="000000"/>
                <w:sz w:val="16"/>
                <w:szCs w:val="20"/>
              </w:rPr>
              <w:t>Points de vue divergents des États membres en ce qui concerne l’intégration des recommandations du Plan d’action pour le développement dans les activités de l’OMPI.</w:t>
            </w:r>
          </w:p>
        </w:tc>
        <w:tc>
          <w:tcPr>
            <w:tcW w:w="4786" w:type="dxa"/>
            <w:shd w:val="clear" w:color="auto" w:fill="auto"/>
            <w:tcMar>
              <w:top w:w="57" w:type="dxa"/>
              <w:bottom w:w="57" w:type="dxa"/>
            </w:tcMar>
          </w:tcPr>
          <w:p w14:paraId="70B6BF81" w14:textId="77777777" w:rsidR="00866E9D" w:rsidRPr="00725118" w:rsidRDefault="00866E9D" w:rsidP="00986700">
            <w:pPr>
              <w:rPr>
                <w:rFonts w:eastAsia="Times New Roman" w:cs="Arial"/>
                <w:sz w:val="16"/>
                <w:szCs w:val="16"/>
              </w:rPr>
            </w:pPr>
            <w:r w:rsidRPr="00725118">
              <w:rPr>
                <w:rFonts w:eastAsia="Times New Roman" w:cs="Arial"/>
                <w:sz w:val="16"/>
                <w:szCs w:val="16"/>
              </w:rPr>
              <w:t>Engager régulièrement des consultations avec les États membres afin de faciliter une convergence de vues de ces derniers sur l’intégration des recommandations du Plan d’action pour le développement.</w:t>
            </w:r>
          </w:p>
        </w:tc>
      </w:tr>
    </w:tbl>
    <w:p w14:paraId="2A89FCC7" w14:textId="77777777" w:rsidR="00866E9D" w:rsidRPr="00725118" w:rsidRDefault="00866E9D" w:rsidP="00986700">
      <w:pPr>
        <w:jc w:val="both"/>
        <w:rPr>
          <w:rFonts w:cs="Arial"/>
          <w:szCs w:val="20"/>
        </w:rPr>
      </w:pPr>
    </w:p>
    <w:p w14:paraId="0AB31E23" w14:textId="77777777" w:rsidR="00866E9D" w:rsidRPr="00725118" w:rsidRDefault="00866E9D"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16"/>
        <w:gridCol w:w="2316"/>
        <w:gridCol w:w="2339"/>
        <w:gridCol w:w="2316"/>
      </w:tblGrid>
      <w:tr w:rsidR="00866E9D" w:rsidRPr="00725118" w14:paraId="08FF33F3" w14:textId="77777777" w:rsidTr="00866E9D">
        <w:trPr>
          <w:cantSplit/>
          <w:tblHeader/>
        </w:trPr>
        <w:tc>
          <w:tcPr>
            <w:tcW w:w="2392" w:type="dxa"/>
            <w:shd w:val="clear" w:color="000000" w:fill="C5D9F1"/>
            <w:vAlign w:val="center"/>
            <w:hideMark/>
          </w:tcPr>
          <w:p w14:paraId="1497CEE7" w14:textId="77777777" w:rsidR="00866E9D" w:rsidRPr="00725118" w:rsidRDefault="00866E9D" w:rsidP="00986700">
            <w:pPr>
              <w:keepNext/>
              <w:jc w:val="center"/>
              <w:rPr>
                <w:rFonts w:eastAsia="Times New Roman" w:cs="Arial"/>
                <w:b/>
                <w:bCs/>
                <w:color w:val="000000"/>
                <w:sz w:val="18"/>
                <w:szCs w:val="18"/>
                <w:lang w:eastAsia="en-US"/>
              </w:rPr>
            </w:pPr>
            <w:r w:rsidRPr="00725118">
              <w:rPr>
                <w:rFonts w:eastAsia="Times New Roman" w:cs="Arial"/>
                <w:b/>
                <w:bCs/>
                <w:color w:val="000000"/>
                <w:sz w:val="18"/>
                <w:szCs w:val="18"/>
                <w:lang w:eastAsia="en-US"/>
              </w:rPr>
              <w:lastRenderedPageBreak/>
              <w:t>Résultat escompté</w:t>
            </w:r>
          </w:p>
        </w:tc>
        <w:tc>
          <w:tcPr>
            <w:tcW w:w="2393" w:type="dxa"/>
            <w:shd w:val="clear" w:color="000000" w:fill="C5D9F1"/>
            <w:vAlign w:val="center"/>
            <w:hideMark/>
          </w:tcPr>
          <w:p w14:paraId="1EE93183" w14:textId="77777777" w:rsidR="00866E9D" w:rsidRPr="00725118" w:rsidRDefault="00866E9D" w:rsidP="00986700">
            <w:pPr>
              <w:keepNext/>
              <w:jc w:val="center"/>
              <w:rPr>
                <w:rFonts w:eastAsia="Times New Roman" w:cs="Arial"/>
                <w:b/>
                <w:bCs/>
                <w:color w:val="000000"/>
                <w:sz w:val="18"/>
                <w:szCs w:val="18"/>
                <w:lang w:eastAsia="en-US"/>
              </w:rPr>
            </w:pPr>
            <w:r w:rsidRPr="00725118">
              <w:rPr>
                <w:rFonts w:eastAsia="Times New Roman" w:cs="Arial"/>
                <w:b/>
                <w:bCs/>
                <w:color w:val="000000"/>
                <w:sz w:val="18"/>
                <w:szCs w:val="18"/>
                <w:lang w:eastAsia="en-US"/>
              </w:rPr>
              <w:t>Indicateurs d’exécution</w:t>
            </w:r>
          </w:p>
        </w:tc>
        <w:tc>
          <w:tcPr>
            <w:tcW w:w="2393" w:type="dxa"/>
            <w:shd w:val="clear" w:color="000000" w:fill="C5D9F1"/>
            <w:vAlign w:val="center"/>
            <w:hideMark/>
          </w:tcPr>
          <w:p w14:paraId="731D2DE7" w14:textId="77777777" w:rsidR="00866E9D" w:rsidRPr="00725118" w:rsidRDefault="00866E9D" w:rsidP="00986700">
            <w:pPr>
              <w:keepNext/>
              <w:jc w:val="center"/>
              <w:rPr>
                <w:rFonts w:eastAsia="Times New Roman" w:cs="Arial"/>
                <w:b/>
                <w:bCs/>
                <w:color w:val="000000"/>
                <w:sz w:val="18"/>
                <w:szCs w:val="18"/>
                <w:lang w:eastAsia="en-US"/>
              </w:rPr>
            </w:pPr>
            <w:r w:rsidRPr="00725118">
              <w:rPr>
                <w:rFonts w:eastAsia="Times New Roman" w:cs="Arial"/>
                <w:b/>
                <w:bCs/>
                <w:color w:val="000000"/>
                <w:sz w:val="18"/>
                <w:szCs w:val="18"/>
                <w:lang w:eastAsia="en-US"/>
              </w:rPr>
              <w:t>Niveaux de référence</w:t>
            </w:r>
          </w:p>
        </w:tc>
        <w:tc>
          <w:tcPr>
            <w:tcW w:w="2393" w:type="dxa"/>
            <w:shd w:val="clear" w:color="000000" w:fill="C5D9F1"/>
            <w:vAlign w:val="center"/>
            <w:hideMark/>
          </w:tcPr>
          <w:p w14:paraId="4176E36A" w14:textId="77777777" w:rsidR="00866E9D" w:rsidRPr="00725118" w:rsidRDefault="00866E9D" w:rsidP="00986700">
            <w:pPr>
              <w:keepNext/>
              <w:jc w:val="center"/>
              <w:rPr>
                <w:rFonts w:eastAsia="Times New Roman" w:cs="Arial"/>
                <w:b/>
                <w:bCs/>
                <w:color w:val="000000"/>
                <w:sz w:val="18"/>
                <w:szCs w:val="18"/>
                <w:lang w:eastAsia="en-US"/>
              </w:rPr>
            </w:pPr>
            <w:r w:rsidRPr="00725118">
              <w:rPr>
                <w:rFonts w:eastAsia="Times New Roman" w:cs="Arial"/>
                <w:b/>
                <w:bCs/>
                <w:color w:val="000000"/>
                <w:sz w:val="18"/>
                <w:szCs w:val="18"/>
                <w:lang w:eastAsia="en-US"/>
              </w:rPr>
              <w:t>Objectifs visés</w:t>
            </w:r>
          </w:p>
        </w:tc>
      </w:tr>
      <w:tr w:rsidR="00866E9D" w:rsidRPr="00725118" w14:paraId="5E03F1B9" w14:textId="77777777" w:rsidTr="00866E9D">
        <w:trPr>
          <w:cantSplit/>
        </w:trPr>
        <w:tc>
          <w:tcPr>
            <w:tcW w:w="2392" w:type="dxa"/>
            <w:shd w:val="clear" w:color="000000" w:fill="FFFFFF"/>
            <w:tcMar>
              <w:top w:w="57" w:type="dxa"/>
            </w:tcMar>
            <w:hideMark/>
          </w:tcPr>
          <w:p w14:paraId="4178ADF8"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III.3 Intégration des recommandations du Plan d’action pour le développement dans les travaux de l’OMPI</w:t>
            </w:r>
          </w:p>
        </w:tc>
        <w:tc>
          <w:tcPr>
            <w:tcW w:w="2393" w:type="dxa"/>
            <w:shd w:val="clear" w:color="000000" w:fill="FFFFFF"/>
            <w:tcMar>
              <w:top w:w="57" w:type="dxa"/>
            </w:tcMar>
            <w:hideMark/>
          </w:tcPr>
          <w:p w14:paraId="4DB6E1E1"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 xml:space="preserve">Intégration dans tous les programmes de l’OMPI des principes et activités énoncés dans le cadre du Plan d’action pour le développement </w:t>
            </w:r>
          </w:p>
        </w:tc>
        <w:tc>
          <w:tcPr>
            <w:tcW w:w="2393" w:type="dxa"/>
            <w:shd w:val="clear" w:color="000000" w:fill="FFFFFF"/>
            <w:tcMar>
              <w:top w:w="57" w:type="dxa"/>
            </w:tcMar>
            <w:hideMark/>
          </w:tcPr>
          <w:p w14:paraId="7C0445F5" w14:textId="7AC3D0E0"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Au cours de l’exercice biennal 2016</w:t>
            </w:r>
            <w:r w:rsidR="00B441CA">
              <w:rPr>
                <w:rFonts w:eastAsia="Times New Roman" w:cs="Arial"/>
                <w:color w:val="000000"/>
                <w:sz w:val="16"/>
                <w:szCs w:val="16"/>
                <w:lang w:eastAsia="en-US"/>
              </w:rPr>
              <w:noBreakHyphen/>
            </w:r>
            <w:r w:rsidRPr="00725118">
              <w:rPr>
                <w:rFonts w:eastAsia="Times New Roman" w:cs="Arial"/>
                <w:color w:val="000000"/>
                <w:sz w:val="16"/>
                <w:szCs w:val="16"/>
                <w:lang w:eastAsia="en-US"/>
              </w:rPr>
              <w:t xml:space="preserve">2017 : </w:t>
            </w:r>
            <w:r w:rsidRPr="00725118">
              <w:rPr>
                <w:rFonts w:eastAsia="Times New Roman" w:cs="Arial"/>
                <w:color w:val="000000"/>
                <w:sz w:val="16"/>
                <w:szCs w:val="16"/>
                <w:lang w:eastAsia="en-US"/>
              </w:rPr>
              <w:br/>
            </w:r>
            <w:r w:rsidR="004B040B">
              <w:rPr>
                <w:rFonts w:eastAsia="Times New Roman" w:cs="Arial"/>
                <w:color w:val="000000"/>
                <w:sz w:val="16"/>
                <w:szCs w:val="16"/>
                <w:lang w:eastAsia="en-US"/>
              </w:rPr>
              <w:t xml:space="preserve">– </w:t>
            </w:r>
            <w:r w:rsidRPr="00725118">
              <w:rPr>
                <w:rFonts w:eastAsia="Times New Roman" w:cs="Arial"/>
                <w:color w:val="000000"/>
                <w:sz w:val="16"/>
                <w:szCs w:val="16"/>
                <w:lang w:eastAsia="en-US"/>
              </w:rPr>
              <w:t>12 programmes ont participé à la mise en œuvre d’activités approuvées par le CDIP;  et</w:t>
            </w:r>
            <w:r w:rsidRPr="00725118">
              <w:rPr>
                <w:rFonts w:eastAsia="Times New Roman" w:cs="Arial"/>
                <w:color w:val="000000"/>
                <w:sz w:val="16"/>
                <w:szCs w:val="16"/>
                <w:lang w:eastAsia="en-US"/>
              </w:rPr>
              <w:br/>
            </w:r>
            <w:r w:rsidR="004B040B">
              <w:rPr>
                <w:rFonts w:eastAsia="Times New Roman" w:cs="Arial"/>
                <w:color w:val="000000"/>
                <w:sz w:val="16"/>
                <w:szCs w:val="16"/>
                <w:lang w:eastAsia="en-US"/>
              </w:rPr>
              <w:t xml:space="preserve">– </w:t>
            </w:r>
            <w:r w:rsidRPr="00725118">
              <w:rPr>
                <w:rFonts w:eastAsia="Times New Roman" w:cs="Arial"/>
                <w:color w:val="000000"/>
                <w:sz w:val="16"/>
                <w:szCs w:val="16"/>
                <w:lang w:eastAsia="en-US"/>
              </w:rPr>
              <w:t xml:space="preserve">23 programmes ont rendu compte de la prise en considération du Plan d’action pour le développement dans leurs activités </w:t>
            </w:r>
          </w:p>
        </w:tc>
        <w:tc>
          <w:tcPr>
            <w:tcW w:w="2393" w:type="dxa"/>
            <w:shd w:val="clear" w:color="000000" w:fill="FFFFFF"/>
            <w:tcMar>
              <w:top w:w="57" w:type="dxa"/>
            </w:tcMar>
            <w:hideMark/>
          </w:tcPr>
          <w:p w14:paraId="4AFCC44F"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Engagement constant des divers programmes en faveur de la mise en œuvre des activités menées dans le cadre du Plan d’action pour le développement et de l’intégration de leurs résultats dans leurs activités</w:t>
            </w:r>
          </w:p>
        </w:tc>
      </w:tr>
      <w:tr w:rsidR="00866E9D" w:rsidRPr="00725118" w14:paraId="68E5E04B" w14:textId="77777777" w:rsidTr="00866E9D">
        <w:trPr>
          <w:cantSplit/>
        </w:trPr>
        <w:tc>
          <w:tcPr>
            <w:tcW w:w="2392" w:type="dxa"/>
            <w:shd w:val="clear" w:color="000000" w:fill="FFFFFF"/>
            <w:tcMar>
              <w:top w:w="57" w:type="dxa"/>
            </w:tcMar>
            <w:vAlign w:val="bottom"/>
            <w:hideMark/>
          </w:tcPr>
          <w:p w14:paraId="585D3D0B" w14:textId="77777777" w:rsidR="00866E9D" w:rsidRPr="00725118" w:rsidRDefault="00866E9D" w:rsidP="00986700">
            <w:pPr>
              <w:jc w:val="right"/>
              <w:rPr>
                <w:rFonts w:eastAsia="Times New Roman" w:cs="Arial"/>
                <w:color w:val="000000"/>
                <w:sz w:val="16"/>
                <w:szCs w:val="16"/>
                <w:lang w:eastAsia="en-US"/>
              </w:rPr>
            </w:pPr>
            <w:r w:rsidRPr="00725118">
              <w:rPr>
                <w:rFonts w:eastAsia="Times New Roman" w:cs="Arial"/>
                <w:color w:val="000000"/>
                <w:sz w:val="16"/>
                <w:szCs w:val="16"/>
                <w:lang w:eastAsia="en-US"/>
              </w:rPr>
              <w:t> </w:t>
            </w:r>
          </w:p>
        </w:tc>
        <w:tc>
          <w:tcPr>
            <w:tcW w:w="2393" w:type="dxa"/>
            <w:shd w:val="clear" w:color="000000" w:fill="FFFFFF"/>
            <w:tcMar>
              <w:top w:w="57" w:type="dxa"/>
            </w:tcMar>
            <w:hideMark/>
          </w:tcPr>
          <w:p w14:paraId="0BFBABFC"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Mise en œuvre effective des recommandations de l’étude indépendante concernant le Plan d’action pour le développement et son suivi et l’établissement de rapports à l’intention du CDIP</w:t>
            </w:r>
          </w:p>
        </w:tc>
        <w:tc>
          <w:tcPr>
            <w:tcW w:w="2393" w:type="dxa"/>
            <w:shd w:val="clear" w:color="000000" w:fill="FFFFFF"/>
            <w:tcMar>
              <w:top w:w="57" w:type="dxa"/>
            </w:tcMar>
            <w:hideMark/>
          </w:tcPr>
          <w:p w14:paraId="5101A5FB" w14:textId="771DC01F"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Réponse du Secrétariat aux recommandations qui lui ont été adressées présentée à la dix</w:t>
            </w:r>
            <w:r w:rsidR="00B441CA">
              <w:rPr>
                <w:rFonts w:eastAsia="Times New Roman" w:cs="Arial"/>
                <w:color w:val="000000"/>
                <w:sz w:val="16"/>
                <w:szCs w:val="16"/>
                <w:lang w:eastAsia="en-US"/>
              </w:rPr>
              <w:noBreakHyphen/>
            </w:r>
            <w:r w:rsidRPr="00725118">
              <w:rPr>
                <w:rFonts w:eastAsia="Times New Roman" w:cs="Arial"/>
                <w:color w:val="000000"/>
                <w:sz w:val="16"/>
                <w:szCs w:val="16"/>
                <w:lang w:eastAsia="en-US"/>
              </w:rPr>
              <w:t>neuvième session du CDIP</w:t>
            </w:r>
          </w:p>
        </w:tc>
        <w:tc>
          <w:tcPr>
            <w:tcW w:w="2393" w:type="dxa"/>
            <w:shd w:val="clear" w:color="000000" w:fill="FFFFFF"/>
            <w:tcMar>
              <w:top w:w="57" w:type="dxa"/>
            </w:tcMar>
            <w:hideMark/>
          </w:tcPr>
          <w:p w14:paraId="47497A4E"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Mise en œuvre effective des recommandations approuvées par le CDIP</w:t>
            </w:r>
          </w:p>
        </w:tc>
      </w:tr>
      <w:tr w:rsidR="00866E9D" w:rsidRPr="00725118" w14:paraId="69683684" w14:textId="77777777" w:rsidTr="00866E9D">
        <w:trPr>
          <w:cantSplit/>
        </w:trPr>
        <w:tc>
          <w:tcPr>
            <w:tcW w:w="2392" w:type="dxa"/>
            <w:shd w:val="clear" w:color="000000" w:fill="FFFFFF"/>
            <w:tcMar>
              <w:top w:w="57" w:type="dxa"/>
            </w:tcMar>
            <w:vAlign w:val="bottom"/>
            <w:hideMark/>
          </w:tcPr>
          <w:p w14:paraId="55DA94E8" w14:textId="77777777" w:rsidR="00866E9D" w:rsidRPr="00725118" w:rsidRDefault="00866E9D" w:rsidP="00986700">
            <w:pPr>
              <w:keepNext/>
              <w:keepLines/>
              <w:jc w:val="right"/>
              <w:rPr>
                <w:rFonts w:eastAsia="Times New Roman" w:cs="Arial"/>
                <w:color w:val="000000"/>
                <w:sz w:val="16"/>
                <w:szCs w:val="16"/>
                <w:lang w:eastAsia="en-US"/>
              </w:rPr>
            </w:pPr>
            <w:r w:rsidRPr="00725118">
              <w:rPr>
                <w:rFonts w:eastAsia="Times New Roman" w:cs="Arial"/>
                <w:color w:val="000000"/>
                <w:sz w:val="16"/>
                <w:szCs w:val="16"/>
                <w:lang w:eastAsia="en-US"/>
              </w:rPr>
              <w:t> </w:t>
            </w:r>
          </w:p>
        </w:tc>
        <w:tc>
          <w:tcPr>
            <w:tcW w:w="2393" w:type="dxa"/>
            <w:shd w:val="clear" w:color="000000" w:fill="FFFFFF"/>
            <w:tcMar>
              <w:top w:w="57" w:type="dxa"/>
            </w:tcMar>
            <w:hideMark/>
          </w:tcPr>
          <w:p w14:paraId="3D8F6531" w14:textId="77777777" w:rsidR="00866E9D" w:rsidRPr="00725118" w:rsidRDefault="00866E9D" w:rsidP="00986700">
            <w:pPr>
              <w:keepNext/>
              <w:keepLines/>
              <w:rPr>
                <w:rFonts w:eastAsia="Times New Roman" w:cs="Arial"/>
                <w:color w:val="000000"/>
                <w:sz w:val="16"/>
                <w:szCs w:val="16"/>
                <w:lang w:eastAsia="en-US"/>
              </w:rPr>
            </w:pPr>
            <w:r w:rsidRPr="00725118">
              <w:rPr>
                <w:rFonts w:eastAsia="Times New Roman" w:cs="Arial"/>
                <w:color w:val="000000"/>
                <w:sz w:val="16"/>
                <w:szCs w:val="16"/>
                <w:lang w:eastAsia="en-US"/>
              </w:rPr>
              <w:t>Mise en œuvre effective de la décision du CDIP concernant l’étude extérieure sur l’assistance technique fournie par l’OMPI dans le domaine de la coopération pour le développement et établissement d’un rapport à ce sujet</w:t>
            </w:r>
          </w:p>
        </w:tc>
        <w:tc>
          <w:tcPr>
            <w:tcW w:w="2393" w:type="dxa"/>
            <w:shd w:val="clear" w:color="000000" w:fill="FFFFFF"/>
            <w:tcMar>
              <w:top w:w="57" w:type="dxa"/>
            </w:tcMar>
            <w:hideMark/>
          </w:tcPr>
          <w:p w14:paraId="4129EBA2" w14:textId="52C8F704" w:rsidR="00866E9D" w:rsidRPr="00725118" w:rsidRDefault="00866E9D" w:rsidP="00986700">
            <w:pPr>
              <w:keepNext/>
              <w:keepLines/>
              <w:rPr>
                <w:rFonts w:eastAsia="Times New Roman" w:cs="Arial"/>
                <w:color w:val="000000"/>
                <w:sz w:val="16"/>
                <w:szCs w:val="16"/>
                <w:lang w:eastAsia="en-US"/>
              </w:rPr>
            </w:pPr>
            <w:r w:rsidRPr="00725118">
              <w:rPr>
                <w:rFonts w:eastAsia="Times New Roman" w:cs="Arial"/>
                <w:color w:val="000000"/>
                <w:sz w:val="16"/>
                <w:szCs w:val="16"/>
                <w:lang w:eastAsia="en-US"/>
              </w:rPr>
              <w:t>Décision prise à la dix</w:t>
            </w:r>
            <w:r w:rsidR="00B441CA">
              <w:rPr>
                <w:rFonts w:eastAsia="Times New Roman" w:cs="Arial"/>
                <w:color w:val="000000"/>
                <w:sz w:val="16"/>
                <w:szCs w:val="16"/>
                <w:lang w:eastAsia="en-US"/>
              </w:rPr>
              <w:noBreakHyphen/>
            </w:r>
            <w:r w:rsidRPr="00725118">
              <w:rPr>
                <w:rFonts w:eastAsia="Times New Roman" w:cs="Arial"/>
                <w:color w:val="000000"/>
                <w:sz w:val="16"/>
                <w:szCs w:val="16"/>
                <w:lang w:eastAsia="en-US"/>
              </w:rPr>
              <w:t>huitième session du CDIP de mettre en œuvre la proposition figurant à l’appendice I du Résumé présenté par le président de la dix</w:t>
            </w:r>
            <w:r w:rsidR="00B441CA">
              <w:rPr>
                <w:rFonts w:eastAsia="Times New Roman" w:cs="Arial"/>
                <w:color w:val="000000"/>
                <w:sz w:val="16"/>
                <w:szCs w:val="16"/>
                <w:lang w:eastAsia="en-US"/>
              </w:rPr>
              <w:noBreakHyphen/>
            </w:r>
            <w:r w:rsidRPr="00725118">
              <w:rPr>
                <w:rFonts w:eastAsia="Times New Roman" w:cs="Arial"/>
                <w:color w:val="000000"/>
                <w:sz w:val="16"/>
                <w:szCs w:val="16"/>
                <w:lang w:eastAsia="en-US"/>
              </w:rPr>
              <w:t>septième session du comité</w:t>
            </w:r>
          </w:p>
        </w:tc>
        <w:tc>
          <w:tcPr>
            <w:tcW w:w="2393" w:type="dxa"/>
            <w:shd w:val="clear" w:color="000000" w:fill="FFFFFF"/>
            <w:tcMar>
              <w:top w:w="57" w:type="dxa"/>
            </w:tcMar>
            <w:hideMark/>
          </w:tcPr>
          <w:p w14:paraId="00416FBC" w14:textId="77777777" w:rsidR="00866E9D" w:rsidRPr="00725118" w:rsidRDefault="00866E9D" w:rsidP="00986700">
            <w:pPr>
              <w:keepNext/>
              <w:keepLines/>
              <w:rPr>
                <w:rFonts w:eastAsia="Times New Roman" w:cs="Arial"/>
                <w:color w:val="000000"/>
                <w:sz w:val="16"/>
                <w:szCs w:val="16"/>
                <w:lang w:eastAsia="en-US"/>
              </w:rPr>
            </w:pPr>
            <w:r w:rsidRPr="00725118">
              <w:rPr>
                <w:rFonts w:eastAsia="Times New Roman" w:cs="Arial"/>
                <w:color w:val="000000"/>
                <w:sz w:val="16"/>
                <w:szCs w:val="16"/>
                <w:lang w:eastAsia="en-US"/>
              </w:rPr>
              <w:t>Mise en œuvre effective de 6 points de la décision énonçant plusieurs mesures</w:t>
            </w:r>
          </w:p>
        </w:tc>
      </w:tr>
      <w:tr w:rsidR="00866E9D" w:rsidRPr="00725118" w14:paraId="5DE59690" w14:textId="77777777" w:rsidTr="00866E9D">
        <w:trPr>
          <w:cantSplit/>
        </w:trPr>
        <w:tc>
          <w:tcPr>
            <w:tcW w:w="2392" w:type="dxa"/>
            <w:shd w:val="clear" w:color="000000" w:fill="FFFFFF"/>
            <w:tcMar>
              <w:top w:w="57" w:type="dxa"/>
            </w:tcMar>
            <w:vAlign w:val="bottom"/>
            <w:hideMark/>
          </w:tcPr>
          <w:p w14:paraId="5E006123" w14:textId="77777777" w:rsidR="00866E9D" w:rsidRPr="00725118" w:rsidRDefault="00866E9D" w:rsidP="00986700">
            <w:pPr>
              <w:jc w:val="right"/>
              <w:rPr>
                <w:rFonts w:eastAsia="Times New Roman" w:cs="Arial"/>
                <w:color w:val="000000"/>
                <w:sz w:val="16"/>
                <w:szCs w:val="16"/>
                <w:lang w:eastAsia="en-US"/>
              </w:rPr>
            </w:pPr>
            <w:r w:rsidRPr="00725118">
              <w:rPr>
                <w:rFonts w:eastAsia="Times New Roman" w:cs="Arial"/>
                <w:color w:val="000000"/>
                <w:sz w:val="16"/>
                <w:szCs w:val="16"/>
                <w:lang w:eastAsia="en-US"/>
              </w:rPr>
              <w:t> </w:t>
            </w:r>
          </w:p>
        </w:tc>
        <w:tc>
          <w:tcPr>
            <w:tcW w:w="2393" w:type="dxa"/>
            <w:shd w:val="clear" w:color="000000" w:fill="FFFFFF"/>
            <w:tcMar>
              <w:top w:w="57" w:type="dxa"/>
            </w:tcMar>
            <w:hideMark/>
          </w:tcPr>
          <w:p w14:paraId="4F9B5541"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 xml:space="preserve">Amélioration continue du mécanisme d’élaboration, de mise en œuvre, de suivi et d’évaluation des projets et activités mis en œuvre dans le cadre du Plan d’action pour le développement </w:t>
            </w:r>
          </w:p>
        </w:tc>
        <w:tc>
          <w:tcPr>
            <w:tcW w:w="2393" w:type="dxa"/>
            <w:shd w:val="clear" w:color="000000" w:fill="FFFFFF"/>
            <w:tcMar>
              <w:top w:w="57" w:type="dxa"/>
            </w:tcMar>
            <w:hideMark/>
          </w:tcPr>
          <w:p w14:paraId="15227AC7"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Procédures actuelles applicables aux fins de la mise en œuvre des recommandations du Plan d’action pour le développement établies au sein de l’Organisation</w:t>
            </w:r>
          </w:p>
        </w:tc>
        <w:tc>
          <w:tcPr>
            <w:tcW w:w="2393" w:type="dxa"/>
            <w:shd w:val="clear" w:color="000000" w:fill="FFFFFF"/>
            <w:tcMar>
              <w:top w:w="57" w:type="dxa"/>
            </w:tcMar>
            <w:hideMark/>
          </w:tcPr>
          <w:p w14:paraId="66CCE7CD"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Mécanisme amélioré tenant compte des recommandations découlant des évaluations indépendantes des projets et de l’étude indépendante concernant le Plan d’action pour le développement approuvées par le CDIP</w:t>
            </w:r>
          </w:p>
        </w:tc>
      </w:tr>
      <w:tr w:rsidR="00866E9D" w:rsidRPr="00725118" w14:paraId="1DD5CB8A" w14:textId="77777777" w:rsidTr="00866E9D">
        <w:trPr>
          <w:cantSplit/>
        </w:trPr>
        <w:tc>
          <w:tcPr>
            <w:tcW w:w="2392" w:type="dxa"/>
            <w:shd w:val="clear" w:color="000000" w:fill="FFFFFF"/>
            <w:tcMar>
              <w:top w:w="57" w:type="dxa"/>
            </w:tcMar>
            <w:vAlign w:val="bottom"/>
            <w:hideMark/>
          </w:tcPr>
          <w:p w14:paraId="4BCDEC27" w14:textId="77777777" w:rsidR="00866E9D" w:rsidRPr="00725118" w:rsidRDefault="00866E9D" w:rsidP="00986700">
            <w:pPr>
              <w:jc w:val="right"/>
              <w:rPr>
                <w:rFonts w:eastAsia="Times New Roman" w:cs="Arial"/>
                <w:color w:val="000000"/>
                <w:sz w:val="16"/>
                <w:szCs w:val="16"/>
                <w:lang w:eastAsia="en-US"/>
              </w:rPr>
            </w:pPr>
            <w:r w:rsidRPr="00725118">
              <w:rPr>
                <w:rFonts w:eastAsia="Times New Roman" w:cs="Arial"/>
                <w:color w:val="000000"/>
                <w:sz w:val="16"/>
                <w:szCs w:val="16"/>
                <w:lang w:eastAsia="en-US"/>
              </w:rPr>
              <w:t> </w:t>
            </w:r>
          </w:p>
        </w:tc>
        <w:tc>
          <w:tcPr>
            <w:tcW w:w="2393" w:type="dxa"/>
            <w:shd w:val="clear" w:color="000000" w:fill="FFFFFF"/>
            <w:tcMar>
              <w:top w:w="57" w:type="dxa"/>
            </w:tcMar>
            <w:hideMark/>
          </w:tcPr>
          <w:p w14:paraId="35E965D7"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Degré de satisfaction des États membres à l’égard de la diffusion par l’OMPI d’informations sur le Plan d’action pour le développement et sa mise en œuvre</w:t>
            </w:r>
          </w:p>
        </w:tc>
        <w:tc>
          <w:tcPr>
            <w:tcW w:w="2393" w:type="dxa"/>
            <w:shd w:val="clear" w:color="000000" w:fill="FFFFFF"/>
            <w:tcMar>
              <w:top w:w="57" w:type="dxa"/>
            </w:tcMar>
            <w:hideMark/>
          </w:tcPr>
          <w:p w14:paraId="55F4C27E"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86,6% (2016)</w:t>
            </w:r>
          </w:p>
        </w:tc>
        <w:tc>
          <w:tcPr>
            <w:tcW w:w="2393" w:type="dxa"/>
            <w:shd w:val="clear" w:color="000000" w:fill="FFFFFF"/>
            <w:tcMar>
              <w:top w:w="57" w:type="dxa"/>
            </w:tcMar>
            <w:hideMark/>
          </w:tcPr>
          <w:p w14:paraId="29D6505D" w14:textId="77777777" w:rsidR="00866E9D" w:rsidRPr="00725118" w:rsidRDefault="00866E9D" w:rsidP="00986700">
            <w:pPr>
              <w:rPr>
                <w:rFonts w:eastAsia="Times New Roman" w:cs="Arial"/>
                <w:color w:val="000000"/>
                <w:sz w:val="16"/>
                <w:szCs w:val="16"/>
                <w:lang w:eastAsia="en-US"/>
              </w:rPr>
            </w:pPr>
            <w:r w:rsidRPr="00725118">
              <w:rPr>
                <w:rFonts w:eastAsia="Times New Roman" w:cs="Arial"/>
                <w:color w:val="000000"/>
                <w:sz w:val="16"/>
                <w:szCs w:val="16"/>
                <w:lang w:eastAsia="en-US"/>
              </w:rPr>
              <w:t>80%</w:t>
            </w:r>
          </w:p>
        </w:tc>
      </w:tr>
    </w:tbl>
    <w:p w14:paraId="2DEE391D" w14:textId="77777777" w:rsidR="00866E9D" w:rsidRPr="00725118" w:rsidRDefault="00866E9D" w:rsidP="00986700">
      <w:pPr>
        <w:jc w:val="both"/>
        <w:rPr>
          <w:rFonts w:cs="Arial"/>
          <w:szCs w:val="20"/>
        </w:rPr>
      </w:pPr>
    </w:p>
    <w:p w14:paraId="0124463A" w14:textId="77777777" w:rsidR="003F24B1" w:rsidRDefault="003F24B1" w:rsidP="00986700">
      <w:pPr>
        <w:rPr>
          <w:lang w:eastAsia="en-US"/>
        </w:rPr>
      </w:pPr>
    </w:p>
    <w:tbl>
      <w:tblPr>
        <w:tblW w:w="5000" w:type="pct"/>
        <w:tblCellMar>
          <w:top w:w="57" w:type="dxa"/>
          <w:bottom w:w="57" w:type="dxa"/>
        </w:tblCellMar>
        <w:tblLook w:val="01E0" w:firstRow="1" w:lastRow="1" w:firstColumn="1" w:lastColumn="1" w:noHBand="0" w:noVBand="0"/>
      </w:tblPr>
      <w:tblGrid>
        <w:gridCol w:w="9287"/>
      </w:tblGrid>
      <w:tr w:rsidR="00EE0227" w:rsidRPr="00821D15" w14:paraId="3880BFEB" w14:textId="77777777" w:rsidTr="00EE0227">
        <w:trPr>
          <w:cantSplit/>
        </w:trPr>
        <w:tc>
          <w:tcPr>
            <w:tcW w:w="9571" w:type="dxa"/>
            <w:shd w:val="clear" w:color="auto" w:fill="C6D9F1" w:themeFill="text2" w:themeFillTint="33"/>
            <w:vAlign w:val="center"/>
          </w:tcPr>
          <w:p w14:paraId="57A03792" w14:textId="77777777" w:rsidR="00EE0227" w:rsidRPr="00821D15" w:rsidRDefault="00EE0227" w:rsidP="00986700">
            <w:pPr>
              <w:jc w:val="center"/>
              <w:rPr>
                <w:rFonts w:cs="Arial"/>
                <w:b/>
                <w:szCs w:val="20"/>
              </w:rPr>
            </w:pPr>
            <w:r w:rsidRPr="00821D15">
              <w:rPr>
                <w:rFonts w:cs="Arial"/>
                <w:b/>
                <w:szCs w:val="20"/>
              </w:rPr>
              <w:t>Ressources allouées au programme 8</w:t>
            </w:r>
          </w:p>
        </w:tc>
      </w:tr>
    </w:tbl>
    <w:p w14:paraId="3E4F7915" w14:textId="77777777" w:rsidR="00EE0227" w:rsidRPr="00821D15" w:rsidRDefault="00EE0227" w:rsidP="00986700">
      <w:pPr>
        <w:rPr>
          <w:rFonts w:cs="Arial"/>
          <w:szCs w:val="20"/>
        </w:rPr>
      </w:pPr>
    </w:p>
    <w:p w14:paraId="09E4E4E3" w14:textId="77777777" w:rsidR="00EE0227" w:rsidRPr="00821D15" w:rsidRDefault="00EE0227" w:rsidP="00616FD3">
      <w:pPr>
        <w:pStyle w:val="ListParagraph"/>
        <w:numPr>
          <w:ilvl w:val="0"/>
          <w:numId w:val="69"/>
        </w:numPr>
        <w:ind w:left="0" w:firstLine="0"/>
        <w:rPr>
          <w:rFonts w:cs="Arial"/>
          <w:szCs w:val="20"/>
        </w:rPr>
      </w:pPr>
      <w:r w:rsidRPr="00821D15">
        <w:rPr>
          <w:rFonts w:cs="Arial"/>
          <w:szCs w:val="20"/>
        </w:rPr>
        <w:t>Les ressources globales allouées au programme en 2018</w:t>
      </w:r>
      <w:r w:rsidRPr="00821D15">
        <w:rPr>
          <w:rFonts w:cs="Arial"/>
          <w:szCs w:val="20"/>
        </w:rPr>
        <w:noBreakHyphen/>
        <w:t>2019 indiquent un recul de 5,9% par rapport au budget approuvé pour 2016</w:t>
      </w:r>
      <w:r w:rsidRPr="00821D15">
        <w:rPr>
          <w:rFonts w:cs="Arial"/>
          <w:szCs w:val="20"/>
        </w:rPr>
        <w:noBreakHyphen/>
        <w:t>2017.</w:t>
      </w:r>
    </w:p>
    <w:p w14:paraId="2D2D8C2B" w14:textId="77777777" w:rsidR="00EE0227" w:rsidRPr="00821D15" w:rsidRDefault="00EE0227" w:rsidP="00986700">
      <w:pPr>
        <w:rPr>
          <w:rFonts w:cs="Arial"/>
          <w:szCs w:val="20"/>
        </w:rPr>
      </w:pPr>
    </w:p>
    <w:p w14:paraId="47670DD6" w14:textId="77777777" w:rsidR="00EE0227" w:rsidRPr="00821D15" w:rsidRDefault="00EE0227" w:rsidP="00616FD3">
      <w:pPr>
        <w:pStyle w:val="ListParagraph"/>
        <w:numPr>
          <w:ilvl w:val="0"/>
          <w:numId w:val="69"/>
        </w:numPr>
        <w:ind w:left="0" w:firstLine="0"/>
        <w:rPr>
          <w:rFonts w:cs="Arial"/>
          <w:szCs w:val="20"/>
        </w:rPr>
      </w:pPr>
      <w:r w:rsidRPr="00821D15">
        <w:rPr>
          <w:rFonts w:cs="Arial"/>
          <w:szCs w:val="20"/>
        </w:rPr>
        <w:t>La diminution des dépenses de personnel est due à la redéfinition d’un poste à pourvoir (à un grade inférieur) compte tenu des besoins opérationnels.  Le nombre total de postes reste stable.</w:t>
      </w:r>
    </w:p>
    <w:p w14:paraId="578A97C4" w14:textId="77777777" w:rsidR="00EE0227" w:rsidRPr="00821D15" w:rsidRDefault="00EE0227" w:rsidP="00986700">
      <w:pPr>
        <w:rPr>
          <w:rFonts w:cs="Arial"/>
          <w:szCs w:val="20"/>
        </w:rPr>
      </w:pPr>
    </w:p>
    <w:p w14:paraId="7AED2FEA" w14:textId="77777777" w:rsidR="00EE0227" w:rsidRPr="00821D15" w:rsidRDefault="00EE0227" w:rsidP="00616FD3">
      <w:pPr>
        <w:pStyle w:val="ListParagraph"/>
        <w:numPr>
          <w:ilvl w:val="0"/>
          <w:numId w:val="69"/>
        </w:numPr>
        <w:ind w:left="0" w:firstLine="0"/>
        <w:rPr>
          <w:rFonts w:cs="Arial"/>
          <w:szCs w:val="20"/>
        </w:rPr>
      </w:pPr>
      <w:r w:rsidRPr="00821D15">
        <w:rPr>
          <w:rFonts w:cs="Arial"/>
          <w:szCs w:val="20"/>
        </w:rPr>
        <w:t>Les dépenses autres que les dépenses de personnel en 2018</w:t>
      </w:r>
      <w:r w:rsidRPr="00821D15">
        <w:rPr>
          <w:rFonts w:cs="Arial"/>
          <w:szCs w:val="20"/>
        </w:rPr>
        <w:noBreakHyphen/>
        <w:t>2019 restent au même niveau que dans le budget approuvé pour 2016</w:t>
      </w:r>
      <w:r w:rsidRPr="00821D15">
        <w:rPr>
          <w:rFonts w:cs="Arial"/>
          <w:szCs w:val="20"/>
        </w:rPr>
        <w:noBreakHyphen/>
        <w:t>2017.</w:t>
      </w:r>
    </w:p>
    <w:p w14:paraId="7419F74C" w14:textId="77777777" w:rsidR="00674550" w:rsidRDefault="00674550" w:rsidP="00986700"/>
    <w:p w14:paraId="23311440" w14:textId="3A9D2913"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8 : </w:t>
      </w:r>
      <w:r w:rsidRPr="00674550">
        <w:rPr>
          <w:rFonts w:eastAsia="Times New Roman" w:cs="Arial"/>
          <w:b/>
          <w:szCs w:val="20"/>
          <w:lang w:eastAsia="en-US"/>
        </w:rPr>
        <w:t>Ressources par résultat</w:t>
      </w:r>
    </w:p>
    <w:p w14:paraId="2CE29579"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2A4DD471" w14:textId="77777777" w:rsidR="00717231" w:rsidRDefault="00717231" w:rsidP="00986700">
      <w:pPr>
        <w:keepNext/>
      </w:pPr>
    </w:p>
    <w:p w14:paraId="06DBAFF9" w14:textId="20BFC8F0" w:rsidR="00717231" w:rsidRDefault="00717231" w:rsidP="00986700">
      <w:pPr>
        <w:jc w:val="center"/>
      </w:pPr>
      <w:r w:rsidRPr="00717231">
        <w:rPr>
          <w:noProof/>
          <w:lang w:val="en-US" w:eastAsia="en-US"/>
        </w:rPr>
        <w:drawing>
          <wp:inline distT="0" distB="0" distL="0" distR="0" wp14:anchorId="347A707F" wp14:editId="6A4D5A70">
            <wp:extent cx="5400000" cy="96156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00" cy="961569"/>
                    </a:xfrm>
                    <a:prstGeom prst="rect">
                      <a:avLst/>
                    </a:prstGeom>
                    <a:noFill/>
                    <a:ln>
                      <a:noFill/>
                    </a:ln>
                  </pic:spPr>
                </pic:pic>
              </a:graphicData>
            </a:graphic>
          </wp:inline>
        </w:drawing>
      </w:r>
    </w:p>
    <w:p w14:paraId="2FEB4B2F" w14:textId="77777777" w:rsidR="00B55ECC" w:rsidRDefault="00B55ECC" w:rsidP="00986700"/>
    <w:p w14:paraId="431A41E7"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8</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6090A3D" w14:textId="615F1B80"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03DAA1F4" w14:textId="77777777" w:rsidR="008778B5" w:rsidRDefault="008778B5" w:rsidP="00986700">
      <w:pPr>
        <w:keepNext/>
        <w:rPr>
          <w:lang w:eastAsia="en-US"/>
        </w:rPr>
      </w:pPr>
    </w:p>
    <w:p w14:paraId="066B5D55" w14:textId="6C729A72" w:rsidR="00B55ECC" w:rsidRDefault="008778B5" w:rsidP="00986700">
      <w:pPr>
        <w:jc w:val="center"/>
        <w:rPr>
          <w:lang w:eastAsia="en-US"/>
        </w:rPr>
      </w:pPr>
      <w:r w:rsidRPr="008778B5">
        <w:rPr>
          <w:noProof/>
          <w:lang w:val="en-US" w:eastAsia="en-US"/>
        </w:rPr>
        <w:drawing>
          <wp:inline distT="0" distB="0" distL="0" distR="0" wp14:anchorId="51A566E1" wp14:editId="3AD6A0F5">
            <wp:extent cx="5400000" cy="6031770"/>
            <wp:effectExtent l="0" t="0" r="0" b="762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5FE826EC" w14:textId="77777777" w:rsidR="00B55ECC" w:rsidRPr="00E16214" w:rsidRDefault="00B55ECC" w:rsidP="00986700">
      <w:pPr>
        <w:rPr>
          <w:lang w:eastAsia="en-US"/>
        </w:rPr>
      </w:pPr>
    </w:p>
    <w:p w14:paraId="7B1B1E73" w14:textId="77777777" w:rsidR="00246CC5" w:rsidRDefault="00246CC5" w:rsidP="00986700">
      <w:r>
        <w:br w:type="page"/>
      </w:r>
    </w:p>
    <w:p w14:paraId="13AB9C4F" w14:textId="15623BEF" w:rsidR="00246CC5" w:rsidRPr="0080613E" w:rsidRDefault="00246CC5" w:rsidP="00986700">
      <w:pPr>
        <w:pStyle w:val="Heading2"/>
      </w:pPr>
      <w:bookmarkStart w:id="45" w:name="_Toc482979487"/>
      <w:r w:rsidRPr="0080613E">
        <w:lastRenderedPageBreak/>
        <w:t>Programme 9</w:t>
      </w:r>
      <w:r w:rsidRPr="0080613E">
        <w:tab/>
        <w:t>Afrique, pays arabes, Asie et Pacifique, pays d’Amérique latine et des Caraïbes, pays les moins avancés</w:t>
      </w:r>
      <w:bookmarkEnd w:id="45"/>
    </w:p>
    <w:p w14:paraId="3998477C" w14:textId="77777777" w:rsidR="00246CC5" w:rsidRPr="0080613E" w:rsidRDefault="00246CC5" w:rsidP="00986700">
      <w:pPr>
        <w:rPr>
          <w:rStyle w:val="StyleStyleHeading3ComplexItalicLatin12ptChar"/>
          <w:rFonts w:eastAsia="SimSun"/>
        </w:rPr>
      </w:pPr>
    </w:p>
    <w:p w14:paraId="21FB3026" w14:textId="77777777" w:rsidR="00246CC5" w:rsidRPr="0080613E" w:rsidRDefault="00246CC5" w:rsidP="00986700">
      <w:pPr>
        <w:rPr>
          <w:rStyle w:val="StyleStyleHeading3ComplexItalicLatin12ptChar"/>
          <w:rFonts w:eastAsia="SimSun"/>
        </w:rPr>
      </w:pPr>
    </w:p>
    <w:tbl>
      <w:tblPr>
        <w:tblW w:w="5000" w:type="pct"/>
        <w:tblCellMar>
          <w:top w:w="57" w:type="dxa"/>
          <w:bottom w:w="57" w:type="dxa"/>
        </w:tblCellMar>
        <w:tblLook w:val="01E0" w:firstRow="1" w:lastRow="1" w:firstColumn="1" w:lastColumn="1" w:noHBand="0" w:noVBand="0"/>
      </w:tblPr>
      <w:tblGrid>
        <w:gridCol w:w="9287"/>
      </w:tblGrid>
      <w:tr w:rsidR="0080613E" w:rsidRPr="0080613E" w14:paraId="1D6CD152" w14:textId="77777777" w:rsidTr="00072C10">
        <w:trPr>
          <w:cantSplit/>
        </w:trPr>
        <w:tc>
          <w:tcPr>
            <w:tcW w:w="9287" w:type="dxa"/>
            <w:shd w:val="clear" w:color="auto" w:fill="C6D9F1" w:themeFill="text2" w:themeFillTint="33"/>
            <w:vAlign w:val="center"/>
          </w:tcPr>
          <w:p w14:paraId="3C72DBF3" w14:textId="77777777" w:rsidR="00246CC5" w:rsidRPr="0080613E" w:rsidRDefault="00246CC5" w:rsidP="00986700">
            <w:pPr>
              <w:keepNext/>
              <w:keepLines/>
              <w:jc w:val="center"/>
              <w:rPr>
                <w:b/>
                <w:bCs/>
              </w:rPr>
            </w:pPr>
            <w:r w:rsidRPr="0080613E">
              <w:rPr>
                <w:b/>
                <w:bCs/>
              </w:rPr>
              <w:t xml:space="preserve">Stratégies de mise en œuvre </w:t>
            </w:r>
          </w:p>
        </w:tc>
      </w:tr>
    </w:tbl>
    <w:p w14:paraId="72A6FAAC" w14:textId="399B3CB5" w:rsidR="00246CC5" w:rsidRPr="0080613E" w:rsidRDefault="00246CC5" w:rsidP="00986700"/>
    <w:p w14:paraId="0AEB880E" w14:textId="6065459A" w:rsidR="00246CC5" w:rsidRPr="0080613E" w:rsidRDefault="00246CC5" w:rsidP="00986700">
      <w:pPr>
        <w:jc w:val="both"/>
      </w:pPr>
      <w:r w:rsidRPr="0080613E">
        <w:t>Coordonner l’assistance technique, transparente et axée sur la demande et le développement</w:t>
      </w:r>
      <w:r w:rsidR="00C143A3" w:rsidRPr="0080613E">
        <w:t xml:space="preserve"> qui est</w:t>
      </w:r>
      <w:r w:rsidRPr="0080613E">
        <w:t xml:space="preserve"> fournie par l’OMPI par l’intermédiaire des bureaux régionaux et, le cas échéant, des bureaux extérieurs de l’Organisation.  Il sera dûment tenu compte des particularités et des priorités des États membres, notamment des pays les moins avancés (PMA), des spécificités de leurs régions géographiques et de l’intégration du principe de l’égalité entre les sexes.  Les domaines de coopération prioritaires durant l’exercice biennal seront les suivants :</w:t>
      </w:r>
    </w:p>
    <w:p w14:paraId="08CF4666" w14:textId="77777777" w:rsidR="00246CC5" w:rsidRPr="0080613E" w:rsidRDefault="00246CC5" w:rsidP="00986700"/>
    <w:p w14:paraId="12CC6B35" w14:textId="1374C4B2" w:rsidR="00246CC5" w:rsidRPr="0080613E" w:rsidRDefault="0080613E" w:rsidP="00616FD3">
      <w:pPr>
        <w:pStyle w:val="ListParagraph"/>
        <w:numPr>
          <w:ilvl w:val="0"/>
          <w:numId w:val="21"/>
        </w:numPr>
        <w:ind w:left="567" w:hanging="567"/>
        <w:jc w:val="both"/>
      </w:pPr>
      <w:r w:rsidRPr="0080613E">
        <w:rPr>
          <w:noProof/>
          <w:lang w:val="en-US" w:eastAsia="en-US"/>
        </w:rPr>
        <w:drawing>
          <wp:anchor distT="0" distB="0" distL="114300" distR="114300" simplePos="0" relativeHeight="251666432" behindDoc="1" locked="0" layoutInCell="1" allowOverlap="1" wp14:anchorId="142603DE" wp14:editId="7106390F">
            <wp:simplePos x="0" y="0"/>
            <wp:positionH relativeFrom="column">
              <wp:posOffset>4573905</wp:posOffset>
            </wp:positionH>
            <wp:positionV relativeFrom="paragraph">
              <wp:posOffset>1158240</wp:posOffset>
            </wp:positionV>
            <wp:extent cx="1353185" cy="4046220"/>
            <wp:effectExtent l="0" t="0" r="0" b="0"/>
            <wp:wrapTight wrapText="bothSides">
              <wp:wrapPolygon edited="0">
                <wp:start x="10643" y="0"/>
                <wp:lineTo x="8514" y="305"/>
                <wp:lineTo x="5169" y="1322"/>
                <wp:lineTo x="4865" y="2542"/>
                <wp:lineTo x="6994" y="3153"/>
                <wp:lineTo x="0" y="4271"/>
                <wp:lineTo x="0" y="6814"/>
                <wp:lineTo x="3041" y="8136"/>
                <wp:lineTo x="10035" y="9763"/>
                <wp:lineTo x="5473" y="9966"/>
                <wp:lineTo x="0" y="10881"/>
                <wp:lineTo x="0" y="13322"/>
                <wp:lineTo x="2737" y="14644"/>
                <wp:lineTo x="9427" y="16271"/>
                <wp:lineTo x="5778" y="16373"/>
                <wp:lineTo x="304" y="17390"/>
                <wp:lineTo x="0" y="18407"/>
                <wp:lineTo x="0" y="19932"/>
                <wp:lineTo x="2737" y="21153"/>
                <wp:lineTo x="5778" y="21458"/>
                <wp:lineTo x="6082" y="21458"/>
                <wp:lineTo x="10035" y="21458"/>
                <wp:lineTo x="10643" y="21458"/>
                <wp:lineTo x="13380" y="21153"/>
                <wp:lineTo x="16420" y="19729"/>
                <wp:lineTo x="16420" y="19525"/>
                <wp:lineTo x="18549" y="17898"/>
                <wp:lineTo x="21286" y="16576"/>
                <wp:lineTo x="21286" y="14949"/>
                <wp:lineTo x="20982" y="14034"/>
                <wp:lineTo x="15204" y="13119"/>
                <wp:lineTo x="10947" y="13017"/>
                <wp:lineTo x="18549" y="11390"/>
                <wp:lineTo x="21286" y="10169"/>
                <wp:lineTo x="21286" y="7220"/>
                <wp:lineTo x="13988" y="6508"/>
                <wp:lineTo x="9731" y="6508"/>
                <wp:lineTo x="17029" y="5593"/>
                <wp:lineTo x="17637" y="4881"/>
                <wp:lineTo x="21286" y="3559"/>
                <wp:lineTo x="21286" y="1322"/>
                <wp:lineTo x="17941" y="305"/>
                <wp:lineTo x="15812" y="0"/>
                <wp:lineTo x="10643" y="0"/>
              </wp:wrapPolygon>
            </wp:wrapTight>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53185"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CC5" w:rsidRPr="0080613E">
        <w:rPr>
          <w:i/>
        </w:rPr>
        <w:t xml:space="preserve">Stratégies et plans nationaux en matière de propriété intellectuelle.  </w:t>
      </w:r>
      <w:r w:rsidR="00246CC5" w:rsidRPr="0080613E">
        <w:t>Aider à la conception, à la formulation et à la mise en œuvre de stratégies et de plans nationaux en matière de propriété intellectuelle permettant de répondre aux besoins particuliers de chaque pays, en consultation avec les parties prenantes locales pour garantir la maîtrise nationale et la viabilité des programmes et en utilisant la méthode fondée sur des projets et les outils mis au point par l’Organisation;  continuer à améliorer et à coordonner la mise en œuvre des plans nationaux fondés sur les besoins et les priorités des pays bénéficiaires qui n’ont pas engagé ou achevé le processus d’adoption de stratégies et de plans nationaux en matière de propriété intellectuelle;</w:t>
      </w:r>
    </w:p>
    <w:p w14:paraId="473993EA" w14:textId="77777777" w:rsidR="00246CC5" w:rsidRPr="0080613E" w:rsidRDefault="00246CC5" w:rsidP="00986700">
      <w:pPr>
        <w:ind w:left="567" w:hanging="567"/>
        <w:jc w:val="both"/>
      </w:pPr>
    </w:p>
    <w:p w14:paraId="06EC52AD" w14:textId="77777777" w:rsidR="00246CC5" w:rsidRPr="0080613E" w:rsidRDefault="00246CC5" w:rsidP="00616FD3">
      <w:pPr>
        <w:pStyle w:val="ListParagraph"/>
        <w:numPr>
          <w:ilvl w:val="0"/>
          <w:numId w:val="21"/>
        </w:numPr>
        <w:ind w:left="567" w:hanging="567"/>
        <w:jc w:val="both"/>
        <w:rPr>
          <w:bCs/>
        </w:rPr>
      </w:pPr>
      <w:r w:rsidRPr="0080613E">
        <w:rPr>
          <w:i/>
        </w:rPr>
        <w:t xml:space="preserve">Infrastructure mondiale.  </w:t>
      </w:r>
      <w:r w:rsidRPr="0080613E">
        <w:t>Accroître l’efficacité, la transparence et la crédibilité des systèmes nationaux d’enregistrement de droits de propriété intellectuelle en renforçant l’infrastructure technique dans les offices nationaux de propriété intellectuelle;</w:t>
      </w:r>
    </w:p>
    <w:p w14:paraId="332C6215" w14:textId="77777777" w:rsidR="00246CC5" w:rsidRPr="0080613E" w:rsidRDefault="00246CC5" w:rsidP="00986700">
      <w:pPr>
        <w:ind w:left="567" w:hanging="567"/>
        <w:jc w:val="both"/>
      </w:pPr>
    </w:p>
    <w:p w14:paraId="48BB920D" w14:textId="77777777" w:rsidR="00246CC5" w:rsidRPr="0080613E" w:rsidRDefault="00246CC5" w:rsidP="00616FD3">
      <w:pPr>
        <w:pStyle w:val="ListParagraph"/>
        <w:numPr>
          <w:ilvl w:val="0"/>
          <w:numId w:val="21"/>
        </w:numPr>
        <w:ind w:left="567" w:hanging="567"/>
        <w:jc w:val="both"/>
        <w:rPr>
          <w:bCs/>
        </w:rPr>
      </w:pPr>
      <w:r w:rsidRPr="0080613E">
        <w:rPr>
          <w:i/>
        </w:rPr>
        <w:t xml:space="preserve">Cadre juridique et normatif.  </w:t>
      </w:r>
      <w:r w:rsidRPr="0080613E">
        <w:t>Formuler et moderniser des cadres législatifs et réglementaires nationaux et régionaux en matière de propriété intellectuelle;</w:t>
      </w:r>
    </w:p>
    <w:p w14:paraId="5EDECF11" w14:textId="77777777" w:rsidR="00246CC5" w:rsidRPr="0080613E" w:rsidRDefault="00246CC5" w:rsidP="00986700">
      <w:pPr>
        <w:ind w:left="567" w:hanging="567"/>
        <w:jc w:val="both"/>
      </w:pPr>
    </w:p>
    <w:p w14:paraId="24BAB0EB" w14:textId="77777777" w:rsidR="00246CC5" w:rsidRPr="0080613E" w:rsidRDefault="00246CC5" w:rsidP="00616FD3">
      <w:pPr>
        <w:pStyle w:val="ListParagraph"/>
        <w:numPr>
          <w:ilvl w:val="0"/>
          <w:numId w:val="21"/>
        </w:numPr>
        <w:ind w:left="567" w:hanging="567"/>
        <w:jc w:val="both"/>
      </w:pPr>
      <w:r w:rsidRPr="0080613E">
        <w:rPr>
          <w:i/>
        </w:rPr>
        <w:t xml:space="preserve">Renforcement des capacités.  </w:t>
      </w:r>
      <w:r w:rsidRPr="0080613E">
        <w:t>Mettre en valeur les ressources humaines et créer un réservoir de spécialistes de la propriété intellectuelle pour une meilleure protection et une meilleure commercialisation des actifs de propriété intellectuelle grâce à la mise en œuvre de divers programmes de formation et d’enseignement fondés sur les compétences, en collaboration étroite avec les universités, les centres de recherche et les entreprises;</w:t>
      </w:r>
    </w:p>
    <w:p w14:paraId="2921F6DF" w14:textId="77777777" w:rsidR="00246CC5" w:rsidRPr="0080613E" w:rsidRDefault="00246CC5" w:rsidP="00986700">
      <w:pPr>
        <w:ind w:left="567" w:hanging="567"/>
        <w:jc w:val="both"/>
        <w:rPr>
          <w:bCs/>
        </w:rPr>
      </w:pPr>
    </w:p>
    <w:p w14:paraId="17089824" w14:textId="0D487640" w:rsidR="00246CC5" w:rsidRPr="0080613E" w:rsidRDefault="00246CC5" w:rsidP="00616FD3">
      <w:pPr>
        <w:pStyle w:val="ListParagraph"/>
        <w:numPr>
          <w:ilvl w:val="0"/>
          <w:numId w:val="21"/>
        </w:numPr>
        <w:ind w:left="567" w:hanging="567"/>
        <w:jc w:val="both"/>
        <w:rPr>
          <w:bCs/>
        </w:rPr>
      </w:pPr>
      <w:r w:rsidRPr="0080613E">
        <w:rPr>
          <w:bCs/>
          <w:i/>
        </w:rPr>
        <w:t xml:space="preserve">Sensibilisation, promotion et communication.  </w:t>
      </w:r>
      <w:r w:rsidRPr="0080613E">
        <w:rPr>
          <w:bCs/>
        </w:rPr>
        <w:t xml:space="preserve">Promouvoir l’adhésion aux traités administrés par l’OMPI;  renforcer l’écosystème aux fins de l’assimilation des technologies, de l’innovation et de l’utilisation ou de la commercialisation des actifs de propriété intellectuelle </w:t>
      </w:r>
      <w:r w:rsidR="00C143A3" w:rsidRPr="0080613E">
        <w:rPr>
          <w:bCs/>
        </w:rPr>
        <w:t>par</w:t>
      </w:r>
      <w:r w:rsidRPr="0080613E">
        <w:rPr>
          <w:bCs/>
        </w:rPr>
        <w:t xml:space="preserve"> la sensibilisation à l’importance de la protection de la propriété intellectuelle, la communication et la création d’un réseau d’utilisateurs de la propriété intellectuelle comprenant notamment des organisations régionales de propriété intellectuelle, et de</w:t>
      </w:r>
      <w:r w:rsidR="00C143A3" w:rsidRPr="0080613E">
        <w:rPr>
          <w:bCs/>
        </w:rPr>
        <w:t>s</w:t>
      </w:r>
      <w:r w:rsidRPr="0080613E">
        <w:rPr>
          <w:bCs/>
        </w:rPr>
        <w:t xml:space="preserve"> sources de création de technologie;</w:t>
      </w:r>
    </w:p>
    <w:p w14:paraId="3FC1495C" w14:textId="77777777" w:rsidR="00246CC5" w:rsidRPr="0080613E" w:rsidRDefault="00246CC5" w:rsidP="00986700">
      <w:pPr>
        <w:pStyle w:val="ListParagraph"/>
        <w:ind w:left="567" w:hanging="567"/>
        <w:jc w:val="both"/>
        <w:rPr>
          <w:bCs/>
        </w:rPr>
      </w:pPr>
    </w:p>
    <w:p w14:paraId="752835AC" w14:textId="0F599064" w:rsidR="00246CC5" w:rsidRPr="0080613E" w:rsidRDefault="00246CC5" w:rsidP="00616FD3">
      <w:pPr>
        <w:pStyle w:val="ListParagraph"/>
        <w:numPr>
          <w:ilvl w:val="0"/>
          <w:numId w:val="21"/>
        </w:numPr>
        <w:ind w:left="567" w:hanging="567"/>
        <w:jc w:val="both"/>
        <w:rPr>
          <w:bCs/>
        </w:rPr>
      </w:pPr>
      <w:r w:rsidRPr="0080613E">
        <w:rPr>
          <w:bCs/>
          <w:i/>
        </w:rPr>
        <w:t>Coopération Sud</w:t>
      </w:r>
      <w:r w:rsidR="00B441CA" w:rsidRPr="0080613E">
        <w:rPr>
          <w:bCs/>
          <w:i/>
        </w:rPr>
        <w:noBreakHyphen/>
      </w:r>
      <w:r w:rsidRPr="0080613E">
        <w:rPr>
          <w:bCs/>
          <w:i/>
        </w:rPr>
        <w:t xml:space="preserve">Sud et coopération triangulaire.  </w:t>
      </w:r>
      <w:r w:rsidRPr="0080613E">
        <w:rPr>
          <w:bCs/>
        </w:rPr>
        <w:t>Continuer à faciliter la mise en relation des besoins et des ressources en matière d’assistance technique dans le domaine de la propriété intellectuelle grâce à la refondation de la plateforme WIPO Match sur le Web;  mettre en œuvre les activités de coopération Sud</w:t>
      </w:r>
      <w:r w:rsidR="00B441CA" w:rsidRPr="0080613E">
        <w:rPr>
          <w:bCs/>
        </w:rPr>
        <w:noBreakHyphen/>
      </w:r>
      <w:r w:rsidRPr="0080613E">
        <w:rPr>
          <w:bCs/>
        </w:rPr>
        <w:t>Sud et de coopération triangulaire, en rendre compte et assurer la coordination avec d’autres institutions du système des Nations Unies avec l’aide du coordonnateur de la coopération Sud</w:t>
      </w:r>
      <w:r w:rsidR="00B441CA" w:rsidRPr="0080613E">
        <w:rPr>
          <w:bCs/>
        </w:rPr>
        <w:noBreakHyphen/>
      </w:r>
      <w:r w:rsidRPr="0080613E">
        <w:rPr>
          <w:bCs/>
        </w:rPr>
        <w:t>Sud et de la coopération triangulaire;  synchroniser les bases de données existantes (</w:t>
      </w:r>
      <w:r w:rsidR="00AE7435">
        <w:rPr>
          <w:bCs/>
        </w:rPr>
        <w:t xml:space="preserve">bases de données </w:t>
      </w:r>
      <w:r w:rsidRPr="0080613E">
        <w:rPr>
          <w:bCs/>
        </w:rPr>
        <w:t>IP</w:t>
      </w:r>
      <w:r w:rsidR="00B441CA" w:rsidRPr="0080613E">
        <w:rPr>
          <w:bCs/>
        </w:rPr>
        <w:noBreakHyphen/>
      </w:r>
      <w:r w:rsidRPr="0080613E">
        <w:rPr>
          <w:bCs/>
        </w:rPr>
        <w:t xml:space="preserve">TAD </w:t>
      </w:r>
      <w:r w:rsidR="00AE7435">
        <w:rPr>
          <w:bCs/>
        </w:rPr>
        <w:t xml:space="preserve">sur les activités d’assistance technique </w:t>
      </w:r>
      <w:r w:rsidRPr="0080613E">
        <w:rPr>
          <w:bCs/>
        </w:rPr>
        <w:t>et IP</w:t>
      </w:r>
      <w:r w:rsidR="00B441CA" w:rsidRPr="0080613E">
        <w:rPr>
          <w:bCs/>
        </w:rPr>
        <w:noBreakHyphen/>
      </w:r>
      <w:r w:rsidRPr="0080613E">
        <w:rPr>
          <w:bCs/>
        </w:rPr>
        <w:t>ROC</w:t>
      </w:r>
      <w:r w:rsidR="00452592">
        <w:rPr>
          <w:bCs/>
        </w:rPr>
        <w:t xml:space="preserve"> sur les consultants de l’OMPI</w:t>
      </w:r>
      <w:r w:rsidRPr="0080613E">
        <w:rPr>
          <w:bCs/>
        </w:rPr>
        <w:t>) et le système de gestion des performances de l’Organisation en vue d’automatiser le processus de transfert des données et d’améliorer les fonctions de communication des informations;</w:t>
      </w:r>
    </w:p>
    <w:p w14:paraId="229FECDD" w14:textId="77777777" w:rsidR="00246CC5" w:rsidRPr="0080613E" w:rsidRDefault="00246CC5" w:rsidP="00986700">
      <w:pPr>
        <w:pStyle w:val="ListParagraph"/>
        <w:ind w:left="567" w:hanging="567"/>
        <w:jc w:val="both"/>
        <w:rPr>
          <w:bCs/>
        </w:rPr>
      </w:pPr>
    </w:p>
    <w:p w14:paraId="6C4EAAFB" w14:textId="796C01D2" w:rsidR="00246CC5" w:rsidRPr="0080613E" w:rsidRDefault="00246CC5" w:rsidP="00616FD3">
      <w:pPr>
        <w:pStyle w:val="ListParagraph"/>
        <w:numPr>
          <w:ilvl w:val="0"/>
          <w:numId w:val="21"/>
        </w:numPr>
        <w:ind w:left="567" w:hanging="567"/>
        <w:jc w:val="both"/>
      </w:pPr>
      <w:r w:rsidRPr="0080613E">
        <w:rPr>
          <w:bCs/>
          <w:i/>
        </w:rPr>
        <w:t xml:space="preserve">Pays les moins avancés.  </w:t>
      </w:r>
      <w:r w:rsidRPr="0080613E">
        <w:rPr>
          <w:bCs/>
        </w:rPr>
        <w:t xml:space="preserve">Poursuivre le renforcement de l’utilisation des technologies appropriées </w:t>
      </w:r>
      <w:r w:rsidR="00452592">
        <w:rPr>
          <w:bCs/>
        </w:rPr>
        <w:t xml:space="preserve">conformément au </w:t>
      </w:r>
      <w:r w:rsidRPr="0080613E">
        <w:rPr>
          <w:bCs/>
        </w:rPr>
        <w:t xml:space="preserve">Programme d’action d’Istanbul </w:t>
      </w:r>
      <w:r w:rsidR="00452592">
        <w:rPr>
          <w:bCs/>
        </w:rPr>
        <w:t>et présenter des rapports à l’ONU à cet égard</w:t>
      </w:r>
      <w:r w:rsidRPr="0080613E">
        <w:rPr>
          <w:bCs/>
        </w:rPr>
        <w:t xml:space="preserve">;  promouvoir l’invention et l’innovation à l’échelle nationale en coopération avec des centres de recherche, des </w:t>
      </w:r>
      <w:r w:rsidR="00452592">
        <w:rPr>
          <w:bCs/>
        </w:rPr>
        <w:t>établissements d’enseignement supérieur</w:t>
      </w:r>
      <w:r w:rsidRPr="0080613E">
        <w:rPr>
          <w:bCs/>
        </w:rPr>
        <w:t xml:space="preserve"> et des entreprises;  </w:t>
      </w:r>
      <w:r w:rsidR="00452592">
        <w:rPr>
          <w:bCs/>
        </w:rPr>
        <w:t xml:space="preserve">tirer parti des programmes de formation conjoints avec les partenaires de développement des PMA;  </w:t>
      </w:r>
      <w:r w:rsidRPr="0080613E">
        <w:rPr>
          <w:bCs/>
        </w:rPr>
        <w:t>réaliser des études de secteur sur l’utilisation de la propriété intellectuelle dans des domaines essentiels au développement comme l’agriculture, la santé et l’éducation</w:t>
      </w:r>
      <w:r w:rsidR="00452592">
        <w:rPr>
          <w:bCs/>
        </w:rPr>
        <w:t>, compte dûment tenu des considérations relatives à la parité hommes-femmes</w:t>
      </w:r>
      <w:r w:rsidRPr="0080613E">
        <w:rPr>
          <w:bCs/>
        </w:rPr>
        <w:t>;</w:t>
      </w:r>
      <w:r w:rsidR="00452592">
        <w:rPr>
          <w:bCs/>
        </w:rPr>
        <w:t xml:space="preserve">  publier des </w:t>
      </w:r>
      <w:r w:rsidR="007146B2">
        <w:rPr>
          <w:bCs/>
        </w:rPr>
        <w:t>études de cas sur l’utilisation réussie de technologies appropriées;</w:t>
      </w:r>
    </w:p>
    <w:p w14:paraId="21025114" w14:textId="77777777" w:rsidR="00246CC5" w:rsidRPr="0080613E" w:rsidRDefault="00246CC5" w:rsidP="00986700">
      <w:pPr>
        <w:ind w:left="567" w:hanging="567"/>
        <w:jc w:val="both"/>
      </w:pPr>
    </w:p>
    <w:p w14:paraId="70ED2356" w14:textId="77777777" w:rsidR="00246CC5" w:rsidRPr="0080613E" w:rsidRDefault="00246CC5" w:rsidP="00616FD3">
      <w:pPr>
        <w:pStyle w:val="ListParagraph"/>
        <w:numPr>
          <w:ilvl w:val="0"/>
          <w:numId w:val="21"/>
        </w:numPr>
        <w:ind w:left="567" w:hanging="567"/>
        <w:jc w:val="both"/>
        <w:rPr>
          <w:bCs/>
        </w:rPr>
      </w:pPr>
      <w:r w:rsidRPr="0080613E">
        <w:rPr>
          <w:bCs/>
          <w:i/>
        </w:rPr>
        <w:t>Petites et moyennes entreprises (PME).</w:t>
      </w:r>
      <w:r w:rsidRPr="0080613E">
        <w:rPr>
          <w:i/>
        </w:rPr>
        <w:t xml:space="preserve">  </w:t>
      </w:r>
      <w:r w:rsidRPr="0080613E">
        <w:rPr>
          <w:bCs/>
        </w:rPr>
        <w:t>Renforcer la compétitivité des PME dans les différents secteurs économiques ou de production (par exemple, l’agroalimentaire, l’artisanat, la mode et le design, la culture et le tourisme) en élaborant des stratégies en matière de création de marques et de dessins et modèles et en renforçant les capacités dans ce domaine;  favoriser l’utilisation des systèmes mondiaux de propriété intellectuelle pour la protection de leurs produits et services par des droits de propriété intellectuelle sur les marchés étrangers.</w:t>
      </w:r>
    </w:p>
    <w:p w14:paraId="5471877D" w14:textId="77777777" w:rsidR="00246CC5" w:rsidRDefault="00246CC5" w:rsidP="00986700">
      <w:pPr>
        <w:jc w:val="both"/>
        <w:rPr>
          <w:bCs/>
        </w:rPr>
      </w:pPr>
    </w:p>
    <w:p w14:paraId="199E5620" w14:textId="77777777" w:rsidR="005A64E3" w:rsidRDefault="005A64E3" w:rsidP="00986700">
      <w:pPr>
        <w:jc w:val="both"/>
        <w:rPr>
          <w:bCs/>
        </w:rPr>
      </w:pPr>
    </w:p>
    <w:tbl>
      <w:tblPr>
        <w:tblW w:w="5000" w:type="pct"/>
        <w:tblCellMar>
          <w:top w:w="57" w:type="dxa"/>
          <w:bottom w:w="57" w:type="dxa"/>
        </w:tblCellMar>
        <w:tblLook w:val="01E0" w:firstRow="1" w:lastRow="1" w:firstColumn="1" w:lastColumn="1" w:noHBand="0" w:noVBand="0"/>
      </w:tblPr>
      <w:tblGrid>
        <w:gridCol w:w="9287"/>
      </w:tblGrid>
      <w:tr w:rsidR="005A64E3" w:rsidRPr="005052F3" w14:paraId="5B3C8512" w14:textId="77777777" w:rsidTr="005A64E3">
        <w:trPr>
          <w:cantSplit/>
        </w:trPr>
        <w:tc>
          <w:tcPr>
            <w:tcW w:w="9180" w:type="dxa"/>
            <w:shd w:val="clear" w:color="auto" w:fill="C6D9F1" w:themeFill="text2" w:themeFillTint="33"/>
            <w:vAlign w:val="center"/>
          </w:tcPr>
          <w:p w14:paraId="36D31795" w14:textId="2C99C026" w:rsidR="005A64E3" w:rsidRPr="00041ED1" w:rsidRDefault="005A64E3" w:rsidP="00E82B8A">
            <w:pPr>
              <w:keepNext/>
              <w:keepLines/>
              <w:jc w:val="center"/>
              <w:rPr>
                <w:rFonts w:eastAsia="Times New Roman" w:cs="Arial"/>
                <w:b/>
                <w:bCs/>
                <w:szCs w:val="20"/>
                <w:lang w:val="fr-CH" w:eastAsia="en-US"/>
              </w:rPr>
            </w:pPr>
            <w:r w:rsidRPr="00041ED1">
              <w:rPr>
                <w:rFonts w:cs="Arial"/>
                <w:b/>
                <w:bCs/>
                <w:color w:val="222222"/>
                <w:szCs w:val="19"/>
                <w:shd w:val="clear" w:color="auto" w:fill="C6D9F1"/>
                <w:lang w:val="fr-CH"/>
              </w:rPr>
              <w:t>Collaboration interprog</w:t>
            </w:r>
            <w:r w:rsidR="00E82B8A">
              <w:rPr>
                <w:rFonts w:cs="Arial"/>
                <w:b/>
                <w:bCs/>
                <w:color w:val="222222"/>
                <w:szCs w:val="19"/>
                <w:shd w:val="clear" w:color="auto" w:fill="C6D9F1"/>
                <w:lang w:val="fr-CH"/>
              </w:rPr>
              <w:t>rammes</w:t>
            </w:r>
          </w:p>
        </w:tc>
      </w:tr>
    </w:tbl>
    <w:p w14:paraId="3BC9EA7E" w14:textId="77777777" w:rsidR="005A64E3" w:rsidRPr="00AC2D36" w:rsidRDefault="005A64E3" w:rsidP="005A64E3">
      <w:pPr>
        <w:keepNext/>
        <w:rPr>
          <w:lang w:val="fr-CH"/>
        </w:rPr>
      </w:pPr>
    </w:p>
    <w:p w14:paraId="6A5AC20B" w14:textId="64C84854" w:rsidR="005A64E3" w:rsidRPr="0080613E" w:rsidRDefault="005A64E3" w:rsidP="005A64E3">
      <w:pPr>
        <w:jc w:val="center"/>
        <w:rPr>
          <w:bCs/>
        </w:rPr>
      </w:pPr>
      <w:r w:rsidRPr="005A64E3">
        <w:rPr>
          <w:noProof/>
          <w:lang w:val="en-US" w:eastAsia="en-US"/>
        </w:rPr>
        <w:drawing>
          <wp:inline distT="0" distB="0" distL="0" distR="0" wp14:anchorId="634FAC1B" wp14:editId="146A5FF4">
            <wp:extent cx="3614113" cy="3600000"/>
            <wp:effectExtent l="0" t="0" r="5715"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14113" cy="3600000"/>
                    </a:xfrm>
                    <a:prstGeom prst="rect">
                      <a:avLst/>
                    </a:prstGeom>
                    <a:noFill/>
                    <a:ln>
                      <a:noFill/>
                    </a:ln>
                  </pic:spPr>
                </pic:pic>
              </a:graphicData>
            </a:graphic>
          </wp:inline>
        </w:drawing>
      </w:r>
    </w:p>
    <w:p w14:paraId="226799CF" w14:textId="77777777" w:rsidR="00246CC5" w:rsidRPr="0080613E" w:rsidRDefault="00246CC5" w:rsidP="00986700">
      <w:pPr>
        <w:jc w:val="both"/>
        <w:rPr>
          <w:bCs/>
        </w:rPr>
      </w:pPr>
    </w:p>
    <w:tbl>
      <w:tblPr>
        <w:tblW w:w="5000" w:type="pct"/>
        <w:tblCellMar>
          <w:top w:w="57" w:type="dxa"/>
          <w:bottom w:w="57" w:type="dxa"/>
        </w:tblCellMar>
        <w:tblLook w:val="01E0" w:firstRow="1" w:lastRow="1" w:firstColumn="1" w:lastColumn="1" w:noHBand="0" w:noVBand="0"/>
      </w:tblPr>
      <w:tblGrid>
        <w:gridCol w:w="4640"/>
        <w:gridCol w:w="4647"/>
      </w:tblGrid>
      <w:tr w:rsidR="00246CC5" w:rsidRPr="0080613E" w14:paraId="70826B7C" w14:textId="77777777" w:rsidTr="00246CC5">
        <w:trPr>
          <w:cantSplit/>
        </w:trPr>
        <w:tc>
          <w:tcPr>
            <w:tcW w:w="4785" w:type="dxa"/>
            <w:shd w:val="clear" w:color="auto" w:fill="C6D9F1" w:themeFill="text2" w:themeFillTint="33"/>
            <w:vAlign w:val="center"/>
          </w:tcPr>
          <w:p w14:paraId="7B84540A" w14:textId="77777777" w:rsidR="00246CC5" w:rsidRPr="0080613E" w:rsidRDefault="00246CC5" w:rsidP="00986700">
            <w:pPr>
              <w:keepNext/>
              <w:keepLines/>
              <w:jc w:val="center"/>
              <w:rPr>
                <w:b/>
                <w:bCs/>
                <w:sz w:val="18"/>
                <w:szCs w:val="18"/>
              </w:rPr>
            </w:pPr>
            <w:r w:rsidRPr="0080613E">
              <w:rPr>
                <w:b/>
                <w:bCs/>
                <w:sz w:val="18"/>
                <w:szCs w:val="18"/>
              </w:rPr>
              <w:t>Risques</w:t>
            </w:r>
          </w:p>
        </w:tc>
        <w:tc>
          <w:tcPr>
            <w:tcW w:w="4786" w:type="dxa"/>
            <w:shd w:val="clear" w:color="auto" w:fill="C6D9F1" w:themeFill="text2" w:themeFillTint="33"/>
            <w:vAlign w:val="center"/>
          </w:tcPr>
          <w:p w14:paraId="1E990C87" w14:textId="77777777" w:rsidR="00246CC5" w:rsidRPr="0080613E" w:rsidRDefault="00246CC5" w:rsidP="00986700">
            <w:pPr>
              <w:jc w:val="center"/>
              <w:rPr>
                <w:b/>
                <w:bCs/>
                <w:sz w:val="18"/>
                <w:szCs w:val="18"/>
              </w:rPr>
            </w:pPr>
            <w:r w:rsidRPr="0080613E">
              <w:rPr>
                <w:b/>
                <w:bCs/>
                <w:sz w:val="18"/>
                <w:szCs w:val="18"/>
              </w:rPr>
              <w:t>Mesures d’atténuation</w:t>
            </w:r>
          </w:p>
        </w:tc>
      </w:tr>
      <w:tr w:rsidR="0080613E" w:rsidRPr="0080613E" w14:paraId="503A20CC" w14:textId="77777777" w:rsidTr="00246CC5">
        <w:trPr>
          <w:cantSplit/>
        </w:trPr>
        <w:tc>
          <w:tcPr>
            <w:tcW w:w="4785" w:type="dxa"/>
            <w:shd w:val="clear" w:color="auto" w:fill="auto"/>
            <w:tcMar>
              <w:top w:w="57" w:type="dxa"/>
              <w:bottom w:w="57" w:type="dxa"/>
            </w:tcMar>
          </w:tcPr>
          <w:p w14:paraId="25B9716B" w14:textId="5995B431" w:rsidR="00246CC5" w:rsidRPr="0080613E" w:rsidRDefault="00246CC5" w:rsidP="00986700">
            <w:pPr>
              <w:keepNext/>
              <w:keepLines/>
              <w:rPr>
                <w:sz w:val="16"/>
                <w:szCs w:val="16"/>
              </w:rPr>
            </w:pPr>
            <w:r w:rsidRPr="0080613E">
              <w:rPr>
                <w:sz w:val="16"/>
                <w:szCs w:val="16"/>
              </w:rPr>
              <w:t>Des changements politiques débouchant sur des modifications de la politique de propriété intellectuelle peuvent entraîner une révision des plans de travail des pays concernés et réduire la portée des services proposés par l’OMPI ou en retarder la fourniture.</w:t>
            </w:r>
          </w:p>
        </w:tc>
        <w:tc>
          <w:tcPr>
            <w:tcW w:w="4786" w:type="dxa"/>
            <w:shd w:val="clear" w:color="auto" w:fill="auto"/>
            <w:tcMar>
              <w:top w:w="57" w:type="dxa"/>
              <w:bottom w:w="57" w:type="dxa"/>
            </w:tcMar>
          </w:tcPr>
          <w:p w14:paraId="01C3D11E" w14:textId="30D127D0" w:rsidR="00246CC5" w:rsidRPr="0080613E" w:rsidRDefault="00246CC5" w:rsidP="00986700">
            <w:pPr>
              <w:rPr>
                <w:sz w:val="16"/>
                <w:szCs w:val="16"/>
              </w:rPr>
            </w:pPr>
            <w:r w:rsidRPr="0080613E">
              <w:rPr>
                <w:sz w:val="16"/>
              </w:rPr>
              <w:t>Conserver une marge de manœuvre afin de pouvoir faire des ajustements dans les plans de travail pour certains pays.</w:t>
            </w:r>
          </w:p>
        </w:tc>
      </w:tr>
      <w:tr w:rsidR="0080613E" w:rsidRPr="0080613E" w14:paraId="504D1559" w14:textId="77777777" w:rsidTr="00246CC5">
        <w:trPr>
          <w:cantSplit/>
        </w:trPr>
        <w:tc>
          <w:tcPr>
            <w:tcW w:w="4785" w:type="dxa"/>
            <w:shd w:val="clear" w:color="auto" w:fill="auto"/>
            <w:tcMar>
              <w:top w:w="57" w:type="dxa"/>
              <w:bottom w:w="57" w:type="dxa"/>
            </w:tcMar>
          </w:tcPr>
          <w:p w14:paraId="3257F42B" w14:textId="45348476" w:rsidR="0080613E" w:rsidRPr="0080613E" w:rsidRDefault="0080613E" w:rsidP="00986700">
            <w:pPr>
              <w:keepNext/>
              <w:keepLines/>
              <w:rPr>
                <w:sz w:val="16"/>
                <w:szCs w:val="16"/>
              </w:rPr>
            </w:pPr>
            <w:r w:rsidRPr="0080613E">
              <w:rPr>
                <w:sz w:val="16"/>
                <w:szCs w:val="16"/>
              </w:rPr>
              <w:t>L’instabilité politique dans les États membres et les changements qui en résultent en matière d’évaluation des conditions de sécurité dans le système des Nations Unies peuvent entraîner des retards dans la prestation des services d’assistance technique.</w:t>
            </w:r>
          </w:p>
        </w:tc>
        <w:tc>
          <w:tcPr>
            <w:tcW w:w="4786" w:type="dxa"/>
            <w:shd w:val="clear" w:color="auto" w:fill="auto"/>
            <w:tcMar>
              <w:top w:w="57" w:type="dxa"/>
              <w:bottom w:w="57" w:type="dxa"/>
            </w:tcMar>
          </w:tcPr>
          <w:p w14:paraId="733EEE69" w14:textId="62E1DBF6" w:rsidR="0080613E" w:rsidRPr="0080613E" w:rsidRDefault="0080613E" w:rsidP="00986700">
            <w:pPr>
              <w:rPr>
                <w:sz w:val="16"/>
              </w:rPr>
            </w:pPr>
            <w:r w:rsidRPr="0080613E">
              <w:rPr>
                <w:sz w:val="16"/>
              </w:rPr>
              <w:t xml:space="preserve">Surveiller la situation avec les offices de propriété intellectuelle et d’autres parties prenantes pour concevoir des plans de remplacement.  </w:t>
            </w:r>
          </w:p>
        </w:tc>
      </w:tr>
    </w:tbl>
    <w:p w14:paraId="61091517" w14:textId="77777777" w:rsidR="00246CC5" w:rsidRPr="0080613E" w:rsidRDefault="00246CC5" w:rsidP="00986700"/>
    <w:p w14:paraId="347B022D" w14:textId="77777777" w:rsidR="00246CC5" w:rsidRPr="0080613E" w:rsidRDefault="00246CC5" w:rsidP="00986700"/>
    <w:tbl>
      <w:tblPr>
        <w:tblW w:w="5000" w:type="pct"/>
        <w:tblLayout w:type="fixed"/>
        <w:tblCellMar>
          <w:top w:w="57" w:type="dxa"/>
          <w:bottom w:w="57" w:type="dxa"/>
        </w:tblCellMar>
        <w:tblLook w:val="04A0" w:firstRow="1" w:lastRow="0" w:firstColumn="1" w:lastColumn="0" w:noHBand="0" w:noVBand="1"/>
      </w:tblPr>
      <w:tblGrid>
        <w:gridCol w:w="2321"/>
        <w:gridCol w:w="2322"/>
        <w:gridCol w:w="2322"/>
        <w:gridCol w:w="2322"/>
      </w:tblGrid>
      <w:tr w:rsidR="00EE0227" w:rsidRPr="0080613E" w14:paraId="4175DBFD" w14:textId="77777777" w:rsidTr="00246CC5">
        <w:trPr>
          <w:cantSplit/>
          <w:tblHeader/>
        </w:trPr>
        <w:tc>
          <w:tcPr>
            <w:tcW w:w="2392" w:type="dxa"/>
            <w:shd w:val="clear" w:color="000000" w:fill="C5D9F1"/>
            <w:noWrap/>
            <w:tcMar>
              <w:top w:w="57" w:type="dxa"/>
            </w:tcMar>
            <w:vAlign w:val="center"/>
            <w:hideMark/>
          </w:tcPr>
          <w:p w14:paraId="6E0F449F" w14:textId="77777777" w:rsidR="00246CC5" w:rsidRPr="0080613E" w:rsidRDefault="00246CC5" w:rsidP="00E82B8A">
            <w:pPr>
              <w:keepNext/>
              <w:jc w:val="center"/>
              <w:rPr>
                <w:b/>
                <w:bCs/>
                <w:sz w:val="18"/>
                <w:szCs w:val="18"/>
              </w:rPr>
            </w:pPr>
            <w:r w:rsidRPr="0080613E">
              <w:rPr>
                <w:b/>
                <w:bCs/>
                <w:sz w:val="18"/>
                <w:szCs w:val="18"/>
              </w:rPr>
              <w:lastRenderedPageBreak/>
              <w:t>Résultats escomptés</w:t>
            </w:r>
          </w:p>
        </w:tc>
        <w:tc>
          <w:tcPr>
            <w:tcW w:w="2393" w:type="dxa"/>
            <w:shd w:val="clear" w:color="000000" w:fill="C5D9F1"/>
            <w:noWrap/>
            <w:tcMar>
              <w:top w:w="57" w:type="dxa"/>
            </w:tcMar>
            <w:vAlign w:val="center"/>
            <w:hideMark/>
          </w:tcPr>
          <w:p w14:paraId="5AC88484" w14:textId="77777777" w:rsidR="00246CC5" w:rsidRPr="0080613E" w:rsidRDefault="00246CC5" w:rsidP="00E82B8A">
            <w:pPr>
              <w:keepNext/>
              <w:jc w:val="center"/>
              <w:rPr>
                <w:b/>
                <w:bCs/>
                <w:sz w:val="18"/>
                <w:szCs w:val="18"/>
              </w:rPr>
            </w:pPr>
            <w:r w:rsidRPr="0080613E">
              <w:rPr>
                <w:b/>
                <w:bCs/>
                <w:sz w:val="18"/>
                <w:szCs w:val="18"/>
              </w:rPr>
              <w:t>Indicateurs d’exécution</w:t>
            </w:r>
          </w:p>
        </w:tc>
        <w:tc>
          <w:tcPr>
            <w:tcW w:w="2393" w:type="dxa"/>
            <w:shd w:val="clear" w:color="000000" w:fill="C5D9F1"/>
            <w:noWrap/>
            <w:tcMar>
              <w:top w:w="57" w:type="dxa"/>
            </w:tcMar>
            <w:vAlign w:val="center"/>
            <w:hideMark/>
          </w:tcPr>
          <w:p w14:paraId="5990A66D" w14:textId="77777777" w:rsidR="00246CC5" w:rsidRPr="0080613E" w:rsidRDefault="00246CC5" w:rsidP="00E82B8A">
            <w:pPr>
              <w:keepNext/>
              <w:jc w:val="center"/>
              <w:rPr>
                <w:b/>
                <w:bCs/>
                <w:sz w:val="18"/>
                <w:szCs w:val="18"/>
              </w:rPr>
            </w:pPr>
            <w:r w:rsidRPr="0080613E">
              <w:rPr>
                <w:b/>
                <w:bCs/>
                <w:sz w:val="18"/>
                <w:szCs w:val="18"/>
              </w:rPr>
              <w:t>Niveaux de référence</w:t>
            </w:r>
          </w:p>
        </w:tc>
        <w:tc>
          <w:tcPr>
            <w:tcW w:w="2393" w:type="dxa"/>
            <w:shd w:val="clear" w:color="000000" w:fill="C5D9F1"/>
            <w:noWrap/>
            <w:tcMar>
              <w:top w:w="57" w:type="dxa"/>
            </w:tcMar>
            <w:vAlign w:val="center"/>
            <w:hideMark/>
          </w:tcPr>
          <w:p w14:paraId="1D4D81B6" w14:textId="77777777" w:rsidR="00246CC5" w:rsidRPr="0080613E" w:rsidRDefault="00246CC5" w:rsidP="00E82B8A">
            <w:pPr>
              <w:keepNext/>
              <w:jc w:val="center"/>
              <w:rPr>
                <w:b/>
                <w:bCs/>
                <w:sz w:val="18"/>
                <w:szCs w:val="18"/>
              </w:rPr>
            </w:pPr>
            <w:r w:rsidRPr="0080613E">
              <w:rPr>
                <w:b/>
                <w:bCs/>
                <w:sz w:val="18"/>
                <w:szCs w:val="18"/>
              </w:rPr>
              <w:t>Objectifs visés</w:t>
            </w:r>
          </w:p>
        </w:tc>
      </w:tr>
      <w:tr w:rsidR="00EE0227" w:rsidRPr="0080613E" w14:paraId="511E10FD" w14:textId="77777777" w:rsidTr="00246CC5">
        <w:trPr>
          <w:cantSplit/>
        </w:trPr>
        <w:tc>
          <w:tcPr>
            <w:tcW w:w="2392" w:type="dxa"/>
            <w:shd w:val="clear" w:color="auto" w:fill="auto"/>
            <w:tcMar>
              <w:top w:w="57" w:type="dxa"/>
            </w:tcMar>
            <w:hideMark/>
          </w:tcPr>
          <w:p w14:paraId="61854D94" w14:textId="77777777" w:rsidR="00246CC5" w:rsidRPr="0080613E" w:rsidRDefault="00246CC5" w:rsidP="00986700">
            <w:pPr>
              <w:rPr>
                <w:sz w:val="16"/>
                <w:szCs w:val="16"/>
              </w:rPr>
            </w:pPr>
            <w:r w:rsidRPr="0080613E">
              <w:rPr>
                <w:sz w:val="16"/>
                <w:szCs w:val="16"/>
              </w:rPr>
              <w:t>I.2 Cadres législatifs, réglementaires et politiques de propriété intellectuelle adaptés et équilibrés</w:t>
            </w:r>
          </w:p>
        </w:tc>
        <w:tc>
          <w:tcPr>
            <w:tcW w:w="2393" w:type="dxa"/>
            <w:shd w:val="clear" w:color="auto" w:fill="auto"/>
            <w:tcMar>
              <w:top w:w="57" w:type="dxa"/>
            </w:tcMar>
            <w:hideMark/>
          </w:tcPr>
          <w:p w14:paraId="51FE0A58" w14:textId="77777777" w:rsidR="00246CC5" w:rsidRPr="0080613E" w:rsidRDefault="00246CC5" w:rsidP="00986700">
            <w:pPr>
              <w:rPr>
                <w:sz w:val="16"/>
                <w:szCs w:val="16"/>
              </w:rPr>
            </w:pPr>
            <w:r w:rsidRPr="0080613E">
              <w:rPr>
                <w:sz w:val="16"/>
                <w:szCs w:val="16"/>
              </w:rPr>
              <w:t>Nombre ou pourcentage de pays adressant un retour d’information positif sur les conseils fournis par l’OMPI dans le domaine législatif</w:t>
            </w:r>
          </w:p>
        </w:tc>
        <w:tc>
          <w:tcPr>
            <w:tcW w:w="2393" w:type="dxa"/>
            <w:shd w:val="clear" w:color="auto" w:fill="auto"/>
            <w:tcMar>
              <w:top w:w="57" w:type="dxa"/>
            </w:tcMar>
            <w:hideMark/>
          </w:tcPr>
          <w:p w14:paraId="19DFBB2C" w14:textId="77777777" w:rsidR="00246CC5" w:rsidRPr="0080613E" w:rsidRDefault="00246CC5" w:rsidP="00986700">
            <w:pPr>
              <w:rPr>
                <w:sz w:val="16"/>
                <w:szCs w:val="16"/>
              </w:rPr>
            </w:pPr>
            <w:r w:rsidRPr="0080613E">
              <w:rPr>
                <w:sz w:val="16"/>
                <w:szCs w:val="16"/>
              </w:rPr>
              <w:t>100% (2016)</w:t>
            </w:r>
          </w:p>
        </w:tc>
        <w:tc>
          <w:tcPr>
            <w:tcW w:w="2393" w:type="dxa"/>
            <w:shd w:val="clear" w:color="auto" w:fill="auto"/>
            <w:tcMar>
              <w:top w:w="57" w:type="dxa"/>
            </w:tcMar>
            <w:hideMark/>
          </w:tcPr>
          <w:p w14:paraId="371C3B5C" w14:textId="77777777" w:rsidR="00246CC5" w:rsidRPr="0080613E" w:rsidRDefault="00246CC5" w:rsidP="00986700">
            <w:pPr>
              <w:rPr>
                <w:sz w:val="16"/>
                <w:szCs w:val="16"/>
              </w:rPr>
            </w:pPr>
            <w:r w:rsidRPr="0080613E">
              <w:rPr>
                <w:sz w:val="16"/>
                <w:szCs w:val="16"/>
              </w:rPr>
              <w:t>90%</w:t>
            </w:r>
          </w:p>
        </w:tc>
      </w:tr>
      <w:tr w:rsidR="00EE0227" w:rsidRPr="0080613E" w14:paraId="3B077E2A" w14:textId="77777777" w:rsidTr="00246CC5">
        <w:trPr>
          <w:cantSplit/>
        </w:trPr>
        <w:tc>
          <w:tcPr>
            <w:tcW w:w="2392" w:type="dxa"/>
            <w:shd w:val="clear" w:color="auto" w:fill="auto"/>
            <w:tcMar>
              <w:top w:w="57" w:type="dxa"/>
            </w:tcMar>
          </w:tcPr>
          <w:p w14:paraId="097E8837" w14:textId="77777777" w:rsidR="00246CC5" w:rsidRPr="0080613E" w:rsidRDefault="00246CC5" w:rsidP="00986700">
            <w:pPr>
              <w:rPr>
                <w:sz w:val="16"/>
                <w:szCs w:val="16"/>
              </w:rPr>
            </w:pPr>
            <w:r w:rsidRPr="0080613E">
              <w:rPr>
                <w:sz w:val="16"/>
                <w:szCs w:val="16"/>
              </w:rPr>
              <w:t>II.1 Utilisation élargie et plus efficace du système du PCT pour le dépôt des demandes internationales de brevet</w:t>
            </w:r>
          </w:p>
        </w:tc>
        <w:tc>
          <w:tcPr>
            <w:tcW w:w="2393" w:type="dxa"/>
            <w:shd w:val="clear" w:color="auto" w:fill="auto"/>
            <w:tcMar>
              <w:top w:w="57" w:type="dxa"/>
            </w:tcMar>
          </w:tcPr>
          <w:p w14:paraId="563C5256" w14:textId="77777777" w:rsidR="00246CC5" w:rsidRPr="0080613E" w:rsidRDefault="00246CC5" w:rsidP="00986700">
            <w:pPr>
              <w:rPr>
                <w:sz w:val="16"/>
                <w:szCs w:val="16"/>
              </w:rPr>
            </w:pPr>
            <w:r w:rsidRPr="0080613E">
              <w:rPr>
                <w:sz w:val="16"/>
                <w:szCs w:val="16"/>
              </w:rPr>
              <w:t>Nombre de demandes selon le PCT en provenance de pays en développement et de PMA</w:t>
            </w:r>
          </w:p>
        </w:tc>
        <w:tc>
          <w:tcPr>
            <w:tcW w:w="2393" w:type="dxa"/>
            <w:shd w:val="clear" w:color="auto" w:fill="auto"/>
            <w:tcMar>
              <w:top w:w="57" w:type="dxa"/>
            </w:tcMar>
          </w:tcPr>
          <w:p w14:paraId="632F9B76" w14:textId="77777777" w:rsidR="00246CC5" w:rsidRPr="0080613E" w:rsidRDefault="00246CC5" w:rsidP="00986700">
            <w:pPr>
              <w:rPr>
                <w:sz w:val="16"/>
                <w:szCs w:val="16"/>
              </w:rPr>
            </w:pPr>
            <w:r w:rsidRPr="0080613E">
              <w:rPr>
                <w:sz w:val="16"/>
                <w:szCs w:val="16"/>
              </w:rPr>
              <w:t>63 957 (2016)</w:t>
            </w:r>
          </w:p>
        </w:tc>
        <w:tc>
          <w:tcPr>
            <w:tcW w:w="2393" w:type="dxa"/>
            <w:shd w:val="clear" w:color="auto" w:fill="auto"/>
            <w:tcMar>
              <w:top w:w="57" w:type="dxa"/>
            </w:tcMar>
          </w:tcPr>
          <w:p w14:paraId="346BDF20" w14:textId="77777777" w:rsidR="00246CC5" w:rsidRPr="0080613E" w:rsidRDefault="00246CC5" w:rsidP="00986700">
            <w:pPr>
              <w:rPr>
                <w:sz w:val="16"/>
                <w:szCs w:val="16"/>
              </w:rPr>
            </w:pPr>
            <w:r w:rsidRPr="0080613E">
              <w:rPr>
                <w:sz w:val="16"/>
                <w:szCs w:val="16"/>
              </w:rPr>
              <w:t>3% d’augmentation (2018)</w:t>
            </w:r>
          </w:p>
          <w:p w14:paraId="295B9FA0" w14:textId="77777777" w:rsidR="00246CC5" w:rsidRPr="0080613E" w:rsidRDefault="00246CC5" w:rsidP="00986700">
            <w:pPr>
              <w:rPr>
                <w:sz w:val="16"/>
                <w:szCs w:val="16"/>
              </w:rPr>
            </w:pPr>
            <w:r w:rsidRPr="0080613E">
              <w:rPr>
                <w:sz w:val="16"/>
                <w:szCs w:val="16"/>
              </w:rPr>
              <w:t>3% d’augmentation (2019)</w:t>
            </w:r>
          </w:p>
        </w:tc>
      </w:tr>
      <w:tr w:rsidR="00EE0227" w:rsidRPr="0080613E" w14:paraId="38B8033E" w14:textId="77777777" w:rsidTr="00246CC5">
        <w:trPr>
          <w:cantSplit/>
        </w:trPr>
        <w:tc>
          <w:tcPr>
            <w:tcW w:w="2392" w:type="dxa"/>
            <w:shd w:val="clear" w:color="auto" w:fill="auto"/>
            <w:tcMar>
              <w:top w:w="57" w:type="dxa"/>
            </w:tcMar>
          </w:tcPr>
          <w:p w14:paraId="297FDE36" w14:textId="77777777" w:rsidR="00246CC5" w:rsidRPr="0080613E" w:rsidRDefault="00246CC5" w:rsidP="00986700">
            <w:pPr>
              <w:rPr>
                <w:sz w:val="16"/>
                <w:szCs w:val="16"/>
              </w:rPr>
            </w:pPr>
            <w:r w:rsidRPr="0080613E">
              <w:rPr>
                <w:sz w:val="16"/>
                <w:szCs w:val="16"/>
              </w:rPr>
              <w:t>II.3 Utilisation élargie et plus efficace du système de La Haye, notamment par les pays en développement et les PMA</w:t>
            </w:r>
          </w:p>
        </w:tc>
        <w:tc>
          <w:tcPr>
            <w:tcW w:w="2393" w:type="dxa"/>
            <w:shd w:val="clear" w:color="auto" w:fill="auto"/>
            <w:tcMar>
              <w:top w:w="57" w:type="dxa"/>
            </w:tcMar>
          </w:tcPr>
          <w:p w14:paraId="297C8600" w14:textId="77777777" w:rsidR="00246CC5" w:rsidRPr="0080613E" w:rsidRDefault="00246CC5" w:rsidP="00986700">
            <w:pPr>
              <w:rPr>
                <w:sz w:val="16"/>
                <w:szCs w:val="16"/>
              </w:rPr>
            </w:pPr>
            <w:r w:rsidRPr="0080613E">
              <w:rPr>
                <w:sz w:val="16"/>
                <w:szCs w:val="16"/>
              </w:rPr>
              <w:t>Nombre de demandes déposées selon le système de La Haye en provenance de pays en développement et de PMA</w:t>
            </w:r>
          </w:p>
        </w:tc>
        <w:tc>
          <w:tcPr>
            <w:tcW w:w="2393" w:type="dxa"/>
            <w:shd w:val="clear" w:color="auto" w:fill="auto"/>
            <w:tcMar>
              <w:top w:w="57" w:type="dxa"/>
            </w:tcMar>
          </w:tcPr>
          <w:p w14:paraId="292D734F" w14:textId="77777777" w:rsidR="00246CC5" w:rsidRPr="0080613E" w:rsidRDefault="00246CC5" w:rsidP="00986700">
            <w:pPr>
              <w:rPr>
                <w:sz w:val="16"/>
                <w:szCs w:val="16"/>
              </w:rPr>
            </w:pPr>
            <w:r w:rsidRPr="0080613E">
              <w:rPr>
                <w:sz w:val="16"/>
                <w:szCs w:val="16"/>
              </w:rPr>
              <w:t>1 362 (2016)</w:t>
            </w:r>
          </w:p>
        </w:tc>
        <w:tc>
          <w:tcPr>
            <w:tcW w:w="2393" w:type="dxa"/>
            <w:shd w:val="clear" w:color="auto" w:fill="auto"/>
            <w:tcMar>
              <w:top w:w="57" w:type="dxa"/>
            </w:tcMar>
          </w:tcPr>
          <w:p w14:paraId="4FAD7836" w14:textId="77777777" w:rsidR="00246CC5" w:rsidRPr="0080613E" w:rsidRDefault="00246CC5" w:rsidP="00986700">
            <w:pPr>
              <w:rPr>
                <w:sz w:val="16"/>
                <w:szCs w:val="16"/>
              </w:rPr>
            </w:pPr>
            <w:r w:rsidRPr="0080613E">
              <w:rPr>
                <w:sz w:val="16"/>
                <w:szCs w:val="16"/>
              </w:rPr>
              <w:t>11% d’augmentation (2018)</w:t>
            </w:r>
          </w:p>
          <w:p w14:paraId="4CE999A4" w14:textId="77777777" w:rsidR="00246CC5" w:rsidRPr="0080613E" w:rsidRDefault="00246CC5" w:rsidP="00986700">
            <w:pPr>
              <w:rPr>
                <w:sz w:val="16"/>
                <w:szCs w:val="16"/>
              </w:rPr>
            </w:pPr>
            <w:r w:rsidRPr="0080613E">
              <w:rPr>
                <w:sz w:val="16"/>
                <w:szCs w:val="16"/>
              </w:rPr>
              <w:t>11% d’augmentation (2019)</w:t>
            </w:r>
          </w:p>
        </w:tc>
      </w:tr>
      <w:tr w:rsidR="00EE0227" w:rsidRPr="0080613E" w14:paraId="073D7666" w14:textId="77777777" w:rsidTr="00246CC5">
        <w:trPr>
          <w:cantSplit/>
        </w:trPr>
        <w:tc>
          <w:tcPr>
            <w:tcW w:w="2392" w:type="dxa"/>
            <w:shd w:val="clear" w:color="auto" w:fill="auto"/>
            <w:tcMar>
              <w:top w:w="57" w:type="dxa"/>
            </w:tcMar>
          </w:tcPr>
          <w:p w14:paraId="06613320" w14:textId="77777777" w:rsidR="00246CC5" w:rsidRPr="0080613E" w:rsidRDefault="00246CC5" w:rsidP="00986700">
            <w:pPr>
              <w:rPr>
                <w:sz w:val="16"/>
                <w:szCs w:val="16"/>
              </w:rPr>
            </w:pPr>
            <w:r w:rsidRPr="0080613E">
              <w:rPr>
                <w:sz w:val="16"/>
                <w:szCs w:val="16"/>
              </w:rPr>
              <w:t>II.5 Utilisation élargie et plus efficace du système de Madrid, notamment par les pays en développement et les PMA</w:t>
            </w:r>
          </w:p>
        </w:tc>
        <w:tc>
          <w:tcPr>
            <w:tcW w:w="2393" w:type="dxa"/>
            <w:shd w:val="clear" w:color="auto" w:fill="auto"/>
            <w:tcMar>
              <w:top w:w="57" w:type="dxa"/>
            </w:tcMar>
          </w:tcPr>
          <w:p w14:paraId="59F2FEAE" w14:textId="77777777" w:rsidR="00246CC5" w:rsidRPr="0080613E" w:rsidRDefault="00246CC5" w:rsidP="00986700">
            <w:pPr>
              <w:rPr>
                <w:sz w:val="16"/>
                <w:szCs w:val="16"/>
              </w:rPr>
            </w:pPr>
            <w:r w:rsidRPr="0080613E">
              <w:rPr>
                <w:sz w:val="16"/>
                <w:szCs w:val="16"/>
              </w:rPr>
              <w:t>Nombre de demandes déposées selon le système de Madrid en provenance de pays en développement et de PMA</w:t>
            </w:r>
          </w:p>
        </w:tc>
        <w:tc>
          <w:tcPr>
            <w:tcW w:w="2393" w:type="dxa"/>
            <w:shd w:val="clear" w:color="auto" w:fill="auto"/>
            <w:tcMar>
              <w:top w:w="57" w:type="dxa"/>
            </w:tcMar>
          </w:tcPr>
          <w:p w14:paraId="5A2151EB" w14:textId="77777777" w:rsidR="00246CC5" w:rsidRPr="0080613E" w:rsidRDefault="00246CC5" w:rsidP="00986700">
            <w:pPr>
              <w:rPr>
                <w:sz w:val="16"/>
                <w:szCs w:val="16"/>
              </w:rPr>
            </w:pPr>
            <w:r w:rsidRPr="0080613E">
              <w:rPr>
                <w:sz w:val="16"/>
                <w:szCs w:val="16"/>
              </w:rPr>
              <w:t>5 479 (2016)</w:t>
            </w:r>
          </w:p>
        </w:tc>
        <w:tc>
          <w:tcPr>
            <w:tcW w:w="2393" w:type="dxa"/>
            <w:shd w:val="clear" w:color="auto" w:fill="auto"/>
            <w:tcMar>
              <w:top w:w="57" w:type="dxa"/>
            </w:tcMar>
          </w:tcPr>
          <w:p w14:paraId="4B50961D" w14:textId="77777777" w:rsidR="00246CC5" w:rsidRPr="0080613E" w:rsidRDefault="00246CC5" w:rsidP="00986700">
            <w:pPr>
              <w:rPr>
                <w:sz w:val="16"/>
                <w:szCs w:val="16"/>
              </w:rPr>
            </w:pPr>
            <w:r w:rsidRPr="0080613E">
              <w:rPr>
                <w:sz w:val="16"/>
                <w:szCs w:val="16"/>
              </w:rPr>
              <w:t>4% d’augmentation (2018)</w:t>
            </w:r>
          </w:p>
          <w:p w14:paraId="6D9BA608" w14:textId="77777777" w:rsidR="00246CC5" w:rsidRPr="0080613E" w:rsidRDefault="00246CC5" w:rsidP="00986700">
            <w:pPr>
              <w:rPr>
                <w:sz w:val="16"/>
                <w:szCs w:val="16"/>
              </w:rPr>
            </w:pPr>
            <w:r w:rsidRPr="0080613E">
              <w:rPr>
                <w:sz w:val="16"/>
                <w:szCs w:val="16"/>
              </w:rPr>
              <w:t>3% d’augmentation (2019)</w:t>
            </w:r>
          </w:p>
        </w:tc>
      </w:tr>
      <w:tr w:rsidR="00EE0227" w:rsidRPr="0080613E" w14:paraId="7CB00DE4" w14:textId="77777777" w:rsidTr="00246CC5">
        <w:trPr>
          <w:cantSplit/>
        </w:trPr>
        <w:tc>
          <w:tcPr>
            <w:tcW w:w="2392" w:type="dxa"/>
            <w:shd w:val="clear" w:color="auto" w:fill="auto"/>
            <w:tcMar>
              <w:top w:w="57" w:type="dxa"/>
            </w:tcMar>
          </w:tcPr>
          <w:p w14:paraId="5BF3D356" w14:textId="77777777" w:rsidR="00246CC5" w:rsidRPr="0080613E" w:rsidRDefault="00246CC5" w:rsidP="00986700">
            <w:pPr>
              <w:rPr>
                <w:sz w:val="16"/>
                <w:szCs w:val="16"/>
              </w:rPr>
            </w:pPr>
            <w:r w:rsidRPr="0080613E">
              <w:rPr>
                <w:sz w:val="16"/>
                <w:szCs w:val="16"/>
              </w:rPr>
              <w:t>II.7 De plus en plus de litiges internationaux ou nationaux de propriété intellectuelle sont évités ou réglés par la médiation, l’arbitrage et les autres modes extrajudiciaires de règlement des litiges de l’OMPI</w:t>
            </w:r>
          </w:p>
        </w:tc>
        <w:tc>
          <w:tcPr>
            <w:tcW w:w="2393" w:type="dxa"/>
            <w:shd w:val="clear" w:color="auto" w:fill="auto"/>
            <w:tcMar>
              <w:top w:w="57" w:type="dxa"/>
            </w:tcMar>
          </w:tcPr>
          <w:p w14:paraId="33FF717F" w14:textId="77777777" w:rsidR="00246CC5" w:rsidRPr="0080613E" w:rsidRDefault="00246CC5" w:rsidP="00986700">
            <w:pPr>
              <w:rPr>
                <w:sz w:val="16"/>
                <w:szCs w:val="16"/>
              </w:rPr>
            </w:pPr>
            <w:r w:rsidRPr="0080613E">
              <w:rPr>
                <w:sz w:val="16"/>
                <w:szCs w:val="16"/>
              </w:rPr>
              <w:t>Politiques de règlement extrajudiciaire des litiges dont le Centre a contribué à l’élaboration ou pour lesquelles il a fourni un appui</w:t>
            </w:r>
          </w:p>
        </w:tc>
        <w:tc>
          <w:tcPr>
            <w:tcW w:w="2393" w:type="dxa"/>
            <w:shd w:val="clear" w:color="auto" w:fill="auto"/>
            <w:tcMar>
              <w:top w:w="57" w:type="dxa"/>
            </w:tcMar>
          </w:tcPr>
          <w:p w14:paraId="69B1D426" w14:textId="77777777" w:rsidR="00246CC5" w:rsidRPr="0080613E" w:rsidRDefault="00246CC5" w:rsidP="00986700">
            <w:pPr>
              <w:rPr>
                <w:sz w:val="16"/>
                <w:szCs w:val="16"/>
              </w:rPr>
            </w:pPr>
            <w:r w:rsidRPr="0080613E">
              <w:rPr>
                <w:sz w:val="16"/>
                <w:szCs w:val="16"/>
              </w:rPr>
              <w:t>12 programmes</w:t>
            </w:r>
          </w:p>
          <w:p w14:paraId="6624ACCA" w14:textId="77777777" w:rsidR="00246CC5" w:rsidRPr="0080613E" w:rsidRDefault="00246CC5" w:rsidP="00986700">
            <w:pPr>
              <w:rPr>
                <w:sz w:val="16"/>
                <w:szCs w:val="16"/>
              </w:rPr>
            </w:pPr>
            <w:r w:rsidRPr="0080613E">
              <w:rPr>
                <w:sz w:val="16"/>
                <w:szCs w:val="16"/>
              </w:rPr>
              <w:t>(au total en mars 2017)</w:t>
            </w:r>
          </w:p>
        </w:tc>
        <w:tc>
          <w:tcPr>
            <w:tcW w:w="2393" w:type="dxa"/>
            <w:shd w:val="clear" w:color="auto" w:fill="auto"/>
            <w:tcMar>
              <w:top w:w="57" w:type="dxa"/>
            </w:tcMar>
          </w:tcPr>
          <w:p w14:paraId="2805AC4F" w14:textId="77777777" w:rsidR="00246CC5" w:rsidRPr="0080613E" w:rsidRDefault="00246CC5" w:rsidP="00986700">
            <w:pPr>
              <w:rPr>
                <w:sz w:val="16"/>
                <w:szCs w:val="16"/>
              </w:rPr>
            </w:pPr>
            <w:r w:rsidRPr="0080613E">
              <w:rPr>
                <w:sz w:val="16"/>
                <w:szCs w:val="16"/>
              </w:rPr>
              <w:t>1 programme supplémentaire adopté à l’échelle mondiale</w:t>
            </w:r>
            <w:r w:rsidRPr="0080613E">
              <w:rPr>
                <w:rStyle w:val="FootnoteReference"/>
                <w:sz w:val="16"/>
                <w:szCs w:val="16"/>
              </w:rPr>
              <w:footnoteReference w:id="26"/>
            </w:r>
          </w:p>
        </w:tc>
      </w:tr>
      <w:tr w:rsidR="00EE0227" w:rsidRPr="0080613E" w14:paraId="4A703FB9" w14:textId="77777777" w:rsidTr="00246CC5">
        <w:trPr>
          <w:cantSplit/>
        </w:trPr>
        <w:tc>
          <w:tcPr>
            <w:tcW w:w="2392" w:type="dxa"/>
            <w:shd w:val="clear" w:color="auto" w:fill="auto"/>
            <w:tcMar>
              <w:top w:w="57" w:type="dxa"/>
            </w:tcMar>
            <w:hideMark/>
          </w:tcPr>
          <w:p w14:paraId="0911D0B4" w14:textId="77777777" w:rsidR="00246CC5" w:rsidRPr="0080613E" w:rsidRDefault="00246CC5" w:rsidP="00986700">
            <w:pPr>
              <w:rPr>
                <w:sz w:val="16"/>
                <w:szCs w:val="16"/>
              </w:rPr>
            </w:pPr>
            <w:r w:rsidRPr="0080613E">
              <w:rPr>
                <w:sz w:val="16"/>
                <w:szCs w:val="16"/>
              </w:rPr>
              <w:t>III.1 Stratégies et plans nationaux en matière de propriété intellectuelle conformes aux objectifs nationaux de développement</w:t>
            </w:r>
          </w:p>
        </w:tc>
        <w:tc>
          <w:tcPr>
            <w:tcW w:w="2393" w:type="dxa"/>
            <w:shd w:val="clear" w:color="auto" w:fill="auto"/>
            <w:tcMar>
              <w:top w:w="57" w:type="dxa"/>
            </w:tcMar>
            <w:hideMark/>
          </w:tcPr>
          <w:p w14:paraId="0B803A06" w14:textId="77777777" w:rsidR="00246CC5" w:rsidRPr="0080613E" w:rsidRDefault="00246CC5" w:rsidP="00986700">
            <w:pPr>
              <w:rPr>
                <w:sz w:val="16"/>
                <w:szCs w:val="16"/>
              </w:rPr>
            </w:pPr>
            <w:r w:rsidRPr="0080613E">
              <w:rPr>
                <w:sz w:val="16"/>
                <w:szCs w:val="16"/>
              </w:rPr>
              <w:t>Nombre de pays ayant commencé à formuler des stratégies nationales de propriété intellectuelle</w:t>
            </w:r>
          </w:p>
        </w:tc>
        <w:tc>
          <w:tcPr>
            <w:tcW w:w="2393" w:type="dxa"/>
            <w:shd w:val="clear" w:color="auto" w:fill="auto"/>
            <w:tcMar>
              <w:top w:w="57" w:type="dxa"/>
            </w:tcMar>
            <w:hideMark/>
          </w:tcPr>
          <w:p w14:paraId="513EA73C" w14:textId="406A97B6" w:rsidR="00246CC5" w:rsidRPr="0080613E" w:rsidRDefault="00246CC5" w:rsidP="00986700">
            <w:pPr>
              <w:rPr>
                <w:sz w:val="16"/>
                <w:szCs w:val="16"/>
              </w:rPr>
            </w:pPr>
            <w:r w:rsidRPr="0080613E">
              <w:rPr>
                <w:sz w:val="16"/>
                <w:szCs w:val="16"/>
              </w:rPr>
              <w:t>– Afrique (3 supplémentaires)</w:t>
            </w:r>
            <w:r w:rsidRPr="0080613E">
              <w:rPr>
                <w:sz w:val="16"/>
                <w:szCs w:val="16"/>
              </w:rPr>
              <w:br/>
              <w:t xml:space="preserve">– Pays arabes (2 supplémentaires) </w:t>
            </w:r>
            <w:r w:rsidRPr="0080613E">
              <w:rPr>
                <w:sz w:val="16"/>
                <w:szCs w:val="16"/>
              </w:rPr>
              <w:br/>
              <w:t>– Asie et Pacifique (2 supplémentaires)</w:t>
            </w:r>
            <w:r w:rsidRPr="0080613E">
              <w:rPr>
                <w:sz w:val="16"/>
                <w:szCs w:val="16"/>
              </w:rPr>
              <w:br/>
              <w:t>– Amérique latine et Caraïbes (4 supplémentaires)</w:t>
            </w:r>
          </w:p>
          <w:p w14:paraId="6BA28555" w14:textId="77777777" w:rsidR="00246CC5" w:rsidRPr="0080613E" w:rsidRDefault="00246CC5" w:rsidP="00986700">
            <w:pPr>
              <w:rPr>
                <w:sz w:val="16"/>
                <w:szCs w:val="16"/>
              </w:rPr>
            </w:pPr>
          </w:p>
          <w:p w14:paraId="54E1F43B" w14:textId="77777777" w:rsidR="00246CC5" w:rsidRPr="0080613E" w:rsidRDefault="00246CC5" w:rsidP="00986700">
            <w:pPr>
              <w:rPr>
                <w:sz w:val="16"/>
                <w:szCs w:val="16"/>
              </w:rPr>
            </w:pPr>
            <w:r w:rsidRPr="0080613E">
              <w:rPr>
                <w:sz w:val="16"/>
                <w:szCs w:val="16"/>
              </w:rPr>
              <w:t>(fin 2016)</w:t>
            </w:r>
          </w:p>
        </w:tc>
        <w:tc>
          <w:tcPr>
            <w:tcW w:w="2393" w:type="dxa"/>
            <w:shd w:val="clear" w:color="auto" w:fill="auto"/>
            <w:tcMar>
              <w:top w:w="57" w:type="dxa"/>
            </w:tcMar>
            <w:hideMark/>
          </w:tcPr>
          <w:p w14:paraId="7B6359EA" w14:textId="59EF4D2B" w:rsidR="00246CC5" w:rsidRPr="0080613E" w:rsidRDefault="00246CC5" w:rsidP="00986700">
            <w:pPr>
              <w:pStyle w:val="ListParagraph"/>
              <w:ind w:left="0"/>
              <w:rPr>
                <w:sz w:val="16"/>
                <w:szCs w:val="16"/>
              </w:rPr>
            </w:pPr>
            <w:r w:rsidRPr="0080613E">
              <w:rPr>
                <w:sz w:val="16"/>
                <w:szCs w:val="16"/>
              </w:rPr>
              <w:t>– Afrique (3 supplémentaires)</w:t>
            </w:r>
          </w:p>
          <w:p w14:paraId="2D7D6816" w14:textId="0C01BD65" w:rsidR="00246CC5" w:rsidRPr="0080613E" w:rsidRDefault="00246CC5" w:rsidP="00986700">
            <w:pPr>
              <w:pStyle w:val="ListParagraph"/>
              <w:ind w:left="0"/>
              <w:rPr>
                <w:sz w:val="16"/>
                <w:szCs w:val="16"/>
              </w:rPr>
            </w:pPr>
            <w:r w:rsidRPr="0080613E">
              <w:rPr>
                <w:sz w:val="16"/>
                <w:szCs w:val="16"/>
              </w:rPr>
              <w:t>– Pays arabes (4 supplémentaires)</w:t>
            </w:r>
          </w:p>
          <w:p w14:paraId="3F0ED40E" w14:textId="4D78D633" w:rsidR="00246CC5" w:rsidRPr="0080613E" w:rsidRDefault="00246CC5" w:rsidP="00986700">
            <w:pPr>
              <w:pStyle w:val="ListParagraph"/>
              <w:ind w:left="0"/>
              <w:rPr>
                <w:sz w:val="16"/>
                <w:szCs w:val="16"/>
              </w:rPr>
            </w:pPr>
            <w:r w:rsidRPr="0080613E">
              <w:rPr>
                <w:sz w:val="16"/>
                <w:szCs w:val="16"/>
              </w:rPr>
              <w:t>– Asie et Pacifique (6 supplémentaires)</w:t>
            </w:r>
          </w:p>
          <w:p w14:paraId="36EA028A" w14:textId="3146C680" w:rsidR="00246CC5" w:rsidRPr="0080613E" w:rsidRDefault="00246CC5" w:rsidP="00986700">
            <w:pPr>
              <w:pStyle w:val="ListParagraph"/>
              <w:ind w:left="0"/>
              <w:rPr>
                <w:sz w:val="16"/>
                <w:szCs w:val="16"/>
              </w:rPr>
            </w:pPr>
            <w:r w:rsidRPr="0080613E">
              <w:rPr>
                <w:sz w:val="16"/>
                <w:szCs w:val="16"/>
              </w:rPr>
              <w:t>– Amérique latine et Caraïbes (3 supplémentaires)</w:t>
            </w:r>
          </w:p>
        </w:tc>
      </w:tr>
      <w:tr w:rsidR="00EE0227" w:rsidRPr="0080613E" w14:paraId="062146C9" w14:textId="77777777" w:rsidTr="00246CC5">
        <w:trPr>
          <w:cantSplit/>
        </w:trPr>
        <w:tc>
          <w:tcPr>
            <w:tcW w:w="2392" w:type="dxa"/>
            <w:shd w:val="clear" w:color="auto" w:fill="auto"/>
            <w:tcMar>
              <w:top w:w="57" w:type="dxa"/>
            </w:tcMar>
            <w:hideMark/>
          </w:tcPr>
          <w:p w14:paraId="4F498302"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5233C5A8" w14:textId="0F6E72FE" w:rsidR="00246CC5" w:rsidRPr="0080613E" w:rsidRDefault="00246CC5" w:rsidP="007146B2">
            <w:pPr>
              <w:rPr>
                <w:sz w:val="16"/>
                <w:szCs w:val="16"/>
              </w:rPr>
            </w:pPr>
            <w:r w:rsidRPr="0080613E">
              <w:rPr>
                <w:sz w:val="16"/>
                <w:szCs w:val="16"/>
              </w:rPr>
              <w:t>Nombre de pays ayant adopté des stratégies nationales en matière de propriété intellectuelle</w:t>
            </w:r>
          </w:p>
        </w:tc>
        <w:tc>
          <w:tcPr>
            <w:tcW w:w="2393" w:type="dxa"/>
            <w:shd w:val="clear" w:color="auto" w:fill="auto"/>
            <w:tcMar>
              <w:top w:w="57" w:type="dxa"/>
            </w:tcMar>
            <w:hideMark/>
          </w:tcPr>
          <w:p w14:paraId="2732A762" w14:textId="1EB529D3" w:rsidR="00246CC5" w:rsidRPr="0080613E" w:rsidRDefault="00246CC5" w:rsidP="00986700">
            <w:pPr>
              <w:rPr>
                <w:sz w:val="16"/>
                <w:szCs w:val="16"/>
              </w:rPr>
            </w:pPr>
            <w:r w:rsidRPr="0080613E">
              <w:rPr>
                <w:sz w:val="16"/>
                <w:szCs w:val="16"/>
              </w:rPr>
              <w:t>– Afrique (25 au total)</w:t>
            </w:r>
            <w:r w:rsidRPr="0080613E">
              <w:rPr>
                <w:sz w:val="16"/>
                <w:szCs w:val="16"/>
              </w:rPr>
              <w:br/>
              <w:t>– Pays arabes (2 au total)</w:t>
            </w:r>
            <w:r w:rsidRPr="0080613E">
              <w:rPr>
                <w:sz w:val="16"/>
                <w:szCs w:val="16"/>
              </w:rPr>
              <w:br/>
              <w:t>– Asie et Pacifique (7 au total)</w:t>
            </w:r>
            <w:r w:rsidRPr="0080613E">
              <w:rPr>
                <w:sz w:val="16"/>
                <w:szCs w:val="16"/>
              </w:rPr>
              <w:br/>
              <w:t>– Amérique latine et Caraïbes (8 au total)</w:t>
            </w:r>
          </w:p>
          <w:p w14:paraId="5D4C1CE9" w14:textId="77777777" w:rsidR="00246CC5" w:rsidRPr="0080613E" w:rsidRDefault="00246CC5" w:rsidP="00986700">
            <w:pPr>
              <w:rPr>
                <w:sz w:val="16"/>
                <w:szCs w:val="16"/>
              </w:rPr>
            </w:pPr>
          </w:p>
          <w:p w14:paraId="4BFE0D55" w14:textId="6A4EB013" w:rsidR="00246CC5" w:rsidRPr="0080613E" w:rsidRDefault="00246CC5" w:rsidP="00986700">
            <w:pPr>
              <w:rPr>
                <w:sz w:val="16"/>
                <w:szCs w:val="16"/>
              </w:rPr>
            </w:pPr>
            <w:r w:rsidRPr="0080613E">
              <w:rPr>
                <w:sz w:val="16"/>
                <w:szCs w:val="16"/>
              </w:rPr>
              <w:t>20 PMA inclus dans la ventilation régionale ci</w:t>
            </w:r>
            <w:r w:rsidR="00B441CA" w:rsidRPr="0080613E">
              <w:rPr>
                <w:sz w:val="16"/>
                <w:szCs w:val="16"/>
              </w:rPr>
              <w:noBreakHyphen/>
            </w:r>
            <w:r w:rsidRPr="0080613E">
              <w:rPr>
                <w:sz w:val="16"/>
                <w:szCs w:val="16"/>
              </w:rPr>
              <w:t>dessus</w:t>
            </w:r>
          </w:p>
        </w:tc>
        <w:tc>
          <w:tcPr>
            <w:tcW w:w="2393" w:type="dxa"/>
            <w:shd w:val="clear" w:color="auto" w:fill="auto"/>
            <w:tcMar>
              <w:top w:w="57" w:type="dxa"/>
            </w:tcMar>
            <w:hideMark/>
          </w:tcPr>
          <w:p w14:paraId="6C5244ED" w14:textId="19557F61" w:rsidR="00246CC5" w:rsidRPr="0080613E" w:rsidRDefault="00246CC5" w:rsidP="00986700">
            <w:pPr>
              <w:rPr>
                <w:sz w:val="16"/>
                <w:szCs w:val="16"/>
              </w:rPr>
            </w:pPr>
            <w:r w:rsidRPr="0080613E">
              <w:rPr>
                <w:sz w:val="16"/>
                <w:szCs w:val="16"/>
              </w:rPr>
              <w:t>– Afrique (3 supplémentaires)</w:t>
            </w:r>
            <w:r w:rsidRPr="0080613E">
              <w:rPr>
                <w:sz w:val="16"/>
                <w:szCs w:val="16"/>
              </w:rPr>
              <w:br/>
              <w:t>– Pays arabes (1 supplémentaire)</w:t>
            </w:r>
            <w:r w:rsidRPr="0080613E">
              <w:rPr>
                <w:sz w:val="16"/>
                <w:szCs w:val="16"/>
              </w:rPr>
              <w:br/>
              <w:t>– Asie et Pacifique (6 supplémentaires)</w:t>
            </w:r>
          </w:p>
          <w:p w14:paraId="2B2B2A24" w14:textId="45F7DD33" w:rsidR="00246CC5" w:rsidRPr="0080613E" w:rsidRDefault="00246CC5" w:rsidP="00986700">
            <w:pPr>
              <w:rPr>
                <w:sz w:val="16"/>
                <w:szCs w:val="16"/>
              </w:rPr>
            </w:pPr>
            <w:r w:rsidRPr="0080613E">
              <w:rPr>
                <w:sz w:val="16"/>
                <w:szCs w:val="16"/>
              </w:rPr>
              <w:t>– Amérique latine et Caraïbes (3 supplémentaires)</w:t>
            </w:r>
          </w:p>
          <w:p w14:paraId="31FC6C17" w14:textId="77777777" w:rsidR="00246CC5" w:rsidRPr="0080613E" w:rsidRDefault="00246CC5" w:rsidP="00986700">
            <w:pPr>
              <w:rPr>
                <w:sz w:val="16"/>
                <w:szCs w:val="16"/>
              </w:rPr>
            </w:pPr>
          </w:p>
          <w:p w14:paraId="3BCB6CFF" w14:textId="25687488" w:rsidR="00246CC5" w:rsidRPr="0080613E" w:rsidRDefault="00246CC5" w:rsidP="00986700">
            <w:pPr>
              <w:rPr>
                <w:sz w:val="16"/>
                <w:szCs w:val="16"/>
              </w:rPr>
            </w:pPr>
            <w:r w:rsidRPr="0080613E">
              <w:rPr>
                <w:sz w:val="16"/>
                <w:szCs w:val="16"/>
              </w:rPr>
              <w:t>2 PMA supplémentaires inclus dans la ventilation régionale ci</w:t>
            </w:r>
            <w:r w:rsidR="00B441CA" w:rsidRPr="0080613E">
              <w:rPr>
                <w:sz w:val="16"/>
                <w:szCs w:val="16"/>
              </w:rPr>
              <w:noBreakHyphen/>
            </w:r>
            <w:r w:rsidRPr="0080613E">
              <w:rPr>
                <w:sz w:val="16"/>
                <w:szCs w:val="16"/>
              </w:rPr>
              <w:t xml:space="preserve">dessus </w:t>
            </w:r>
          </w:p>
        </w:tc>
      </w:tr>
      <w:tr w:rsidR="00EE0227" w:rsidRPr="0080613E" w14:paraId="1575497B" w14:textId="77777777" w:rsidTr="00246CC5">
        <w:trPr>
          <w:cantSplit/>
        </w:trPr>
        <w:tc>
          <w:tcPr>
            <w:tcW w:w="2392" w:type="dxa"/>
            <w:shd w:val="clear" w:color="auto" w:fill="auto"/>
            <w:tcMar>
              <w:top w:w="57" w:type="dxa"/>
            </w:tcMar>
            <w:hideMark/>
          </w:tcPr>
          <w:p w14:paraId="45A53FD2"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6F8E3AF8" w14:textId="3BE3CB1F" w:rsidR="00246CC5" w:rsidRPr="0080613E" w:rsidRDefault="00246CC5" w:rsidP="007146B2">
            <w:pPr>
              <w:rPr>
                <w:sz w:val="16"/>
                <w:szCs w:val="16"/>
              </w:rPr>
            </w:pPr>
            <w:r w:rsidRPr="0080613E">
              <w:rPr>
                <w:sz w:val="16"/>
                <w:szCs w:val="16"/>
              </w:rPr>
              <w:t xml:space="preserve">Nombre de pays ayant entamé le processus de mise en œuvre des stratégies nationales en matière de propriété intellectuelle et des plans nationaux de développement relatifs à la propriété intellectuelle </w:t>
            </w:r>
          </w:p>
        </w:tc>
        <w:tc>
          <w:tcPr>
            <w:tcW w:w="2393" w:type="dxa"/>
            <w:shd w:val="clear" w:color="auto" w:fill="auto"/>
            <w:tcMar>
              <w:top w:w="57" w:type="dxa"/>
            </w:tcMar>
            <w:hideMark/>
          </w:tcPr>
          <w:p w14:paraId="3E793A93" w14:textId="77777777" w:rsidR="00246CC5" w:rsidRPr="0080613E" w:rsidRDefault="00246CC5" w:rsidP="00986700">
            <w:pPr>
              <w:rPr>
                <w:sz w:val="16"/>
                <w:szCs w:val="16"/>
              </w:rPr>
            </w:pPr>
            <w:r w:rsidRPr="0080613E">
              <w:rPr>
                <w:sz w:val="16"/>
                <w:szCs w:val="16"/>
              </w:rPr>
              <w:t>Afrique (27 au total)</w:t>
            </w:r>
          </w:p>
          <w:p w14:paraId="4BC8E441" w14:textId="77777777" w:rsidR="00246CC5" w:rsidRPr="0080613E" w:rsidRDefault="00246CC5" w:rsidP="00986700">
            <w:pPr>
              <w:rPr>
                <w:sz w:val="16"/>
                <w:szCs w:val="16"/>
              </w:rPr>
            </w:pPr>
            <w:r w:rsidRPr="0080613E">
              <w:rPr>
                <w:sz w:val="16"/>
                <w:szCs w:val="16"/>
              </w:rPr>
              <w:t>Pays arabes (2 au total)</w:t>
            </w:r>
          </w:p>
          <w:p w14:paraId="74E97D0F" w14:textId="77777777" w:rsidR="00246CC5" w:rsidRPr="0080613E" w:rsidRDefault="00246CC5" w:rsidP="00986700">
            <w:pPr>
              <w:rPr>
                <w:sz w:val="16"/>
                <w:szCs w:val="16"/>
              </w:rPr>
            </w:pPr>
            <w:r w:rsidRPr="0080613E">
              <w:rPr>
                <w:sz w:val="16"/>
                <w:szCs w:val="16"/>
              </w:rPr>
              <w:t>Asie et Pacifique (9 au total) Amérique latine et Caraïbes (6 au total)</w:t>
            </w:r>
          </w:p>
          <w:p w14:paraId="3C6F946C" w14:textId="77777777" w:rsidR="00246CC5" w:rsidRPr="0080613E" w:rsidRDefault="00246CC5" w:rsidP="00986700">
            <w:pPr>
              <w:rPr>
                <w:sz w:val="16"/>
                <w:szCs w:val="16"/>
              </w:rPr>
            </w:pPr>
          </w:p>
          <w:p w14:paraId="1F9DC356" w14:textId="6B0B02A8" w:rsidR="00246CC5" w:rsidRPr="0080613E" w:rsidRDefault="00246CC5" w:rsidP="00986700">
            <w:pPr>
              <w:rPr>
                <w:sz w:val="16"/>
                <w:szCs w:val="16"/>
              </w:rPr>
            </w:pPr>
            <w:r w:rsidRPr="0080613E">
              <w:rPr>
                <w:sz w:val="16"/>
                <w:szCs w:val="16"/>
              </w:rPr>
              <w:t>20 PMA inclus dans la ventilation régionale ci</w:t>
            </w:r>
            <w:r w:rsidR="00B441CA" w:rsidRPr="0080613E">
              <w:rPr>
                <w:sz w:val="16"/>
                <w:szCs w:val="16"/>
              </w:rPr>
              <w:noBreakHyphen/>
            </w:r>
            <w:r w:rsidRPr="0080613E">
              <w:rPr>
                <w:sz w:val="16"/>
                <w:szCs w:val="16"/>
              </w:rPr>
              <w:t>dessus</w:t>
            </w:r>
          </w:p>
        </w:tc>
        <w:tc>
          <w:tcPr>
            <w:tcW w:w="2393" w:type="dxa"/>
            <w:shd w:val="clear" w:color="auto" w:fill="auto"/>
            <w:tcMar>
              <w:top w:w="57" w:type="dxa"/>
            </w:tcMar>
            <w:hideMark/>
          </w:tcPr>
          <w:p w14:paraId="025B7464" w14:textId="77777777" w:rsidR="00246CC5" w:rsidRPr="0080613E" w:rsidRDefault="00246CC5" w:rsidP="00986700">
            <w:pPr>
              <w:rPr>
                <w:sz w:val="16"/>
                <w:szCs w:val="16"/>
              </w:rPr>
            </w:pPr>
            <w:r w:rsidRPr="0080613E">
              <w:rPr>
                <w:sz w:val="16"/>
                <w:szCs w:val="16"/>
              </w:rPr>
              <w:t>Afrique (10 supplémentaires)</w:t>
            </w:r>
          </w:p>
          <w:p w14:paraId="098CD202" w14:textId="77777777" w:rsidR="00246CC5" w:rsidRPr="0080613E" w:rsidRDefault="00246CC5" w:rsidP="00986700">
            <w:pPr>
              <w:rPr>
                <w:sz w:val="16"/>
                <w:szCs w:val="16"/>
              </w:rPr>
            </w:pPr>
            <w:r w:rsidRPr="0080613E">
              <w:rPr>
                <w:sz w:val="16"/>
                <w:szCs w:val="16"/>
              </w:rPr>
              <w:t>Pays arabes (1 supplémentaire)</w:t>
            </w:r>
          </w:p>
          <w:p w14:paraId="7A615A9C" w14:textId="77777777" w:rsidR="00246CC5" w:rsidRPr="0080613E" w:rsidRDefault="00246CC5" w:rsidP="00986700">
            <w:pPr>
              <w:rPr>
                <w:sz w:val="16"/>
                <w:szCs w:val="16"/>
              </w:rPr>
            </w:pPr>
            <w:r w:rsidRPr="0080613E">
              <w:rPr>
                <w:sz w:val="16"/>
                <w:szCs w:val="16"/>
              </w:rPr>
              <w:t>Asie et Pacifique (5 supplémentaires)</w:t>
            </w:r>
          </w:p>
          <w:p w14:paraId="03DE193D" w14:textId="77777777" w:rsidR="00246CC5" w:rsidRPr="0080613E" w:rsidRDefault="00246CC5" w:rsidP="00986700">
            <w:pPr>
              <w:rPr>
                <w:sz w:val="16"/>
                <w:szCs w:val="16"/>
              </w:rPr>
            </w:pPr>
            <w:r w:rsidRPr="0080613E">
              <w:rPr>
                <w:sz w:val="16"/>
                <w:szCs w:val="16"/>
              </w:rPr>
              <w:t>Amérique latine et Caraïbes (4 supplémentaires)</w:t>
            </w:r>
          </w:p>
          <w:p w14:paraId="7A7AE60A" w14:textId="77777777" w:rsidR="00246CC5" w:rsidRPr="0080613E" w:rsidRDefault="00246CC5" w:rsidP="00986700">
            <w:pPr>
              <w:rPr>
                <w:sz w:val="16"/>
                <w:szCs w:val="16"/>
              </w:rPr>
            </w:pPr>
          </w:p>
          <w:p w14:paraId="57D80644" w14:textId="47E9D235" w:rsidR="00246CC5" w:rsidRPr="0080613E" w:rsidRDefault="00246CC5" w:rsidP="00986700">
            <w:pPr>
              <w:rPr>
                <w:sz w:val="16"/>
                <w:szCs w:val="16"/>
              </w:rPr>
            </w:pPr>
            <w:r w:rsidRPr="0080613E">
              <w:rPr>
                <w:sz w:val="16"/>
                <w:szCs w:val="16"/>
              </w:rPr>
              <w:t>2 PMA supplémentaires inclus dans la ventilation régionale ci</w:t>
            </w:r>
            <w:r w:rsidR="00B441CA" w:rsidRPr="0080613E">
              <w:rPr>
                <w:sz w:val="16"/>
                <w:szCs w:val="16"/>
              </w:rPr>
              <w:noBreakHyphen/>
            </w:r>
            <w:r w:rsidRPr="0080613E">
              <w:rPr>
                <w:sz w:val="16"/>
                <w:szCs w:val="16"/>
              </w:rPr>
              <w:t>dessus</w:t>
            </w:r>
          </w:p>
        </w:tc>
      </w:tr>
      <w:tr w:rsidR="00EE0227" w:rsidRPr="0080613E" w14:paraId="2DF6C183" w14:textId="77777777" w:rsidTr="00246CC5">
        <w:trPr>
          <w:cantSplit/>
        </w:trPr>
        <w:tc>
          <w:tcPr>
            <w:tcW w:w="2392" w:type="dxa"/>
            <w:shd w:val="clear" w:color="auto" w:fill="auto"/>
            <w:tcMar>
              <w:top w:w="57" w:type="dxa"/>
            </w:tcMar>
          </w:tcPr>
          <w:p w14:paraId="4F90A0F1" w14:textId="77777777" w:rsidR="00246CC5" w:rsidRPr="0080613E" w:rsidRDefault="00246CC5" w:rsidP="00986700">
            <w:pPr>
              <w:rPr>
                <w:sz w:val="16"/>
                <w:szCs w:val="16"/>
              </w:rPr>
            </w:pPr>
          </w:p>
        </w:tc>
        <w:tc>
          <w:tcPr>
            <w:tcW w:w="2393" w:type="dxa"/>
            <w:shd w:val="clear" w:color="auto" w:fill="auto"/>
            <w:tcMar>
              <w:top w:w="57" w:type="dxa"/>
            </w:tcMar>
          </w:tcPr>
          <w:p w14:paraId="7A7B0C4C" w14:textId="77777777" w:rsidR="00246CC5" w:rsidRPr="0080613E" w:rsidRDefault="00246CC5" w:rsidP="00986700">
            <w:pPr>
              <w:rPr>
                <w:sz w:val="16"/>
                <w:szCs w:val="16"/>
              </w:rPr>
            </w:pPr>
            <w:r w:rsidRPr="0080613E">
              <w:rPr>
                <w:sz w:val="16"/>
                <w:szCs w:val="16"/>
              </w:rPr>
              <w:t>Nombre de pays révisant leurs stratégies de propriété intellectuelle</w:t>
            </w:r>
          </w:p>
        </w:tc>
        <w:tc>
          <w:tcPr>
            <w:tcW w:w="2393" w:type="dxa"/>
            <w:shd w:val="clear" w:color="auto" w:fill="auto"/>
            <w:tcMar>
              <w:top w:w="57" w:type="dxa"/>
            </w:tcMar>
          </w:tcPr>
          <w:p w14:paraId="5D93BC24" w14:textId="77777777" w:rsidR="00246CC5" w:rsidRPr="0080613E" w:rsidRDefault="00246CC5" w:rsidP="00986700">
            <w:pPr>
              <w:rPr>
                <w:sz w:val="16"/>
                <w:szCs w:val="16"/>
              </w:rPr>
            </w:pPr>
            <w:r w:rsidRPr="0080613E">
              <w:rPr>
                <w:sz w:val="16"/>
                <w:szCs w:val="16"/>
              </w:rPr>
              <w:t>Afrique (2)</w:t>
            </w:r>
          </w:p>
          <w:p w14:paraId="07A58693" w14:textId="77777777" w:rsidR="00246CC5" w:rsidRPr="0080613E" w:rsidRDefault="00246CC5" w:rsidP="00986700">
            <w:pPr>
              <w:rPr>
                <w:sz w:val="16"/>
                <w:szCs w:val="16"/>
              </w:rPr>
            </w:pPr>
            <w:r w:rsidRPr="0080613E">
              <w:rPr>
                <w:sz w:val="16"/>
                <w:szCs w:val="16"/>
              </w:rPr>
              <w:t>Pays arabes (aucun)</w:t>
            </w:r>
          </w:p>
          <w:p w14:paraId="7428728A" w14:textId="77777777" w:rsidR="00246CC5" w:rsidRPr="0080613E" w:rsidRDefault="00246CC5" w:rsidP="00986700">
            <w:pPr>
              <w:rPr>
                <w:sz w:val="16"/>
                <w:szCs w:val="16"/>
              </w:rPr>
            </w:pPr>
            <w:r w:rsidRPr="0080613E">
              <w:rPr>
                <w:sz w:val="16"/>
                <w:szCs w:val="16"/>
              </w:rPr>
              <w:t>Asie et Pacifique (aucun)</w:t>
            </w:r>
          </w:p>
          <w:p w14:paraId="4EBF20BA" w14:textId="77777777" w:rsidR="00246CC5" w:rsidRPr="0080613E" w:rsidRDefault="00246CC5" w:rsidP="00986700">
            <w:pPr>
              <w:rPr>
                <w:sz w:val="16"/>
                <w:szCs w:val="16"/>
              </w:rPr>
            </w:pPr>
            <w:r w:rsidRPr="0080613E">
              <w:rPr>
                <w:sz w:val="16"/>
                <w:szCs w:val="16"/>
              </w:rPr>
              <w:t>Amérique latine et Caraïbes (aucun)</w:t>
            </w:r>
          </w:p>
        </w:tc>
        <w:tc>
          <w:tcPr>
            <w:tcW w:w="2393" w:type="dxa"/>
            <w:shd w:val="clear" w:color="auto" w:fill="auto"/>
            <w:tcMar>
              <w:top w:w="57" w:type="dxa"/>
            </w:tcMar>
          </w:tcPr>
          <w:p w14:paraId="15575E82" w14:textId="77777777" w:rsidR="00246CC5" w:rsidRPr="0080613E" w:rsidRDefault="00246CC5" w:rsidP="00986700">
            <w:pPr>
              <w:rPr>
                <w:sz w:val="16"/>
                <w:szCs w:val="16"/>
              </w:rPr>
            </w:pPr>
            <w:r w:rsidRPr="0080613E">
              <w:rPr>
                <w:sz w:val="16"/>
                <w:szCs w:val="16"/>
              </w:rPr>
              <w:t>Afrique (1 supplémentaire)</w:t>
            </w:r>
          </w:p>
          <w:p w14:paraId="53D15A05" w14:textId="77777777" w:rsidR="00246CC5" w:rsidRPr="0080613E" w:rsidRDefault="00246CC5" w:rsidP="00986700">
            <w:pPr>
              <w:rPr>
                <w:sz w:val="16"/>
                <w:szCs w:val="16"/>
              </w:rPr>
            </w:pPr>
            <w:r w:rsidRPr="0080613E">
              <w:rPr>
                <w:sz w:val="16"/>
                <w:szCs w:val="16"/>
              </w:rPr>
              <w:t>Pays arabes (1 supplémentaire)</w:t>
            </w:r>
          </w:p>
          <w:p w14:paraId="217765E2" w14:textId="77777777" w:rsidR="00246CC5" w:rsidRPr="0080613E" w:rsidRDefault="00246CC5" w:rsidP="00986700">
            <w:pPr>
              <w:rPr>
                <w:sz w:val="16"/>
                <w:szCs w:val="16"/>
              </w:rPr>
            </w:pPr>
            <w:r w:rsidRPr="0080613E">
              <w:rPr>
                <w:sz w:val="16"/>
                <w:szCs w:val="16"/>
              </w:rPr>
              <w:t>Asie et Pacifique (aucun supplémentaire)</w:t>
            </w:r>
          </w:p>
          <w:p w14:paraId="7C8C5070" w14:textId="77777777" w:rsidR="00246CC5" w:rsidRPr="0080613E" w:rsidRDefault="00246CC5" w:rsidP="00986700">
            <w:pPr>
              <w:rPr>
                <w:sz w:val="16"/>
                <w:szCs w:val="16"/>
              </w:rPr>
            </w:pPr>
            <w:r w:rsidRPr="0080613E">
              <w:rPr>
                <w:sz w:val="16"/>
                <w:szCs w:val="16"/>
              </w:rPr>
              <w:t>Amérique latine et Caraïbes (2 supplémentaires)</w:t>
            </w:r>
          </w:p>
        </w:tc>
      </w:tr>
      <w:tr w:rsidR="00EE0227" w:rsidRPr="0080613E" w14:paraId="5EB7893A" w14:textId="77777777" w:rsidTr="00246CC5">
        <w:trPr>
          <w:cantSplit/>
        </w:trPr>
        <w:tc>
          <w:tcPr>
            <w:tcW w:w="2392" w:type="dxa"/>
            <w:shd w:val="clear" w:color="auto" w:fill="auto"/>
            <w:tcMar>
              <w:top w:w="57" w:type="dxa"/>
            </w:tcMar>
            <w:hideMark/>
          </w:tcPr>
          <w:p w14:paraId="6E6A9CEC" w14:textId="77777777" w:rsidR="00246CC5" w:rsidRPr="0080613E" w:rsidRDefault="00246CC5" w:rsidP="00986700">
            <w:pPr>
              <w:rPr>
                <w:sz w:val="16"/>
                <w:szCs w:val="16"/>
              </w:rPr>
            </w:pPr>
            <w:r w:rsidRPr="0080613E">
              <w:rPr>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93" w:type="dxa"/>
            <w:shd w:val="clear" w:color="auto" w:fill="auto"/>
            <w:tcMar>
              <w:top w:w="57" w:type="dxa"/>
            </w:tcMar>
            <w:hideMark/>
          </w:tcPr>
          <w:p w14:paraId="0B12FDE0" w14:textId="77777777" w:rsidR="00246CC5" w:rsidRPr="0080613E" w:rsidRDefault="00246CC5" w:rsidP="00986700">
            <w:pPr>
              <w:rPr>
                <w:sz w:val="16"/>
                <w:szCs w:val="16"/>
              </w:rPr>
            </w:pPr>
            <w:r w:rsidRPr="0080613E">
              <w:rPr>
                <w:sz w:val="16"/>
                <w:szCs w:val="16"/>
              </w:rPr>
              <w:t>Pourcentage de participants à des manifestations de l’OMPI qui font part de leur satisfaction quant au contenu et à l’organisation de ces manifestations</w:t>
            </w:r>
          </w:p>
        </w:tc>
        <w:tc>
          <w:tcPr>
            <w:tcW w:w="2393" w:type="dxa"/>
            <w:shd w:val="clear" w:color="auto" w:fill="auto"/>
            <w:tcMar>
              <w:top w:w="57" w:type="dxa"/>
            </w:tcMar>
            <w:hideMark/>
          </w:tcPr>
          <w:p w14:paraId="72A242AE" w14:textId="77777777" w:rsidR="00246CC5" w:rsidRPr="0080613E" w:rsidRDefault="00246CC5" w:rsidP="00986700">
            <w:pPr>
              <w:rPr>
                <w:sz w:val="16"/>
                <w:szCs w:val="16"/>
              </w:rPr>
            </w:pPr>
            <w:r w:rsidRPr="0080613E">
              <w:rPr>
                <w:sz w:val="16"/>
                <w:szCs w:val="16"/>
              </w:rPr>
              <w:t>Afrique (à déterminer)</w:t>
            </w:r>
            <w:r w:rsidRPr="0080613E">
              <w:rPr>
                <w:sz w:val="16"/>
                <w:szCs w:val="16"/>
              </w:rPr>
              <w:br/>
              <w:t>Pays arabes (à déterminer)</w:t>
            </w:r>
            <w:r w:rsidRPr="0080613E">
              <w:rPr>
                <w:sz w:val="16"/>
                <w:szCs w:val="16"/>
              </w:rPr>
              <w:br/>
              <w:t>Asie et Pacifique (99%)</w:t>
            </w:r>
            <w:r w:rsidRPr="0080613E">
              <w:rPr>
                <w:sz w:val="16"/>
                <w:szCs w:val="16"/>
              </w:rPr>
              <w:br/>
              <w:t>Amérique latine et Caraïbes (à déterminer)</w:t>
            </w:r>
          </w:p>
          <w:p w14:paraId="55E4F1EA" w14:textId="77777777" w:rsidR="00246CC5" w:rsidRPr="0080613E" w:rsidRDefault="00246CC5" w:rsidP="00986700">
            <w:pPr>
              <w:rPr>
                <w:sz w:val="16"/>
                <w:szCs w:val="16"/>
              </w:rPr>
            </w:pPr>
            <w:r w:rsidRPr="0080613E">
              <w:rPr>
                <w:sz w:val="16"/>
                <w:szCs w:val="16"/>
              </w:rPr>
              <w:t>PMA (95%)</w:t>
            </w:r>
          </w:p>
        </w:tc>
        <w:tc>
          <w:tcPr>
            <w:tcW w:w="2393" w:type="dxa"/>
            <w:shd w:val="clear" w:color="auto" w:fill="auto"/>
            <w:tcMar>
              <w:top w:w="57" w:type="dxa"/>
            </w:tcMar>
            <w:hideMark/>
          </w:tcPr>
          <w:p w14:paraId="4B217CA4" w14:textId="77777777" w:rsidR="00246CC5" w:rsidRPr="0080613E" w:rsidRDefault="00246CC5" w:rsidP="00986700">
            <w:pPr>
              <w:rPr>
                <w:sz w:val="16"/>
                <w:szCs w:val="16"/>
              </w:rPr>
            </w:pPr>
            <w:r w:rsidRPr="0080613E">
              <w:rPr>
                <w:sz w:val="16"/>
                <w:szCs w:val="16"/>
              </w:rPr>
              <w:t>Afrique (85%)</w:t>
            </w:r>
            <w:r w:rsidRPr="0080613E">
              <w:rPr>
                <w:sz w:val="16"/>
                <w:szCs w:val="16"/>
              </w:rPr>
              <w:br/>
              <w:t>Pays arabes (95%)</w:t>
            </w:r>
            <w:r w:rsidRPr="0080613E">
              <w:rPr>
                <w:sz w:val="16"/>
                <w:szCs w:val="16"/>
              </w:rPr>
              <w:br/>
              <w:t>Asie et Pacifique (90%)</w:t>
            </w:r>
            <w:r w:rsidRPr="0080613E">
              <w:rPr>
                <w:sz w:val="16"/>
                <w:szCs w:val="16"/>
              </w:rPr>
              <w:br/>
              <w:t>Amérique latine et Caraïbes (85%)</w:t>
            </w:r>
            <w:r w:rsidRPr="0080613E">
              <w:rPr>
                <w:sz w:val="16"/>
                <w:szCs w:val="16"/>
              </w:rPr>
              <w:br/>
              <w:t>PMA (90%)</w:t>
            </w:r>
          </w:p>
        </w:tc>
      </w:tr>
      <w:tr w:rsidR="00EE0227" w:rsidRPr="0080613E" w14:paraId="73E0AEF5" w14:textId="77777777" w:rsidTr="00246CC5">
        <w:trPr>
          <w:cantSplit/>
        </w:trPr>
        <w:tc>
          <w:tcPr>
            <w:tcW w:w="2392" w:type="dxa"/>
            <w:shd w:val="clear" w:color="auto" w:fill="auto"/>
            <w:tcMar>
              <w:top w:w="57" w:type="dxa"/>
            </w:tcMar>
            <w:hideMark/>
          </w:tcPr>
          <w:p w14:paraId="42185441"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3A6527D1" w14:textId="77777777" w:rsidR="00246CC5" w:rsidRPr="0080613E" w:rsidRDefault="00246CC5" w:rsidP="00986700">
            <w:pPr>
              <w:rPr>
                <w:sz w:val="16"/>
                <w:szCs w:val="16"/>
              </w:rPr>
            </w:pPr>
            <w:r w:rsidRPr="0080613E">
              <w:rPr>
                <w:sz w:val="16"/>
                <w:szCs w:val="16"/>
              </w:rPr>
              <w:t>Pourcentage de participants à des ateliers de l’OMPI qui mettent en pratique, dans le cadre de leur travail ou de leur entreprise, les compétences acquises</w:t>
            </w:r>
          </w:p>
        </w:tc>
        <w:tc>
          <w:tcPr>
            <w:tcW w:w="2393" w:type="dxa"/>
            <w:shd w:val="clear" w:color="auto" w:fill="auto"/>
            <w:tcMar>
              <w:top w:w="57" w:type="dxa"/>
            </w:tcMar>
            <w:hideMark/>
          </w:tcPr>
          <w:p w14:paraId="55B54D79" w14:textId="77777777" w:rsidR="00246CC5" w:rsidRPr="0080613E" w:rsidRDefault="00246CC5" w:rsidP="00986700">
            <w:pPr>
              <w:rPr>
                <w:sz w:val="16"/>
                <w:szCs w:val="16"/>
              </w:rPr>
            </w:pPr>
            <w:r w:rsidRPr="0080613E">
              <w:rPr>
                <w:sz w:val="16"/>
                <w:szCs w:val="16"/>
              </w:rPr>
              <w:t>Afrique (à déterminer)</w:t>
            </w:r>
            <w:r w:rsidRPr="0080613E">
              <w:rPr>
                <w:sz w:val="16"/>
                <w:szCs w:val="16"/>
              </w:rPr>
              <w:br/>
              <w:t>Pays arabes (à déterminer)</w:t>
            </w:r>
            <w:r w:rsidRPr="0080613E">
              <w:rPr>
                <w:sz w:val="16"/>
                <w:szCs w:val="16"/>
              </w:rPr>
              <w:br/>
              <w:t>Asie et Pacifique (96%)</w:t>
            </w:r>
            <w:r w:rsidRPr="0080613E">
              <w:rPr>
                <w:sz w:val="16"/>
                <w:szCs w:val="16"/>
              </w:rPr>
              <w:br/>
              <w:t>Amérique latine et Caraïbes (à déterminer)</w:t>
            </w:r>
          </w:p>
          <w:p w14:paraId="2769FEEA" w14:textId="77777777" w:rsidR="00246CC5" w:rsidRPr="0080613E" w:rsidRDefault="00246CC5" w:rsidP="00986700">
            <w:pPr>
              <w:rPr>
                <w:sz w:val="16"/>
                <w:szCs w:val="16"/>
              </w:rPr>
            </w:pPr>
            <w:r w:rsidRPr="0080613E">
              <w:rPr>
                <w:sz w:val="16"/>
                <w:szCs w:val="16"/>
              </w:rPr>
              <w:t>PMA (85%)</w:t>
            </w:r>
          </w:p>
        </w:tc>
        <w:tc>
          <w:tcPr>
            <w:tcW w:w="2393" w:type="dxa"/>
            <w:shd w:val="clear" w:color="auto" w:fill="auto"/>
            <w:tcMar>
              <w:top w:w="57" w:type="dxa"/>
            </w:tcMar>
            <w:hideMark/>
          </w:tcPr>
          <w:p w14:paraId="28651653" w14:textId="77777777" w:rsidR="00246CC5" w:rsidRPr="0080613E" w:rsidRDefault="00246CC5" w:rsidP="00986700">
            <w:pPr>
              <w:rPr>
                <w:sz w:val="16"/>
                <w:szCs w:val="16"/>
              </w:rPr>
            </w:pPr>
            <w:r w:rsidRPr="0080613E">
              <w:rPr>
                <w:sz w:val="16"/>
                <w:szCs w:val="16"/>
              </w:rPr>
              <w:t>Afrique (80%)</w:t>
            </w:r>
            <w:r w:rsidRPr="0080613E">
              <w:rPr>
                <w:sz w:val="16"/>
                <w:szCs w:val="16"/>
              </w:rPr>
              <w:br/>
              <w:t>Pays arabes (70%)</w:t>
            </w:r>
            <w:r w:rsidRPr="0080613E">
              <w:rPr>
                <w:sz w:val="16"/>
                <w:szCs w:val="16"/>
              </w:rPr>
              <w:br/>
              <w:t>Asie et Pacifique (90%)</w:t>
            </w:r>
            <w:r w:rsidRPr="0080613E">
              <w:rPr>
                <w:sz w:val="16"/>
                <w:szCs w:val="16"/>
              </w:rPr>
              <w:br/>
              <w:t>Amérique latine et Caraïbes (90%)</w:t>
            </w:r>
          </w:p>
          <w:p w14:paraId="49163449" w14:textId="77777777" w:rsidR="00246CC5" w:rsidRPr="0080613E" w:rsidRDefault="00246CC5" w:rsidP="00986700">
            <w:pPr>
              <w:rPr>
                <w:sz w:val="16"/>
                <w:szCs w:val="16"/>
              </w:rPr>
            </w:pPr>
            <w:r w:rsidRPr="0080613E">
              <w:rPr>
                <w:sz w:val="16"/>
                <w:szCs w:val="16"/>
              </w:rPr>
              <w:t>PMA (85%)</w:t>
            </w:r>
          </w:p>
        </w:tc>
      </w:tr>
      <w:tr w:rsidR="00EE0227" w:rsidRPr="0080613E" w14:paraId="48E0D077" w14:textId="77777777" w:rsidTr="00246CC5">
        <w:trPr>
          <w:cantSplit/>
        </w:trPr>
        <w:tc>
          <w:tcPr>
            <w:tcW w:w="2392" w:type="dxa"/>
            <w:shd w:val="clear" w:color="auto" w:fill="auto"/>
            <w:tcMar>
              <w:top w:w="57" w:type="dxa"/>
            </w:tcMar>
            <w:hideMark/>
          </w:tcPr>
          <w:p w14:paraId="0DA4D010"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06CEAE3D" w14:textId="77777777" w:rsidR="00246CC5" w:rsidRPr="0080613E" w:rsidRDefault="00246CC5" w:rsidP="00986700">
            <w:pPr>
              <w:rPr>
                <w:sz w:val="16"/>
                <w:szCs w:val="16"/>
              </w:rPr>
            </w:pPr>
            <w:r w:rsidRPr="0080613E">
              <w:rPr>
                <w:sz w:val="16"/>
                <w:szCs w:val="16"/>
              </w:rPr>
              <w:t>Pourcentage d’experts nationaux et régionaux en propriété intellectuelle jouant le rôle d’animateurs lors de manifestations de l’OMPI</w:t>
            </w:r>
          </w:p>
        </w:tc>
        <w:tc>
          <w:tcPr>
            <w:tcW w:w="2393" w:type="dxa"/>
            <w:shd w:val="clear" w:color="auto" w:fill="auto"/>
            <w:tcMar>
              <w:top w:w="57" w:type="dxa"/>
            </w:tcMar>
            <w:hideMark/>
          </w:tcPr>
          <w:p w14:paraId="41FF0505" w14:textId="77777777" w:rsidR="00246CC5" w:rsidRPr="0080613E" w:rsidRDefault="00246CC5" w:rsidP="00986700">
            <w:pPr>
              <w:rPr>
                <w:sz w:val="16"/>
                <w:szCs w:val="16"/>
              </w:rPr>
            </w:pPr>
            <w:r w:rsidRPr="0080613E">
              <w:rPr>
                <w:sz w:val="16"/>
                <w:szCs w:val="16"/>
              </w:rPr>
              <w:t>Afrique (85%)</w:t>
            </w:r>
          </w:p>
          <w:p w14:paraId="6F7066C2" w14:textId="77777777" w:rsidR="00246CC5" w:rsidRPr="0080613E" w:rsidRDefault="00246CC5" w:rsidP="00986700">
            <w:pPr>
              <w:rPr>
                <w:sz w:val="16"/>
                <w:szCs w:val="16"/>
              </w:rPr>
            </w:pPr>
            <w:r w:rsidRPr="0080613E">
              <w:rPr>
                <w:sz w:val="16"/>
                <w:szCs w:val="16"/>
              </w:rPr>
              <w:t>Pays arabes (55%)</w:t>
            </w:r>
            <w:r w:rsidRPr="0080613E">
              <w:rPr>
                <w:sz w:val="16"/>
                <w:szCs w:val="16"/>
              </w:rPr>
              <w:br/>
              <w:t>Asie et Pacifique (29%)</w:t>
            </w:r>
            <w:r w:rsidRPr="0080613E">
              <w:rPr>
                <w:sz w:val="16"/>
                <w:szCs w:val="16"/>
              </w:rPr>
              <w:br/>
              <w:t>Amérique latine et Caraïbes (85%)</w:t>
            </w:r>
            <w:r w:rsidRPr="0080613E">
              <w:rPr>
                <w:sz w:val="16"/>
                <w:szCs w:val="16"/>
              </w:rPr>
              <w:br/>
              <w:t>PMA (75%)</w:t>
            </w:r>
          </w:p>
        </w:tc>
        <w:tc>
          <w:tcPr>
            <w:tcW w:w="2393" w:type="dxa"/>
            <w:shd w:val="clear" w:color="auto" w:fill="auto"/>
            <w:tcMar>
              <w:top w:w="57" w:type="dxa"/>
            </w:tcMar>
            <w:hideMark/>
          </w:tcPr>
          <w:p w14:paraId="4623076E" w14:textId="77777777" w:rsidR="00246CC5" w:rsidRPr="0080613E" w:rsidRDefault="00246CC5" w:rsidP="00986700">
            <w:pPr>
              <w:rPr>
                <w:sz w:val="16"/>
                <w:szCs w:val="16"/>
              </w:rPr>
            </w:pPr>
            <w:r w:rsidRPr="0080613E">
              <w:rPr>
                <w:sz w:val="16"/>
                <w:szCs w:val="16"/>
              </w:rPr>
              <w:t>Afrique (80%)</w:t>
            </w:r>
            <w:r w:rsidRPr="0080613E">
              <w:rPr>
                <w:sz w:val="16"/>
                <w:szCs w:val="16"/>
              </w:rPr>
              <w:br/>
              <w:t>Pays arabes (60%)</w:t>
            </w:r>
            <w:r w:rsidRPr="0080613E">
              <w:rPr>
                <w:sz w:val="16"/>
                <w:szCs w:val="16"/>
              </w:rPr>
              <w:br/>
              <w:t>Asie et Pacifique (40%)</w:t>
            </w:r>
            <w:r w:rsidRPr="0080613E">
              <w:rPr>
                <w:sz w:val="16"/>
                <w:szCs w:val="16"/>
              </w:rPr>
              <w:br/>
              <w:t>Amérique latine et Caraïbes (85%)</w:t>
            </w:r>
            <w:r w:rsidRPr="0080613E">
              <w:rPr>
                <w:sz w:val="16"/>
                <w:szCs w:val="16"/>
              </w:rPr>
              <w:br/>
              <w:t>PMA (75%)</w:t>
            </w:r>
          </w:p>
        </w:tc>
      </w:tr>
      <w:tr w:rsidR="00EE0227" w:rsidRPr="0080613E" w14:paraId="1A2A0F14" w14:textId="77777777" w:rsidTr="00246CC5">
        <w:trPr>
          <w:cantSplit/>
        </w:trPr>
        <w:tc>
          <w:tcPr>
            <w:tcW w:w="2392" w:type="dxa"/>
            <w:shd w:val="clear" w:color="auto" w:fill="auto"/>
            <w:tcMar>
              <w:top w:w="57" w:type="dxa"/>
            </w:tcMar>
          </w:tcPr>
          <w:p w14:paraId="73AA4656" w14:textId="77777777" w:rsidR="00246CC5" w:rsidRPr="0080613E" w:rsidRDefault="00246CC5" w:rsidP="00986700">
            <w:pPr>
              <w:rPr>
                <w:sz w:val="16"/>
                <w:szCs w:val="16"/>
              </w:rPr>
            </w:pPr>
          </w:p>
        </w:tc>
        <w:tc>
          <w:tcPr>
            <w:tcW w:w="2393" w:type="dxa"/>
            <w:shd w:val="clear" w:color="auto" w:fill="auto"/>
            <w:tcMar>
              <w:top w:w="57" w:type="dxa"/>
            </w:tcMar>
          </w:tcPr>
          <w:p w14:paraId="66593AAA" w14:textId="77777777" w:rsidR="00246CC5" w:rsidRPr="0080613E" w:rsidRDefault="00246CC5" w:rsidP="00986700">
            <w:pPr>
              <w:rPr>
                <w:sz w:val="16"/>
                <w:szCs w:val="16"/>
              </w:rPr>
            </w:pPr>
            <w:r w:rsidRPr="0080613E">
              <w:rPr>
                <w:sz w:val="16"/>
                <w:szCs w:val="16"/>
              </w:rPr>
              <w:t>Nombre et pourcentage de participants aux activités de formation et de renforcement des capacités qui ont obtenu un score de 60% ou plus au bref questionnaire à choix multiple sur des questions de fond</w:t>
            </w:r>
          </w:p>
        </w:tc>
        <w:tc>
          <w:tcPr>
            <w:tcW w:w="2393" w:type="dxa"/>
            <w:shd w:val="clear" w:color="auto" w:fill="auto"/>
            <w:tcMar>
              <w:top w:w="57" w:type="dxa"/>
            </w:tcMar>
          </w:tcPr>
          <w:p w14:paraId="082C7B7B" w14:textId="77777777" w:rsidR="00246CC5" w:rsidRPr="0080613E" w:rsidRDefault="00246CC5" w:rsidP="00986700">
            <w:pPr>
              <w:rPr>
                <w:sz w:val="16"/>
                <w:szCs w:val="16"/>
              </w:rPr>
            </w:pPr>
            <w:r w:rsidRPr="0080613E">
              <w:rPr>
                <w:sz w:val="16"/>
                <w:szCs w:val="16"/>
              </w:rPr>
              <w:t>s.o.</w:t>
            </w:r>
          </w:p>
        </w:tc>
        <w:tc>
          <w:tcPr>
            <w:tcW w:w="2393" w:type="dxa"/>
            <w:shd w:val="clear" w:color="auto" w:fill="auto"/>
            <w:tcMar>
              <w:top w:w="57" w:type="dxa"/>
            </w:tcMar>
          </w:tcPr>
          <w:p w14:paraId="2D89CA7E" w14:textId="77777777" w:rsidR="00246CC5" w:rsidRPr="0080613E" w:rsidRDefault="00246CC5" w:rsidP="00986700">
            <w:pPr>
              <w:rPr>
                <w:sz w:val="16"/>
                <w:szCs w:val="16"/>
              </w:rPr>
            </w:pPr>
            <w:r w:rsidRPr="0080613E">
              <w:rPr>
                <w:sz w:val="16"/>
                <w:szCs w:val="16"/>
              </w:rPr>
              <w:t>Asie et Pacifique (80%)</w:t>
            </w:r>
          </w:p>
        </w:tc>
      </w:tr>
      <w:tr w:rsidR="00EE0227" w:rsidRPr="0080613E" w14:paraId="244FF781" w14:textId="77777777" w:rsidTr="00246CC5">
        <w:trPr>
          <w:cantSplit/>
        </w:trPr>
        <w:tc>
          <w:tcPr>
            <w:tcW w:w="2392" w:type="dxa"/>
            <w:shd w:val="clear" w:color="auto" w:fill="auto"/>
            <w:tcMar>
              <w:top w:w="57" w:type="dxa"/>
            </w:tcMar>
          </w:tcPr>
          <w:p w14:paraId="5A913ACB" w14:textId="77777777" w:rsidR="00246CC5" w:rsidRPr="0080613E" w:rsidRDefault="00246CC5" w:rsidP="00986700">
            <w:pPr>
              <w:rPr>
                <w:sz w:val="16"/>
                <w:szCs w:val="16"/>
              </w:rPr>
            </w:pPr>
          </w:p>
        </w:tc>
        <w:tc>
          <w:tcPr>
            <w:tcW w:w="2393" w:type="dxa"/>
            <w:shd w:val="clear" w:color="auto" w:fill="auto"/>
            <w:tcMar>
              <w:top w:w="57" w:type="dxa"/>
            </w:tcMar>
          </w:tcPr>
          <w:p w14:paraId="1089775C" w14:textId="77777777" w:rsidR="00246CC5" w:rsidRPr="0080613E" w:rsidRDefault="00246CC5" w:rsidP="00986700">
            <w:pPr>
              <w:rPr>
                <w:sz w:val="16"/>
                <w:szCs w:val="16"/>
              </w:rPr>
            </w:pPr>
            <w:r w:rsidRPr="0080613E">
              <w:rPr>
                <w:sz w:val="16"/>
                <w:szCs w:val="16"/>
              </w:rPr>
              <w:t>Nombre d’institutions de formation et d’institutions de propriété intellectuelle qui proposent des programmes et du matériel de formation sur la propriété intellectuelle et le tourisme</w:t>
            </w:r>
          </w:p>
        </w:tc>
        <w:tc>
          <w:tcPr>
            <w:tcW w:w="2393" w:type="dxa"/>
            <w:shd w:val="clear" w:color="auto" w:fill="auto"/>
            <w:tcMar>
              <w:top w:w="57" w:type="dxa"/>
            </w:tcMar>
          </w:tcPr>
          <w:p w14:paraId="04B4B055" w14:textId="77777777" w:rsidR="00246CC5" w:rsidRPr="0080613E" w:rsidRDefault="00246CC5" w:rsidP="00986700">
            <w:pPr>
              <w:rPr>
                <w:sz w:val="16"/>
                <w:szCs w:val="16"/>
              </w:rPr>
            </w:pPr>
            <w:r w:rsidRPr="0080613E">
              <w:rPr>
                <w:sz w:val="16"/>
                <w:szCs w:val="16"/>
              </w:rPr>
              <w:t>0</w:t>
            </w:r>
          </w:p>
        </w:tc>
        <w:tc>
          <w:tcPr>
            <w:tcW w:w="2393" w:type="dxa"/>
            <w:shd w:val="clear" w:color="auto" w:fill="auto"/>
            <w:tcMar>
              <w:top w:w="57" w:type="dxa"/>
            </w:tcMar>
          </w:tcPr>
          <w:p w14:paraId="22DD714A" w14:textId="77777777" w:rsidR="00246CC5" w:rsidRPr="0080613E" w:rsidRDefault="00246CC5" w:rsidP="00986700">
            <w:pPr>
              <w:rPr>
                <w:sz w:val="16"/>
                <w:szCs w:val="16"/>
              </w:rPr>
            </w:pPr>
            <w:r w:rsidRPr="0080613E">
              <w:rPr>
                <w:sz w:val="16"/>
                <w:szCs w:val="16"/>
              </w:rPr>
              <w:t>3 (à l’échelle mondiale)</w:t>
            </w:r>
            <w:r w:rsidRPr="0080613E">
              <w:rPr>
                <w:rStyle w:val="FootnoteReference"/>
                <w:sz w:val="16"/>
                <w:szCs w:val="16"/>
              </w:rPr>
              <w:footnoteReference w:id="27"/>
            </w:r>
          </w:p>
        </w:tc>
      </w:tr>
      <w:tr w:rsidR="00EE0227" w:rsidRPr="0080613E" w14:paraId="2D54040B" w14:textId="77777777" w:rsidTr="00246CC5">
        <w:trPr>
          <w:cantSplit/>
        </w:trPr>
        <w:tc>
          <w:tcPr>
            <w:tcW w:w="2392" w:type="dxa"/>
            <w:shd w:val="clear" w:color="auto" w:fill="auto"/>
            <w:tcMar>
              <w:top w:w="57" w:type="dxa"/>
            </w:tcMar>
          </w:tcPr>
          <w:p w14:paraId="2AD6DE9D" w14:textId="77777777" w:rsidR="00246CC5" w:rsidRPr="0080613E" w:rsidRDefault="00246CC5" w:rsidP="00986700">
            <w:pPr>
              <w:rPr>
                <w:sz w:val="16"/>
                <w:szCs w:val="16"/>
              </w:rPr>
            </w:pPr>
          </w:p>
        </w:tc>
        <w:tc>
          <w:tcPr>
            <w:tcW w:w="2393" w:type="dxa"/>
            <w:shd w:val="clear" w:color="auto" w:fill="auto"/>
            <w:tcMar>
              <w:top w:w="57" w:type="dxa"/>
            </w:tcMar>
          </w:tcPr>
          <w:p w14:paraId="10270335" w14:textId="4E069861" w:rsidR="00246CC5" w:rsidRPr="0080613E" w:rsidRDefault="00246CC5" w:rsidP="00986700">
            <w:pPr>
              <w:rPr>
                <w:sz w:val="16"/>
                <w:szCs w:val="16"/>
              </w:rPr>
            </w:pPr>
            <w:r w:rsidRPr="0080613E">
              <w:rPr>
                <w:sz w:val="16"/>
                <w:szCs w:val="16"/>
              </w:rPr>
              <w:t>Nombre de pays engagés dans la coopération Sud</w:t>
            </w:r>
            <w:r w:rsidR="00B441CA" w:rsidRPr="0080613E">
              <w:rPr>
                <w:sz w:val="16"/>
                <w:szCs w:val="16"/>
              </w:rPr>
              <w:noBreakHyphen/>
            </w:r>
            <w:r w:rsidRPr="0080613E">
              <w:rPr>
                <w:sz w:val="16"/>
                <w:szCs w:val="16"/>
              </w:rPr>
              <w:t>Sud</w:t>
            </w:r>
          </w:p>
        </w:tc>
        <w:tc>
          <w:tcPr>
            <w:tcW w:w="2393" w:type="dxa"/>
            <w:shd w:val="clear" w:color="auto" w:fill="auto"/>
            <w:tcMar>
              <w:top w:w="57" w:type="dxa"/>
            </w:tcMar>
          </w:tcPr>
          <w:p w14:paraId="43B2B762" w14:textId="77777777" w:rsidR="00246CC5" w:rsidRPr="0080613E" w:rsidRDefault="00246CC5" w:rsidP="00986700">
            <w:pPr>
              <w:rPr>
                <w:sz w:val="16"/>
                <w:szCs w:val="16"/>
              </w:rPr>
            </w:pPr>
            <w:r w:rsidRPr="0080613E">
              <w:rPr>
                <w:sz w:val="16"/>
                <w:szCs w:val="16"/>
              </w:rPr>
              <w:t>110</w:t>
            </w:r>
          </w:p>
        </w:tc>
        <w:tc>
          <w:tcPr>
            <w:tcW w:w="2393" w:type="dxa"/>
            <w:shd w:val="clear" w:color="auto" w:fill="auto"/>
            <w:tcMar>
              <w:top w:w="57" w:type="dxa"/>
            </w:tcMar>
          </w:tcPr>
          <w:p w14:paraId="3A320E1B" w14:textId="77777777" w:rsidR="00246CC5" w:rsidRPr="0080613E" w:rsidRDefault="00246CC5" w:rsidP="00986700">
            <w:pPr>
              <w:rPr>
                <w:sz w:val="16"/>
                <w:szCs w:val="16"/>
              </w:rPr>
            </w:pPr>
            <w:r w:rsidRPr="0080613E">
              <w:rPr>
                <w:sz w:val="16"/>
                <w:szCs w:val="16"/>
              </w:rPr>
              <w:t>115</w:t>
            </w:r>
          </w:p>
        </w:tc>
      </w:tr>
      <w:tr w:rsidR="00EE0227" w:rsidRPr="0080613E" w14:paraId="5E7B1B47" w14:textId="77777777" w:rsidTr="00246CC5">
        <w:trPr>
          <w:cantSplit/>
        </w:trPr>
        <w:tc>
          <w:tcPr>
            <w:tcW w:w="2392" w:type="dxa"/>
            <w:shd w:val="clear" w:color="auto" w:fill="auto"/>
            <w:tcMar>
              <w:top w:w="57" w:type="dxa"/>
            </w:tcMar>
            <w:hideMark/>
          </w:tcPr>
          <w:p w14:paraId="0B2BD27F" w14:textId="77777777" w:rsidR="00246CC5" w:rsidRPr="0080613E" w:rsidRDefault="00246CC5" w:rsidP="00986700">
            <w:pPr>
              <w:rPr>
                <w:sz w:val="16"/>
                <w:szCs w:val="16"/>
              </w:rPr>
            </w:pPr>
            <w:r w:rsidRPr="0080613E">
              <w:rPr>
                <w:sz w:val="16"/>
                <w:szCs w:val="16"/>
              </w:rPr>
              <w:t>III.4 Accords de coopération renforcés avec des institutions de pays en développement, de PMA et de pays en transition, adaptés aux besoins des institutions concernées</w:t>
            </w:r>
          </w:p>
        </w:tc>
        <w:tc>
          <w:tcPr>
            <w:tcW w:w="2393" w:type="dxa"/>
            <w:shd w:val="clear" w:color="auto" w:fill="auto"/>
            <w:tcMar>
              <w:top w:w="57" w:type="dxa"/>
            </w:tcMar>
            <w:hideMark/>
          </w:tcPr>
          <w:p w14:paraId="2B3703F7" w14:textId="77777777" w:rsidR="00246CC5" w:rsidRPr="0080613E" w:rsidRDefault="00246CC5" w:rsidP="00986700">
            <w:pPr>
              <w:rPr>
                <w:sz w:val="16"/>
                <w:szCs w:val="16"/>
              </w:rPr>
            </w:pPr>
            <w:r w:rsidRPr="0080613E">
              <w:rPr>
                <w:sz w:val="16"/>
                <w:szCs w:val="16"/>
              </w:rPr>
              <w:t>Nombre d’accords avec des institutions de pays en développement et de PMA visant à promouvoir l’utilisation efficace des systèmes de propriété intellectuelle</w:t>
            </w:r>
          </w:p>
        </w:tc>
        <w:tc>
          <w:tcPr>
            <w:tcW w:w="2393" w:type="dxa"/>
            <w:shd w:val="clear" w:color="auto" w:fill="auto"/>
            <w:tcMar>
              <w:top w:w="57" w:type="dxa"/>
            </w:tcMar>
            <w:hideMark/>
          </w:tcPr>
          <w:p w14:paraId="789FEC8D" w14:textId="5B539BCF" w:rsidR="00246CC5" w:rsidRPr="0080613E" w:rsidRDefault="00246CC5" w:rsidP="00E82B8A">
            <w:pPr>
              <w:rPr>
                <w:sz w:val="16"/>
                <w:szCs w:val="16"/>
              </w:rPr>
            </w:pPr>
            <w:r w:rsidRPr="0080613E">
              <w:rPr>
                <w:sz w:val="16"/>
                <w:szCs w:val="16"/>
              </w:rPr>
              <w:t>Afrique (2 au total)</w:t>
            </w:r>
            <w:r w:rsidRPr="0080613E">
              <w:rPr>
                <w:sz w:val="16"/>
                <w:szCs w:val="16"/>
              </w:rPr>
              <w:br/>
              <w:t>Pays arabes (4 au total)</w:t>
            </w:r>
            <w:r w:rsidRPr="0080613E">
              <w:rPr>
                <w:sz w:val="16"/>
                <w:szCs w:val="16"/>
              </w:rPr>
              <w:br/>
              <w:t>Asie et Pacifique (1</w:t>
            </w:r>
            <w:r w:rsidR="00E82B8A">
              <w:rPr>
                <w:sz w:val="16"/>
                <w:szCs w:val="16"/>
              </w:rPr>
              <w:t>0</w:t>
            </w:r>
            <w:r w:rsidRPr="0080613E">
              <w:rPr>
                <w:sz w:val="16"/>
                <w:szCs w:val="16"/>
              </w:rPr>
              <w:t xml:space="preserve"> au total)</w:t>
            </w:r>
            <w:r w:rsidRPr="0080613E">
              <w:rPr>
                <w:sz w:val="16"/>
                <w:szCs w:val="16"/>
              </w:rPr>
              <w:br/>
              <w:t>Amérique latine et Caraïbes (11 au total)</w:t>
            </w:r>
            <w:r w:rsidRPr="0080613E">
              <w:rPr>
                <w:sz w:val="16"/>
                <w:szCs w:val="16"/>
              </w:rPr>
              <w:br/>
              <w:t>PMA (8 au total)</w:t>
            </w:r>
          </w:p>
        </w:tc>
        <w:tc>
          <w:tcPr>
            <w:tcW w:w="2393" w:type="dxa"/>
            <w:shd w:val="clear" w:color="auto" w:fill="auto"/>
            <w:tcMar>
              <w:top w:w="57" w:type="dxa"/>
            </w:tcMar>
            <w:hideMark/>
          </w:tcPr>
          <w:p w14:paraId="2A42C48D" w14:textId="77777777" w:rsidR="00246CC5" w:rsidRPr="0080613E" w:rsidRDefault="00246CC5" w:rsidP="00986700">
            <w:pPr>
              <w:rPr>
                <w:sz w:val="16"/>
                <w:szCs w:val="16"/>
              </w:rPr>
            </w:pPr>
            <w:r w:rsidRPr="0080613E">
              <w:rPr>
                <w:sz w:val="16"/>
                <w:szCs w:val="16"/>
              </w:rPr>
              <w:t>Afrique (2 supplémentaires)</w:t>
            </w:r>
            <w:r w:rsidRPr="0080613E">
              <w:rPr>
                <w:sz w:val="16"/>
                <w:szCs w:val="16"/>
              </w:rPr>
              <w:br/>
              <w:t>Pays arabes (3 supplémentaires)</w:t>
            </w:r>
            <w:r w:rsidRPr="0080613E">
              <w:rPr>
                <w:sz w:val="16"/>
                <w:szCs w:val="16"/>
              </w:rPr>
              <w:br/>
              <w:t>Asie et Pacifique (8 supplémentaires)</w:t>
            </w:r>
            <w:r w:rsidRPr="0080613E">
              <w:rPr>
                <w:sz w:val="16"/>
                <w:szCs w:val="16"/>
              </w:rPr>
              <w:br/>
              <w:t>Amérique latine et Caraïbes (4 supplémentaires)</w:t>
            </w:r>
            <w:r w:rsidRPr="0080613E">
              <w:rPr>
                <w:sz w:val="16"/>
                <w:szCs w:val="16"/>
              </w:rPr>
              <w:br/>
              <w:t>PMA (4 supplémentaires)</w:t>
            </w:r>
          </w:p>
        </w:tc>
      </w:tr>
      <w:tr w:rsidR="00EE0227" w:rsidRPr="0080613E" w14:paraId="5B3AF1FB" w14:textId="77777777" w:rsidTr="00246CC5">
        <w:trPr>
          <w:cantSplit/>
        </w:trPr>
        <w:tc>
          <w:tcPr>
            <w:tcW w:w="2392" w:type="dxa"/>
            <w:shd w:val="clear" w:color="auto" w:fill="auto"/>
            <w:tcMar>
              <w:top w:w="57" w:type="dxa"/>
            </w:tcMar>
          </w:tcPr>
          <w:p w14:paraId="33D26CA1" w14:textId="77777777" w:rsidR="00246CC5" w:rsidRPr="0080613E" w:rsidRDefault="00246CC5" w:rsidP="00986700">
            <w:pPr>
              <w:rPr>
                <w:sz w:val="16"/>
                <w:szCs w:val="16"/>
              </w:rPr>
            </w:pPr>
          </w:p>
        </w:tc>
        <w:tc>
          <w:tcPr>
            <w:tcW w:w="2393" w:type="dxa"/>
            <w:shd w:val="clear" w:color="auto" w:fill="auto"/>
            <w:tcMar>
              <w:top w:w="57" w:type="dxa"/>
            </w:tcMar>
          </w:tcPr>
          <w:p w14:paraId="2A9E1D4E" w14:textId="77777777" w:rsidR="00246CC5" w:rsidRPr="0080613E" w:rsidRDefault="00246CC5" w:rsidP="00986700">
            <w:pPr>
              <w:rPr>
                <w:sz w:val="16"/>
                <w:szCs w:val="16"/>
              </w:rPr>
            </w:pPr>
            <w:r w:rsidRPr="0080613E">
              <w:rPr>
                <w:sz w:val="16"/>
                <w:szCs w:val="16"/>
              </w:rPr>
              <w:t>Aucune concordance n’a été établie dans WIPO Match</w:t>
            </w:r>
          </w:p>
        </w:tc>
        <w:tc>
          <w:tcPr>
            <w:tcW w:w="2393" w:type="dxa"/>
            <w:shd w:val="clear" w:color="auto" w:fill="auto"/>
            <w:tcMar>
              <w:top w:w="57" w:type="dxa"/>
            </w:tcMar>
          </w:tcPr>
          <w:p w14:paraId="2F614785" w14:textId="3274354A" w:rsidR="00246CC5" w:rsidRPr="0080613E" w:rsidRDefault="00246CC5" w:rsidP="00986700">
            <w:pPr>
              <w:rPr>
                <w:sz w:val="16"/>
                <w:szCs w:val="16"/>
              </w:rPr>
            </w:pPr>
            <w:r w:rsidRPr="0080613E">
              <w:rPr>
                <w:sz w:val="16"/>
                <w:szCs w:val="16"/>
              </w:rPr>
              <w:t>0</w:t>
            </w:r>
          </w:p>
        </w:tc>
        <w:tc>
          <w:tcPr>
            <w:tcW w:w="2393" w:type="dxa"/>
            <w:shd w:val="clear" w:color="auto" w:fill="auto"/>
            <w:tcMar>
              <w:top w:w="57" w:type="dxa"/>
            </w:tcMar>
          </w:tcPr>
          <w:p w14:paraId="75FBE2DB" w14:textId="6F500C20" w:rsidR="00246CC5" w:rsidRPr="0080613E" w:rsidRDefault="00246CC5" w:rsidP="00986700">
            <w:pPr>
              <w:rPr>
                <w:sz w:val="16"/>
                <w:szCs w:val="16"/>
              </w:rPr>
            </w:pPr>
            <w:r w:rsidRPr="0080613E">
              <w:rPr>
                <w:sz w:val="16"/>
                <w:szCs w:val="16"/>
              </w:rPr>
              <w:t>10</w:t>
            </w:r>
          </w:p>
        </w:tc>
      </w:tr>
      <w:tr w:rsidR="00EE0227" w:rsidRPr="0080613E" w14:paraId="2A723500" w14:textId="77777777" w:rsidTr="00246CC5">
        <w:trPr>
          <w:cantSplit/>
        </w:trPr>
        <w:tc>
          <w:tcPr>
            <w:tcW w:w="2392" w:type="dxa"/>
            <w:shd w:val="clear" w:color="auto" w:fill="auto"/>
            <w:tcMar>
              <w:top w:w="57" w:type="dxa"/>
            </w:tcMar>
          </w:tcPr>
          <w:p w14:paraId="7F61FEC6" w14:textId="77777777" w:rsidR="00246CC5" w:rsidRPr="0080613E" w:rsidRDefault="00246CC5" w:rsidP="00986700">
            <w:pPr>
              <w:rPr>
                <w:sz w:val="16"/>
                <w:szCs w:val="16"/>
              </w:rPr>
            </w:pPr>
            <w:r w:rsidRPr="0080613E">
              <w:rPr>
                <w:sz w:val="16"/>
                <w:szCs w:val="16"/>
              </w:rPr>
              <w:t>III.6 Renforcement des capacités des PME, des universités et des instituts de recherche s’agissant de mettre la propriété intellectuelle au service de l’innovation</w:t>
            </w:r>
          </w:p>
        </w:tc>
        <w:tc>
          <w:tcPr>
            <w:tcW w:w="2393" w:type="dxa"/>
            <w:shd w:val="clear" w:color="auto" w:fill="auto"/>
            <w:tcMar>
              <w:top w:w="57" w:type="dxa"/>
            </w:tcMar>
          </w:tcPr>
          <w:p w14:paraId="6D77F4E7" w14:textId="77777777" w:rsidR="00246CC5" w:rsidRPr="0080613E" w:rsidRDefault="00246CC5" w:rsidP="00986700">
            <w:pPr>
              <w:rPr>
                <w:sz w:val="16"/>
                <w:szCs w:val="16"/>
              </w:rPr>
            </w:pPr>
            <w:r w:rsidRPr="0080613E">
              <w:rPr>
                <w:sz w:val="16"/>
                <w:szCs w:val="16"/>
              </w:rPr>
              <w:t xml:space="preserve">Nombre de pays dans lesquels des politiques de propriété intellectuelle ont été élaborées ou adoptées en faveur des institutions d’appui aux PME </w:t>
            </w:r>
          </w:p>
        </w:tc>
        <w:tc>
          <w:tcPr>
            <w:tcW w:w="2393" w:type="dxa"/>
            <w:shd w:val="clear" w:color="auto" w:fill="auto"/>
            <w:tcMar>
              <w:top w:w="57" w:type="dxa"/>
            </w:tcMar>
          </w:tcPr>
          <w:p w14:paraId="2DFB2F3D" w14:textId="77777777" w:rsidR="00246CC5" w:rsidRPr="0080613E" w:rsidRDefault="00246CC5" w:rsidP="00986700">
            <w:pPr>
              <w:rPr>
                <w:sz w:val="16"/>
                <w:szCs w:val="16"/>
              </w:rPr>
            </w:pPr>
            <w:r w:rsidRPr="0080613E">
              <w:rPr>
                <w:sz w:val="16"/>
                <w:szCs w:val="16"/>
              </w:rPr>
              <w:t>Aucun (2016)</w:t>
            </w:r>
          </w:p>
        </w:tc>
        <w:tc>
          <w:tcPr>
            <w:tcW w:w="2393" w:type="dxa"/>
            <w:shd w:val="clear" w:color="auto" w:fill="auto"/>
            <w:tcMar>
              <w:top w:w="57" w:type="dxa"/>
            </w:tcMar>
          </w:tcPr>
          <w:p w14:paraId="1850119A" w14:textId="77777777" w:rsidR="00246CC5" w:rsidRPr="0080613E" w:rsidRDefault="00246CC5" w:rsidP="00986700">
            <w:pPr>
              <w:rPr>
                <w:sz w:val="16"/>
                <w:szCs w:val="16"/>
              </w:rPr>
            </w:pPr>
            <w:r w:rsidRPr="0080613E">
              <w:rPr>
                <w:sz w:val="16"/>
                <w:szCs w:val="16"/>
              </w:rPr>
              <w:t>3 pays à l’échelle mondiale</w:t>
            </w:r>
            <w:r w:rsidRPr="0080613E">
              <w:rPr>
                <w:rStyle w:val="FootnoteReference"/>
                <w:sz w:val="16"/>
                <w:szCs w:val="16"/>
              </w:rPr>
              <w:footnoteReference w:id="28"/>
            </w:r>
            <w:r w:rsidRPr="0080613E">
              <w:rPr>
                <w:sz w:val="16"/>
                <w:szCs w:val="16"/>
              </w:rPr>
              <w:t xml:space="preserve"> (au total)</w:t>
            </w:r>
          </w:p>
          <w:p w14:paraId="52BFFDA3" w14:textId="77777777" w:rsidR="00246CC5" w:rsidRPr="0080613E" w:rsidRDefault="00246CC5" w:rsidP="00986700">
            <w:pPr>
              <w:rPr>
                <w:sz w:val="16"/>
                <w:szCs w:val="16"/>
              </w:rPr>
            </w:pPr>
            <w:r w:rsidRPr="0080613E">
              <w:rPr>
                <w:sz w:val="16"/>
                <w:szCs w:val="16"/>
              </w:rPr>
              <w:br/>
            </w:r>
          </w:p>
        </w:tc>
      </w:tr>
      <w:tr w:rsidR="00EE0227" w:rsidRPr="0080613E" w14:paraId="75F0F402" w14:textId="77777777" w:rsidTr="00246CC5">
        <w:trPr>
          <w:cantSplit/>
        </w:trPr>
        <w:tc>
          <w:tcPr>
            <w:tcW w:w="2392" w:type="dxa"/>
            <w:shd w:val="clear" w:color="auto" w:fill="auto"/>
            <w:tcMar>
              <w:top w:w="57" w:type="dxa"/>
            </w:tcMar>
          </w:tcPr>
          <w:p w14:paraId="7A681238" w14:textId="77777777" w:rsidR="00246CC5" w:rsidRPr="0080613E" w:rsidRDefault="00246CC5" w:rsidP="00986700">
            <w:pPr>
              <w:rPr>
                <w:sz w:val="16"/>
                <w:szCs w:val="16"/>
              </w:rPr>
            </w:pPr>
          </w:p>
        </w:tc>
        <w:tc>
          <w:tcPr>
            <w:tcW w:w="2393" w:type="dxa"/>
            <w:shd w:val="clear" w:color="auto" w:fill="auto"/>
            <w:tcMar>
              <w:top w:w="57" w:type="dxa"/>
            </w:tcMar>
          </w:tcPr>
          <w:p w14:paraId="058FEAA7" w14:textId="77777777" w:rsidR="00246CC5" w:rsidRPr="0080613E" w:rsidRDefault="00246CC5" w:rsidP="00986700">
            <w:pPr>
              <w:rPr>
                <w:sz w:val="16"/>
                <w:szCs w:val="16"/>
              </w:rPr>
            </w:pPr>
            <w:r w:rsidRPr="0080613E">
              <w:rPr>
                <w:sz w:val="16"/>
                <w:szCs w:val="16"/>
              </w:rPr>
              <w:t>Nombre d’universités ou d’instituts de recherche ayant élaboré ou amélioré leurs politiques de propriété intellectuelle</w:t>
            </w:r>
          </w:p>
        </w:tc>
        <w:tc>
          <w:tcPr>
            <w:tcW w:w="2393" w:type="dxa"/>
            <w:shd w:val="clear" w:color="auto" w:fill="auto"/>
            <w:tcMar>
              <w:top w:w="57" w:type="dxa"/>
            </w:tcMar>
          </w:tcPr>
          <w:p w14:paraId="7D29C954" w14:textId="77777777" w:rsidR="00246CC5" w:rsidRPr="0080613E" w:rsidRDefault="00246CC5" w:rsidP="00986700">
            <w:pPr>
              <w:rPr>
                <w:sz w:val="16"/>
                <w:szCs w:val="16"/>
              </w:rPr>
            </w:pPr>
            <w:r w:rsidRPr="0080613E">
              <w:rPr>
                <w:sz w:val="16"/>
                <w:szCs w:val="16"/>
              </w:rPr>
              <w:t>444 universités ou instituts de recherche</w:t>
            </w:r>
          </w:p>
          <w:p w14:paraId="471D925A" w14:textId="77777777" w:rsidR="00246CC5" w:rsidRPr="0080613E" w:rsidRDefault="00246CC5" w:rsidP="00986700">
            <w:pPr>
              <w:rPr>
                <w:sz w:val="16"/>
                <w:szCs w:val="16"/>
              </w:rPr>
            </w:pPr>
            <w:r w:rsidRPr="0080613E">
              <w:rPr>
                <w:sz w:val="16"/>
                <w:szCs w:val="16"/>
              </w:rPr>
              <w:t>(au total</w:t>
            </w:r>
            <w:r w:rsidRPr="0080613E">
              <w:rPr>
                <w:rStyle w:val="FootnoteReference"/>
                <w:sz w:val="16"/>
                <w:szCs w:val="16"/>
              </w:rPr>
              <w:footnoteReference w:id="29"/>
            </w:r>
            <w:r w:rsidRPr="0080613E">
              <w:rPr>
                <w:sz w:val="16"/>
                <w:szCs w:val="16"/>
              </w:rPr>
              <w:t xml:space="preserve"> fin 2016)</w:t>
            </w:r>
          </w:p>
        </w:tc>
        <w:tc>
          <w:tcPr>
            <w:tcW w:w="2393" w:type="dxa"/>
            <w:shd w:val="clear" w:color="auto" w:fill="auto"/>
            <w:tcMar>
              <w:top w:w="57" w:type="dxa"/>
            </w:tcMar>
          </w:tcPr>
          <w:p w14:paraId="548463AE" w14:textId="77777777" w:rsidR="00246CC5" w:rsidRPr="0080613E" w:rsidRDefault="00246CC5" w:rsidP="00986700">
            <w:pPr>
              <w:rPr>
                <w:sz w:val="16"/>
                <w:szCs w:val="16"/>
                <w:highlight w:val="yellow"/>
              </w:rPr>
            </w:pPr>
            <w:r w:rsidRPr="0080613E">
              <w:rPr>
                <w:sz w:val="16"/>
                <w:szCs w:val="16"/>
              </w:rPr>
              <w:t>6 universités ou instituts de recherche supplémentaires à l’échelle mondiale</w:t>
            </w:r>
            <w:r w:rsidRPr="0080613E">
              <w:rPr>
                <w:rStyle w:val="FootnoteReference"/>
                <w:sz w:val="16"/>
                <w:szCs w:val="16"/>
              </w:rPr>
              <w:footnoteReference w:id="30"/>
            </w:r>
          </w:p>
        </w:tc>
      </w:tr>
      <w:tr w:rsidR="00EE0227" w:rsidRPr="0080613E" w14:paraId="16F1C83E" w14:textId="77777777" w:rsidTr="00246CC5">
        <w:trPr>
          <w:cantSplit/>
        </w:trPr>
        <w:tc>
          <w:tcPr>
            <w:tcW w:w="2392" w:type="dxa"/>
            <w:shd w:val="clear" w:color="auto" w:fill="auto"/>
            <w:tcMar>
              <w:top w:w="57" w:type="dxa"/>
            </w:tcMar>
            <w:hideMark/>
          </w:tcPr>
          <w:p w14:paraId="37CDDCD9" w14:textId="77777777" w:rsidR="00246CC5" w:rsidRPr="0080613E" w:rsidRDefault="00246CC5" w:rsidP="00986700">
            <w:pPr>
              <w:rPr>
                <w:sz w:val="16"/>
                <w:szCs w:val="16"/>
              </w:rPr>
            </w:pPr>
            <w:r w:rsidRPr="0080613E">
              <w:rPr>
                <w:sz w:val="16"/>
                <w:szCs w:val="16"/>
              </w:rPr>
              <w:t>IV.2 Amélioration de l’accessibilité et de l’utilisation de l’information en matière de propriété intellectuelle par les institutions compétentes et le public afin de promouvoir l’innovation et la créativité</w:t>
            </w:r>
          </w:p>
        </w:tc>
        <w:tc>
          <w:tcPr>
            <w:tcW w:w="2393" w:type="dxa"/>
            <w:shd w:val="clear" w:color="auto" w:fill="auto"/>
            <w:tcMar>
              <w:top w:w="57" w:type="dxa"/>
            </w:tcMar>
            <w:hideMark/>
          </w:tcPr>
          <w:p w14:paraId="6F9E4EDD" w14:textId="77777777" w:rsidR="00246CC5" w:rsidRPr="0080613E" w:rsidRDefault="00246CC5" w:rsidP="00986700">
            <w:pPr>
              <w:rPr>
                <w:sz w:val="16"/>
                <w:szCs w:val="16"/>
              </w:rPr>
            </w:pPr>
            <w:r w:rsidRPr="0080613E">
              <w:rPr>
                <w:sz w:val="16"/>
                <w:szCs w:val="16"/>
              </w:rPr>
              <w:t>Nombre de réseaux nationaux durables</w:t>
            </w:r>
            <w:r w:rsidRPr="0080613E">
              <w:rPr>
                <w:rStyle w:val="FootnoteReference"/>
                <w:sz w:val="16"/>
                <w:szCs w:val="16"/>
              </w:rPr>
              <w:footnoteReference w:id="31"/>
            </w:r>
            <w:r w:rsidRPr="0080613E">
              <w:rPr>
                <w:sz w:val="16"/>
                <w:szCs w:val="16"/>
              </w:rPr>
              <w:t xml:space="preserve"> de CATI</w:t>
            </w:r>
          </w:p>
        </w:tc>
        <w:tc>
          <w:tcPr>
            <w:tcW w:w="2393" w:type="dxa"/>
            <w:shd w:val="clear" w:color="auto" w:fill="auto"/>
            <w:tcMar>
              <w:top w:w="57" w:type="dxa"/>
            </w:tcMar>
            <w:hideMark/>
          </w:tcPr>
          <w:p w14:paraId="274472EA" w14:textId="77777777" w:rsidR="00246CC5" w:rsidRPr="0080613E" w:rsidRDefault="00246CC5" w:rsidP="00986700">
            <w:pPr>
              <w:rPr>
                <w:sz w:val="16"/>
                <w:szCs w:val="16"/>
              </w:rPr>
            </w:pPr>
            <w:r w:rsidRPr="0080613E">
              <w:rPr>
                <w:sz w:val="16"/>
                <w:szCs w:val="16"/>
              </w:rPr>
              <w:t>27 réseaux nationaux durables (au total à la fin de 2016)</w:t>
            </w:r>
          </w:p>
          <w:p w14:paraId="07F953CD" w14:textId="77777777" w:rsidR="00246CC5" w:rsidRPr="0080613E" w:rsidRDefault="00246CC5" w:rsidP="00986700">
            <w:pPr>
              <w:rPr>
                <w:sz w:val="16"/>
                <w:szCs w:val="16"/>
              </w:rPr>
            </w:pPr>
          </w:p>
          <w:p w14:paraId="03109C52" w14:textId="77777777" w:rsidR="00246CC5" w:rsidRPr="0080613E" w:rsidRDefault="00246CC5" w:rsidP="00986700">
            <w:pPr>
              <w:rPr>
                <w:sz w:val="16"/>
                <w:szCs w:val="16"/>
              </w:rPr>
            </w:pPr>
            <w:r w:rsidRPr="0080613E">
              <w:rPr>
                <w:sz w:val="16"/>
                <w:szCs w:val="16"/>
              </w:rPr>
              <w:t>Développement niveau 1</w:t>
            </w:r>
          </w:p>
          <w:p w14:paraId="2F4995C9" w14:textId="77777777" w:rsidR="00246CC5" w:rsidRPr="0080613E" w:rsidRDefault="00246CC5" w:rsidP="00986700">
            <w:pPr>
              <w:rPr>
                <w:sz w:val="16"/>
                <w:szCs w:val="16"/>
              </w:rPr>
            </w:pPr>
            <w:r w:rsidRPr="0080613E">
              <w:rPr>
                <w:sz w:val="16"/>
                <w:szCs w:val="16"/>
              </w:rPr>
              <w:t>Afrique (3 dont 1 PMA)</w:t>
            </w:r>
          </w:p>
          <w:p w14:paraId="35040901" w14:textId="77777777" w:rsidR="00246CC5" w:rsidRPr="0080613E" w:rsidRDefault="00246CC5" w:rsidP="00986700">
            <w:pPr>
              <w:rPr>
                <w:sz w:val="16"/>
                <w:szCs w:val="16"/>
              </w:rPr>
            </w:pPr>
            <w:r w:rsidRPr="0080613E">
              <w:rPr>
                <w:sz w:val="16"/>
                <w:szCs w:val="16"/>
              </w:rPr>
              <w:t>Asie et Pacifique (2)</w:t>
            </w:r>
          </w:p>
          <w:p w14:paraId="76DA32B1" w14:textId="77777777" w:rsidR="00246CC5" w:rsidRPr="0080613E" w:rsidRDefault="00246CC5" w:rsidP="00986700">
            <w:pPr>
              <w:rPr>
                <w:sz w:val="16"/>
                <w:szCs w:val="16"/>
              </w:rPr>
            </w:pPr>
            <w:r w:rsidRPr="0080613E">
              <w:rPr>
                <w:sz w:val="16"/>
                <w:szCs w:val="16"/>
              </w:rPr>
              <w:t>Amérique latine et Caraïbes (2)</w:t>
            </w:r>
          </w:p>
          <w:p w14:paraId="2BD7AD82" w14:textId="77777777" w:rsidR="00246CC5" w:rsidRPr="0080613E" w:rsidRDefault="00246CC5" w:rsidP="00986700">
            <w:pPr>
              <w:rPr>
                <w:sz w:val="16"/>
                <w:szCs w:val="16"/>
              </w:rPr>
            </w:pPr>
            <w:r w:rsidRPr="0080613E">
              <w:rPr>
                <w:sz w:val="16"/>
                <w:szCs w:val="16"/>
              </w:rPr>
              <w:t>(7 au total)</w:t>
            </w:r>
          </w:p>
          <w:p w14:paraId="0C281BC9" w14:textId="77777777" w:rsidR="00246CC5" w:rsidRPr="0080613E" w:rsidRDefault="00246CC5" w:rsidP="00986700">
            <w:pPr>
              <w:rPr>
                <w:sz w:val="16"/>
                <w:szCs w:val="16"/>
              </w:rPr>
            </w:pPr>
          </w:p>
          <w:p w14:paraId="79BEB366" w14:textId="77777777" w:rsidR="00246CC5" w:rsidRPr="0080613E" w:rsidRDefault="00246CC5" w:rsidP="00986700">
            <w:pPr>
              <w:rPr>
                <w:sz w:val="16"/>
                <w:szCs w:val="16"/>
              </w:rPr>
            </w:pPr>
            <w:r w:rsidRPr="0080613E">
              <w:rPr>
                <w:sz w:val="16"/>
                <w:szCs w:val="16"/>
              </w:rPr>
              <w:t>Développement niveau 2</w:t>
            </w:r>
          </w:p>
          <w:p w14:paraId="23F557E7" w14:textId="77777777" w:rsidR="00246CC5" w:rsidRPr="0080613E" w:rsidRDefault="00246CC5" w:rsidP="00986700">
            <w:pPr>
              <w:rPr>
                <w:sz w:val="16"/>
                <w:szCs w:val="16"/>
              </w:rPr>
            </w:pPr>
            <w:r w:rsidRPr="0080613E">
              <w:rPr>
                <w:sz w:val="16"/>
                <w:szCs w:val="16"/>
              </w:rPr>
              <w:t>Afrique (8 dont 6 PMA)</w:t>
            </w:r>
          </w:p>
          <w:p w14:paraId="1639F889" w14:textId="77777777" w:rsidR="00246CC5" w:rsidRPr="0080613E" w:rsidRDefault="00246CC5" w:rsidP="00986700">
            <w:pPr>
              <w:rPr>
                <w:sz w:val="16"/>
                <w:szCs w:val="16"/>
              </w:rPr>
            </w:pPr>
            <w:r w:rsidRPr="0080613E">
              <w:rPr>
                <w:sz w:val="16"/>
                <w:szCs w:val="16"/>
              </w:rPr>
              <w:t>Pays arabes (1)</w:t>
            </w:r>
          </w:p>
          <w:p w14:paraId="49005B6A" w14:textId="77777777" w:rsidR="00246CC5" w:rsidRPr="0080613E" w:rsidRDefault="00246CC5" w:rsidP="00986700">
            <w:pPr>
              <w:rPr>
                <w:sz w:val="16"/>
                <w:szCs w:val="16"/>
              </w:rPr>
            </w:pPr>
            <w:r w:rsidRPr="0080613E">
              <w:rPr>
                <w:sz w:val="16"/>
                <w:szCs w:val="16"/>
              </w:rPr>
              <w:t>Asie et Pacifique (2)</w:t>
            </w:r>
          </w:p>
          <w:p w14:paraId="2DBFBB77" w14:textId="77777777" w:rsidR="00246CC5" w:rsidRPr="0080613E" w:rsidRDefault="00246CC5" w:rsidP="00986700">
            <w:pPr>
              <w:rPr>
                <w:sz w:val="16"/>
                <w:szCs w:val="16"/>
              </w:rPr>
            </w:pPr>
            <w:r w:rsidRPr="0080613E">
              <w:rPr>
                <w:sz w:val="16"/>
                <w:szCs w:val="16"/>
              </w:rPr>
              <w:t>Amérique latine et Caraïbes (4)</w:t>
            </w:r>
          </w:p>
          <w:p w14:paraId="2F87826C" w14:textId="77777777" w:rsidR="00246CC5" w:rsidRPr="0080613E" w:rsidRDefault="00246CC5" w:rsidP="00986700">
            <w:pPr>
              <w:rPr>
                <w:sz w:val="16"/>
                <w:szCs w:val="16"/>
              </w:rPr>
            </w:pPr>
            <w:r w:rsidRPr="0080613E">
              <w:rPr>
                <w:sz w:val="16"/>
                <w:szCs w:val="16"/>
              </w:rPr>
              <w:t>(15 au total)</w:t>
            </w:r>
          </w:p>
          <w:p w14:paraId="7CA339EE" w14:textId="77777777" w:rsidR="00246CC5" w:rsidRPr="0080613E" w:rsidRDefault="00246CC5" w:rsidP="00986700">
            <w:pPr>
              <w:rPr>
                <w:sz w:val="16"/>
                <w:szCs w:val="16"/>
              </w:rPr>
            </w:pPr>
          </w:p>
          <w:p w14:paraId="1CF2515B" w14:textId="77777777" w:rsidR="00246CC5" w:rsidRPr="0080613E" w:rsidRDefault="00246CC5" w:rsidP="00986700">
            <w:pPr>
              <w:rPr>
                <w:sz w:val="16"/>
                <w:szCs w:val="16"/>
              </w:rPr>
            </w:pPr>
            <w:r w:rsidRPr="0080613E">
              <w:rPr>
                <w:sz w:val="16"/>
                <w:szCs w:val="16"/>
              </w:rPr>
              <w:t>Développement niveau 3, y compris la fourniture de services à valeur ajoutée</w:t>
            </w:r>
            <w:r w:rsidRPr="0080613E">
              <w:rPr>
                <w:rStyle w:val="FootnoteReference"/>
                <w:sz w:val="16"/>
                <w:szCs w:val="16"/>
              </w:rPr>
              <w:footnoteReference w:id="32"/>
            </w:r>
            <w:r w:rsidRPr="0080613E">
              <w:rPr>
                <w:sz w:val="16"/>
                <w:szCs w:val="16"/>
              </w:rPr>
              <w:t> :</w:t>
            </w:r>
          </w:p>
          <w:p w14:paraId="1727C722" w14:textId="77777777" w:rsidR="00246CC5" w:rsidRPr="0080613E" w:rsidRDefault="00246CC5" w:rsidP="00986700">
            <w:pPr>
              <w:rPr>
                <w:sz w:val="16"/>
                <w:szCs w:val="16"/>
              </w:rPr>
            </w:pPr>
            <w:r w:rsidRPr="0080613E">
              <w:rPr>
                <w:sz w:val="16"/>
                <w:szCs w:val="16"/>
              </w:rPr>
              <w:t>Afrique (1)</w:t>
            </w:r>
          </w:p>
          <w:p w14:paraId="6C0F2A3B" w14:textId="77777777" w:rsidR="00246CC5" w:rsidRPr="0080613E" w:rsidRDefault="00246CC5" w:rsidP="00986700">
            <w:pPr>
              <w:rPr>
                <w:sz w:val="16"/>
                <w:szCs w:val="16"/>
              </w:rPr>
            </w:pPr>
            <w:r w:rsidRPr="0080613E">
              <w:rPr>
                <w:sz w:val="16"/>
                <w:szCs w:val="16"/>
              </w:rPr>
              <w:t>Pays arabes (1)</w:t>
            </w:r>
          </w:p>
          <w:p w14:paraId="1CD41332" w14:textId="77777777" w:rsidR="00246CC5" w:rsidRPr="0080613E" w:rsidRDefault="00246CC5" w:rsidP="00986700">
            <w:pPr>
              <w:rPr>
                <w:sz w:val="16"/>
                <w:szCs w:val="16"/>
              </w:rPr>
            </w:pPr>
            <w:r w:rsidRPr="0080613E">
              <w:rPr>
                <w:sz w:val="16"/>
                <w:szCs w:val="16"/>
              </w:rPr>
              <w:t>Asie et Pacifique (1)</w:t>
            </w:r>
          </w:p>
          <w:p w14:paraId="0EF11F16" w14:textId="77777777" w:rsidR="00246CC5" w:rsidRPr="0080613E" w:rsidRDefault="00246CC5" w:rsidP="00986700">
            <w:pPr>
              <w:rPr>
                <w:sz w:val="16"/>
                <w:szCs w:val="16"/>
              </w:rPr>
            </w:pPr>
            <w:r w:rsidRPr="0080613E">
              <w:rPr>
                <w:sz w:val="16"/>
                <w:szCs w:val="16"/>
              </w:rPr>
              <w:t>Amérique latine et Caraïbes (2)</w:t>
            </w:r>
          </w:p>
          <w:p w14:paraId="53425221" w14:textId="77777777" w:rsidR="00246CC5" w:rsidRPr="0080613E" w:rsidRDefault="00246CC5" w:rsidP="00986700">
            <w:pPr>
              <w:rPr>
                <w:sz w:val="16"/>
                <w:szCs w:val="16"/>
              </w:rPr>
            </w:pPr>
            <w:r w:rsidRPr="0080613E">
              <w:rPr>
                <w:sz w:val="16"/>
                <w:szCs w:val="16"/>
              </w:rPr>
              <w:t>(5 au total)</w:t>
            </w:r>
          </w:p>
        </w:tc>
        <w:tc>
          <w:tcPr>
            <w:tcW w:w="2393" w:type="dxa"/>
            <w:shd w:val="clear" w:color="auto" w:fill="auto"/>
            <w:tcMar>
              <w:top w:w="57" w:type="dxa"/>
            </w:tcMar>
            <w:hideMark/>
          </w:tcPr>
          <w:p w14:paraId="32558C3D" w14:textId="77777777" w:rsidR="00246CC5" w:rsidRPr="0080613E" w:rsidRDefault="00246CC5" w:rsidP="00986700">
            <w:pPr>
              <w:rPr>
                <w:sz w:val="16"/>
                <w:szCs w:val="16"/>
              </w:rPr>
            </w:pPr>
            <w:r w:rsidRPr="0080613E">
              <w:rPr>
                <w:sz w:val="16"/>
                <w:szCs w:val="16"/>
              </w:rPr>
              <w:t>Afrique (1 supplémentaire)</w:t>
            </w:r>
            <w:r w:rsidRPr="0080613E">
              <w:rPr>
                <w:sz w:val="16"/>
                <w:szCs w:val="16"/>
              </w:rPr>
              <w:br/>
              <w:t>Pays arabes (1 supplémentaire)</w:t>
            </w:r>
            <w:r w:rsidRPr="0080613E">
              <w:rPr>
                <w:sz w:val="16"/>
                <w:szCs w:val="16"/>
              </w:rPr>
              <w:br/>
              <w:t>Asie et Pacifique (1 supplémentaire)</w:t>
            </w:r>
            <w:r w:rsidRPr="0080613E">
              <w:rPr>
                <w:sz w:val="16"/>
                <w:szCs w:val="16"/>
              </w:rPr>
              <w:br/>
              <w:t>Amérique latine et Caraïbes (2 supplémentaires)</w:t>
            </w:r>
          </w:p>
        </w:tc>
      </w:tr>
      <w:tr w:rsidR="00EE0227" w:rsidRPr="0080613E" w14:paraId="5CB1B60C" w14:textId="77777777" w:rsidTr="00246CC5">
        <w:trPr>
          <w:cantSplit/>
        </w:trPr>
        <w:tc>
          <w:tcPr>
            <w:tcW w:w="2392" w:type="dxa"/>
            <w:shd w:val="clear" w:color="auto" w:fill="auto"/>
            <w:tcMar>
              <w:top w:w="57" w:type="dxa"/>
            </w:tcMar>
            <w:hideMark/>
          </w:tcPr>
          <w:p w14:paraId="549BC252"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767AAEC9" w14:textId="77777777" w:rsidR="00246CC5" w:rsidRPr="0080613E" w:rsidRDefault="00246CC5" w:rsidP="00986700">
            <w:pPr>
              <w:rPr>
                <w:sz w:val="16"/>
                <w:szCs w:val="16"/>
              </w:rPr>
            </w:pPr>
            <w:r w:rsidRPr="0080613E">
              <w:rPr>
                <w:sz w:val="16"/>
                <w:szCs w:val="16"/>
              </w:rPr>
              <w:t>Nombre d’organisations, de communautés et de particuliers qui appliquent et utilisent la technologie appropriée comme solution pour relever les défis du développement recensés dans les PMA</w:t>
            </w:r>
          </w:p>
        </w:tc>
        <w:tc>
          <w:tcPr>
            <w:tcW w:w="2393" w:type="dxa"/>
            <w:shd w:val="clear" w:color="auto" w:fill="auto"/>
            <w:tcMar>
              <w:top w:w="57" w:type="dxa"/>
            </w:tcMar>
            <w:hideMark/>
          </w:tcPr>
          <w:p w14:paraId="5B903D8B" w14:textId="77777777" w:rsidR="00246CC5" w:rsidRPr="0080613E" w:rsidRDefault="00246CC5" w:rsidP="00986700">
            <w:pPr>
              <w:rPr>
                <w:sz w:val="16"/>
                <w:szCs w:val="16"/>
              </w:rPr>
            </w:pPr>
            <w:r w:rsidRPr="0080613E">
              <w:rPr>
                <w:sz w:val="16"/>
                <w:szCs w:val="16"/>
              </w:rPr>
              <w:t>10 organisations dans 6 PMA (au total à la fin de 2016)</w:t>
            </w:r>
          </w:p>
        </w:tc>
        <w:tc>
          <w:tcPr>
            <w:tcW w:w="2393" w:type="dxa"/>
            <w:shd w:val="clear" w:color="auto" w:fill="auto"/>
            <w:tcMar>
              <w:top w:w="57" w:type="dxa"/>
            </w:tcMar>
            <w:hideMark/>
          </w:tcPr>
          <w:p w14:paraId="4795E652" w14:textId="77777777" w:rsidR="00246CC5" w:rsidRPr="0080613E" w:rsidRDefault="00246CC5" w:rsidP="00986700">
            <w:pPr>
              <w:rPr>
                <w:sz w:val="16"/>
                <w:szCs w:val="16"/>
              </w:rPr>
            </w:pPr>
            <w:r w:rsidRPr="0080613E">
              <w:rPr>
                <w:sz w:val="16"/>
                <w:szCs w:val="16"/>
              </w:rPr>
              <w:t>4 organisations supplémentaires dans les PMA</w:t>
            </w:r>
          </w:p>
        </w:tc>
      </w:tr>
      <w:tr w:rsidR="00EE0227" w:rsidRPr="0080613E" w14:paraId="73569282" w14:textId="77777777" w:rsidTr="00246CC5">
        <w:trPr>
          <w:cantSplit/>
        </w:trPr>
        <w:tc>
          <w:tcPr>
            <w:tcW w:w="2392" w:type="dxa"/>
            <w:shd w:val="clear" w:color="000000" w:fill="FFFFFF"/>
            <w:tcMar>
              <w:top w:w="57" w:type="dxa"/>
            </w:tcMar>
            <w:hideMark/>
          </w:tcPr>
          <w:p w14:paraId="28A1D788"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63D648D5" w14:textId="77777777" w:rsidR="00246CC5" w:rsidRPr="0080613E" w:rsidRDefault="00246CC5" w:rsidP="00986700">
            <w:pPr>
              <w:rPr>
                <w:sz w:val="16"/>
                <w:szCs w:val="16"/>
              </w:rPr>
            </w:pPr>
            <w:r w:rsidRPr="0080613E">
              <w:rPr>
                <w:sz w:val="16"/>
                <w:szCs w:val="16"/>
              </w:rPr>
              <w:t xml:space="preserve">Utilisation de la technologie appropriée pour le développement par les recherches et les rapports en matière de brevets, les études panoramiques sur les technologies et les plans d’action </w:t>
            </w:r>
          </w:p>
        </w:tc>
        <w:tc>
          <w:tcPr>
            <w:tcW w:w="2393" w:type="dxa"/>
            <w:shd w:val="clear" w:color="auto" w:fill="auto"/>
            <w:tcMar>
              <w:top w:w="57" w:type="dxa"/>
            </w:tcMar>
            <w:hideMark/>
          </w:tcPr>
          <w:p w14:paraId="2EB4F7B6" w14:textId="4DBE3868" w:rsidR="00246CC5" w:rsidRPr="0080613E" w:rsidRDefault="00246CC5" w:rsidP="00986700">
            <w:pPr>
              <w:rPr>
                <w:sz w:val="16"/>
                <w:szCs w:val="16"/>
              </w:rPr>
            </w:pPr>
            <w:r w:rsidRPr="0080613E">
              <w:rPr>
                <w:sz w:val="16"/>
                <w:szCs w:val="16"/>
              </w:rPr>
              <w:t>– 3 experts nationaux dans 3 PMA</w:t>
            </w:r>
          </w:p>
          <w:p w14:paraId="6F8FBCE8" w14:textId="6D04232F" w:rsidR="00246CC5" w:rsidRPr="0080613E" w:rsidRDefault="00246CC5" w:rsidP="00986700">
            <w:pPr>
              <w:rPr>
                <w:sz w:val="16"/>
                <w:szCs w:val="16"/>
              </w:rPr>
            </w:pPr>
            <w:r w:rsidRPr="0080613E">
              <w:rPr>
                <w:sz w:val="16"/>
                <w:szCs w:val="16"/>
              </w:rPr>
              <w:t>– 3 experts internationaux dans 3 PMA</w:t>
            </w:r>
          </w:p>
          <w:p w14:paraId="784F0E88" w14:textId="2B96EC4E" w:rsidR="00246CC5" w:rsidRPr="0080613E" w:rsidRDefault="00246CC5" w:rsidP="00986700">
            <w:pPr>
              <w:rPr>
                <w:sz w:val="16"/>
                <w:szCs w:val="16"/>
              </w:rPr>
            </w:pPr>
            <w:r w:rsidRPr="0080613E">
              <w:rPr>
                <w:sz w:val="16"/>
                <w:szCs w:val="16"/>
              </w:rPr>
              <w:t>– 6 groupes d’experts nationaux dans 6 PMA</w:t>
            </w:r>
          </w:p>
          <w:p w14:paraId="0BED7A29" w14:textId="77777777" w:rsidR="00246CC5" w:rsidRPr="0080613E" w:rsidRDefault="00246CC5" w:rsidP="00986700">
            <w:pPr>
              <w:rPr>
                <w:sz w:val="16"/>
                <w:szCs w:val="16"/>
              </w:rPr>
            </w:pPr>
            <w:r w:rsidRPr="0080613E">
              <w:rPr>
                <w:sz w:val="16"/>
                <w:szCs w:val="16"/>
              </w:rPr>
              <w:t>(au total à la fin de 2016)</w:t>
            </w:r>
          </w:p>
        </w:tc>
        <w:tc>
          <w:tcPr>
            <w:tcW w:w="2393" w:type="dxa"/>
            <w:shd w:val="clear" w:color="auto" w:fill="auto"/>
            <w:tcMar>
              <w:top w:w="57" w:type="dxa"/>
            </w:tcMar>
            <w:hideMark/>
          </w:tcPr>
          <w:p w14:paraId="30742906" w14:textId="77777777" w:rsidR="00246CC5" w:rsidRPr="0080613E" w:rsidRDefault="00246CC5" w:rsidP="00986700">
            <w:pPr>
              <w:rPr>
                <w:sz w:val="16"/>
                <w:szCs w:val="16"/>
              </w:rPr>
            </w:pPr>
            <w:r w:rsidRPr="0080613E">
              <w:rPr>
                <w:sz w:val="16"/>
                <w:szCs w:val="16"/>
              </w:rPr>
              <w:t>4 experts ou groupes d’experts nationaux supplémentaires dans les PMA</w:t>
            </w:r>
          </w:p>
        </w:tc>
      </w:tr>
      <w:tr w:rsidR="00EE0227" w:rsidRPr="0080613E" w14:paraId="5291A6F3" w14:textId="77777777" w:rsidTr="00246CC5">
        <w:trPr>
          <w:cantSplit/>
        </w:trPr>
        <w:tc>
          <w:tcPr>
            <w:tcW w:w="2392" w:type="dxa"/>
            <w:shd w:val="clear" w:color="000000" w:fill="FFFFFF"/>
            <w:tcMar>
              <w:top w:w="57" w:type="dxa"/>
            </w:tcMar>
            <w:hideMark/>
          </w:tcPr>
          <w:p w14:paraId="5B3F826E"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2E7BA3E2" w14:textId="1DF1A346" w:rsidR="00246CC5" w:rsidRPr="0080613E" w:rsidRDefault="00246CC5" w:rsidP="00E82B8A">
            <w:pPr>
              <w:rPr>
                <w:sz w:val="16"/>
                <w:szCs w:val="16"/>
              </w:rPr>
            </w:pPr>
            <w:r w:rsidRPr="0080613E">
              <w:rPr>
                <w:sz w:val="16"/>
                <w:szCs w:val="16"/>
              </w:rPr>
              <w:t>Technologie appropriée définie et commercialisée dans les PMA</w:t>
            </w:r>
          </w:p>
        </w:tc>
        <w:tc>
          <w:tcPr>
            <w:tcW w:w="2393" w:type="dxa"/>
            <w:shd w:val="clear" w:color="auto" w:fill="auto"/>
            <w:tcMar>
              <w:top w:w="57" w:type="dxa"/>
            </w:tcMar>
            <w:hideMark/>
          </w:tcPr>
          <w:p w14:paraId="4AACA887" w14:textId="475B8B09" w:rsidR="00246CC5" w:rsidRPr="0080613E" w:rsidRDefault="00246CC5" w:rsidP="00E82B8A">
            <w:pPr>
              <w:rPr>
                <w:sz w:val="16"/>
                <w:szCs w:val="16"/>
              </w:rPr>
            </w:pPr>
            <w:r w:rsidRPr="0080613E">
              <w:rPr>
                <w:sz w:val="16"/>
                <w:szCs w:val="16"/>
              </w:rPr>
              <w:t>Commercialisation de 3 technologies appropriées</w:t>
            </w:r>
          </w:p>
        </w:tc>
        <w:tc>
          <w:tcPr>
            <w:tcW w:w="2393" w:type="dxa"/>
            <w:shd w:val="clear" w:color="auto" w:fill="auto"/>
            <w:tcMar>
              <w:top w:w="57" w:type="dxa"/>
            </w:tcMar>
            <w:hideMark/>
          </w:tcPr>
          <w:p w14:paraId="5CCA28F2" w14:textId="77777777" w:rsidR="00246CC5" w:rsidRPr="0080613E" w:rsidRDefault="00246CC5" w:rsidP="00986700">
            <w:pPr>
              <w:rPr>
                <w:sz w:val="16"/>
                <w:szCs w:val="16"/>
              </w:rPr>
            </w:pPr>
            <w:r w:rsidRPr="0080613E">
              <w:rPr>
                <w:sz w:val="16"/>
                <w:szCs w:val="16"/>
              </w:rPr>
              <w:t xml:space="preserve">Commercialisation de 2 technologies appropriées supplémentaires </w:t>
            </w:r>
          </w:p>
        </w:tc>
      </w:tr>
      <w:tr w:rsidR="00EE0227" w:rsidRPr="0080613E" w14:paraId="747E532E" w14:textId="77777777" w:rsidTr="00246CC5">
        <w:trPr>
          <w:cantSplit/>
        </w:trPr>
        <w:tc>
          <w:tcPr>
            <w:tcW w:w="2392" w:type="dxa"/>
            <w:shd w:val="clear" w:color="000000" w:fill="FFFFFF"/>
            <w:tcMar>
              <w:top w:w="57" w:type="dxa"/>
            </w:tcMar>
          </w:tcPr>
          <w:p w14:paraId="38BEACB7" w14:textId="77777777" w:rsidR="00246CC5" w:rsidRPr="0080613E" w:rsidRDefault="00246CC5" w:rsidP="00986700">
            <w:pPr>
              <w:rPr>
                <w:sz w:val="16"/>
                <w:szCs w:val="16"/>
              </w:rPr>
            </w:pPr>
          </w:p>
        </w:tc>
        <w:tc>
          <w:tcPr>
            <w:tcW w:w="2393" w:type="dxa"/>
            <w:shd w:val="clear" w:color="auto" w:fill="auto"/>
            <w:tcMar>
              <w:top w:w="57" w:type="dxa"/>
            </w:tcMar>
          </w:tcPr>
          <w:p w14:paraId="05F4CCAA" w14:textId="77777777" w:rsidR="00246CC5" w:rsidRPr="0080613E" w:rsidRDefault="00246CC5" w:rsidP="00986700">
            <w:pPr>
              <w:rPr>
                <w:sz w:val="16"/>
                <w:szCs w:val="16"/>
              </w:rPr>
            </w:pPr>
            <w:r w:rsidRPr="0080613E">
              <w:rPr>
                <w:sz w:val="16"/>
                <w:szCs w:val="16"/>
              </w:rPr>
              <w:t>Projets reproduits dans d’autres domaines dans les PMA</w:t>
            </w:r>
          </w:p>
        </w:tc>
        <w:tc>
          <w:tcPr>
            <w:tcW w:w="2393" w:type="dxa"/>
            <w:shd w:val="clear" w:color="auto" w:fill="auto"/>
            <w:tcMar>
              <w:top w:w="57" w:type="dxa"/>
            </w:tcMar>
          </w:tcPr>
          <w:p w14:paraId="1B5C439E" w14:textId="77777777" w:rsidR="00246CC5" w:rsidRPr="0080613E" w:rsidRDefault="00246CC5" w:rsidP="00986700">
            <w:pPr>
              <w:rPr>
                <w:sz w:val="16"/>
                <w:szCs w:val="16"/>
              </w:rPr>
            </w:pPr>
            <w:r w:rsidRPr="0080613E">
              <w:rPr>
                <w:sz w:val="16"/>
                <w:szCs w:val="16"/>
              </w:rPr>
              <w:t>Aucun (2016)</w:t>
            </w:r>
          </w:p>
        </w:tc>
        <w:tc>
          <w:tcPr>
            <w:tcW w:w="2393" w:type="dxa"/>
            <w:shd w:val="clear" w:color="auto" w:fill="auto"/>
            <w:tcMar>
              <w:top w:w="57" w:type="dxa"/>
            </w:tcMar>
          </w:tcPr>
          <w:p w14:paraId="3D9ABE2B" w14:textId="77777777" w:rsidR="00246CC5" w:rsidRPr="0080613E" w:rsidRDefault="00246CC5" w:rsidP="00986700">
            <w:pPr>
              <w:rPr>
                <w:sz w:val="16"/>
                <w:szCs w:val="16"/>
              </w:rPr>
            </w:pPr>
            <w:r w:rsidRPr="0080613E">
              <w:rPr>
                <w:sz w:val="16"/>
                <w:szCs w:val="16"/>
              </w:rPr>
              <w:t>Technologies appropriées à reproduire dans d’autres domaines dans 2 PMA</w:t>
            </w:r>
          </w:p>
        </w:tc>
      </w:tr>
      <w:tr w:rsidR="00EE0227" w:rsidRPr="0080613E" w14:paraId="0B3F123A" w14:textId="77777777" w:rsidTr="00246CC5">
        <w:trPr>
          <w:cantSplit/>
        </w:trPr>
        <w:tc>
          <w:tcPr>
            <w:tcW w:w="2392" w:type="dxa"/>
            <w:shd w:val="clear" w:color="000000" w:fill="FFFFFF"/>
            <w:tcMar>
              <w:top w:w="57" w:type="dxa"/>
            </w:tcMar>
          </w:tcPr>
          <w:p w14:paraId="2D4A0A91" w14:textId="77777777" w:rsidR="00246CC5" w:rsidRPr="0080613E" w:rsidRDefault="00246CC5" w:rsidP="00986700">
            <w:pPr>
              <w:rPr>
                <w:sz w:val="16"/>
                <w:szCs w:val="16"/>
              </w:rPr>
            </w:pPr>
          </w:p>
        </w:tc>
        <w:tc>
          <w:tcPr>
            <w:tcW w:w="2393" w:type="dxa"/>
            <w:shd w:val="clear" w:color="auto" w:fill="auto"/>
            <w:tcMar>
              <w:top w:w="57" w:type="dxa"/>
            </w:tcMar>
          </w:tcPr>
          <w:p w14:paraId="0C842416" w14:textId="77777777" w:rsidR="00246CC5" w:rsidRPr="0080613E" w:rsidRDefault="00246CC5" w:rsidP="00986700">
            <w:pPr>
              <w:rPr>
                <w:sz w:val="16"/>
                <w:szCs w:val="16"/>
              </w:rPr>
            </w:pPr>
            <w:r w:rsidRPr="0080613E">
              <w:rPr>
                <w:sz w:val="16"/>
                <w:szCs w:val="16"/>
              </w:rPr>
              <w:t>Institutions créées pour continuer à travailler sur la technologie appropriée dans les PMA</w:t>
            </w:r>
          </w:p>
        </w:tc>
        <w:tc>
          <w:tcPr>
            <w:tcW w:w="2393" w:type="dxa"/>
            <w:shd w:val="clear" w:color="auto" w:fill="auto"/>
            <w:tcMar>
              <w:top w:w="57" w:type="dxa"/>
            </w:tcMar>
          </w:tcPr>
          <w:p w14:paraId="44691770" w14:textId="50E1A1C5" w:rsidR="00246CC5" w:rsidRPr="0080613E" w:rsidRDefault="00246CC5" w:rsidP="00986700">
            <w:pPr>
              <w:rPr>
                <w:sz w:val="16"/>
                <w:szCs w:val="16"/>
              </w:rPr>
            </w:pPr>
            <w:r w:rsidRPr="0080613E">
              <w:rPr>
                <w:sz w:val="16"/>
                <w:szCs w:val="16"/>
              </w:rPr>
              <w:t>– 6 groupes d’experts nationaux dans 6 PMA</w:t>
            </w:r>
          </w:p>
          <w:p w14:paraId="0EB50D6A" w14:textId="7837AC99" w:rsidR="00246CC5" w:rsidRPr="0080613E" w:rsidRDefault="00246CC5" w:rsidP="00986700">
            <w:pPr>
              <w:rPr>
                <w:sz w:val="16"/>
                <w:szCs w:val="16"/>
              </w:rPr>
            </w:pPr>
            <w:r w:rsidRPr="0080613E">
              <w:rPr>
                <w:sz w:val="16"/>
                <w:szCs w:val="16"/>
              </w:rPr>
              <w:t>– 3 groupes multipartites dans 3 PMA</w:t>
            </w:r>
          </w:p>
          <w:p w14:paraId="52D05A4C" w14:textId="77777777" w:rsidR="00246CC5" w:rsidRPr="0080613E" w:rsidRDefault="00246CC5" w:rsidP="00986700">
            <w:pPr>
              <w:rPr>
                <w:sz w:val="16"/>
                <w:szCs w:val="16"/>
              </w:rPr>
            </w:pPr>
            <w:r w:rsidRPr="0080613E">
              <w:rPr>
                <w:sz w:val="16"/>
                <w:szCs w:val="16"/>
              </w:rPr>
              <w:t>(au total à la fin de 2016)</w:t>
            </w:r>
          </w:p>
        </w:tc>
        <w:tc>
          <w:tcPr>
            <w:tcW w:w="2393" w:type="dxa"/>
            <w:shd w:val="clear" w:color="auto" w:fill="auto"/>
            <w:tcMar>
              <w:top w:w="57" w:type="dxa"/>
            </w:tcMar>
          </w:tcPr>
          <w:p w14:paraId="1E24F7B1" w14:textId="77777777" w:rsidR="00246CC5" w:rsidRPr="0080613E" w:rsidRDefault="00246CC5" w:rsidP="00986700">
            <w:pPr>
              <w:rPr>
                <w:sz w:val="16"/>
                <w:szCs w:val="16"/>
              </w:rPr>
            </w:pPr>
            <w:r w:rsidRPr="0080613E">
              <w:rPr>
                <w:sz w:val="16"/>
                <w:szCs w:val="16"/>
              </w:rPr>
              <w:t>3 institutions supplémentaires</w:t>
            </w:r>
          </w:p>
        </w:tc>
      </w:tr>
      <w:tr w:rsidR="00EE0227" w:rsidRPr="0080613E" w14:paraId="0C5F0646" w14:textId="77777777" w:rsidTr="00246CC5">
        <w:trPr>
          <w:cantSplit/>
        </w:trPr>
        <w:tc>
          <w:tcPr>
            <w:tcW w:w="2392" w:type="dxa"/>
            <w:shd w:val="clear" w:color="000000" w:fill="FFFFFF"/>
            <w:tcMar>
              <w:top w:w="57" w:type="dxa"/>
            </w:tcMar>
            <w:hideMark/>
          </w:tcPr>
          <w:p w14:paraId="0DAAF525"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728B3726" w14:textId="77777777" w:rsidR="00246CC5" w:rsidRPr="0080613E" w:rsidRDefault="00246CC5" w:rsidP="00986700">
            <w:pPr>
              <w:rPr>
                <w:sz w:val="16"/>
                <w:szCs w:val="16"/>
              </w:rPr>
            </w:pPr>
            <w:r w:rsidRPr="0080613E">
              <w:rPr>
                <w:sz w:val="16"/>
                <w:szCs w:val="16"/>
              </w:rPr>
              <w:t>Poursuite et développement des programmes nationaux de renforcement des capacités techniques relatifs aux technologies appropriées dans les PMA</w:t>
            </w:r>
          </w:p>
        </w:tc>
        <w:tc>
          <w:tcPr>
            <w:tcW w:w="2393" w:type="dxa"/>
            <w:shd w:val="clear" w:color="auto" w:fill="auto"/>
            <w:tcMar>
              <w:top w:w="57" w:type="dxa"/>
            </w:tcMar>
            <w:hideMark/>
          </w:tcPr>
          <w:p w14:paraId="61CF9B2C" w14:textId="77777777" w:rsidR="00246CC5" w:rsidRPr="0080613E" w:rsidRDefault="00246CC5" w:rsidP="00986700">
            <w:pPr>
              <w:rPr>
                <w:sz w:val="16"/>
                <w:szCs w:val="16"/>
              </w:rPr>
            </w:pPr>
            <w:r w:rsidRPr="0080613E">
              <w:rPr>
                <w:sz w:val="16"/>
                <w:szCs w:val="16"/>
              </w:rPr>
              <w:t>11 programmes</w:t>
            </w:r>
          </w:p>
          <w:p w14:paraId="7480D640" w14:textId="77777777" w:rsidR="00246CC5" w:rsidRPr="0080613E" w:rsidRDefault="00246CC5" w:rsidP="00986700">
            <w:pPr>
              <w:rPr>
                <w:sz w:val="16"/>
                <w:szCs w:val="16"/>
              </w:rPr>
            </w:pPr>
            <w:r w:rsidRPr="0080613E">
              <w:rPr>
                <w:sz w:val="16"/>
                <w:szCs w:val="16"/>
              </w:rPr>
              <w:t>(au total à la fin de 2016)</w:t>
            </w:r>
          </w:p>
        </w:tc>
        <w:tc>
          <w:tcPr>
            <w:tcW w:w="2393" w:type="dxa"/>
            <w:shd w:val="clear" w:color="auto" w:fill="auto"/>
            <w:tcMar>
              <w:top w:w="57" w:type="dxa"/>
            </w:tcMar>
            <w:hideMark/>
          </w:tcPr>
          <w:p w14:paraId="0DA84B57" w14:textId="77777777" w:rsidR="00246CC5" w:rsidRPr="0080613E" w:rsidRDefault="00246CC5" w:rsidP="00986700">
            <w:pPr>
              <w:rPr>
                <w:sz w:val="16"/>
                <w:szCs w:val="16"/>
              </w:rPr>
            </w:pPr>
            <w:r w:rsidRPr="0080613E">
              <w:rPr>
                <w:sz w:val="16"/>
                <w:szCs w:val="16"/>
              </w:rPr>
              <w:t>6 programmes supplémentaires</w:t>
            </w:r>
          </w:p>
        </w:tc>
      </w:tr>
      <w:tr w:rsidR="00EE0227" w:rsidRPr="0080613E" w14:paraId="34044BB9" w14:textId="77777777" w:rsidTr="00246CC5">
        <w:trPr>
          <w:cantSplit/>
        </w:trPr>
        <w:tc>
          <w:tcPr>
            <w:tcW w:w="2392" w:type="dxa"/>
            <w:shd w:val="clear" w:color="000000" w:fill="FFFFFF"/>
            <w:tcMar>
              <w:top w:w="57" w:type="dxa"/>
            </w:tcMar>
            <w:hideMark/>
          </w:tcPr>
          <w:p w14:paraId="348071B7" w14:textId="77777777" w:rsidR="00246CC5" w:rsidRPr="0080613E" w:rsidRDefault="00246CC5" w:rsidP="00986700">
            <w:pPr>
              <w:rPr>
                <w:sz w:val="16"/>
                <w:szCs w:val="16"/>
              </w:rPr>
            </w:pPr>
            <w:r w:rsidRPr="0080613E">
              <w:rPr>
                <w:sz w:val="16"/>
                <w:szCs w:val="16"/>
              </w:rPr>
              <w:t> </w:t>
            </w:r>
          </w:p>
        </w:tc>
        <w:tc>
          <w:tcPr>
            <w:tcW w:w="2393" w:type="dxa"/>
            <w:shd w:val="clear" w:color="auto" w:fill="auto"/>
            <w:tcMar>
              <w:top w:w="57" w:type="dxa"/>
            </w:tcMar>
            <w:hideMark/>
          </w:tcPr>
          <w:p w14:paraId="3E973B7E" w14:textId="77777777" w:rsidR="00246CC5" w:rsidRPr="0080613E" w:rsidRDefault="00246CC5" w:rsidP="00986700">
            <w:pPr>
              <w:rPr>
                <w:sz w:val="16"/>
                <w:szCs w:val="16"/>
              </w:rPr>
            </w:pPr>
            <w:r w:rsidRPr="0080613E">
              <w:rPr>
                <w:sz w:val="16"/>
                <w:szCs w:val="16"/>
              </w:rPr>
              <w:t>Utilisation d’une technologie appropriée pour le développement économique prévue dans les politiques et stratégies nationales en matière d’innovation et de propriété intellectuelle dans les PMA</w:t>
            </w:r>
          </w:p>
        </w:tc>
        <w:tc>
          <w:tcPr>
            <w:tcW w:w="2393" w:type="dxa"/>
            <w:shd w:val="clear" w:color="auto" w:fill="auto"/>
            <w:tcMar>
              <w:top w:w="57" w:type="dxa"/>
            </w:tcMar>
            <w:hideMark/>
          </w:tcPr>
          <w:p w14:paraId="4AD22B96" w14:textId="77777777" w:rsidR="00246CC5" w:rsidRPr="0080613E" w:rsidRDefault="00246CC5" w:rsidP="00986700">
            <w:pPr>
              <w:rPr>
                <w:sz w:val="16"/>
                <w:szCs w:val="16"/>
              </w:rPr>
            </w:pPr>
            <w:r w:rsidRPr="0080613E">
              <w:rPr>
                <w:sz w:val="16"/>
                <w:szCs w:val="16"/>
              </w:rPr>
              <w:t>Aucun (2016)</w:t>
            </w:r>
          </w:p>
        </w:tc>
        <w:tc>
          <w:tcPr>
            <w:tcW w:w="2393" w:type="dxa"/>
            <w:shd w:val="clear" w:color="auto" w:fill="auto"/>
            <w:tcMar>
              <w:top w:w="57" w:type="dxa"/>
            </w:tcMar>
            <w:hideMark/>
          </w:tcPr>
          <w:p w14:paraId="7BDEF906" w14:textId="77777777" w:rsidR="00246CC5" w:rsidRPr="0080613E" w:rsidRDefault="00246CC5" w:rsidP="00986700">
            <w:pPr>
              <w:rPr>
                <w:sz w:val="16"/>
                <w:szCs w:val="16"/>
              </w:rPr>
            </w:pPr>
            <w:r w:rsidRPr="0080613E">
              <w:rPr>
                <w:sz w:val="16"/>
                <w:szCs w:val="16"/>
              </w:rPr>
              <w:t>2 PMA supplémentaires</w:t>
            </w:r>
          </w:p>
        </w:tc>
      </w:tr>
      <w:tr w:rsidR="00EE0227" w:rsidRPr="0080613E" w14:paraId="1B0A78E3" w14:textId="77777777" w:rsidTr="00246CC5">
        <w:trPr>
          <w:cantSplit/>
        </w:trPr>
        <w:tc>
          <w:tcPr>
            <w:tcW w:w="2392" w:type="dxa"/>
            <w:shd w:val="clear" w:color="auto" w:fill="auto"/>
            <w:tcMar>
              <w:top w:w="57" w:type="dxa"/>
            </w:tcMar>
          </w:tcPr>
          <w:p w14:paraId="23D9CB4E" w14:textId="77777777" w:rsidR="00246CC5" w:rsidRPr="0080613E" w:rsidRDefault="00246CC5" w:rsidP="00986700">
            <w:pPr>
              <w:rPr>
                <w:sz w:val="16"/>
                <w:szCs w:val="16"/>
              </w:rPr>
            </w:pPr>
          </w:p>
        </w:tc>
        <w:tc>
          <w:tcPr>
            <w:tcW w:w="2393" w:type="dxa"/>
            <w:shd w:val="clear" w:color="auto" w:fill="auto"/>
            <w:tcMar>
              <w:top w:w="57" w:type="dxa"/>
            </w:tcMar>
          </w:tcPr>
          <w:p w14:paraId="755933AB" w14:textId="77777777" w:rsidR="00246CC5" w:rsidRPr="0080613E" w:rsidRDefault="00246CC5" w:rsidP="00986700">
            <w:pPr>
              <w:rPr>
                <w:sz w:val="16"/>
                <w:szCs w:val="16"/>
              </w:rPr>
            </w:pPr>
            <w:r w:rsidRPr="0080613E">
              <w:rPr>
                <w:sz w:val="16"/>
                <w:szCs w:val="16"/>
              </w:rPr>
              <w:t>Nombre de projets ou de programmes de transfert de technologie lancés par des pays en développement qui utilisent l’information en matière de brevets figurant dans le domaine public</w:t>
            </w:r>
          </w:p>
        </w:tc>
        <w:tc>
          <w:tcPr>
            <w:tcW w:w="2393" w:type="dxa"/>
            <w:shd w:val="clear" w:color="auto" w:fill="auto"/>
            <w:tcMar>
              <w:top w:w="57" w:type="dxa"/>
            </w:tcMar>
          </w:tcPr>
          <w:p w14:paraId="7A201A22" w14:textId="77777777" w:rsidR="00246CC5" w:rsidRPr="0080613E" w:rsidRDefault="00246CC5" w:rsidP="00986700">
            <w:pPr>
              <w:rPr>
                <w:sz w:val="16"/>
                <w:szCs w:val="16"/>
              </w:rPr>
            </w:pPr>
            <w:r w:rsidRPr="0080613E">
              <w:rPr>
                <w:sz w:val="16"/>
                <w:szCs w:val="16"/>
              </w:rPr>
              <w:t>s.o.</w:t>
            </w:r>
          </w:p>
        </w:tc>
        <w:tc>
          <w:tcPr>
            <w:tcW w:w="2393" w:type="dxa"/>
            <w:shd w:val="clear" w:color="auto" w:fill="auto"/>
            <w:tcMar>
              <w:top w:w="57" w:type="dxa"/>
            </w:tcMar>
          </w:tcPr>
          <w:p w14:paraId="3C9783A9" w14:textId="77777777" w:rsidR="00246CC5" w:rsidRPr="0080613E" w:rsidRDefault="00246CC5" w:rsidP="00986700">
            <w:pPr>
              <w:rPr>
                <w:sz w:val="16"/>
                <w:szCs w:val="16"/>
              </w:rPr>
            </w:pPr>
            <w:r w:rsidRPr="0080613E">
              <w:rPr>
                <w:sz w:val="16"/>
                <w:szCs w:val="16"/>
              </w:rPr>
              <w:t>Afrique (5)</w:t>
            </w:r>
          </w:p>
          <w:p w14:paraId="1BA2C73C" w14:textId="77777777" w:rsidR="00246CC5" w:rsidRPr="0080613E" w:rsidRDefault="00246CC5" w:rsidP="00986700">
            <w:pPr>
              <w:rPr>
                <w:sz w:val="16"/>
                <w:szCs w:val="16"/>
              </w:rPr>
            </w:pPr>
            <w:r w:rsidRPr="0080613E">
              <w:rPr>
                <w:sz w:val="16"/>
                <w:szCs w:val="16"/>
              </w:rPr>
              <w:t>Pays arabes (2)</w:t>
            </w:r>
          </w:p>
          <w:p w14:paraId="4EC1FE4C" w14:textId="77777777" w:rsidR="00246CC5" w:rsidRPr="0080613E" w:rsidRDefault="00246CC5" w:rsidP="00986700">
            <w:pPr>
              <w:rPr>
                <w:sz w:val="16"/>
                <w:szCs w:val="16"/>
              </w:rPr>
            </w:pPr>
            <w:r w:rsidRPr="0080613E">
              <w:rPr>
                <w:sz w:val="16"/>
                <w:szCs w:val="16"/>
              </w:rPr>
              <w:t>Asie et Pacifique (3)</w:t>
            </w:r>
          </w:p>
          <w:p w14:paraId="0345779D" w14:textId="77777777" w:rsidR="00246CC5" w:rsidRPr="0080613E" w:rsidRDefault="00246CC5" w:rsidP="00986700">
            <w:pPr>
              <w:rPr>
                <w:sz w:val="16"/>
                <w:szCs w:val="16"/>
              </w:rPr>
            </w:pPr>
            <w:r w:rsidRPr="0080613E">
              <w:rPr>
                <w:sz w:val="16"/>
                <w:szCs w:val="16"/>
              </w:rPr>
              <w:t>Amérique latine et Caraïbes (3)</w:t>
            </w:r>
          </w:p>
        </w:tc>
      </w:tr>
      <w:tr w:rsidR="00EE0227" w:rsidRPr="0080613E" w14:paraId="3E648E95" w14:textId="77777777" w:rsidTr="00246CC5">
        <w:trPr>
          <w:cantSplit/>
        </w:trPr>
        <w:tc>
          <w:tcPr>
            <w:tcW w:w="2392" w:type="dxa"/>
            <w:shd w:val="clear" w:color="auto" w:fill="auto"/>
            <w:tcMar>
              <w:top w:w="57" w:type="dxa"/>
            </w:tcMar>
            <w:hideMark/>
          </w:tcPr>
          <w:p w14:paraId="7BCC4E71" w14:textId="77777777" w:rsidR="00246CC5" w:rsidRPr="0080613E" w:rsidRDefault="00246CC5" w:rsidP="00986700">
            <w:pPr>
              <w:rPr>
                <w:sz w:val="16"/>
                <w:szCs w:val="16"/>
              </w:rPr>
            </w:pPr>
            <w:r w:rsidRPr="0080613E">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2393" w:type="dxa"/>
            <w:shd w:val="clear" w:color="auto" w:fill="auto"/>
            <w:tcMar>
              <w:top w:w="57" w:type="dxa"/>
            </w:tcMar>
            <w:hideMark/>
          </w:tcPr>
          <w:p w14:paraId="67EA3BCF" w14:textId="77777777" w:rsidR="00246CC5" w:rsidRPr="0080613E" w:rsidRDefault="00246CC5" w:rsidP="00986700">
            <w:pPr>
              <w:rPr>
                <w:sz w:val="16"/>
                <w:szCs w:val="16"/>
              </w:rPr>
            </w:pPr>
            <w:r w:rsidRPr="0080613E">
              <w:rPr>
                <w:sz w:val="16"/>
                <w:szCs w:val="16"/>
              </w:rPr>
              <w:t>Niveau de service moyen des offices de propriété intellectuelle bénéficiant d’une assistance (de 1 à 5)</w:t>
            </w:r>
          </w:p>
        </w:tc>
        <w:tc>
          <w:tcPr>
            <w:tcW w:w="2393" w:type="dxa"/>
            <w:shd w:val="clear" w:color="auto" w:fill="auto"/>
            <w:tcMar>
              <w:top w:w="57" w:type="dxa"/>
            </w:tcMar>
            <w:hideMark/>
          </w:tcPr>
          <w:p w14:paraId="200570A8" w14:textId="77777777" w:rsidR="00246CC5" w:rsidRPr="0080613E" w:rsidRDefault="00246CC5" w:rsidP="00986700">
            <w:pPr>
              <w:keepNext/>
              <w:keepLines/>
              <w:rPr>
                <w:sz w:val="16"/>
                <w:szCs w:val="16"/>
              </w:rPr>
            </w:pPr>
            <w:r w:rsidRPr="0080613E">
              <w:rPr>
                <w:sz w:val="16"/>
                <w:szCs w:val="16"/>
              </w:rPr>
              <w:t>Moyenne générale : 2,8</w:t>
            </w:r>
          </w:p>
          <w:p w14:paraId="0BBFAB8F" w14:textId="77777777" w:rsidR="00246CC5" w:rsidRPr="0080613E" w:rsidRDefault="00246CC5" w:rsidP="00616FD3">
            <w:pPr>
              <w:keepNext/>
              <w:keepLines/>
              <w:numPr>
                <w:ilvl w:val="0"/>
                <w:numId w:val="22"/>
              </w:numPr>
              <w:ind w:left="0"/>
              <w:rPr>
                <w:sz w:val="16"/>
                <w:szCs w:val="16"/>
              </w:rPr>
            </w:pPr>
            <w:r w:rsidRPr="0080613E">
              <w:rPr>
                <w:sz w:val="16"/>
                <w:szCs w:val="16"/>
              </w:rPr>
              <w:t>Afrique : 3,0</w:t>
            </w:r>
          </w:p>
          <w:p w14:paraId="53254E36" w14:textId="77777777" w:rsidR="00246CC5" w:rsidRPr="0080613E" w:rsidRDefault="00246CC5" w:rsidP="00616FD3">
            <w:pPr>
              <w:keepNext/>
              <w:keepLines/>
              <w:numPr>
                <w:ilvl w:val="0"/>
                <w:numId w:val="22"/>
              </w:numPr>
              <w:ind w:left="0"/>
              <w:rPr>
                <w:sz w:val="16"/>
                <w:szCs w:val="16"/>
              </w:rPr>
            </w:pPr>
            <w:r w:rsidRPr="0080613E">
              <w:rPr>
                <w:sz w:val="16"/>
                <w:szCs w:val="16"/>
              </w:rPr>
              <w:t>Pays arabes : 2,9</w:t>
            </w:r>
          </w:p>
          <w:p w14:paraId="59364F79" w14:textId="77777777" w:rsidR="00246CC5" w:rsidRPr="0080613E" w:rsidRDefault="00246CC5" w:rsidP="00616FD3">
            <w:pPr>
              <w:keepNext/>
              <w:keepLines/>
              <w:numPr>
                <w:ilvl w:val="0"/>
                <w:numId w:val="22"/>
              </w:numPr>
              <w:ind w:left="0"/>
              <w:rPr>
                <w:sz w:val="16"/>
                <w:szCs w:val="16"/>
              </w:rPr>
            </w:pPr>
            <w:r w:rsidRPr="0080613E">
              <w:rPr>
                <w:sz w:val="16"/>
                <w:szCs w:val="16"/>
              </w:rPr>
              <w:t>Asie et Pacifique : 3,4</w:t>
            </w:r>
          </w:p>
          <w:p w14:paraId="1393B757" w14:textId="77777777" w:rsidR="00246CC5" w:rsidRPr="0080613E" w:rsidRDefault="00246CC5" w:rsidP="00616FD3">
            <w:pPr>
              <w:keepNext/>
              <w:keepLines/>
              <w:numPr>
                <w:ilvl w:val="0"/>
                <w:numId w:val="22"/>
              </w:numPr>
              <w:ind w:left="0"/>
              <w:rPr>
                <w:sz w:val="16"/>
                <w:szCs w:val="16"/>
              </w:rPr>
            </w:pPr>
            <w:r w:rsidRPr="0080613E">
              <w:rPr>
                <w:sz w:val="16"/>
                <w:szCs w:val="16"/>
              </w:rPr>
              <w:t>Amérique latine et Caraïbes : 3,2</w:t>
            </w:r>
          </w:p>
        </w:tc>
        <w:tc>
          <w:tcPr>
            <w:tcW w:w="2393" w:type="dxa"/>
            <w:shd w:val="clear" w:color="auto" w:fill="auto"/>
            <w:tcMar>
              <w:top w:w="57" w:type="dxa"/>
            </w:tcMar>
            <w:hideMark/>
          </w:tcPr>
          <w:p w14:paraId="24ED4B0A" w14:textId="77777777" w:rsidR="00246CC5" w:rsidRPr="0080613E" w:rsidRDefault="00246CC5" w:rsidP="00986700">
            <w:pPr>
              <w:rPr>
                <w:sz w:val="16"/>
                <w:szCs w:val="16"/>
              </w:rPr>
            </w:pPr>
            <w:r w:rsidRPr="0080613E">
              <w:rPr>
                <w:sz w:val="16"/>
                <w:szCs w:val="16"/>
              </w:rPr>
              <w:t>Moyenne générale : 3,0</w:t>
            </w:r>
          </w:p>
        </w:tc>
      </w:tr>
    </w:tbl>
    <w:p w14:paraId="5959744B" w14:textId="77777777" w:rsidR="00EE0227" w:rsidRPr="0080613E" w:rsidRDefault="00EE0227" w:rsidP="00986700"/>
    <w:tbl>
      <w:tblPr>
        <w:tblW w:w="5000" w:type="pct"/>
        <w:tblCellMar>
          <w:top w:w="57" w:type="dxa"/>
          <w:bottom w:w="57" w:type="dxa"/>
        </w:tblCellMar>
        <w:tblLook w:val="01E0" w:firstRow="1" w:lastRow="1" w:firstColumn="1" w:lastColumn="1" w:noHBand="0" w:noVBand="0"/>
      </w:tblPr>
      <w:tblGrid>
        <w:gridCol w:w="9287"/>
      </w:tblGrid>
      <w:tr w:rsidR="00EE0227" w:rsidRPr="00821D15" w14:paraId="48701ABE" w14:textId="77777777" w:rsidTr="00EE0227">
        <w:trPr>
          <w:cantSplit/>
        </w:trPr>
        <w:tc>
          <w:tcPr>
            <w:tcW w:w="9571" w:type="dxa"/>
            <w:shd w:val="clear" w:color="auto" w:fill="C6D9F1" w:themeFill="text2" w:themeFillTint="33"/>
            <w:vAlign w:val="center"/>
          </w:tcPr>
          <w:p w14:paraId="57CF5802" w14:textId="77777777" w:rsidR="00EE0227" w:rsidRPr="00821D15" w:rsidRDefault="00EE0227" w:rsidP="00986700">
            <w:pPr>
              <w:jc w:val="center"/>
              <w:rPr>
                <w:rFonts w:cs="Arial"/>
                <w:b/>
                <w:szCs w:val="20"/>
              </w:rPr>
            </w:pPr>
            <w:r w:rsidRPr="00821D15">
              <w:rPr>
                <w:rFonts w:cs="Arial"/>
                <w:b/>
                <w:szCs w:val="20"/>
              </w:rPr>
              <w:t>Ressources allouées au programme 9</w:t>
            </w:r>
          </w:p>
        </w:tc>
      </w:tr>
    </w:tbl>
    <w:p w14:paraId="0FBED8F2" w14:textId="77777777" w:rsidR="00EE0227" w:rsidRPr="00821D15" w:rsidRDefault="00EE0227" w:rsidP="00986700">
      <w:pPr>
        <w:rPr>
          <w:rFonts w:cs="Arial"/>
          <w:szCs w:val="20"/>
        </w:rPr>
      </w:pPr>
    </w:p>
    <w:p w14:paraId="2795814D" w14:textId="77777777" w:rsidR="00EE0227" w:rsidRPr="00821D15" w:rsidRDefault="00EE0227" w:rsidP="00616FD3">
      <w:pPr>
        <w:pStyle w:val="ListParagraph"/>
        <w:numPr>
          <w:ilvl w:val="0"/>
          <w:numId w:val="70"/>
        </w:numPr>
        <w:ind w:left="0" w:firstLine="0"/>
        <w:jc w:val="both"/>
        <w:rPr>
          <w:rFonts w:cs="Arial"/>
          <w:szCs w:val="20"/>
        </w:rPr>
      </w:pPr>
      <w:r w:rsidRPr="00821D15">
        <w:rPr>
          <w:rFonts w:cs="Arial"/>
          <w:szCs w:val="20"/>
        </w:rPr>
        <w:t>Les ressources globales allouées au programme 9 en 2018</w:t>
      </w:r>
      <w:r w:rsidRPr="00821D15">
        <w:rPr>
          <w:rFonts w:cs="Arial"/>
          <w:szCs w:val="20"/>
        </w:rPr>
        <w:noBreakHyphen/>
        <w:t>2019 indiquent une diminution de 3,5% par rapport au budget approuvé pour 2016</w:t>
      </w:r>
      <w:r w:rsidRPr="00821D15">
        <w:rPr>
          <w:rFonts w:cs="Arial"/>
          <w:szCs w:val="20"/>
        </w:rPr>
        <w:noBreakHyphen/>
        <w:t>2017.</w:t>
      </w:r>
    </w:p>
    <w:p w14:paraId="2D8E2218" w14:textId="77777777" w:rsidR="00EE0227" w:rsidRPr="00821D15" w:rsidRDefault="00EE0227" w:rsidP="00986700">
      <w:pPr>
        <w:rPr>
          <w:rFonts w:cs="Arial"/>
          <w:szCs w:val="20"/>
        </w:rPr>
      </w:pPr>
    </w:p>
    <w:p w14:paraId="40BEB242" w14:textId="77777777" w:rsidR="00EE0227" w:rsidRPr="00821D15" w:rsidRDefault="00EE0227" w:rsidP="00616FD3">
      <w:pPr>
        <w:pStyle w:val="ListParagraph"/>
        <w:numPr>
          <w:ilvl w:val="0"/>
          <w:numId w:val="70"/>
        </w:numPr>
        <w:ind w:left="0" w:firstLine="0"/>
        <w:jc w:val="both"/>
        <w:rPr>
          <w:rFonts w:cs="Arial"/>
          <w:szCs w:val="20"/>
        </w:rPr>
      </w:pPr>
      <w:r w:rsidRPr="00821D15">
        <w:rPr>
          <w:rFonts w:cs="Arial"/>
          <w:szCs w:val="20"/>
        </w:rPr>
        <w:t>La diminution des dépenses autres que les dépenses de personnel est due à l’achèvement en 2016</w:t>
      </w:r>
      <w:r w:rsidRPr="00821D15">
        <w:rPr>
          <w:rFonts w:cs="Arial"/>
          <w:szCs w:val="20"/>
        </w:rPr>
        <w:noBreakHyphen/>
        <w:t>2017 des projets du Plan d’action pour le développement relatifs à la propriété intellectuelle et au tourisme ainsi qu’au renforcement des capacités d’utilisation de l’information technique et scientifique axée sur les technologies appropriées pour répondre à certains enjeux de développement (phase II).</w:t>
      </w:r>
    </w:p>
    <w:p w14:paraId="6EC96903" w14:textId="77777777" w:rsidR="00EE0227" w:rsidRPr="00821D15" w:rsidRDefault="00EE0227" w:rsidP="00986700">
      <w:pPr>
        <w:rPr>
          <w:rFonts w:cs="Arial"/>
          <w:szCs w:val="20"/>
        </w:rPr>
      </w:pPr>
    </w:p>
    <w:p w14:paraId="3FCE8C87" w14:textId="77777777" w:rsidR="00EE0227" w:rsidRPr="00821D15" w:rsidRDefault="00EE0227" w:rsidP="00616FD3">
      <w:pPr>
        <w:pStyle w:val="ListParagraph"/>
        <w:numPr>
          <w:ilvl w:val="0"/>
          <w:numId w:val="70"/>
        </w:numPr>
        <w:ind w:left="0" w:firstLine="0"/>
        <w:jc w:val="both"/>
        <w:rPr>
          <w:rFonts w:cs="Arial"/>
          <w:szCs w:val="20"/>
        </w:rPr>
      </w:pPr>
      <w:r w:rsidRPr="00821D15">
        <w:rPr>
          <w:rFonts w:cs="Arial"/>
          <w:szCs w:val="20"/>
        </w:rPr>
        <w:t>La diminution du nombre de postes et des dépenses de personnel correspondantes est due à la consolidation des travaux sur certains projets au sein du bureau du vice</w:t>
      </w:r>
      <w:r w:rsidRPr="00821D15">
        <w:rPr>
          <w:rFonts w:cs="Arial"/>
          <w:szCs w:val="20"/>
        </w:rPr>
        <w:noBreakHyphen/>
        <w:t>directeur général pour le Secteur du développement.</w:t>
      </w:r>
    </w:p>
    <w:p w14:paraId="71F1FB38" w14:textId="77777777" w:rsidR="00EE0227" w:rsidRPr="00821D15" w:rsidRDefault="00EE0227" w:rsidP="00986700">
      <w:pPr>
        <w:rPr>
          <w:rFonts w:cs="Arial"/>
          <w:szCs w:val="20"/>
        </w:rPr>
      </w:pPr>
    </w:p>
    <w:p w14:paraId="6B3F8DED" w14:textId="77777777" w:rsidR="00EE0227" w:rsidRPr="00821D15" w:rsidRDefault="00EE0227" w:rsidP="00616FD3">
      <w:pPr>
        <w:pStyle w:val="ListParagraph"/>
        <w:numPr>
          <w:ilvl w:val="0"/>
          <w:numId w:val="70"/>
        </w:numPr>
        <w:ind w:left="0" w:firstLine="0"/>
        <w:jc w:val="both"/>
        <w:rPr>
          <w:rFonts w:cs="Arial"/>
          <w:szCs w:val="20"/>
        </w:rPr>
      </w:pPr>
      <w:r w:rsidRPr="00821D15">
        <w:rPr>
          <w:rFonts w:cs="Arial"/>
          <w:szCs w:val="20"/>
        </w:rPr>
        <w:t>Les ressources allouées au titre du résultat escompté III.6 (PME, universités et instituts de recherche) résultent de la volonté de mettre l’accent au cours de l’exercice biennal 2018</w:t>
      </w:r>
      <w:r w:rsidRPr="00821D15">
        <w:rPr>
          <w:rFonts w:cs="Arial"/>
          <w:szCs w:val="20"/>
        </w:rPr>
        <w:noBreakHyphen/>
        <w:t>2019 sur le renforcement des capacités des universités et des instituts de recherche, ce dont il était précédemment rendu compte sous le résultat escompté III.2 (mise en valeur des ressources humaines).</w:t>
      </w:r>
    </w:p>
    <w:p w14:paraId="00349D3C" w14:textId="77777777" w:rsidR="00EE0227" w:rsidRPr="00821D15" w:rsidRDefault="00EE0227" w:rsidP="00986700">
      <w:pPr>
        <w:rPr>
          <w:rFonts w:cs="Arial"/>
          <w:szCs w:val="20"/>
        </w:rPr>
      </w:pPr>
    </w:p>
    <w:p w14:paraId="7D80BC11" w14:textId="77777777" w:rsidR="00EE0227" w:rsidRPr="00821D15" w:rsidRDefault="00EE0227" w:rsidP="00616FD3">
      <w:pPr>
        <w:pStyle w:val="ListParagraph"/>
        <w:numPr>
          <w:ilvl w:val="0"/>
          <w:numId w:val="70"/>
        </w:numPr>
        <w:ind w:left="0" w:firstLine="0"/>
        <w:jc w:val="both"/>
        <w:rPr>
          <w:rFonts w:cs="Arial"/>
          <w:szCs w:val="20"/>
        </w:rPr>
      </w:pPr>
      <w:r w:rsidRPr="00821D15">
        <w:rPr>
          <w:rFonts w:cs="Arial"/>
          <w:szCs w:val="20"/>
        </w:rPr>
        <w:lastRenderedPageBreak/>
        <w:t>Les ressources allouées au titre des résultats escomptés II.1 (utilisation plus large et plus efficace du système du PCT), II.3 (utilisation plus large et plus efficace du système de La Haye), II.5 (utilisation plus large et plus efficace du système de Madrid) et II.7 (de plus en plus de litiges de propriété intellectuelle sont évités ou réglés par la médiation) résultent d’une volonté de mettre l’accent sur la promotion des systèmes d’enregistrement international et les activités correspondantes de renforcement des capacités, dont il était précédemment rendu compte sous le résultat escompté III.2 (mise en valeur des ressources humaines).</w:t>
      </w:r>
    </w:p>
    <w:p w14:paraId="3A3D877C" w14:textId="77777777" w:rsidR="00674550" w:rsidRDefault="00674550" w:rsidP="00986700"/>
    <w:p w14:paraId="7C4A34C7" w14:textId="06492114"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9 : </w:t>
      </w:r>
      <w:r w:rsidRPr="00674550">
        <w:rPr>
          <w:rFonts w:eastAsia="Times New Roman" w:cs="Arial"/>
          <w:b/>
          <w:szCs w:val="20"/>
          <w:lang w:eastAsia="en-US"/>
        </w:rPr>
        <w:t>Ressources par résultat</w:t>
      </w:r>
    </w:p>
    <w:p w14:paraId="45D7A650"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658361C2" w14:textId="77777777" w:rsidR="00674550" w:rsidRDefault="00674550" w:rsidP="00986700">
      <w:pPr>
        <w:keepNext/>
      </w:pPr>
    </w:p>
    <w:p w14:paraId="788C5D4D" w14:textId="1B2558D9" w:rsidR="00717231" w:rsidRDefault="00717231" w:rsidP="00986700">
      <w:pPr>
        <w:jc w:val="center"/>
      </w:pPr>
      <w:r w:rsidRPr="00717231">
        <w:rPr>
          <w:noProof/>
          <w:lang w:val="en-US" w:eastAsia="en-US"/>
        </w:rPr>
        <w:drawing>
          <wp:inline distT="0" distB="0" distL="0" distR="0" wp14:anchorId="26710D32" wp14:editId="1751ABD0">
            <wp:extent cx="5400000" cy="625352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000" cy="6253521"/>
                    </a:xfrm>
                    <a:prstGeom prst="rect">
                      <a:avLst/>
                    </a:prstGeom>
                    <a:noFill/>
                    <a:ln>
                      <a:noFill/>
                    </a:ln>
                  </pic:spPr>
                </pic:pic>
              </a:graphicData>
            </a:graphic>
          </wp:inline>
        </w:drawing>
      </w:r>
    </w:p>
    <w:p w14:paraId="058B447B" w14:textId="77777777" w:rsidR="00B55ECC" w:rsidRDefault="00B55ECC" w:rsidP="00986700"/>
    <w:p w14:paraId="074E4D5C"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9</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C3280F2" w14:textId="61FA65A3"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6889AE29" w14:textId="77777777" w:rsidR="008778B5" w:rsidRDefault="008778B5" w:rsidP="00986700">
      <w:pPr>
        <w:keepNext/>
        <w:rPr>
          <w:lang w:eastAsia="en-US"/>
        </w:rPr>
      </w:pPr>
    </w:p>
    <w:p w14:paraId="344FAC66" w14:textId="44868F58" w:rsidR="00B55ECC" w:rsidRDefault="008778B5" w:rsidP="00986700">
      <w:pPr>
        <w:jc w:val="center"/>
        <w:rPr>
          <w:lang w:eastAsia="en-US"/>
        </w:rPr>
      </w:pPr>
      <w:r w:rsidRPr="008778B5">
        <w:rPr>
          <w:noProof/>
          <w:lang w:val="en-US" w:eastAsia="en-US"/>
        </w:rPr>
        <w:drawing>
          <wp:inline distT="0" distB="0" distL="0" distR="0" wp14:anchorId="6605E288" wp14:editId="73BE2ED1">
            <wp:extent cx="5400000" cy="6457274"/>
            <wp:effectExtent l="0" t="0" r="0"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00" cy="6457274"/>
                    </a:xfrm>
                    <a:prstGeom prst="rect">
                      <a:avLst/>
                    </a:prstGeom>
                    <a:noFill/>
                    <a:ln>
                      <a:noFill/>
                    </a:ln>
                  </pic:spPr>
                </pic:pic>
              </a:graphicData>
            </a:graphic>
          </wp:inline>
        </w:drawing>
      </w:r>
    </w:p>
    <w:p w14:paraId="6F959BBF" w14:textId="77777777" w:rsidR="00B55ECC" w:rsidRDefault="00B55ECC" w:rsidP="00986700">
      <w:pPr>
        <w:rPr>
          <w:lang w:eastAsia="en-US"/>
        </w:rPr>
      </w:pPr>
    </w:p>
    <w:p w14:paraId="632824C9" w14:textId="77777777" w:rsidR="00436751" w:rsidRDefault="00436751" w:rsidP="00986700">
      <w:pPr>
        <w:rPr>
          <w:lang w:eastAsia="en-US"/>
        </w:rPr>
      </w:pPr>
    </w:p>
    <w:p w14:paraId="1788F706" w14:textId="77777777" w:rsidR="00436751" w:rsidRPr="00E61AC7" w:rsidRDefault="00436751" w:rsidP="00436751">
      <w:pPr>
        <w:keepNext/>
        <w:jc w:val="center"/>
        <w:rPr>
          <w:b/>
          <w:szCs w:val="20"/>
          <w:lang w:eastAsia="en-US"/>
        </w:rPr>
      </w:pPr>
      <w:r w:rsidRPr="00E61AC7">
        <w:rPr>
          <w:b/>
          <w:szCs w:val="20"/>
          <w:lang w:eastAsia="en-US"/>
        </w:rPr>
        <w:lastRenderedPageBreak/>
        <w:t>Fonds fiduciaires potentiellement disponibles aux fins d’activités de programme en 2018-20191</w:t>
      </w:r>
    </w:p>
    <w:p w14:paraId="7C79551A" w14:textId="77777777" w:rsidR="00436751" w:rsidRPr="00E61AC7" w:rsidRDefault="00436751" w:rsidP="00436751">
      <w:pPr>
        <w:keepNext/>
        <w:jc w:val="center"/>
        <w:rPr>
          <w:i/>
          <w:szCs w:val="20"/>
          <w:lang w:eastAsia="en-US"/>
        </w:rPr>
      </w:pPr>
      <w:r w:rsidRPr="00E61AC7">
        <w:rPr>
          <w:i/>
          <w:szCs w:val="20"/>
          <w:lang w:eastAsia="en-US"/>
        </w:rPr>
        <w:t>(en milliers de francs suisses)</w:t>
      </w:r>
    </w:p>
    <w:p w14:paraId="55C2C1ED" w14:textId="77777777" w:rsidR="00436751" w:rsidRDefault="00436751" w:rsidP="00436751">
      <w:pPr>
        <w:keepNext/>
        <w:rPr>
          <w:lang w:eastAsia="en-US"/>
        </w:rPr>
      </w:pPr>
    </w:p>
    <w:p w14:paraId="1618316D" w14:textId="29AB8B5C" w:rsidR="00436751" w:rsidRPr="00E16214" w:rsidRDefault="00637026" w:rsidP="00986700">
      <w:pPr>
        <w:rPr>
          <w:lang w:eastAsia="en-US"/>
        </w:rPr>
      </w:pPr>
      <w:r w:rsidRPr="00637026">
        <w:rPr>
          <w:noProof/>
          <w:lang w:val="en-US" w:eastAsia="en-US"/>
        </w:rPr>
        <w:drawing>
          <wp:inline distT="0" distB="0" distL="0" distR="0" wp14:anchorId="0DC7A02B" wp14:editId="50FC9B76">
            <wp:extent cx="5760085" cy="2956874"/>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2956874"/>
                    </a:xfrm>
                    <a:prstGeom prst="rect">
                      <a:avLst/>
                    </a:prstGeom>
                    <a:noFill/>
                    <a:ln>
                      <a:noFill/>
                    </a:ln>
                  </pic:spPr>
                </pic:pic>
              </a:graphicData>
            </a:graphic>
          </wp:inline>
        </w:drawing>
      </w:r>
    </w:p>
    <w:p w14:paraId="69A77ABD" w14:textId="3185F52A" w:rsidR="00E726CE" w:rsidRDefault="00E726CE" w:rsidP="00986700">
      <w:r>
        <w:br w:type="page"/>
      </w:r>
    </w:p>
    <w:p w14:paraId="5B0A3B51" w14:textId="46B5E3FC" w:rsidR="00E726CE" w:rsidRPr="00E726CE" w:rsidRDefault="00E726CE" w:rsidP="00986700">
      <w:pPr>
        <w:pStyle w:val="Heading2"/>
      </w:pPr>
      <w:bookmarkStart w:id="46" w:name="_Toc482979488"/>
      <w:r w:rsidRPr="00E726CE">
        <w:lastRenderedPageBreak/>
        <w:t>Programme 10</w:t>
      </w:r>
      <w:r w:rsidRPr="00E726CE">
        <w:tab/>
        <w:t>Pays en transition et pays développés</w:t>
      </w:r>
      <w:bookmarkEnd w:id="46"/>
    </w:p>
    <w:p w14:paraId="32926D51" w14:textId="77777777" w:rsidR="00E726CE" w:rsidRPr="004A5CA9" w:rsidRDefault="00E726CE" w:rsidP="00986700">
      <w:pPr>
        <w:pStyle w:val="StyleHeading3ComplexItalic"/>
        <w:rPr>
          <w:rStyle w:val="StyleStyleHeading3ComplexItalicLatin12ptChar"/>
          <w:rFonts w:eastAsia="SimSun"/>
          <w:szCs w:val="20"/>
          <w:lang w:val="fr-CH"/>
        </w:rPr>
      </w:pPr>
    </w:p>
    <w:p w14:paraId="36787C91" w14:textId="77777777" w:rsidR="00E726CE" w:rsidRPr="004A5CA9" w:rsidRDefault="00E726CE" w:rsidP="00986700">
      <w:pPr>
        <w:pStyle w:val="StyleHeading3ComplexItalic"/>
        <w:rPr>
          <w:rStyle w:val="StyleStyleHeading3ComplexItalicLatin12ptChar"/>
          <w:rFonts w:eastAsia="SimSun"/>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E726CE" w:rsidRPr="00611930" w14:paraId="51D6DBC4" w14:textId="77777777" w:rsidTr="0080613E">
        <w:trPr>
          <w:cantSplit/>
        </w:trPr>
        <w:tc>
          <w:tcPr>
            <w:tcW w:w="9287" w:type="dxa"/>
            <w:shd w:val="clear" w:color="auto" w:fill="C6D9F1" w:themeFill="text2" w:themeFillTint="33"/>
            <w:vAlign w:val="center"/>
          </w:tcPr>
          <w:p w14:paraId="474F8CBC" w14:textId="77777777" w:rsidR="00E726CE" w:rsidRPr="004A5CA9" w:rsidRDefault="00E726CE" w:rsidP="00986700">
            <w:pPr>
              <w:keepNext/>
              <w:keepLines/>
              <w:jc w:val="center"/>
              <w:rPr>
                <w:rFonts w:eastAsia="Times New Roman" w:cs="Arial"/>
                <w:b/>
                <w:bCs/>
                <w:szCs w:val="20"/>
                <w:lang w:val="fr-CH" w:eastAsia="en-US"/>
              </w:rPr>
            </w:pPr>
            <w:r w:rsidRPr="004A5CA9">
              <w:rPr>
                <w:rFonts w:eastAsia="Times New Roman" w:cs="Arial"/>
                <w:b/>
                <w:bCs/>
                <w:szCs w:val="20"/>
                <w:lang w:val="fr-CH" w:eastAsia="en-US"/>
              </w:rPr>
              <w:t>Stratégies de mise en œuvre</w:t>
            </w:r>
          </w:p>
        </w:tc>
      </w:tr>
    </w:tbl>
    <w:p w14:paraId="3AB9D561" w14:textId="5F79C5EB" w:rsidR="00E726CE" w:rsidRPr="004A5CA9" w:rsidRDefault="00E726CE" w:rsidP="00986700">
      <w:pPr>
        <w:rPr>
          <w:rFonts w:eastAsia="Times New Roman" w:cs="Arial"/>
          <w:szCs w:val="20"/>
          <w:lang w:val="fr-CH" w:eastAsia="en-US"/>
        </w:rPr>
      </w:pPr>
    </w:p>
    <w:p w14:paraId="063BC8A7" w14:textId="77777777" w:rsidR="00E726CE" w:rsidRPr="003C7A0E" w:rsidRDefault="00E726CE" w:rsidP="00616FD3">
      <w:pPr>
        <w:pStyle w:val="ListParagraph"/>
        <w:numPr>
          <w:ilvl w:val="0"/>
          <w:numId w:val="15"/>
        </w:numPr>
        <w:ind w:left="567" w:hanging="567"/>
        <w:jc w:val="both"/>
        <w:rPr>
          <w:rFonts w:eastAsia="Times New Roman" w:cs="Arial"/>
          <w:szCs w:val="20"/>
          <w:lang w:val="fr-CH" w:eastAsia="en-US"/>
        </w:rPr>
      </w:pPr>
      <w:r>
        <w:rPr>
          <w:rFonts w:eastAsia="Times New Roman" w:cs="Arial"/>
          <w:szCs w:val="20"/>
          <w:lang w:val="fr-CH" w:eastAsia="en-US"/>
        </w:rPr>
        <w:t>F</w:t>
      </w:r>
      <w:r w:rsidRPr="003C7A0E">
        <w:rPr>
          <w:rFonts w:eastAsia="Times New Roman" w:cs="Arial"/>
          <w:szCs w:val="20"/>
          <w:lang w:val="fr-CH" w:eastAsia="en-US"/>
        </w:rPr>
        <w:t>ournir une assistance en matière de législation et de politique</w:t>
      </w:r>
      <w:r>
        <w:rPr>
          <w:rFonts w:eastAsia="Times New Roman" w:cs="Arial"/>
          <w:szCs w:val="20"/>
          <w:lang w:val="fr-CH" w:eastAsia="en-US"/>
        </w:rPr>
        <w:t>s</w:t>
      </w:r>
      <w:r w:rsidRPr="003C7A0E">
        <w:rPr>
          <w:rFonts w:eastAsia="Times New Roman" w:cs="Arial"/>
          <w:szCs w:val="20"/>
          <w:lang w:val="fr-CH" w:eastAsia="en-US"/>
        </w:rPr>
        <w:t xml:space="preserve"> </w:t>
      </w:r>
      <w:r>
        <w:rPr>
          <w:rFonts w:eastAsia="Times New Roman" w:cs="Arial"/>
          <w:szCs w:val="20"/>
          <w:lang w:val="fr-CH" w:eastAsia="en-US"/>
        </w:rPr>
        <w:t>aux États membres</w:t>
      </w:r>
      <w:r w:rsidRPr="003C7A0E">
        <w:rPr>
          <w:rFonts w:eastAsia="Times New Roman" w:cs="Arial"/>
          <w:szCs w:val="20"/>
          <w:lang w:val="fr-CH" w:eastAsia="en-US"/>
        </w:rPr>
        <w:t xml:space="preserve"> </w:t>
      </w:r>
      <w:r>
        <w:rPr>
          <w:rFonts w:eastAsia="Times New Roman" w:cs="Arial"/>
          <w:szCs w:val="20"/>
          <w:lang w:val="fr-CH" w:eastAsia="en-US"/>
        </w:rPr>
        <w:t>qui soit équilibrée, efficace, économique et axée sur la demande en mettant l’accent sur une approche pérenne des résultats et des effets</w:t>
      </w:r>
      <w:r w:rsidRPr="003C7A0E">
        <w:rPr>
          <w:rFonts w:eastAsia="Times New Roman" w:cs="Arial"/>
          <w:szCs w:val="20"/>
          <w:lang w:val="fr-CH" w:eastAsia="en-US"/>
        </w:rPr>
        <w:t xml:space="preserve"> </w:t>
      </w:r>
      <w:r>
        <w:rPr>
          <w:rFonts w:eastAsia="Times New Roman" w:cs="Arial"/>
          <w:szCs w:val="20"/>
          <w:lang w:val="fr-CH" w:eastAsia="en-US"/>
        </w:rPr>
        <w:t>tant au niveau institutionnel qu’au niveau des pays</w:t>
      </w:r>
      <w:r w:rsidRPr="003C7A0E">
        <w:rPr>
          <w:rFonts w:eastAsia="Times New Roman" w:cs="Arial"/>
          <w:szCs w:val="20"/>
          <w:lang w:val="fr-CH" w:eastAsia="en-US"/>
        </w:rPr>
        <w:t>;</w:t>
      </w:r>
    </w:p>
    <w:p w14:paraId="3E8D5D0D" w14:textId="77777777" w:rsidR="00E726CE" w:rsidRPr="003C7A0E" w:rsidRDefault="00E726CE" w:rsidP="00986700">
      <w:pPr>
        <w:ind w:left="567" w:hanging="567"/>
        <w:jc w:val="both"/>
        <w:rPr>
          <w:rFonts w:eastAsia="Times New Roman" w:cs="Arial"/>
          <w:szCs w:val="20"/>
          <w:lang w:val="fr-CH" w:eastAsia="en-US"/>
        </w:rPr>
      </w:pPr>
    </w:p>
    <w:p w14:paraId="50377FE8" w14:textId="51E42B98" w:rsidR="00E726CE" w:rsidRDefault="002F0934" w:rsidP="00616FD3">
      <w:pPr>
        <w:pStyle w:val="ListParagraph"/>
        <w:numPr>
          <w:ilvl w:val="0"/>
          <w:numId w:val="15"/>
        </w:numPr>
        <w:ind w:left="567" w:hanging="567"/>
        <w:jc w:val="both"/>
        <w:rPr>
          <w:rFonts w:eastAsia="Times New Roman" w:cs="Arial"/>
          <w:szCs w:val="20"/>
          <w:lang w:val="fr-CH" w:eastAsia="en-US"/>
        </w:rPr>
      </w:pPr>
      <w:r>
        <w:rPr>
          <w:rFonts w:eastAsia="Times New Roman" w:cs="Arial"/>
          <w:szCs w:val="20"/>
          <w:lang w:val="fr-CH" w:eastAsia="en-US"/>
        </w:rPr>
        <w:t>P</w:t>
      </w:r>
      <w:r w:rsidRPr="000E72EF">
        <w:rPr>
          <w:rFonts w:eastAsia="Times New Roman" w:cs="Arial"/>
          <w:szCs w:val="20"/>
          <w:lang w:val="fr-CH" w:eastAsia="en-US"/>
        </w:rPr>
        <w:t xml:space="preserve">romouvoir </w:t>
      </w:r>
      <w:r w:rsidR="00E726CE" w:rsidRPr="000E72EF">
        <w:rPr>
          <w:rFonts w:eastAsia="Times New Roman" w:cs="Arial"/>
          <w:szCs w:val="20"/>
          <w:lang w:val="fr-CH" w:eastAsia="en-US"/>
        </w:rPr>
        <w:t>l</w:t>
      </w:r>
      <w:r w:rsidR="00E726CE">
        <w:rPr>
          <w:rFonts w:eastAsia="Times New Roman" w:cs="Arial"/>
          <w:szCs w:val="20"/>
          <w:lang w:val="fr-CH" w:eastAsia="en-US"/>
        </w:rPr>
        <w:t>’</w:t>
      </w:r>
      <w:r w:rsidR="00E726CE" w:rsidRPr="000E72EF">
        <w:rPr>
          <w:rFonts w:eastAsia="Times New Roman" w:cs="Arial"/>
          <w:szCs w:val="20"/>
          <w:lang w:val="fr-CH" w:eastAsia="en-US"/>
        </w:rPr>
        <w:t>élaboration et la mise en œuvre de stratégies</w:t>
      </w:r>
      <w:r w:rsidR="00E726CE">
        <w:rPr>
          <w:rFonts w:eastAsia="Times New Roman" w:cs="Arial"/>
          <w:szCs w:val="20"/>
          <w:lang w:val="fr-CH" w:eastAsia="en-US"/>
        </w:rPr>
        <w:t xml:space="preserve"> nationales et de plans de coopération entre pays qui soient personnalisés, équilibré</w:t>
      </w:r>
      <w:r w:rsidR="00E726CE" w:rsidRPr="000E72EF">
        <w:rPr>
          <w:rFonts w:eastAsia="Times New Roman" w:cs="Arial"/>
          <w:szCs w:val="20"/>
          <w:lang w:val="fr-CH" w:eastAsia="en-US"/>
        </w:rPr>
        <w:t>s</w:t>
      </w:r>
      <w:r w:rsidR="00E726CE">
        <w:rPr>
          <w:rFonts w:eastAsia="Times New Roman" w:cs="Arial"/>
          <w:szCs w:val="20"/>
          <w:lang w:val="fr-CH" w:eastAsia="en-US"/>
        </w:rPr>
        <w:t>, prévus pour le</w:t>
      </w:r>
      <w:r w:rsidR="00E726CE" w:rsidRPr="000E72EF">
        <w:rPr>
          <w:rFonts w:eastAsia="Times New Roman" w:cs="Arial"/>
          <w:szCs w:val="20"/>
          <w:lang w:val="fr-CH" w:eastAsia="en-US"/>
        </w:rPr>
        <w:t xml:space="preserve"> long terme</w:t>
      </w:r>
      <w:r w:rsidR="00E726CE">
        <w:rPr>
          <w:rFonts w:eastAsia="Times New Roman" w:cs="Arial"/>
          <w:szCs w:val="20"/>
          <w:lang w:val="fr-CH" w:eastAsia="en-US"/>
        </w:rPr>
        <w:t xml:space="preserve"> et axé</w:t>
      </w:r>
      <w:r w:rsidR="00E726CE" w:rsidRPr="000E72EF">
        <w:rPr>
          <w:rFonts w:eastAsia="Times New Roman" w:cs="Arial"/>
          <w:szCs w:val="20"/>
          <w:lang w:val="fr-CH" w:eastAsia="en-US"/>
        </w:rPr>
        <w:t xml:space="preserve">s sur les résultats, </w:t>
      </w:r>
      <w:r w:rsidR="00E726CE">
        <w:rPr>
          <w:rFonts w:eastAsia="Times New Roman" w:cs="Arial"/>
          <w:szCs w:val="20"/>
          <w:lang w:val="fr-CH" w:eastAsia="en-US"/>
        </w:rPr>
        <w:t>en vue de garantir que l’assistance technique fournie par l’OMPI réponde au mieux aux besoins stratégiques des pays</w:t>
      </w:r>
      <w:r w:rsidR="00E726CE" w:rsidRPr="000E72EF">
        <w:rPr>
          <w:rFonts w:eastAsia="Times New Roman" w:cs="Arial"/>
          <w:szCs w:val="20"/>
          <w:lang w:val="fr-CH" w:eastAsia="en-US"/>
        </w:rPr>
        <w:t>;</w:t>
      </w:r>
    </w:p>
    <w:p w14:paraId="7C32CC5B" w14:textId="77777777" w:rsidR="00E726CE" w:rsidRPr="000E72EF" w:rsidRDefault="00E726CE" w:rsidP="00986700">
      <w:pPr>
        <w:ind w:left="567" w:hanging="567"/>
        <w:jc w:val="both"/>
        <w:rPr>
          <w:rFonts w:eastAsia="Times New Roman" w:cs="Arial"/>
          <w:szCs w:val="20"/>
          <w:lang w:val="fr-CH" w:eastAsia="en-US"/>
        </w:rPr>
      </w:pPr>
    </w:p>
    <w:p w14:paraId="43D6C089" w14:textId="01726596" w:rsidR="00E726CE" w:rsidRDefault="0080613E" w:rsidP="00616FD3">
      <w:pPr>
        <w:pStyle w:val="ListParagraph"/>
        <w:numPr>
          <w:ilvl w:val="0"/>
          <w:numId w:val="15"/>
        </w:numPr>
        <w:ind w:left="567" w:hanging="567"/>
        <w:jc w:val="both"/>
        <w:rPr>
          <w:rFonts w:eastAsia="Times New Roman" w:cs="Arial"/>
          <w:szCs w:val="20"/>
          <w:lang w:val="fr-CH" w:eastAsia="en-US"/>
        </w:rPr>
      </w:pPr>
      <w:r w:rsidRPr="0080613E">
        <w:rPr>
          <w:noProof/>
          <w:lang w:val="en-US" w:eastAsia="en-US"/>
        </w:rPr>
        <w:drawing>
          <wp:anchor distT="0" distB="0" distL="114300" distR="114300" simplePos="0" relativeHeight="251667456" behindDoc="1" locked="0" layoutInCell="1" allowOverlap="1" wp14:anchorId="3CEBC188" wp14:editId="3DA38743">
            <wp:simplePos x="0" y="0"/>
            <wp:positionH relativeFrom="column">
              <wp:posOffset>4665980</wp:posOffset>
            </wp:positionH>
            <wp:positionV relativeFrom="paragraph">
              <wp:posOffset>309880</wp:posOffset>
            </wp:positionV>
            <wp:extent cx="1270635" cy="1270635"/>
            <wp:effectExtent l="0" t="0" r="5715" b="5715"/>
            <wp:wrapTight wrapText="bothSides">
              <wp:wrapPolygon edited="0">
                <wp:start x="8096" y="0"/>
                <wp:lineTo x="6153" y="648"/>
                <wp:lineTo x="1295" y="4210"/>
                <wp:lineTo x="0" y="9391"/>
                <wp:lineTo x="0" y="17487"/>
                <wp:lineTo x="7772" y="21373"/>
                <wp:lineTo x="13925" y="21373"/>
                <wp:lineTo x="15868" y="20726"/>
                <wp:lineTo x="20726" y="16192"/>
                <wp:lineTo x="21049" y="15544"/>
                <wp:lineTo x="21373" y="11982"/>
                <wp:lineTo x="21373" y="7448"/>
                <wp:lineTo x="20726" y="4534"/>
                <wp:lineTo x="15868" y="648"/>
                <wp:lineTo x="13601" y="0"/>
                <wp:lineTo x="8096" y="0"/>
              </wp:wrapPolygon>
            </wp:wrapTight>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34">
        <w:rPr>
          <w:rFonts w:eastAsia="Times New Roman" w:cs="Arial"/>
          <w:szCs w:val="20"/>
          <w:lang w:val="fr-CH" w:eastAsia="en-US"/>
        </w:rPr>
        <w:t>P</w:t>
      </w:r>
      <w:r w:rsidR="002F0934" w:rsidRPr="007C1BD2">
        <w:rPr>
          <w:rFonts w:eastAsia="Times New Roman" w:cs="Arial"/>
          <w:szCs w:val="20"/>
          <w:lang w:val="fr-CH" w:eastAsia="en-US"/>
        </w:rPr>
        <w:t xml:space="preserve">romouvoir </w:t>
      </w:r>
      <w:r w:rsidR="00E726CE" w:rsidRPr="007C1BD2">
        <w:rPr>
          <w:rFonts w:eastAsia="Times New Roman" w:cs="Arial"/>
          <w:szCs w:val="20"/>
          <w:lang w:val="fr-CH" w:eastAsia="en-US"/>
        </w:rPr>
        <w:t>davantage les produits et services de l</w:t>
      </w:r>
      <w:r w:rsidR="00E726CE">
        <w:rPr>
          <w:rFonts w:eastAsia="Times New Roman" w:cs="Arial"/>
          <w:szCs w:val="20"/>
          <w:lang w:val="fr-CH" w:eastAsia="en-US"/>
        </w:rPr>
        <w:t>’</w:t>
      </w:r>
      <w:r w:rsidR="00E726CE" w:rsidRPr="007C1BD2">
        <w:rPr>
          <w:rFonts w:eastAsia="Times New Roman" w:cs="Arial"/>
          <w:szCs w:val="20"/>
          <w:lang w:val="fr-CH" w:eastAsia="en-US"/>
        </w:rPr>
        <w:t>OMPI dans les pays en transition et les pays développés</w:t>
      </w:r>
      <w:r w:rsidR="00E726CE">
        <w:rPr>
          <w:rFonts w:eastAsia="Times New Roman" w:cs="Arial"/>
          <w:szCs w:val="20"/>
          <w:lang w:val="fr-CH" w:eastAsia="en-US"/>
        </w:rPr>
        <w:t xml:space="preserve"> à l’aide</w:t>
      </w:r>
      <w:r w:rsidR="00E726CE" w:rsidRPr="007C1BD2">
        <w:rPr>
          <w:rFonts w:eastAsia="Times New Roman" w:cs="Arial"/>
          <w:szCs w:val="20"/>
          <w:lang w:val="fr-CH" w:eastAsia="en-US"/>
        </w:rPr>
        <w:t xml:space="preserve"> des </w:t>
      </w:r>
      <w:r w:rsidR="00E726CE">
        <w:rPr>
          <w:rFonts w:eastAsia="Times New Roman" w:cs="Arial"/>
          <w:szCs w:val="20"/>
          <w:lang w:val="fr-CH" w:eastAsia="en-US"/>
        </w:rPr>
        <w:t>séminaires itinérants consacrés aux services et initiatives de l’OMPI</w:t>
      </w:r>
      <w:r w:rsidR="00E726CE" w:rsidRPr="007C1BD2">
        <w:rPr>
          <w:rFonts w:eastAsia="Times New Roman" w:cs="Arial"/>
          <w:szCs w:val="20"/>
          <w:lang w:val="fr-CH" w:eastAsia="en-US"/>
        </w:rPr>
        <w:t xml:space="preserve">, </w:t>
      </w:r>
      <w:r w:rsidR="00E726CE">
        <w:rPr>
          <w:rFonts w:eastAsia="Times New Roman" w:cs="Arial"/>
          <w:szCs w:val="20"/>
          <w:lang w:val="fr-CH" w:eastAsia="en-US"/>
        </w:rPr>
        <w:t>avec la pleine participation des partenaires locaux et des offices de propriété intellectuelle dans les pays bénéficiaires</w:t>
      </w:r>
      <w:r w:rsidR="00E82B8A">
        <w:rPr>
          <w:rFonts w:eastAsia="Times New Roman" w:cs="Arial"/>
          <w:szCs w:val="20"/>
          <w:lang w:val="fr-CH" w:eastAsia="en-US"/>
        </w:rPr>
        <w:t xml:space="preserve">; </w:t>
      </w:r>
      <w:r w:rsidR="00E726CE" w:rsidRPr="00456F5C">
        <w:rPr>
          <w:rFonts w:eastAsia="Times New Roman" w:cs="Arial"/>
          <w:szCs w:val="20"/>
          <w:lang w:val="fr-CH" w:eastAsia="en-US"/>
        </w:rPr>
        <w:t xml:space="preserve"> élaborer des outils pour améliorer l</w:t>
      </w:r>
      <w:r w:rsidR="00E726CE">
        <w:rPr>
          <w:rFonts w:eastAsia="Times New Roman" w:cs="Arial"/>
          <w:szCs w:val="20"/>
          <w:lang w:val="fr-CH" w:eastAsia="en-US"/>
        </w:rPr>
        <w:t>’</w:t>
      </w:r>
      <w:r w:rsidR="00E726CE" w:rsidRPr="00456F5C">
        <w:rPr>
          <w:rFonts w:eastAsia="Times New Roman" w:cs="Arial"/>
          <w:szCs w:val="20"/>
          <w:lang w:val="fr-CH" w:eastAsia="en-US"/>
        </w:rPr>
        <w:t xml:space="preserve">accès </w:t>
      </w:r>
      <w:r w:rsidR="00E726CE">
        <w:rPr>
          <w:rFonts w:eastAsia="Times New Roman" w:cs="Arial"/>
          <w:szCs w:val="20"/>
          <w:lang w:val="fr-CH" w:eastAsia="en-US"/>
        </w:rPr>
        <w:t>aux</w:t>
      </w:r>
      <w:r w:rsidR="00E726CE" w:rsidRPr="00456F5C">
        <w:rPr>
          <w:rFonts w:eastAsia="Times New Roman" w:cs="Arial"/>
          <w:szCs w:val="20"/>
          <w:lang w:val="fr-CH" w:eastAsia="en-US"/>
        </w:rPr>
        <w:t xml:space="preserve"> groupes visés et augmenter la visibilité des </w:t>
      </w:r>
      <w:r w:rsidR="00E726CE">
        <w:rPr>
          <w:rFonts w:eastAsia="Times New Roman" w:cs="Arial"/>
          <w:szCs w:val="20"/>
          <w:lang w:val="fr-CH" w:eastAsia="en-US"/>
        </w:rPr>
        <w:t>manifestations sur le Web, les réseaux sociaux ainsi que parmi les principales associations professionnelles</w:t>
      </w:r>
      <w:r w:rsidR="00E82B8A">
        <w:rPr>
          <w:rFonts w:eastAsia="Times New Roman" w:cs="Arial"/>
          <w:szCs w:val="20"/>
          <w:lang w:val="fr-CH" w:eastAsia="en-US"/>
        </w:rPr>
        <w:t xml:space="preserve">; </w:t>
      </w:r>
      <w:r w:rsidR="00E726CE">
        <w:rPr>
          <w:rFonts w:eastAsia="Times New Roman" w:cs="Arial"/>
          <w:szCs w:val="20"/>
          <w:lang w:val="fr-CH" w:eastAsia="en-US"/>
        </w:rPr>
        <w:t xml:space="preserve"> </w:t>
      </w:r>
      <w:r w:rsidR="00E726CE" w:rsidRPr="00456F5C">
        <w:rPr>
          <w:rFonts w:eastAsia="Times New Roman" w:cs="Arial"/>
          <w:szCs w:val="20"/>
          <w:lang w:val="fr-CH" w:eastAsia="en-US"/>
        </w:rPr>
        <w:t xml:space="preserve">Organiser des visites </w:t>
      </w:r>
      <w:r w:rsidR="00E726CE">
        <w:rPr>
          <w:rFonts w:eastAsia="Times New Roman" w:cs="Arial"/>
          <w:szCs w:val="20"/>
          <w:lang w:val="fr-CH" w:eastAsia="en-US"/>
        </w:rPr>
        <w:t>institutionnelles</w:t>
      </w:r>
      <w:r w:rsidR="00E726CE" w:rsidRPr="00456F5C">
        <w:rPr>
          <w:rFonts w:eastAsia="Times New Roman" w:cs="Arial"/>
          <w:szCs w:val="20"/>
          <w:lang w:val="fr-CH" w:eastAsia="en-US"/>
        </w:rPr>
        <w:t>, des programmes d</w:t>
      </w:r>
      <w:r w:rsidR="00E726CE">
        <w:rPr>
          <w:rFonts w:eastAsia="Times New Roman" w:cs="Arial"/>
          <w:szCs w:val="20"/>
          <w:lang w:val="fr-CH" w:eastAsia="en-US"/>
        </w:rPr>
        <w:t>’</w:t>
      </w:r>
      <w:r w:rsidR="00E726CE" w:rsidRPr="00456F5C">
        <w:rPr>
          <w:rFonts w:eastAsia="Times New Roman" w:cs="Arial"/>
          <w:szCs w:val="20"/>
          <w:lang w:val="fr-CH" w:eastAsia="en-US"/>
        </w:rPr>
        <w:t>échange et d</w:t>
      </w:r>
      <w:r w:rsidR="00E726CE">
        <w:rPr>
          <w:rFonts w:eastAsia="Times New Roman" w:cs="Arial"/>
          <w:szCs w:val="20"/>
          <w:lang w:val="fr-CH" w:eastAsia="en-US"/>
        </w:rPr>
        <w:t>’</w:t>
      </w:r>
      <w:r w:rsidR="00E726CE" w:rsidRPr="00456F5C">
        <w:rPr>
          <w:rFonts w:eastAsia="Times New Roman" w:cs="Arial"/>
          <w:szCs w:val="20"/>
          <w:lang w:val="fr-CH" w:eastAsia="en-US"/>
        </w:rPr>
        <w:t xml:space="preserve">autres formes de collaboration </w:t>
      </w:r>
      <w:r w:rsidR="00E726CE">
        <w:rPr>
          <w:rFonts w:eastAsia="Times New Roman" w:cs="Arial"/>
          <w:szCs w:val="20"/>
          <w:lang w:val="fr-CH" w:eastAsia="en-US"/>
        </w:rPr>
        <w:t>avec les partenaires visés</w:t>
      </w:r>
      <w:r w:rsidR="00E726CE" w:rsidRPr="00456F5C">
        <w:rPr>
          <w:rFonts w:eastAsia="Times New Roman" w:cs="Arial"/>
          <w:szCs w:val="20"/>
          <w:lang w:val="fr-CH" w:eastAsia="en-US"/>
        </w:rPr>
        <w:t>;</w:t>
      </w:r>
    </w:p>
    <w:p w14:paraId="20A51CD1" w14:textId="77777777" w:rsidR="00E726CE" w:rsidRPr="00456F5C" w:rsidRDefault="00E726CE" w:rsidP="00986700">
      <w:pPr>
        <w:ind w:left="567" w:hanging="567"/>
        <w:jc w:val="both"/>
        <w:rPr>
          <w:rFonts w:eastAsia="Times New Roman" w:cs="Arial"/>
          <w:szCs w:val="20"/>
          <w:lang w:val="fr-CH" w:eastAsia="en-US"/>
        </w:rPr>
      </w:pPr>
    </w:p>
    <w:p w14:paraId="794F379E" w14:textId="55B03238" w:rsidR="00E726CE" w:rsidRDefault="002F0934" w:rsidP="00616FD3">
      <w:pPr>
        <w:pStyle w:val="ListParagraph"/>
        <w:numPr>
          <w:ilvl w:val="0"/>
          <w:numId w:val="15"/>
        </w:numPr>
        <w:ind w:left="567" w:hanging="567"/>
        <w:jc w:val="both"/>
        <w:rPr>
          <w:rFonts w:eastAsia="Times New Roman" w:cs="Arial"/>
          <w:szCs w:val="20"/>
          <w:lang w:val="fr-CH" w:eastAsia="en-US"/>
        </w:rPr>
      </w:pPr>
      <w:r>
        <w:rPr>
          <w:rFonts w:eastAsia="Times New Roman" w:cs="Arial"/>
          <w:szCs w:val="20"/>
          <w:lang w:val="fr-CH" w:eastAsia="en-US"/>
        </w:rPr>
        <w:t>R</w:t>
      </w:r>
      <w:r w:rsidRPr="00BF1045">
        <w:rPr>
          <w:rFonts w:eastAsia="Times New Roman" w:cs="Arial"/>
          <w:szCs w:val="20"/>
          <w:lang w:val="fr-CH" w:eastAsia="en-US"/>
        </w:rPr>
        <w:t xml:space="preserve">enforcer </w:t>
      </w:r>
      <w:r w:rsidR="00E726CE" w:rsidRPr="00BF1045">
        <w:rPr>
          <w:rFonts w:eastAsia="Times New Roman" w:cs="Arial"/>
          <w:szCs w:val="20"/>
          <w:lang w:val="fr-CH" w:eastAsia="en-US"/>
        </w:rPr>
        <w:t>l</w:t>
      </w:r>
      <w:r w:rsidR="00E726CE">
        <w:rPr>
          <w:rFonts w:eastAsia="Times New Roman" w:cs="Arial"/>
          <w:szCs w:val="20"/>
          <w:lang w:val="fr-CH" w:eastAsia="en-US"/>
        </w:rPr>
        <w:t>’</w:t>
      </w:r>
      <w:r w:rsidR="00E726CE" w:rsidRPr="00BF1045">
        <w:rPr>
          <w:rFonts w:eastAsia="Times New Roman" w:cs="Arial"/>
          <w:szCs w:val="20"/>
          <w:lang w:val="fr-CH" w:eastAsia="en-US"/>
        </w:rPr>
        <w:t>aide fournie aux États membres afin de les encourager à utiliser les</w:t>
      </w:r>
      <w:r w:rsidR="00E726CE">
        <w:rPr>
          <w:rFonts w:eastAsia="Times New Roman" w:cs="Arial"/>
          <w:szCs w:val="20"/>
          <w:lang w:val="fr-CH" w:eastAsia="en-US"/>
        </w:rPr>
        <w:t xml:space="preserve"> plateformes et instruments fondés sur la propriété intellectuelle</w:t>
      </w:r>
      <w:r w:rsidR="00E726CE" w:rsidRPr="00BF1045">
        <w:rPr>
          <w:rFonts w:eastAsia="Times New Roman" w:cs="Arial"/>
          <w:szCs w:val="20"/>
          <w:lang w:val="fr-CH" w:eastAsia="en-US"/>
        </w:rPr>
        <w:t xml:space="preserve">, </w:t>
      </w:r>
      <w:r w:rsidR="00E726CE">
        <w:rPr>
          <w:rFonts w:eastAsia="Times New Roman" w:cs="Arial"/>
          <w:szCs w:val="20"/>
          <w:lang w:val="fr-CH" w:eastAsia="en-US"/>
        </w:rPr>
        <w:t>en accordant une attention particulière aux universités et aux établissements de recherche, aux organismes chargés de l’application des droits</w:t>
      </w:r>
      <w:r w:rsidR="00E726CE" w:rsidRPr="00BF1045">
        <w:rPr>
          <w:rFonts w:eastAsia="Times New Roman" w:cs="Arial"/>
          <w:szCs w:val="20"/>
          <w:lang w:val="fr-CH" w:eastAsia="en-US"/>
        </w:rPr>
        <w:t xml:space="preserve">, </w:t>
      </w:r>
      <w:r w:rsidR="00E726CE">
        <w:rPr>
          <w:rFonts w:eastAsia="Times New Roman" w:cs="Arial"/>
          <w:szCs w:val="20"/>
          <w:lang w:val="fr-CH" w:eastAsia="en-US"/>
        </w:rPr>
        <w:t>au corps judiciaire et aux organismes de gestion collective</w:t>
      </w:r>
      <w:r w:rsidR="00E82B8A">
        <w:rPr>
          <w:rFonts w:eastAsia="Times New Roman" w:cs="Arial"/>
          <w:szCs w:val="20"/>
          <w:lang w:val="fr-CH" w:eastAsia="en-US"/>
        </w:rPr>
        <w:t>;  f</w:t>
      </w:r>
      <w:r w:rsidR="00E726CE" w:rsidRPr="00833739">
        <w:rPr>
          <w:rFonts w:eastAsia="Times New Roman" w:cs="Arial"/>
          <w:szCs w:val="20"/>
          <w:lang w:val="fr-CH" w:eastAsia="en-US"/>
        </w:rPr>
        <w:t xml:space="preserve">aire mieux comprendre aux parties prenantes concernées les enjeux actuels </w:t>
      </w:r>
      <w:r w:rsidR="00E726CE">
        <w:rPr>
          <w:rFonts w:eastAsia="Times New Roman" w:cs="Arial"/>
          <w:szCs w:val="20"/>
          <w:lang w:val="fr-CH" w:eastAsia="en-US"/>
        </w:rPr>
        <w:t>du</w:t>
      </w:r>
      <w:r w:rsidR="00E726CE" w:rsidRPr="00833739">
        <w:rPr>
          <w:rFonts w:eastAsia="Times New Roman" w:cs="Arial"/>
          <w:szCs w:val="20"/>
          <w:lang w:val="fr-CH" w:eastAsia="en-US"/>
        </w:rPr>
        <w:t xml:space="preserve"> droit d</w:t>
      </w:r>
      <w:r w:rsidR="00E726CE">
        <w:rPr>
          <w:rFonts w:eastAsia="Times New Roman" w:cs="Arial"/>
          <w:szCs w:val="20"/>
          <w:lang w:val="fr-CH" w:eastAsia="en-US"/>
        </w:rPr>
        <w:t>’</w:t>
      </w:r>
      <w:r w:rsidR="00E726CE" w:rsidRPr="00833739">
        <w:rPr>
          <w:rFonts w:eastAsia="Times New Roman" w:cs="Arial"/>
          <w:szCs w:val="20"/>
          <w:lang w:val="fr-CH" w:eastAsia="en-US"/>
        </w:rPr>
        <w:t>auteur à l</w:t>
      </w:r>
      <w:r w:rsidR="00E726CE">
        <w:rPr>
          <w:rFonts w:eastAsia="Times New Roman" w:cs="Arial"/>
          <w:szCs w:val="20"/>
          <w:lang w:val="fr-CH" w:eastAsia="en-US"/>
        </w:rPr>
        <w:t>’</w:t>
      </w:r>
      <w:r w:rsidR="00E726CE" w:rsidRPr="00833739">
        <w:rPr>
          <w:rFonts w:eastAsia="Times New Roman" w:cs="Arial"/>
          <w:szCs w:val="20"/>
          <w:lang w:val="fr-CH" w:eastAsia="en-US"/>
        </w:rPr>
        <w:t>ère</w:t>
      </w:r>
      <w:r w:rsidR="00E726CE">
        <w:rPr>
          <w:rFonts w:eastAsia="Times New Roman" w:cs="Arial"/>
          <w:szCs w:val="20"/>
          <w:lang w:val="fr-CH" w:eastAsia="en-US"/>
        </w:rPr>
        <w:t xml:space="preserve"> du</w:t>
      </w:r>
      <w:r w:rsidR="00E726CE" w:rsidRPr="00833739">
        <w:rPr>
          <w:rFonts w:eastAsia="Times New Roman" w:cs="Arial"/>
          <w:szCs w:val="20"/>
          <w:lang w:val="fr-CH" w:eastAsia="en-US"/>
        </w:rPr>
        <w:t xml:space="preserve"> numérique</w:t>
      </w:r>
      <w:r w:rsidR="00E726CE">
        <w:rPr>
          <w:rFonts w:eastAsia="Times New Roman" w:cs="Arial"/>
          <w:szCs w:val="20"/>
          <w:lang w:val="fr-CH" w:eastAsia="en-US"/>
        </w:rPr>
        <w:t xml:space="preserve"> et améliorer la transparence, l’efficacité et la bonne gouvernance des organismes de gestion collective dans les pays concernés</w:t>
      </w:r>
      <w:r w:rsidR="00E726CE" w:rsidRPr="00833739">
        <w:rPr>
          <w:rFonts w:eastAsia="Times New Roman" w:cs="Arial"/>
          <w:szCs w:val="20"/>
          <w:lang w:val="fr-CH" w:eastAsia="en-US"/>
        </w:rPr>
        <w:t>;</w:t>
      </w:r>
    </w:p>
    <w:p w14:paraId="6F15A35A" w14:textId="77777777" w:rsidR="00E726CE" w:rsidRPr="00833739" w:rsidRDefault="00E726CE" w:rsidP="00986700">
      <w:pPr>
        <w:ind w:left="567" w:hanging="567"/>
        <w:jc w:val="both"/>
        <w:rPr>
          <w:rFonts w:eastAsia="Times New Roman" w:cs="Arial"/>
          <w:szCs w:val="20"/>
          <w:lang w:val="fr-CH" w:eastAsia="en-US"/>
        </w:rPr>
      </w:pPr>
    </w:p>
    <w:p w14:paraId="2C28B6BF" w14:textId="1F85E20F" w:rsidR="00E726CE" w:rsidRPr="002A4C8C" w:rsidRDefault="002F0934" w:rsidP="00616FD3">
      <w:pPr>
        <w:pStyle w:val="ListParagraph"/>
        <w:numPr>
          <w:ilvl w:val="0"/>
          <w:numId w:val="15"/>
        </w:numPr>
        <w:ind w:left="567" w:hanging="567"/>
        <w:jc w:val="both"/>
        <w:rPr>
          <w:rFonts w:eastAsia="Times New Roman" w:cs="Arial"/>
          <w:szCs w:val="20"/>
          <w:lang w:val="fr-CH" w:eastAsia="en-US"/>
        </w:rPr>
      </w:pPr>
      <w:r w:rsidRPr="002A4C8C">
        <w:rPr>
          <w:rFonts w:eastAsia="Times New Roman" w:cs="Arial"/>
          <w:szCs w:val="20"/>
          <w:lang w:val="fr-CH" w:eastAsia="en-US"/>
        </w:rPr>
        <w:t xml:space="preserve">Renforcer </w:t>
      </w:r>
      <w:r w:rsidR="00E726CE" w:rsidRPr="002A4C8C">
        <w:rPr>
          <w:rFonts w:eastAsia="Times New Roman" w:cs="Arial"/>
          <w:szCs w:val="20"/>
          <w:lang w:val="fr-CH" w:eastAsia="en-US"/>
        </w:rPr>
        <w:t>l</w:t>
      </w:r>
      <w:r w:rsidR="00E726CE">
        <w:rPr>
          <w:rFonts w:eastAsia="Times New Roman" w:cs="Arial"/>
          <w:szCs w:val="20"/>
          <w:lang w:val="fr-CH" w:eastAsia="en-US"/>
        </w:rPr>
        <w:t>’</w:t>
      </w:r>
      <w:r w:rsidR="00E726CE" w:rsidRPr="002A4C8C">
        <w:rPr>
          <w:rFonts w:eastAsia="Times New Roman" w:cs="Arial"/>
          <w:szCs w:val="20"/>
          <w:lang w:val="fr-CH" w:eastAsia="en-US"/>
        </w:rPr>
        <w:t xml:space="preserve">utilisation </w:t>
      </w:r>
      <w:r w:rsidR="00E726CE">
        <w:rPr>
          <w:rFonts w:eastAsia="Times New Roman" w:cs="Arial"/>
          <w:szCs w:val="20"/>
          <w:lang w:val="fr-CH" w:eastAsia="en-US"/>
        </w:rPr>
        <w:t>d’une approche de l’évaluation</w:t>
      </w:r>
      <w:r w:rsidR="00E726CE" w:rsidRPr="002A4C8C">
        <w:rPr>
          <w:rFonts w:eastAsia="Times New Roman" w:cs="Arial"/>
          <w:szCs w:val="20"/>
          <w:lang w:val="fr-CH" w:eastAsia="en-US"/>
        </w:rPr>
        <w:t xml:space="preserve"> en deux</w:t>
      </w:r>
      <w:r w:rsidR="00E726CE">
        <w:rPr>
          <w:rFonts w:eastAsia="Times New Roman" w:cs="Arial"/>
          <w:szCs w:val="20"/>
          <w:lang w:val="fr-CH" w:eastAsia="en-US"/>
        </w:rPr>
        <w:t> </w:t>
      </w:r>
      <w:r w:rsidR="00E726CE" w:rsidRPr="002A4C8C">
        <w:rPr>
          <w:rFonts w:eastAsia="Times New Roman" w:cs="Arial"/>
          <w:szCs w:val="20"/>
          <w:lang w:val="fr-CH" w:eastAsia="en-US"/>
        </w:rPr>
        <w:t xml:space="preserve">phases, qui </w:t>
      </w:r>
      <w:r w:rsidR="00E726CE">
        <w:rPr>
          <w:rFonts w:eastAsia="Times New Roman" w:cs="Arial"/>
          <w:szCs w:val="20"/>
          <w:lang w:val="fr-CH" w:eastAsia="en-US"/>
        </w:rPr>
        <w:t>permet d’</w:t>
      </w:r>
      <w:r w:rsidR="00E726CE" w:rsidRPr="002A4C8C">
        <w:rPr>
          <w:rFonts w:eastAsia="Times New Roman" w:cs="Arial"/>
          <w:szCs w:val="20"/>
          <w:lang w:val="fr-CH" w:eastAsia="en-US"/>
        </w:rPr>
        <w:t>améliorer et</w:t>
      </w:r>
      <w:r w:rsidR="00E726CE">
        <w:rPr>
          <w:rFonts w:eastAsia="Times New Roman" w:cs="Arial"/>
          <w:szCs w:val="20"/>
          <w:lang w:val="fr-CH" w:eastAsia="en-US"/>
        </w:rPr>
        <w:t xml:space="preserve"> de</w:t>
      </w:r>
      <w:r w:rsidR="00E726CE" w:rsidRPr="002A4C8C">
        <w:rPr>
          <w:rFonts w:eastAsia="Times New Roman" w:cs="Arial"/>
          <w:szCs w:val="20"/>
          <w:lang w:val="fr-CH" w:eastAsia="en-US"/>
        </w:rPr>
        <w:t xml:space="preserve"> personnaliser </w:t>
      </w:r>
      <w:r w:rsidR="00E726CE">
        <w:rPr>
          <w:rFonts w:eastAsia="Times New Roman" w:cs="Arial"/>
          <w:szCs w:val="20"/>
          <w:lang w:val="fr-CH" w:eastAsia="en-US"/>
        </w:rPr>
        <w:t>les activités en fonction des</w:t>
      </w:r>
      <w:r w:rsidR="00E726CE" w:rsidRPr="002A4C8C">
        <w:rPr>
          <w:rFonts w:eastAsia="Times New Roman" w:cs="Arial"/>
          <w:szCs w:val="20"/>
          <w:lang w:val="fr-CH" w:eastAsia="en-US"/>
        </w:rPr>
        <w:t xml:space="preserve"> besoins</w:t>
      </w:r>
      <w:r w:rsidR="00E726CE">
        <w:rPr>
          <w:rFonts w:eastAsia="Times New Roman" w:cs="Arial"/>
          <w:szCs w:val="20"/>
          <w:lang w:val="fr-CH" w:eastAsia="en-US"/>
        </w:rPr>
        <w:t xml:space="preserve"> régionaux et nationaux et facilite la prise en considération des questions relatives à l’égalité des sexes</w:t>
      </w:r>
      <w:r w:rsidR="00E726CE" w:rsidRPr="002A4C8C">
        <w:rPr>
          <w:rFonts w:eastAsia="Times New Roman" w:cs="Arial"/>
          <w:szCs w:val="20"/>
          <w:lang w:val="fr-CH" w:eastAsia="en-US"/>
        </w:rPr>
        <w:t>;</w:t>
      </w:r>
    </w:p>
    <w:p w14:paraId="30F78B63" w14:textId="77777777" w:rsidR="00E726CE" w:rsidRPr="002A4C8C" w:rsidRDefault="00E726CE" w:rsidP="00986700">
      <w:pPr>
        <w:ind w:left="567" w:hanging="567"/>
        <w:jc w:val="both"/>
        <w:rPr>
          <w:rFonts w:eastAsia="Times New Roman" w:cs="Arial"/>
          <w:szCs w:val="20"/>
          <w:lang w:val="fr-CH" w:eastAsia="en-US"/>
        </w:rPr>
      </w:pPr>
    </w:p>
    <w:p w14:paraId="23AB322D" w14:textId="50F86BBD" w:rsidR="00E726CE" w:rsidRDefault="002F0934" w:rsidP="00616FD3">
      <w:pPr>
        <w:pStyle w:val="ListParagraph"/>
        <w:numPr>
          <w:ilvl w:val="0"/>
          <w:numId w:val="15"/>
        </w:numPr>
        <w:ind w:left="567" w:hanging="567"/>
        <w:jc w:val="both"/>
        <w:rPr>
          <w:rFonts w:eastAsia="Times New Roman" w:cs="Arial"/>
          <w:szCs w:val="20"/>
          <w:lang w:val="fr-CH" w:eastAsia="en-US"/>
        </w:rPr>
      </w:pPr>
      <w:r w:rsidRPr="00031425">
        <w:rPr>
          <w:rFonts w:eastAsia="Times New Roman" w:cs="Arial"/>
          <w:szCs w:val="20"/>
          <w:lang w:val="fr-CH" w:eastAsia="en-US"/>
        </w:rPr>
        <w:t>S</w:t>
      </w:r>
      <w:r>
        <w:rPr>
          <w:rFonts w:eastAsia="Times New Roman" w:cs="Arial"/>
          <w:szCs w:val="20"/>
          <w:lang w:val="fr-CH" w:eastAsia="en-US"/>
        </w:rPr>
        <w:t>’</w:t>
      </w:r>
      <w:r w:rsidRPr="00031425">
        <w:rPr>
          <w:rFonts w:eastAsia="Times New Roman" w:cs="Arial"/>
          <w:szCs w:val="20"/>
          <w:lang w:val="fr-CH" w:eastAsia="en-US"/>
        </w:rPr>
        <w:t xml:space="preserve">efforcer </w:t>
      </w:r>
      <w:r w:rsidR="00E726CE">
        <w:rPr>
          <w:rFonts w:eastAsia="Times New Roman" w:cs="Arial"/>
          <w:szCs w:val="20"/>
          <w:lang w:val="fr-CH" w:eastAsia="en-US"/>
        </w:rPr>
        <w:t>d’assurer</w:t>
      </w:r>
      <w:r w:rsidR="00E726CE" w:rsidRPr="00031425">
        <w:rPr>
          <w:rFonts w:eastAsia="Times New Roman" w:cs="Arial"/>
          <w:szCs w:val="20"/>
          <w:lang w:val="fr-CH" w:eastAsia="en-US"/>
        </w:rPr>
        <w:t xml:space="preserve"> des synergies positives et d</w:t>
      </w:r>
      <w:r w:rsidR="00E726CE">
        <w:rPr>
          <w:rFonts w:eastAsia="Times New Roman" w:cs="Arial"/>
          <w:szCs w:val="20"/>
          <w:lang w:val="fr-CH" w:eastAsia="en-US"/>
        </w:rPr>
        <w:t>’</w:t>
      </w:r>
      <w:r w:rsidR="00E726CE" w:rsidRPr="00031425">
        <w:rPr>
          <w:rFonts w:eastAsia="Times New Roman" w:cs="Arial"/>
          <w:szCs w:val="20"/>
          <w:lang w:val="fr-CH" w:eastAsia="en-US"/>
        </w:rPr>
        <w:t>encourager le déploiement d</w:t>
      </w:r>
      <w:r w:rsidR="00E726CE">
        <w:rPr>
          <w:rFonts w:eastAsia="Times New Roman" w:cs="Arial"/>
          <w:szCs w:val="20"/>
          <w:lang w:val="fr-CH" w:eastAsia="en-US"/>
        </w:rPr>
        <w:t>’</w:t>
      </w:r>
      <w:r w:rsidR="00E726CE" w:rsidRPr="00031425">
        <w:rPr>
          <w:rFonts w:eastAsia="Times New Roman" w:cs="Arial"/>
          <w:szCs w:val="20"/>
          <w:lang w:val="fr-CH" w:eastAsia="en-US"/>
        </w:rPr>
        <w:t>efforts conjoints en vue d</w:t>
      </w:r>
      <w:r w:rsidR="00E726CE">
        <w:rPr>
          <w:rFonts w:eastAsia="Times New Roman" w:cs="Arial"/>
          <w:szCs w:val="20"/>
          <w:lang w:val="fr-CH" w:eastAsia="en-US"/>
        </w:rPr>
        <w:t>’</w:t>
      </w:r>
      <w:r w:rsidR="00E726CE" w:rsidRPr="00031425">
        <w:rPr>
          <w:rFonts w:eastAsia="Times New Roman" w:cs="Arial"/>
          <w:szCs w:val="20"/>
          <w:lang w:val="fr-CH" w:eastAsia="en-US"/>
        </w:rPr>
        <w:t>atteindre les objectifs communs en matière de propriété intellectuelle en travaillant en étroite collaboration avec, entre autres, l</w:t>
      </w:r>
      <w:r w:rsidR="00E726CE">
        <w:rPr>
          <w:rFonts w:eastAsia="Times New Roman" w:cs="Arial"/>
          <w:szCs w:val="20"/>
          <w:lang w:val="fr-CH" w:eastAsia="en-US"/>
        </w:rPr>
        <w:t>’</w:t>
      </w:r>
      <w:r w:rsidR="00E726CE" w:rsidRPr="00031425">
        <w:rPr>
          <w:rFonts w:eastAsia="Times New Roman" w:cs="Arial"/>
          <w:szCs w:val="20"/>
          <w:lang w:val="fr-CH" w:eastAsia="en-US"/>
        </w:rPr>
        <w:t>Union européenne (U</w:t>
      </w:r>
      <w:r w:rsidR="00E726CE">
        <w:rPr>
          <w:rFonts w:eastAsia="Times New Roman" w:cs="Arial"/>
          <w:szCs w:val="20"/>
          <w:lang w:val="fr-CH" w:eastAsia="en-US"/>
        </w:rPr>
        <w:t>E</w:t>
      </w:r>
      <w:r w:rsidR="00E726CE" w:rsidRPr="00031425">
        <w:rPr>
          <w:rFonts w:eastAsia="Times New Roman" w:cs="Arial"/>
          <w:szCs w:val="20"/>
          <w:lang w:val="fr-CH" w:eastAsia="en-US"/>
        </w:rPr>
        <w:t xml:space="preserve">), </w:t>
      </w:r>
      <w:r w:rsidR="00E726CE">
        <w:rPr>
          <w:rFonts w:eastAsia="Times New Roman" w:cs="Arial"/>
          <w:szCs w:val="20"/>
          <w:lang w:val="fr-CH" w:eastAsia="en-US"/>
        </w:rPr>
        <w:t>l’Office européen des brevets (OEB), le Conseil interétatique pour la protection et l’application de la propriété intellectuelle (</w:t>
      </w:r>
      <w:r w:rsidR="00E726CE" w:rsidRPr="00031425">
        <w:rPr>
          <w:rFonts w:eastAsia="Times New Roman" w:cs="Arial"/>
          <w:szCs w:val="20"/>
          <w:lang w:val="fr-CH" w:eastAsia="en-US"/>
        </w:rPr>
        <w:t>C</w:t>
      </w:r>
      <w:r w:rsidR="00E726CE">
        <w:rPr>
          <w:rFonts w:eastAsia="Times New Roman" w:cs="Arial"/>
          <w:szCs w:val="20"/>
          <w:lang w:val="fr-CH" w:eastAsia="en-US"/>
        </w:rPr>
        <w:t>I</w:t>
      </w:r>
      <w:r w:rsidR="00E726CE" w:rsidRPr="00031425">
        <w:rPr>
          <w:rFonts w:eastAsia="Times New Roman" w:cs="Arial"/>
          <w:szCs w:val="20"/>
          <w:lang w:val="fr-CH" w:eastAsia="en-US"/>
        </w:rPr>
        <w:t>PP</w:t>
      </w:r>
      <w:r w:rsidR="00E726CE">
        <w:rPr>
          <w:rFonts w:eastAsia="Times New Roman" w:cs="Arial"/>
          <w:szCs w:val="20"/>
          <w:lang w:val="fr-CH" w:eastAsia="en-US"/>
        </w:rPr>
        <w:t>I</w:t>
      </w:r>
      <w:r w:rsidR="00E726CE" w:rsidRPr="00031425">
        <w:rPr>
          <w:rFonts w:eastAsia="Times New Roman" w:cs="Arial"/>
          <w:szCs w:val="20"/>
          <w:lang w:val="fr-CH" w:eastAsia="en-US"/>
        </w:rPr>
        <w:t xml:space="preserve">), </w:t>
      </w:r>
      <w:r w:rsidR="00E726CE">
        <w:rPr>
          <w:rFonts w:eastAsia="Times New Roman" w:cs="Arial"/>
          <w:szCs w:val="20"/>
          <w:lang w:val="fr-CH" w:eastAsia="en-US"/>
        </w:rPr>
        <w:t>l’Assemblée interparlementaire des États membres de</w:t>
      </w:r>
      <w:r w:rsidR="00E726CE" w:rsidRPr="009F7D81">
        <w:rPr>
          <w:rFonts w:eastAsia="Times New Roman" w:cs="Arial"/>
          <w:szCs w:val="20"/>
          <w:lang w:val="fr-CH" w:eastAsia="en-US"/>
        </w:rPr>
        <w:t xml:space="preserve"> la CEI</w:t>
      </w:r>
      <w:r w:rsidR="00E726CE" w:rsidRPr="00031425">
        <w:rPr>
          <w:rFonts w:eastAsia="Times New Roman" w:cs="Arial"/>
          <w:szCs w:val="20"/>
          <w:lang w:val="fr-CH" w:eastAsia="en-US"/>
        </w:rPr>
        <w:t xml:space="preserve">, </w:t>
      </w:r>
      <w:r w:rsidR="00E726CE">
        <w:rPr>
          <w:rFonts w:eastAsia="Times New Roman" w:cs="Arial"/>
          <w:szCs w:val="20"/>
          <w:lang w:val="fr-CH" w:eastAsia="en-US"/>
        </w:rPr>
        <w:t>l’Organisation eurasienne des brevets</w:t>
      </w:r>
      <w:r w:rsidR="00E726CE" w:rsidRPr="00031425">
        <w:rPr>
          <w:rFonts w:eastAsia="Times New Roman" w:cs="Arial"/>
          <w:szCs w:val="20"/>
          <w:lang w:val="fr-CH" w:eastAsia="en-US"/>
        </w:rPr>
        <w:t xml:space="preserve"> (O</w:t>
      </w:r>
      <w:r w:rsidR="00E726CE">
        <w:rPr>
          <w:rFonts w:eastAsia="Times New Roman" w:cs="Arial"/>
          <w:szCs w:val="20"/>
          <w:lang w:val="fr-CH" w:eastAsia="en-US"/>
        </w:rPr>
        <w:t>EAB) et la Communauté économique eurasiatique (CEEA) afin de rendre l’assistance technique fournie par l’OMPI aussi efficace que possible</w:t>
      </w:r>
      <w:r w:rsidR="00E726CE" w:rsidRPr="00031425">
        <w:rPr>
          <w:rFonts w:eastAsia="Times New Roman" w:cs="Arial"/>
          <w:szCs w:val="20"/>
          <w:lang w:val="fr-CH" w:eastAsia="en-US"/>
        </w:rPr>
        <w:t>.</w:t>
      </w:r>
    </w:p>
    <w:p w14:paraId="79B0C0AF" w14:textId="77777777" w:rsidR="00E726CE" w:rsidRPr="00031425" w:rsidRDefault="00E726CE" w:rsidP="00986700">
      <w:pPr>
        <w:rPr>
          <w:rFonts w:eastAsia="Times New Roman" w:cs="Arial"/>
          <w:szCs w:val="20"/>
          <w:lang w:val="fr-CH" w:eastAsia="en-US"/>
        </w:rPr>
      </w:pPr>
    </w:p>
    <w:p w14:paraId="0CDCFFB3" w14:textId="77777777" w:rsidR="00E726CE" w:rsidRPr="00031425" w:rsidRDefault="00E726CE" w:rsidP="00986700">
      <w:pPr>
        <w:rPr>
          <w:rFonts w:eastAsia="Times New Roman" w:cs="Arial"/>
          <w:szCs w:val="20"/>
          <w:lang w:val="fr-CH" w:eastAsia="en-US"/>
        </w:rPr>
      </w:pPr>
    </w:p>
    <w:tbl>
      <w:tblPr>
        <w:tblW w:w="5000" w:type="pct"/>
        <w:tblCellMar>
          <w:top w:w="57" w:type="dxa"/>
          <w:bottom w:w="57" w:type="dxa"/>
        </w:tblCellMar>
        <w:tblLook w:val="01E0" w:firstRow="1" w:lastRow="1" w:firstColumn="1" w:lastColumn="1" w:noHBand="0" w:noVBand="0"/>
      </w:tblPr>
      <w:tblGrid>
        <w:gridCol w:w="9287"/>
      </w:tblGrid>
      <w:tr w:rsidR="00E726CE" w:rsidRPr="00611930" w14:paraId="71335481" w14:textId="77777777" w:rsidTr="00E726CE">
        <w:trPr>
          <w:cantSplit/>
        </w:trPr>
        <w:tc>
          <w:tcPr>
            <w:tcW w:w="9571" w:type="dxa"/>
            <w:shd w:val="clear" w:color="auto" w:fill="C6D9F1" w:themeFill="text2" w:themeFillTint="33"/>
            <w:vAlign w:val="center"/>
          </w:tcPr>
          <w:p w14:paraId="59F0427B" w14:textId="45A75E8F" w:rsidR="00E726CE" w:rsidRPr="004A5CA9" w:rsidRDefault="00E82B8A" w:rsidP="00E82B8A">
            <w:pPr>
              <w:keepNext/>
              <w:keepLines/>
              <w:jc w:val="center"/>
              <w:rPr>
                <w:rFonts w:eastAsia="Times New Roman" w:cs="Arial"/>
                <w:b/>
                <w:bCs/>
                <w:szCs w:val="20"/>
                <w:lang w:val="fr-CH" w:eastAsia="en-US"/>
              </w:rPr>
            </w:pPr>
            <w:r>
              <w:rPr>
                <w:rFonts w:eastAsia="Times New Roman" w:cs="Arial"/>
                <w:b/>
                <w:bCs/>
                <w:szCs w:val="20"/>
                <w:lang w:val="fr-CH" w:eastAsia="en-US"/>
              </w:rPr>
              <w:lastRenderedPageBreak/>
              <w:t>Collaboration interprogrammes</w:t>
            </w:r>
          </w:p>
        </w:tc>
      </w:tr>
    </w:tbl>
    <w:p w14:paraId="593DC150" w14:textId="77777777" w:rsidR="00E726CE" w:rsidRPr="004A5CA9" w:rsidRDefault="00E726CE" w:rsidP="005A64E3">
      <w:pPr>
        <w:keepNext/>
        <w:rPr>
          <w:rFonts w:eastAsia="Times New Roman" w:cs="Arial"/>
          <w:szCs w:val="20"/>
          <w:lang w:val="fr-CH" w:eastAsia="en-US"/>
        </w:rPr>
      </w:pPr>
    </w:p>
    <w:p w14:paraId="4C2368E1" w14:textId="70DEDBD4" w:rsidR="00E726CE" w:rsidRPr="004A5CA9" w:rsidRDefault="005A64E3" w:rsidP="005A64E3">
      <w:pPr>
        <w:jc w:val="center"/>
        <w:rPr>
          <w:rFonts w:eastAsia="Times New Roman" w:cs="Arial"/>
          <w:szCs w:val="20"/>
          <w:lang w:val="fr-CH" w:eastAsia="en-US"/>
        </w:rPr>
      </w:pPr>
      <w:r w:rsidRPr="005A64E3">
        <w:rPr>
          <w:noProof/>
          <w:lang w:val="en-US" w:eastAsia="en-US"/>
        </w:rPr>
        <w:drawing>
          <wp:inline distT="0" distB="0" distL="0" distR="0" wp14:anchorId="37632880" wp14:editId="2F074B18">
            <wp:extent cx="3614113" cy="3600000"/>
            <wp:effectExtent l="0" t="0" r="5715"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14113" cy="3600000"/>
                    </a:xfrm>
                    <a:prstGeom prst="rect">
                      <a:avLst/>
                    </a:prstGeom>
                    <a:noFill/>
                    <a:ln>
                      <a:noFill/>
                    </a:ln>
                  </pic:spPr>
                </pic:pic>
              </a:graphicData>
            </a:graphic>
          </wp:inline>
        </w:drawing>
      </w:r>
    </w:p>
    <w:p w14:paraId="057B70A9" w14:textId="77777777" w:rsidR="00E726CE" w:rsidRPr="004A5CA9" w:rsidRDefault="00E726CE" w:rsidP="00986700">
      <w:pPr>
        <w:rPr>
          <w:rFonts w:eastAsia="Times New Roman" w:cs="Arial"/>
          <w:szCs w:val="20"/>
          <w:lang w:val="fr-CH" w:eastAsia="en-US"/>
        </w:rPr>
      </w:pPr>
    </w:p>
    <w:tbl>
      <w:tblPr>
        <w:tblW w:w="5000" w:type="pct"/>
        <w:tblCellMar>
          <w:top w:w="57" w:type="dxa"/>
          <w:bottom w:w="57" w:type="dxa"/>
        </w:tblCellMar>
        <w:tblLook w:val="01E0" w:firstRow="1" w:lastRow="1" w:firstColumn="1" w:lastColumn="1" w:noHBand="0" w:noVBand="0"/>
      </w:tblPr>
      <w:tblGrid>
        <w:gridCol w:w="4640"/>
        <w:gridCol w:w="4647"/>
      </w:tblGrid>
      <w:tr w:rsidR="00E726CE" w:rsidRPr="00AA1F65" w14:paraId="0C5E1A05" w14:textId="77777777" w:rsidTr="00E726CE">
        <w:trPr>
          <w:cantSplit/>
        </w:trPr>
        <w:tc>
          <w:tcPr>
            <w:tcW w:w="4785" w:type="dxa"/>
            <w:shd w:val="clear" w:color="auto" w:fill="C6D9F1" w:themeFill="text2" w:themeFillTint="33"/>
            <w:vAlign w:val="center"/>
          </w:tcPr>
          <w:p w14:paraId="6B9DAC9A" w14:textId="77777777" w:rsidR="00E726CE" w:rsidRPr="00AA1F65" w:rsidRDefault="00E726CE" w:rsidP="00986700">
            <w:pPr>
              <w:jc w:val="center"/>
              <w:rPr>
                <w:rFonts w:cs="Arial"/>
                <w:b/>
                <w:bCs/>
                <w:sz w:val="18"/>
                <w:szCs w:val="18"/>
              </w:rPr>
            </w:pPr>
            <w:r>
              <w:rPr>
                <w:rFonts w:cs="Arial"/>
                <w:b/>
                <w:bCs/>
                <w:sz w:val="18"/>
                <w:szCs w:val="18"/>
              </w:rPr>
              <w:t>Risques</w:t>
            </w:r>
          </w:p>
        </w:tc>
        <w:tc>
          <w:tcPr>
            <w:tcW w:w="4786" w:type="dxa"/>
            <w:shd w:val="clear" w:color="auto" w:fill="C6D9F1" w:themeFill="text2" w:themeFillTint="33"/>
            <w:vAlign w:val="center"/>
          </w:tcPr>
          <w:p w14:paraId="1AF38C67" w14:textId="77777777" w:rsidR="00E726CE" w:rsidRPr="00AA1F65" w:rsidRDefault="00E726CE" w:rsidP="00986700">
            <w:pPr>
              <w:jc w:val="center"/>
              <w:rPr>
                <w:rFonts w:cs="Arial"/>
                <w:b/>
                <w:bCs/>
                <w:sz w:val="18"/>
                <w:szCs w:val="18"/>
              </w:rPr>
            </w:pPr>
            <w:r w:rsidRPr="00AA1F65">
              <w:rPr>
                <w:rFonts w:cs="Arial"/>
                <w:b/>
                <w:bCs/>
                <w:sz w:val="18"/>
                <w:szCs w:val="18"/>
              </w:rPr>
              <w:t>M</w:t>
            </w:r>
            <w:r>
              <w:rPr>
                <w:rFonts w:cs="Arial"/>
                <w:b/>
                <w:bCs/>
                <w:sz w:val="18"/>
                <w:szCs w:val="18"/>
              </w:rPr>
              <w:t>esures d’atténuation</w:t>
            </w:r>
          </w:p>
        </w:tc>
      </w:tr>
      <w:tr w:rsidR="00E726CE" w:rsidRPr="00611930" w14:paraId="7FCE8778" w14:textId="77777777" w:rsidTr="00E726CE">
        <w:trPr>
          <w:cantSplit/>
        </w:trPr>
        <w:tc>
          <w:tcPr>
            <w:tcW w:w="4785" w:type="dxa"/>
            <w:shd w:val="clear" w:color="auto" w:fill="auto"/>
            <w:tcMar>
              <w:top w:w="57" w:type="dxa"/>
              <w:bottom w:w="57" w:type="dxa"/>
            </w:tcMar>
          </w:tcPr>
          <w:p w14:paraId="1118FA0D" w14:textId="77777777" w:rsidR="00E726CE" w:rsidRPr="00412E7A" w:rsidRDefault="00E726CE" w:rsidP="00986700">
            <w:pPr>
              <w:rPr>
                <w:rFonts w:cs="Arial"/>
                <w:b/>
                <w:i/>
                <w:sz w:val="16"/>
                <w:szCs w:val="16"/>
                <w:lang w:val="fr-CH"/>
              </w:rPr>
            </w:pPr>
            <w:r w:rsidRPr="00412E7A">
              <w:rPr>
                <w:rFonts w:cs="Arial"/>
                <w:sz w:val="16"/>
                <w:szCs w:val="16"/>
                <w:lang w:val="fr-CH"/>
              </w:rPr>
              <w:t>Des changements économiques et politiques pourraient compromettre ou ralentir la mise en œuvre des stratégies nationales en matière de propriété intellectuelle.</w:t>
            </w:r>
          </w:p>
        </w:tc>
        <w:tc>
          <w:tcPr>
            <w:tcW w:w="4786" w:type="dxa"/>
            <w:shd w:val="clear" w:color="auto" w:fill="auto"/>
            <w:tcMar>
              <w:top w:w="57" w:type="dxa"/>
              <w:bottom w:w="57" w:type="dxa"/>
            </w:tcMar>
          </w:tcPr>
          <w:p w14:paraId="063D7C19" w14:textId="77777777" w:rsidR="00E726CE" w:rsidRPr="00412E7A" w:rsidRDefault="00E726CE" w:rsidP="00986700">
            <w:pPr>
              <w:rPr>
                <w:rFonts w:eastAsia="Calibri" w:cs="Arial"/>
                <w:sz w:val="16"/>
                <w:szCs w:val="16"/>
                <w:lang w:val="fr-CH"/>
              </w:rPr>
            </w:pPr>
            <w:r w:rsidRPr="00412E7A">
              <w:rPr>
                <w:rFonts w:cs="Arial"/>
                <w:sz w:val="16"/>
                <w:szCs w:val="16"/>
                <w:lang w:val="fr-CH"/>
              </w:rPr>
              <w:t>Procéder à une communication de suivi immédiate lorsqu</w:t>
            </w:r>
            <w:r>
              <w:rPr>
                <w:rFonts w:cs="Arial"/>
                <w:sz w:val="16"/>
                <w:szCs w:val="16"/>
                <w:lang w:val="fr-CH"/>
              </w:rPr>
              <w:t>’</w:t>
            </w:r>
            <w:r w:rsidRPr="00412E7A">
              <w:rPr>
                <w:rFonts w:cs="Arial"/>
                <w:sz w:val="16"/>
                <w:szCs w:val="16"/>
                <w:lang w:val="fr-CH"/>
              </w:rPr>
              <w:t>un changement significatif s</w:t>
            </w:r>
            <w:r>
              <w:rPr>
                <w:rFonts w:cs="Arial"/>
                <w:sz w:val="16"/>
                <w:szCs w:val="16"/>
                <w:lang w:val="fr-CH"/>
              </w:rPr>
              <w:t>’</w:t>
            </w:r>
            <w:r w:rsidRPr="00412E7A">
              <w:rPr>
                <w:rFonts w:cs="Arial"/>
                <w:sz w:val="16"/>
                <w:szCs w:val="16"/>
                <w:lang w:val="fr-CH"/>
              </w:rPr>
              <w:t xml:space="preserve">opère dans un pays; </w:t>
            </w:r>
            <w:r>
              <w:rPr>
                <w:rFonts w:cs="Arial"/>
                <w:sz w:val="16"/>
                <w:szCs w:val="16"/>
                <w:lang w:val="fr-CH"/>
              </w:rPr>
              <w:t xml:space="preserve"> </w:t>
            </w:r>
            <w:r w:rsidRPr="00412E7A">
              <w:rPr>
                <w:rFonts w:cs="Arial"/>
                <w:sz w:val="16"/>
                <w:szCs w:val="16"/>
                <w:lang w:val="fr-CH"/>
              </w:rPr>
              <w:t xml:space="preserve">procéder à une planification prévoyante à tous les niveaux; </w:t>
            </w:r>
            <w:r>
              <w:rPr>
                <w:rFonts w:cs="Arial"/>
                <w:sz w:val="16"/>
                <w:szCs w:val="16"/>
                <w:lang w:val="fr-CH"/>
              </w:rPr>
              <w:t xml:space="preserve"> </w:t>
            </w:r>
            <w:r w:rsidRPr="00412E7A">
              <w:rPr>
                <w:rFonts w:cs="Arial"/>
                <w:sz w:val="16"/>
                <w:szCs w:val="16"/>
                <w:lang w:val="fr-CH"/>
              </w:rPr>
              <w:t>entretenir des relations avec toutes les parties prenantes dans les pays;</w:t>
            </w:r>
            <w:r>
              <w:rPr>
                <w:rFonts w:cs="Arial"/>
                <w:sz w:val="16"/>
                <w:szCs w:val="16"/>
                <w:lang w:val="fr-CH"/>
              </w:rPr>
              <w:t xml:space="preserve"> </w:t>
            </w:r>
            <w:r w:rsidRPr="00412E7A">
              <w:rPr>
                <w:rFonts w:cs="Arial"/>
                <w:sz w:val="16"/>
                <w:szCs w:val="16"/>
                <w:lang w:val="fr-CH"/>
              </w:rPr>
              <w:t xml:space="preserve"> prévoir une marge de manœuvre dans les plans de coopération.</w:t>
            </w:r>
          </w:p>
        </w:tc>
      </w:tr>
      <w:tr w:rsidR="00E726CE" w:rsidRPr="00611930" w14:paraId="346E9465" w14:textId="77777777" w:rsidTr="00E726CE">
        <w:trPr>
          <w:cantSplit/>
        </w:trPr>
        <w:tc>
          <w:tcPr>
            <w:tcW w:w="4785" w:type="dxa"/>
            <w:shd w:val="clear" w:color="auto" w:fill="auto"/>
            <w:tcMar>
              <w:top w:w="57" w:type="dxa"/>
              <w:bottom w:w="57" w:type="dxa"/>
            </w:tcMar>
          </w:tcPr>
          <w:p w14:paraId="3130163C" w14:textId="77777777" w:rsidR="00E726CE" w:rsidRPr="00412E7A" w:rsidRDefault="00E726CE" w:rsidP="00986700">
            <w:pPr>
              <w:rPr>
                <w:rFonts w:cs="Arial"/>
                <w:sz w:val="16"/>
                <w:szCs w:val="16"/>
                <w:lang w:val="fr-CH"/>
              </w:rPr>
            </w:pPr>
            <w:r w:rsidRPr="00412E7A">
              <w:rPr>
                <w:rFonts w:cs="Arial"/>
                <w:sz w:val="16"/>
                <w:szCs w:val="16"/>
                <w:lang w:val="fr-CH"/>
              </w:rPr>
              <w:t>Des décisions prises à l</w:t>
            </w:r>
            <w:r>
              <w:rPr>
                <w:rFonts w:cs="Arial"/>
                <w:sz w:val="16"/>
                <w:szCs w:val="16"/>
                <w:lang w:val="fr-CH"/>
              </w:rPr>
              <w:t>’</w:t>
            </w:r>
            <w:r w:rsidRPr="00412E7A">
              <w:rPr>
                <w:rFonts w:cs="Arial"/>
                <w:sz w:val="16"/>
                <w:szCs w:val="16"/>
                <w:lang w:val="fr-CH"/>
              </w:rPr>
              <w:t>échelle internationale ou nationale font perdre l</w:t>
            </w:r>
            <w:r>
              <w:rPr>
                <w:rFonts w:cs="Arial"/>
                <w:sz w:val="16"/>
                <w:szCs w:val="16"/>
                <w:lang w:val="fr-CH"/>
              </w:rPr>
              <w:t>’</w:t>
            </w:r>
            <w:r w:rsidRPr="00412E7A">
              <w:rPr>
                <w:rFonts w:cs="Arial"/>
                <w:sz w:val="16"/>
                <w:szCs w:val="16"/>
                <w:lang w:val="fr-CH"/>
              </w:rPr>
              <w:t>engagement d</w:t>
            </w:r>
            <w:r>
              <w:rPr>
                <w:rFonts w:cs="Arial"/>
                <w:sz w:val="16"/>
                <w:szCs w:val="16"/>
                <w:lang w:val="fr-CH"/>
              </w:rPr>
              <w:t>’</w:t>
            </w:r>
            <w:r w:rsidRPr="00412E7A">
              <w:rPr>
                <w:rFonts w:cs="Arial"/>
                <w:sz w:val="16"/>
                <w:szCs w:val="16"/>
                <w:lang w:val="fr-CH"/>
              </w:rPr>
              <w:t>une partie prenante à s</w:t>
            </w:r>
            <w:r>
              <w:rPr>
                <w:rFonts w:cs="Arial"/>
                <w:sz w:val="16"/>
                <w:szCs w:val="16"/>
                <w:lang w:val="fr-CH"/>
              </w:rPr>
              <w:t>’</w:t>
            </w:r>
            <w:r w:rsidRPr="00412E7A">
              <w:rPr>
                <w:rFonts w:cs="Arial"/>
                <w:sz w:val="16"/>
                <w:szCs w:val="16"/>
                <w:lang w:val="fr-CH"/>
              </w:rPr>
              <w:t>impliquer activement dans la réalisation d</w:t>
            </w:r>
            <w:r>
              <w:rPr>
                <w:rFonts w:cs="Arial"/>
                <w:sz w:val="16"/>
                <w:szCs w:val="16"/>
                <w:lang w:val="fr-CH"/>
              </w:rPr>
              <w:t>’</w:t>
            </w:r>
            <w:r w:rsidRPr="00412E7A">
              <w:rPr>
                <w:rFonts w:cs="Arial"/>
                <w:sz w:val="16"/>
                <w:szCs w:val="16"/>
                <w:lang w:val="fr-CH"/>
              </w:rPr>
              <w:t>activités, ce qui bouscule les plans à long terme concernant le renforcement des capacités en matière de ressources humaines dans les pays en transition.</w:t>
            </w:r>
          </w:p>
        </w:tc>
        <w:tc>
          <w:tcPr>
            <w:tcW w:w="4786" w:type="dxa"/>
            <w:shd w:val="clear" w:color="auto" w:fill="auto"/>
            <w:tcMar>
              <w:top w:w="57" w:type="dxa"/>
              <w:bottom w:w="57" w:type="dxa"/>
            </w:tcMar>
          </w:tcPr>
          <w:p w14:paraId="1CD1B738" w14:textId="77777777" w:rsidR="00E726CE" w:rsidRPr="00412E7A" w:rsidRDefault="00E726CE" w:rsidP="00986700">
            <w:pPr>
              <w:rPr>
                <w:rFonts w:cs="Arial"/>
                <w:sz w:val="16"/>
                <w:szCs w:val="16"/>
                <w:lang w:val="fr-CH"/>
              </w:rPr>
            </w:pPr>
            <w:r w:rsidRPr="00412E7A">
              <w:rPr>
                <w:rFonts w:cs="Arial"/>
                <w:sz w:val="16"/>
                <w:szCs w:val="16"/>
                <w:lang w:val="fr-CH"/>
              </w:rPr>
              <w:t>Collaborer étroitement avec les bénéficiaires, les donateurs et les États membres</w:t>
            </w:r>
            <w:r>
              <w:rPr>
                <w:rFonts w:cs="Arial"/>
                <w:sz w:val="16"/>
                <w:szCs w:val="16"/>
                <w:lang w:val="fr-CH"/>
              </w:rPr>
              <w:t xml:space="preserve">.  </w:t>
            </w:r>
            <w:r w:rsidRPr="00412E7A">
              <w:rPr>
                <w:rFonts w:cs="Arial"/>
                <w:sz w:val="16"/>
                <w:szCs w:val="16"/>
                <w:lang w:val="fr-CH"/>
              </w:rPr>
              <w:t>Planifier et coordonner toutes les questions relatives à la propriété intellectuelle avec les autres organisations et partenaires internationaux et nationaux.</w:t>
            </w:r>
          </w:p>
        </w:tc>
      </w:tr>
    </w:tbl>
    <w:p w14:paraId="113FB140" w14:textId="77777777" w:rsidR="00E726CE" w:rsidRPr="00412E7A" w:rsidRDefault="00E726CE" w:rsidP="00986700">
      <w:pPr>
        <w:rPr>
          <w:rFonts w:eastAsia="Times New Roman" w:cs="Arial"/>
          <w:szCs w:val="20"/>
          <w:lang w:val="fr-CH" w:eastAsia="en-US"/>
        </w:rPr>
      </w:pPr>
    </w:p>
    <w:p w14:paraId="537F8D76" w14:textId="77777777" w:rsidR="00E726CE" w:rsidRPr="00412E7A" w:rsidRDefault="00E726CE" w:rsidP="00986700">
      <w:pPr>
        <w:rPr>
          <w:rFonts w:eastAsia="Times New Roman" w:cs="Arial"/>
          <w:szCs w:val="20"/>
          <w:lang w:val="fr-CH" w:eastAsia="en-US"/>
        </w:rPr>
      </w:pPr>
    </w:p>
    <w:tbl>
      <w:tblPr>
        <w:tblW w:w="5000" w:type="pct"/>
        <w:tblCellMar>
          <w:top w:w="57" w:type="dxa"/>
          <w:bottom w:w="57" w:type="dxa"/>
        </w:tblCellMar>
        <w:tblLook w:val="04A0" w:firstRow="1" w:lastRow="0" w:firstColumn="1" w:lastColumn="0" w:noHBand="0" w:noVBand="1"/>
      </w:tblPr>
      <w:tblGrid>
        <w:gridCol w:w="2321"/>
        <w:gridCol w:w="2325"/>
        <w:gridCol w:w="2317"/>
        <w:gridCol w:w="2324"/>
      </w:tblGrid>
      <w:tr w:rsidR="00E726CE" w:rsidRPr="00AA1F65" w14:paraId="799A3604" w14:textId="77777777" w:rsidTr="0056581C">
        <w:trPr>
          <w:cantSplit/>
          <w:tblHeader/>
        </w:trPr>
        <w:tc>
          <w:tcPr>
            <w:tcW w:w="2321" w:type="dxa"/>
            <w:shd w:val="clear" w:color="000000" w:fill="C5D9F1"/>
            <w:tcMar>
              <w:top w:w="57" w:type="dxa"/>
              <w:bottom w:w="57" w:type="dxa"/>
            </w:tcMar>
            <w:vAlign w:val="center"/>
            <w:hideMark/>
          </w:tcPr>
          <w:p w14:paraId="5F62BDF5" w14:textId="77777777" w:rsidR="00E726CE" w:rsidRPr="00AA1F65" w:rsidRDefault="00E726CE" w:rsidP="00986700">
            <w:pPr>
              <w:keepNext/>
              <w:keepLines/>
              <w:jc w:val="center"/>
              <w:rPr>
                <w:rFonts w:eastAsia="Times New Roman" w:cs="Arial"/>
                <w:b/>
                <w:bCs/>
                <w:color w:val="000000"/>
                <w:sz w:val="18"/>
                <w:szCs w:val="18"/>
                <w:lang w:eastAsia="en-US"/>
              </w:rPr>
            </w:pPr>
            <w:r w:rsidRPr="00AA1F65">
              <w:rPr>
                <w:rFonts w:eastAsia="Times New Roman" w:cs="Arial"/>
                <w:b/>
                <w:bCs/>
                <w:color w:val="000000"/>
                <w:sz w:val="18"/>
                <w:szCs w:val="18"/>
                <w:lang w:eastAsia="en-US"/>
              </w:rPr>
              <w:t>R</w:t>
            </w:r>
            <w:r>
              <w:rPr>
                <w:rFonts w:eastAsia="Times New Roman" w:cs="Arial"/>
                <w:b/>
                <w:bCs/>
                <w:color w:val="000000"/>
                <w:sz w:val="18"/>
                <w:szCs w:val="18"/>
                <w:lang w:eastAsia="en-US"/>
              </w:rPr>
              <w:t>é</w:t>
            </w:r>
            <w:r w:rsidRPr="00AA1F65">
              <w:rPr>
                <w:rFonts w:eastAsia="Times New Roman" w:cs="Arial"/>
                <w:b/>
                <w:bCs/>
                <w:color w:val="000000"/>
                <w:sz w:val="18"/>
                <w:szCs w:val="18"/>
                <w:lang w:eastAsia="en-US"/>
              </w:rPr>
              <w:t>sult</w:t>
            </w:r>
            <w:r>
              <w:rPr>
                <w:rFonts w:eastAsia="Times New Roman" w:cs="Arial"/>
                <w:b/>
                <w:bCs/>
                <w:color w:val="000000"/>
                <w:sz w:val="18"/>
                <w:szCs w:val="18"/>
                <w:lang w:eastAsia="en-US"/>
              </w:rPr>
              <w:t>at escompté</w:t>
            </w:r>
            <w:r w:rsidRPr="00AA1F65">
              <w:rPr>
                <w:rFonts w:eastAsia="Times New Roman" w:cs="Arial"/>
                <w:b/>
                <w:bCs/>
                <w:color w:val="000000"/>
                <w:sz w:val="18"/>
                <w:szCs w:val="18"/>
                <w:lang w:eastAsia="en-US"/>
              </w:rPr>
              <w:t xml:space="preserve"> </w:t>
            </w:r>
          </w:p>
        </w:tc>
        <w:tc>
          <w:tcPr>
            <w:tcW w:w="2325" w:type="dxa"/>
            <w:shd w:val="clear" w:color="000000" w:fill="C5D9F1"/>
            <w:tcMar>
              <w:top w:w="57" w:type="dxa"/>
              <w:bottom w:w="57" w:type="dxa"/>
            </w:tcMar>
            <w:vAlign w:val="center"/>
            <w:hideMark/>
          </w:tcPr>
          <w:p w14:paraId="6A1E54E4" w14:textId="77777777" w:rsidR="00E726CE" w:rsidRPr="00AA1F65" w:rsidRDefault="00E726CE" w:rsidP="00986700">
            <w:pPr>
              <w:keepNext/>
              <w:keepLines/>
              <w:jc w:val="center"/>
              <w:rPr>
                <w:rFonts w:eastAsia="Times New Roman" w:cs="Arial"/>
                <w:b/>
                <w:bCs/>
                <w:color w:val="000000"/>
                <w:sz w:val="18"/>
                <w:szCs w:val="18"/>
                <w:lang w:eastAsia="en-US"/>
              </w:rPr>
            </w:pPr>
            <w:r>
              <w:rPr>
                <w:rFonts w:cs="Arial"/>
                <w:b/>
                <w:bCs/>
                <w:color w:val="222222"/>
                <w:sz w:val="18"/>
                <w:szCs w:val="18"/>
                <w:shd w:val="clear" w:color="auto" w:fill="C5D9F1"/>
              </w:rPr>
              <w:t>Indicateurs d’exécution</w:t>
            </w:r>
          </w:p>
        </w:tc>
        <w:tc>
          <w:tcPr>
            <w:tcW w:w="2317" w:type="dxa"/>
            <w:shd w:val="clear" w:color="000000" w:fill="C5D9F1"/>
            <w:tcMar>
              <w:top w:w="57" w:type="dxa"/>
              <w:bottom w:w="57" w:type="dxa"/>
            </w:tcMar>
            <w:vAlign w:val="center"/>
            <w:hideMark/>
          </w:tcPr>
          <w:p w14:paraId="28AB9675" w14:textId="77777777" w:rsidR="00E726CE" w:rsidRPr="00AA1F65" w:rsidRDefault="00E726CE"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Niveaux de référence</w:t>
            </w:r>
          </w:p>
        </w:tc>
        <w:tc>
          <w:tcPr>
            <w:tcW w:w="2324" w:type="dxa"/>
            <w:shd w:val="clear" w:color="000000" w:fill="C5D9F1"/>
            <w:tcMar>
              <w:top w:w="57" w:type="dxa"/>
              <w:bottom w:w="57" w:type="dxa"/>
            </w:tcMar>
            <w:vAlign w:val="center"/>
            <w:hideMark/>
          </w:tcPr>
          <w:p w14:paraId="59B7C1FF" w14:textId="77777777" w:rsidR="00E726CE" w:rsidRPr="00AA1F65" w:rsidRDefault="00E726CE"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Objectifs visés</w:t>
            </w:r>
          </w:p>
        </w:tc>
      </w:tr>
      <w:tr w:rsidR="00E726CE" w:rsidRPr="00611930" w14:paraId="4AF37249" w14:textId="77777777" w:rsidTr="0056581C">
        <w:trPr>
          <w:cantSplit/>
        </w:trPr>
        <w:tc>
          <w:tcPr>
            <w:tcW w:w="2321" w:type="dxa"/>
            <w:shd w:val="clear" w:color="000000" w:fill="FFFFFF"/>
            <w:tcMar>
              <w:top w:w="57" w:type="dxa"/>
              <w:bottom w:w="57" w:type="dxa"/>
            </w:tcMar>
            <w:hideMark/>
          </w:tcPr>
          <w:p w14:paraId="2C172440" w14:textId="77777777" w:rsidR="00E726CE" w:rsidRPr="00412E7A" w:rsidRDefault="00E726CE" w:rsidP="00986700">
            <w:pPr>
              <w:keepNext/>
              <w:keepLines/>
              <w:rPr>
                <w:rFonts w:eastAsia="Times New Roman" w:cs="Arial"/>
                <w:color w:val="000000"/>
                <w:sz w:val="16"/>
                <w:szCs w:val="16"/>
                <w:lang w:val="fr-CH" w:eastAsia="en-US"/>
              </w:rPr>
            </w:pPr>
            <w:r>
              <w:rPr>
                <w:rFonts w:eastAsia="Times New Roman" w:cs="Arial"/>
                <w:color w:val="000000"/>
                <w:sz w:val="16"/>
                <w:szCs w:val="16"/>
                <w:lang w:val="fr-CH" w:eastAsia="en-US"/>
              </w:rPr>
              <w:t xml:space="preserve">I.2 </w:t>
            </w:r>
            <w:r w:rsidRPr="00412E7A">
              <w:rPr>
                <w:rFonts w:eastAsia="Times New Roman" w:cs="Arial"/>
                <w:color w:val="000000"/>
                <w:sz w:val="16"/>
                <w:szCs w:val="16"/>
                <w:lang w:val="fr-CH" w:eastAsia="en-US"/>
              </w:rPr>
              <w:t>Cadres législatifs, réglementaires et politiques de propriété intellectuelle adaptés et équilibrés</w:t>
            </w:r>
          </w:p>
        </w:tc>
        <w:tc>
          <w:tcPr>
            <w:tcW w:w="2325" w:type="dxa"/>
            <w:shd w:val="clear" w:color="000000" w:fill="FFFFFF"/>
            <w:tcMar>
              <w:top w:w="57" w:type="dxa"/>
              <w:bottom w:w="57" w:type="dxa"/>
            </w:tcMar>
            <w:hideMark/>
          </w:tcPr>
          <w:p w14:paraId="0ED67B34" w14:textId="77777777" w:rsidR="00E726CE" w:rsidRPr="00412E7A" w:rsidRDefault="00E726CE" w:rsidP="00986700">
            <w:pPr>
              <w:keepNext/>
              <w:keepLines/>
              <w:rPr>
                <w:rFonts w:eastAsia="Times New Roman" w:cs="Arial"/>
                <w:color w:val="000000"/>
                <w:sz w:val="16"/>
                <w:szCs w:val="16"/>
                <w:lang w:val="fr-CH" w:eastAsia="en-US"/>
              </w:rPr>
            </w:pPr>
            <w:r w:rsidRPr="00412E7A">
              <w:rPr>
                <w:rFonts w:eastAsia="Times New Roman" w:cs="Arial"/>
                <w:color w:val="000000"/>
                <w:sz w:val="16"/>
                <w:szCs w:val="16"/>
                <w:lang w:val="fr-CH" w:eastAsia="en-US"/>
              </w:rPr>
              <w:t>Nombre de pays en transition ayant actualisé leurs lois et réglementations.</w:t>
            </w:r>
          </w:p>
        </w:tc>
        <w:tc>
          <w:tcPr>
            <w:tcW w:w="2317" w:type="dxa"/>
            <w:shd w:val="clear" w:color="000000" w:fill="FFFFFF"/>
            <w:tcMar>
              <w:top w:w="57" w:type="dxa"/>
              <w:bottom w:w="57" w:type="dxa"/>
            </w:tcMar>
            <w:hideMark/>
          </w:tcPr>
          <w:p w14:paraId="55412619" w14:textId="77777777" w:rsidR="00E726CE" w:rsidRPr="00AA1F65" w:rsidRDefault="00E726CE" w:rsidP="00986700">
            <w:pPr>
              <w:keepNext/>
              <w:keepLines/>
              <w:rPr>
                <w:rFonts w:eastAsia="Times New Roman" w:cs="Arial"/>
                <w:color w:val="000000"/>
                <w:sz w:val="16"/>
                <w:szCs w:val="16"/>
                <w:lang w:eastAsia="en-US"/>
              </w:rPr>
            </w:pPr>
            <w:r>
              <w:rPr>
                <w:rFonts w:eastAsia="Times New Roman" w:cs="Arial"/>
                <w:color w:val="000000"/>
                <w:sz w:val="16"/>
                <w:szCs w:val="16"/>
                <w:lang w:eastAsia="en-US"/>
              </w:rPr>
              <w:t>6</w:t>
            </w:r>
            <w:r w:rsidRPr="00AA1F65">
              <w:rPr>
                <w:rFonts w:eastAsia="Times New Roman" w:cs="Arial"/>
                <w:color w:val="000000"/>
                <w:sz w:val="16"/>
                <w:szCs w:val="16"/>
                <w:lang w:eastAsia="en-US"/>
              </w:rPr>
              <w:t xml:space="preserve"> </w:t>
            </w:r>
            <w:r>
              <w:rPr>
                <w:rFonts w:eastAsia="Times New Roman" w:cs="Arial"/>
                <w:color w:val="000000"/>
                <w:sz w:val="16"/>
                <w:szCs w:val="16"/>
                <w:lang w:eastAsia="en-US"/>
              </w:rPr>
              <w:t>pays</w:t>
            </w:r>
            <w:r w:rsidRPr="00AA1F65">
              <w:rPr>
                <w:rFonts w:eastAsia="Times New Roman" w:cs="Arial"/>
                <w:color w:val="000000"/>
                <w:sz w:val="16"/>
                <w:szCs w:val="16"/>
                <w:lang w:eastAsia="en-US"/>
              </w:rPr>
              <w:t xml:space="preserve"> (2016)</w:t>
            </w:r>
          </w:p>
        </w:tc>
        <w:tc>
          <w:tcPr>
            <w:tcW w:w="2324" w:type="dxa"/>
            <w:shd w:val="clear" w:color="000000" w:fill="FFFFFF"/>
            <w:tcMar>
              <w:top w:w="57" w:type="dxa"/>
              <w:bottom w:w="57" w:type="dxa"/>
            </w:tcMar>
            <w:hideMark/>
          </w:tcPr>
          <w:p w14:paraId="3F5F6D5E" w14:textId="77777777" w:rsidR="00E726CE" w:rsidRPr="00412E7A" w:rsidRDefault="00E726CE" w:rsidP="00986700">
            <w:pPr>
              <w:keepNext/>
              <w:keepLines/>
              <w:rPr>
                <w:rFonts w:eastAsia="Times New Roman" w:cs="Arial"/>
                <w:color w:val="000000"/>
                <w:sz w:val="16"/>
                <w:szCs w:val="16"/>
                <w:lang w:val="fr-CH" w:eastAsia="en-US"/>
              </w:rPr>
            </w:pPr>
            <w:r>
              <w:rPr>
                <w:rFonts w:eastAsia="Times New Roman" w:cs="Arial"/>
                <w:color w:val="000000"/>
                <w:sz w:val="16"/>
                <w:szCs w:val="16"/>
                <w:lang w:val="fr-CH" w:eastAsia="en-US"/>
              </w:rPr>
              <w:t>5</w:t>
            </w:r>
            <w:r w:rsidRPr="00412E7A">
              <w:rPr>
                <w:rFonts w:eastAsia="Times New Roman" w:cs="Arial"/>
                <w:color w:val="000000"/>
                <w:sz w:val="16"/>
                <w:szCs w:val="16"/>
                <w:lang w:val="fr-CH" w:eastAsia="en-US"/>
              </w:rPr>
              <w:t xml:space="preserve"> pays au cours de l</w:t>
            </w:r>
            <w:r>
              <w:rPr>
                <w:rFonts w:eastAsia="Times New Roman" w:cs="Arial"/>
                <w:color w:val="000000"/>
                <w:sz w:val="16"/>
                <w:szCs w:val="16"/>
                <w:lang w:val="fr-CH" w:eastAsia="en-US"/>
              </w:rPr>
              <w:t>’</w:t>
            </w:r>
            <w:r w:rsidRPr="00412E7A">
              <w:rPr>
                <w:rFonts w:eastAsia="Times New Roman" w:cs="Arial"/>
                <w:color w:val="000000"/>
                <w:sz w:val="16"/>
                <w:szCs w:val="16"/>
                <w:lang w:val="fr-CH" w:eastAsia="en-US"/>
              </w:rPr>
              <w:t>exercice biennal</w:t>
            </w:r>
          </w:p>
        </w:tc>
      </w:tr>
      <w:tr w:rsidR="00E726CE" w:rsidRPr="00611930" w14:paraId="41586293" w14:textId="77777777" w:rsidTr="0056581C">
        <w:trPr>
          <w:cantSplit/>
        </w:trPr>
        <w:tc>
          <w:tcPr>
            <w:tcW w:w="2321" w:type="dxa"/>
            <w:shd w:val="clear" w:color="000000" w:fill="FFFFFF"/>
            <w:tcMar>
              <w:top w:w="57" w:type="dxa"/>
              <w:bottom w:w="57" w:type="dxa"/>
            </w:tcMar>
            <w:vAlign w:val="bottom"/>
            <w:hideMark/>
          </w:tcPr>
          <w:p w14:paraId="78742AC4" w14:textId="77777777" w:rsidR="00E726CE" w:rsidRPr="00412E7A" w:rsidRDefault="00E726CE" w:rsidP="00986700">
            <w:pPr>
              <w:jc w:val="right"/>
              <w:rPr>
                <w:rFonts w:eastAsia="Times New Roman" w:cs="Arial"/>
                <w:color w:val="000000"/>
                <w:sz w:val="16"/>
                <w:szCs w:val="16"/>
                <w:lang w:val="fr-CH" w:eastAsia="en-US"/>
              </w:rPr>
            </w:pPr>
            <w:r w:rsidRPr="00412E7A">
              <w:rPr>
                <w:rFonts w:eastAsia="Times New Roman" w:cs="Arial"/>
                <w:color w:val="000000"/>
                <w:sz w:val="16"/>
                <w:szCs w:val="16"/>
                <w:lang w:val="fr-CH" w:eastAsia="en-US"/>
              </w:rPr>
              <w:t> </w:t>
            </w:r>
          </w:p>
        </w:tc>
        <w:tc>
          <w:tcPr>
            <w:tcW w:w="2325" w:type="dxa"/>
            <w:shd w:val="clear" w:color="000000" w:fill="FFFFFF"/>
            <w:tcMar>
              <w:top w:w="57" w:type="dxa"/>
              <w:bottom w:w="57" w:type="dxa"/>
            </w:tcMar>
            <w:hideMark/>
          </w:tcPr>
          <w:p w14:paraId="1B998FA6" w14:textId="77777777" w:rsidR="00E726CE" w:rsidRPr="00412E7A" w:rsidRDefault="00E726CE" w:rsidP="00986700">
            <w:pPr>
              <w:rPr>
                <w:rFonts w:eastAsia="Times New Roman" w:cs="Arial"/>
                <w:color w:val="000000"/>
                <w:sz w:val="16"/>
                <w:szCs w:val="16"/>
                <w:lang w:val="fr-CH" w:eastAsia="en-US"/>
              </w:rPr>
            </w:pPr>
            <w:r w:rsidRPr="00412E7A">
              <w:rPr>
                <w:rFonts w:eastAsia="Times New Roman" w:cs="Arial"/>
                <w:color w:val="000000"/>
                <w:sz w:val="16"/>
                <w:szCs w:val="16"/>
                <w:lang w:val="fr-CH" w:eastAsia="en-US"/>
              </w:rPr>
              <w:t>Nombre de ratifications de traités</w:t>
            </w:r>
            <w:r>
              <w:rPr>
                <w:rFonts w:eastAsia="Times New Roman" w:cs="Arial"/>
                <w:color w:val="000000"/>
                <w:sz w:val="16"/>
                <w:szCs w:val="16"/>
                <w:lang w:val="fr-CH" w:eastAsia="en-US"/>
              </w:rPr>
              <w:t xml:space="preserve"> administrés par l’OMPI</w:t>
            </w:r>
          </w:p>
        </w:tc>
        <w:tc>
          <w:tcPr>
            <w:tcW w:w="2317" w:type="dxa"/>
            <w:shd w:val="clear" w:color="000000" w:fill="FFFFFF"/>
            <w:tcMar>
              <w:top w:w="57" w:type="dxa"/>
              <w:bottom w:w="57" w:type="dxa"/>
            </w:tcMar>
            <w:hideMark/>
          </w:tcPr>
          <w:p w14:paraId="6D28A31A"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 xml:space="preserve">7 </w:t>
            </w:r>
            <w:r w:rsidRPr="00AA1F65">
              <w:rPr>
                <w:rFonts w:eastAsia="Times New Roman" w:cs="Arial"/>
                <w:color w:val="000000"/>
                <w:sz w:val="16"/>
                <w:szCs w:val="16"/>
                <w:lang w:eastAsia="en-US"/>
              </w:rPr>
              <w:t>ratifications (2016)</w:t>
            </w:r>
          </w:p>
        </w:tc>
        <w:tc>
          <w:tcPr>
            <w:tcW w:w="2324" w:type="dxa"/>
            <w:shd w:val="clear" w:color="000000" w:fill="FFFFFF"/>
            <w:tcMar>
              <w:top w:w="57" w:type="dxa"/>
              <w:bottom w:w="57" w:type="dxa"/>
            </w:tcMar>
            <w:hideMark/>
          </w:tcPr>
          <w:p w14:paraId="4B060771" w14:textId="77777777" w:rsidR="00E726CE" w:rsidRPr="00412E7A" w:rsidRDefault="00E726CE" w:rsidP="00986700">
            <w:pPr>
              <w:rPr>
                <w:rFonts w:eastAsia="Times New Roman" w:cs="Arial"/>
                <w:color w:val="000000"/>
                <w:sz w:val="16"/>
                <w:szCs w:val="16"/>
                <w:lang w:val="fr-CH" w:eastAsia="en-US"/>
              </w:rPr>
            </w:pPr>
            <w:r>
              <w:rPr>
                <w:rFonts w:eastAsia="Times New Roman" w:cs="Arial"/>
                <w:color w:val="000000"/>
                <w:sz w:val="16"/>
                <w:szCs w:val="16"/>
                <w:lang w:val="fr-CH" w:eastAsia="en-US"/>
              </w:rPr>
              <w:t>9</w:t>
            </w:r>
            <w:r w:rsidRPr="00412E7A">
              <w:rPr>
                <w:rFonts w:eastAsia="Times New Roman" w:cs="Arial"/>
                <w:color w:val="000000"/>
                <w:sz w:val="16"/>
                <w:szCs w:val="16"/>
                <w:lang w:val="fr-CH" w:eastAsia="en-US"/>
              </w:rPr>
              <w:t xml:space="preserve"> pays supplémentaires au cours de l</w:t>
            </w:r>
            <w:r>
              <w:rPr>
                <w:rFonts w:eastAsia="Times New Roman" w:cs="Arial"/>
                <w:color w:val="000000"/>
                <w:sz w:val="16"/>
                <w:szCs w:val="16"/>
                <w:lang w:val="fr-CH" w:eastAsia="en-US"/>
              </w:rPr>
              <w:t>’</w:t>
            </w:r>
            <w:r w:rsidRPr="00412E7A">
              <w:rPr>
                <w:rFonts w:eastAsia="Times New Roman" w:cs="Arial"/>
                <w:color w:val="000000"/>
                <w:sz w:val="16"/>
                <w:szCs w:val="16"/>
                <w:lang w:val="fr-CH" w:eastAsia="en-US"/>
              </w:rPr>
              <w:t>exercice biennal</w:t>
            </w:r>
          </w:p>
        </w:tc>
      </w:tr>
      <w:tr w:rsidR="00E726CE" w:rsidRPr="00AA1F65" w14:paraId="7F46B2A2" w14:textId="77777777" w:rsidTr="0056581C">
        <w:trPr>
          <w:cantSplit/>
        </w:trPr>
        <w:tc>
          <w:tcPr>
            <w:tcW w:w="2321" w:type="dxa"/>
            <w:shd w:val="clear" w:color="000000" w:fill="FFFFFF"/>
            <w:tcMar>
              <w:top w:w="57" w:type="dxa"/>
              <w:bottom w:w="57" w:type="dxa"/>
            </w:tcMar>
            <w:hideMark/>
          </w:tcPr>
          <w:p w14:paraId="76CA8A26" w14:textId="77777777" w:rsidR="00E726CE" w:rsidRPr="000968F4" w:rsidRDefault="00E726CE" w:rsidP="00986700">
            <w:pPr>
              <w:rPr>
                <w:rFonts w:eastAsia="Times New Roman" w:cs="Arial"/>
                <w:color w:val="000000"/>
                <w:sz w:val="16"/>
                <w:szCs w:val="16"/>
                <w:lang w:val="fr-CH" w:eastAsia="en-US"/>
              </w:rPr>
            </w:pPr>
            <w:r w:rsidRPr="000968F4">
              <w:rPr>
                <w:rFonts w:eastAsia="Times New Roman" w:cs="Arial"/>
                <w:color w:val="000000"/>
                <w:sz w:val="16"/>
                <w:szCs w:val="16"/>
                <w:lang w:val="fr-CH" w:eastAsia="en-US"/>
              </w:rPr>
              <w:t>II.1 Utilisation élargie et plus efficace du système du PCT pour le dépôt des demandes internationales de brevet</w:t>
            </w:r>
          </w:p>
        </w:tc>
        <w:tc>
          <w:tcPr>
            <w:tcW w:w="2325" w:type="dxa"/>
            <w:shd w:val="clear" w:color="000000" w:fill="FFFFFF"/>
            <w:tcMar>
              <w:top w:w="57" w:type="dxa"/>
              <w:bottom w:w="57" w:type="dxa"/>
            </w:tcMar>
            <w:hideMark/>
          </w:tcPr>
          <w:p w14:paraId="5322D175" w14:textId="77777777" w:rsidR="00E726CE" w:rsidRPr="000968F4" w:rsidRDefault="00E726CE" w:rsidP="00986700">
            <w:pPr>
              <w:rPr>
                <w:rFonts w:eastAsia="Times New Roman" w:cs="Arial"/>
                <w:color w:val="000000"/>
                <w:sz w:val="16"/>
                <w:szCs w:val="16"/>
                <w:lang w:val="fr-CH" w:eastAsia="en-US"/>
              </w:rPr>
            </w:pPr>
            <w:r w:rsidRPr="000968F4">
              <w:rPr>
                <w:rFonts w:eastAsia="Times New Roman" w:cs="Arial"/>
                <w:color w:val="000000"/>
                <w:sz w:val="16"/>
                <w:szCs w:val="16"/>
                <w:lang w:val="fr-CH" w:eastAsia="en-US"/>
              </w:rPr>
              <w:t>Nombre de demandes selon le PCT originaires de pays en transition et de pays développés</w:t>
            </w:r>
          </w:p>
        </w:tc>
        <w:tc>
          <w:tcPr>
            <w:tcW w:w="2317" w:type="dxa"/>
            <w:shd w:val="clear" w:color="000000" w:fill="FFFFFF"/>
            <w:tcMar>
              <w:top w:w="57" w:type="dxa"/>
              <w:bottom w:w="57" w:type="dxa"/>
            </w:tcMar>
            <w:hideMark/>
          </w:tcPr>
          <w:p w14:paraId="79CA66DE"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168 </w:t>
            </w:r>
            <w:r w:rsidRPr="00AA1F65">
              <w:rPr>
                <w:rFonts w:eastAsia="Times New Roman" w:cs="Arial"/>
                <w:color w:val="000000"/>
                <w:sz w:val="16"/>
                <w:szCs w:val="16"/>
                <w:lang w:eastAsia="en-US"/>
              </w:rPr>
              <w:t>832 (2016)</w:t>
            </w:r>
          </w:p>
        </w:tc>
        <w:tc>
          <w:tcPr>
            <w:tcW w:w="2324" w:type="dxa"/>
            <w:shd w:val="clear" w:color="000000" w:fill="FFFFFF"/>
            <w:tcMar>
              <w:top w:w="57" w:type="dxa"/>
              <w:bottom w:w="57" w:type="dxa"/>
            </w:tcMar>
            <w:hideMark/>
          </w:tcPr>
          <w:p w14:paraId="64D94C08"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Augmentation annuelle</w:t>
            </w:r>
            <w:r w:rsidRPr="00AA1F65">
              <w:rPr>
                <w:rFonts w:eastAsia="Times New Roman" w:cs="Arial"/>
                <w:color w:val="000000"/>
                <w:sz w:val="16"/>
                <w:szCs w:val="16"/>
                <w:lang w:eastAsia="en-US"/>
              </w:rPr>
              <w:t xml:space="preserve"> </w:t>
            </w:r>
            <w:r>
              <w:rPr>
                <w:rFonts w:eastAsia="Times New Roman" w:cs="Arial"/>
                <w:color w:val="000000"/>
                <w:sz w:val="16"/>
                <w:szCs w:val="16"/>
                <w:lang w:eastAsia="en-US"/>
              </w:rPr>
              <w:t xml:space="preserve">de </w:t>
            </w:r>
            <w:r w:rsidRPr="00AA1F65">
              <w:rPr>
                <w:rFonts w:eastAsia="Times New Roman" w:cs="Arial"/>
                <w:color w:val="000000"/>
                <w:sz w:val="16"/>
                <w:szCs w:val="16"/>
                <w:lang w:eastAsia="en-US"/>
              </w:rPr>
              <w:t>1%</w:t>
            </w:r>
          </w:p>
        </w:tc>
      </w:tr>
      <w:tr w:rsidR="00E726CE" w:rsidRPr="00611930" w14:paraId="1B3EF17B" w14:textId="77777777" w:rsidTr="0056581C">
        <w:trPr>
          <w:cantSplit/>
        </w:trPr>
        <w:tc>
          <w:tcPr>
            <w:tcW w:w="2321" w:type="dxa"/>
            <w:shd w:val="clear" w:color="000000" w:fill="FFFFFF"/>
            <w:tcMar>
              <w:top w:w="57" w:type="dxa"/>
              <w:bottom w:w="57" w:type="dxa"/>
            </w:tcMar>
            <w:vAlign w:val="bottom"/>
            <w:hideMark/>
          </w:tcPr>
          <w:p w14:paraId="563FE7FD" w14:textId="77777777" w:rsidR="00E726CE" w:rsidRPr="00AA1F65" w:rsidRDefault="00E726CE" w:rsidP="00986700">
            <w:pPr>
              <w:jc w:val="right"/>
              <w:rPr>
                <w:rFonts w:eastAsia="Times New Roman" w:cs="Arial"/>
                <w:color w:val="000000"/>
                <w:sz w:val="16"/>
                <w:szCs w:val="16"/>
                <w:lang w:eastAsia="en-US"/>
              </w:rPr>
            </w:pPr>
            <w:r w:rsidRPr="00AA1F65">
              <w:rPr>
                <w:rFonts w:eastAsia="Times New Roman" w:cs="Arial"/>
                <w:color w:val="000000"/>
                <w:sz w:val="16"/>
                <w:szCs w:val="16"/>
                <w:lang w:eastAsia="en-US"/>
              </w:rPr>
              <w:t> </w:t>
            </w:r>
          </w:p>
        </w:tc>
        <w:tc>
          <w:tcPr>
            <w:tcW w:w="2325" w:type="dxa"/>
            <w:shd w:val="clear" w:color="000000" w:fill="FFFFFF"/>
            <w:tcMar>
              <w:top w:w="57" w:type="dxa"/>
              <w:bottom w:w="57" w:type="dxa"/>
            </w:tcMar>
            <w:hideMark/>
          </w:tcPr>
          <w:p w14:paraId="6CB3A767" w14:textId="77777777" w:rsidR="00E726CE" w:rsidRPr="000968F4"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Pourcentage</w:t>
            </w:r>
            <w:r w:rsidRPr="000968F4">
              <w:rPr>
                <w:rFonts w:eastAsia="Times New Roman" w:cs="Arial"/>
                <w:color w:val="000000"/>
                <w:sz w:val="16"/>
                <w:szCs w:val="16"/>
                <w:lang w:val="fr-CH" w:eastAsia="en-US"/>
              </w:rPr>
              <w:t xml:space="preserve"> de répondants ayant utilisé plus fréquemment les</w:t>
            </w:r>
            <w:r>
              <w:rPr>
                <w:rFonts w:eastAsia="Times New Roman" w:cs="Arial"/>
                <w:color w:val="000000"/>
                <w:sz w:val="16"/>
                <w:szCs w:val="16"/>
                <w:lang w:val="fr-CH" w:eastAsia="en-US"/>
              </w:rPr>
              <w:t xml:space="preserve"> services de l’OMPI dans les 4</w:t>
            </w:r>
            <w:r w:rsidRPr="000968F4">
              <w:rPr>
                <w:rFonts w:eastAsia="Times New Roman" w:cs="Arial"/>
                <w:color w:val="000000"/>
                <w:sz w:val="16"/>
                <w:szCs w:val="16"/>
                <w:lang w:val="fr-CH" w:eastAsia="en-US"/>
              </w:rPr>
              <w:t xml:space="preserve"> mois </w:t>
            </w:r>
            <w:r>
              <w:rPr>
                <w:rFonts w:eastAsia="Times New Roman" w:cs="Arial"/>
                <w:color w:val="000000"/>
                <w:sz w:val="16"/>
                <w:szCs w:val="16"/>
                <w:lang w:val="fr-CH" w:eastAsia="en-US"/>
              </w:rPr>
              <w:t>suivant leur participation aux s</w:t>
            </w:r>
            <w:r w:rsidRPr="000968F4">
              <w:rPr>
                <w:rFonts w:eastAsia="Times New Roman" w:cs="Arial"/>
                <w:color w:val="000000"/>
                <w:sz w:val="16"/>
                <w:szCs w:val="16"/>
                <w:lang w:val="fr-CH" w:eastAsia="en-US"/>
              </w:rPr>
              <w:t>éminaires itinérants consacrés aux services et initiatives de l</w:t>
            </w:r>
            <w:r>
              <w:rPr>
                <w:rFonts w:eastAsia="Times New Roman" w:cs="Arial"/>
                <w:color w:val="000000"/>
                <w:sz w:val="16"/>
                <w:szCs w:val="16"/>
                <w:lang w:val="fr-CH" w:eastAsia="en-US"/>
              </w:rPr>
              <w:t>’</w:t>
            </w:r>
            <w:r w:rsidRPr="000968F4">
              <w:rPr>
                <w:rFonts w:eastAsia="Times New Roman" w:cs="Arial"/>
                <w:color w:val="000000"/>
                <w:sz w:val="16"/>
                <w:szCs w:val="16"/>
                <w:lang w:val="fr-CH" w:eastAsia="en-US"/>
              </w:rPr>
              <w:t>OMPI</w:t>
            </w:r>
          </w:p>
        </w:tc>
        <w:tc>
          <w:tcPr>
            <w:tcW w:w="2317" w:type="dxa"/>
            <w:shd w:val="clear" w:color="000000" w:fill="FFFFFF"/>
            <w:tcMar>
              <w:top w:w="57" w:type="dxa"/>
              <w:bottom w:w="57" w:type="dxa"/>
            </w:tcMar>
            <w:hideMark/>
          </w:tcPr>
          <w:p w14:paraId="432A1A19"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20% (à la fin de </w:t>
            </w:r>
            <w:r w:rsidRPr="00AA1F65">
              <w:rPr>
                <w:rFonts w:eastAsia="Times New Roman" w:cs="Arial"/>
                <w:color w:val="000000"/>
                <w:sz w:val="16"/>
                <w:szCs w:val="16"/>
                <w:lang w:eastAsia="en-US"/>
              </w:rPr>
              <w:t>2016)</w:t>
            </w:r>
          </w:p>
        </w:tc>
        <w:tc>
          <w:tcPr>
            <w:tcW w:w="2324" w:type="dxa"/>
            <w:shd w:val="clear" w:color="000000" w:fill="FFFFFF"/>
            <w:tcMar>
              <w:top w:w="57" w:type="dxa"/>
              <w:bottom w:w="57" w:type="dxa"/>
            </w:tcMar>
            <w:hideMark/>
          </w:tcPr>
          <w:p w14:paraId="4137F857"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25% de répondants ayant utilisé plus fréquemment les services de l</w:t>
            </w:r>
            <w:r>
              <w:rPr>
                <w:rFonts w:eastAsia="Times New Roman" w:cs="Arial"/>
                <w:color w:val="000000"/>
                <w:sz w:val="16"/>
                <w:szCs w:val="16"/>
                <w:lang w:val="fr-CH" w:eastAsia="en-US"/>
              </w:rPr>
              <w:t>’</w:t>
            </w:r>
            <w:r w:rsidRPr="009C4AAA">
              <w:rPr>
                <w:rFonts w:eastAsia="Times New Roman" w:cs="Arial"/>
                <w:color w:val="000000"/>
                <w:sz w:val="16"/>
                <w:szCs w:val="16"/>
                <w:lang w:val="fr-CH" w:eastAsia="en-US"/>
              </w:rPr>
              <w:t>OMPI</w:t>
            </w:r>
          </w:p>
        </w:tc>
      </w:tr>
      <w:tr w:rsidR="00E726CE" w:rsidRPr="00AA1F65" w14:paraId="13ADB2FD" w14:textId="77777777" w:rsidTr="0056581C">
        <w:trPr>
          <w:cantSplit/>
        </w:trPr>
        <w:tc>
          <w:tcPr>
            <w:tcW w:w="2321" w:type="dxa"/>
            <w:shd w:val="clear" w:color="000000" w:fill="FFFFFF"/>
            <w:tcMar>
              <w:top w:w="57" w:type="dxa"/>
              <w:bottom w:w="57" w:type="dxa"/>
            </w:tcMar>
            <w:hideMark/>
          </w:tcPr>
          <w:p w14:paraId="58C2C749" w14:textId="77777777" w:rsidR="00E726CE" w:rsidRPr="007D3497" w:rsidRDefault="00E726CE" w:rsidP="00986700">
            <w:pPr>
              <w:rPr>
                <w:rFonts w:eastAsia="Times New Roman" w:cs="Arial"/>
                <w:color w:val="000000"/>
                <w:sz w:val="16"/>
                <w:szCs w:val="16"/>
                <w:lang w:val="fr-CH" w:eastAsia="en-US"/>
              </w:rPr>
            </w:pPr>
            <w:r w:rsidRPr="007D3497">
              <w:rPr>
                <w:rFonts w:eastAsia="Times New Roman" w:cs="Arial"/>
                <w:color w:val="000000"/>
                <w:sz w:val="16"/>
                <w:szCs w:val="16"/>
                <w:lang w:val="fr-CH" w:eastAsia="en-US"/>
              </w:rPr>
              <w:lastRenderedPageBreak/>
              <w:t xml:space="preserve">II.3 Utilisation élargie et plus efficace du système de </w:t>
            </w:r>
            <w:r>
              <w:rPr>
                <w:rFonts w:eastAsia="Times New Roman" w:cs="Arial"/>
                <w:color w:val="000000"/>
                <w:sz w:val="16"/>
                <w:szCs w:val="16"/>
                <w:lang w:val="fr-CH" w:eastAsia="en-US"/>
              </w:rPr>
              <w:t>La Haye</w:t>
            </w:r>
            <w:r w:rsidRPr="007D3497">
              <w:rPr>
                <w:rFonts w:eastAsia="Times New Roman" w:cs="Arial"/>
                <w:color w:val="000000"/>
                <w:sz w:val="16"/>
                <w:szCs w:val="16"/>
                <w:lang w:val="fr-CH" w:eastAsia="en-US"/>
              </w:rPr>
              <w:t>, notamment par les pays en développement et les PMA</w:t>
            </w:r>
          </w:p>
        </w:tc>
        <w:tc>
          <w:tcPr>
            <w:tcW w:w="2325" w:type="dxa"/>
            <w:shd w:val="clear" w:color="000000" w:fill="FFFFFF"/>
            <w:tcMar>
              <w:top w:w="57" w:type="dxa"/>
              <w:bottom w:w="57" w:type="dxa"/>
            </w:tcMar>
            <w:hideMark/>
          </w:tcPr>
          <w:p w14:paraId="43641FEC"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 xml:space="preserve">Nombre de demandes déposées selon le système de </w:t>
            </w:r>
            <w:r>
              <w:rPr>
                <w:rFonts w:eastAsia="Times New Roman" w:cs="Arial"/>
                <w:color w:val="000000"/>
                <w:sz w:val="16"/>
                <w:szCs w:val="16"/>
                <w:lang w:val="fr-CH" w:eastAsia="en-US"/>
              </w:rPr>
              <w:t>La Haye</w:t>
            </w:r>
            <w:r w:rsidRPr="009C4AAA">
              <w:rPr>
                <w:rFonts w:eastAsia="Times New Roman" w:cs="Arial"/>
                <w:color w:val="000000"/>
                <w:sz w:val="16"/>
                <w:szCs w:val="16"/>
                <w:lang w:val="fr-CH" w:eastAsia="en-US"/>
              </w:rPr>
              <w:t xml:space="preserve"> émanant de pays en transition et de pays développés</w:t>
            </w:r>
          </w:p>
        </w:tc>
        <w:tc>
          <w:tcPr>
            <w:tcW w:w="2317" w:type="dxa"/>
            <w:shd w:val="clear" w:color="000000" w:fill="FFFFFF"/>
            <w:tcMar>
              <w:top w:w="57" w:type="dxa"/>
              <w:bottom w:w="57" w:type="dxa"/>
            </w:tcMar>
            <w:hideMark/>
          </w:tcPr>
          <w:p w14:paraId="732989DB"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4 </w:t>
            </w:r>
            <w:r w:rsidRPr="00AA1F65">
              <w:rPr>
                <w:rFonts w:eastAsia="Times New Roman" w:cs="Arial"/>
                <w:color w:val="000000"/>
                <w:sz w:val="16"/>
                <w:szCs w:val="16"/>
                <w:lang w:eastAsia="en-US"/>
              </w:rPr>
              <w:t>132 (2016)</w:t>
            </w:r>
          </w:p>
        </w:tc>
        <w:tc>
          <w:tcPr>
            <w:tcW w:w="2324" w:type="dxa"/>
            <w:shd w:val="clear" w:color="000000" w:fill="FFFFFF"/>
            <w:tcMar>
              <w:top w:w="57" w:type="dxa"/>
              <w:bottom w:w="57" w:type="dxa"/>
            </w:tcMar>
            <w:hideMark/>
          </w:tcPr>
          <w:p w14:paraId="1B9A90B2"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 xml:space="preserve">Augmentation annuelle de </w:t>
            </w:r>
            <w:r w:rsidRPr="00AA1F65">
              <w:rPr>
                <w:rFonts w:eastAsia="Times New Roman" w:cs="Arial"/>
                <w:color w:val="000000"/>
                <w:sz w:val="16"/>
                <w:szCs w:val="16"/>
                <w:lang w:eastAsia="en-US"/>
              </w:rPr>
              <w:t>10%</w:t>
            </w:r>
          </w:p>
        </w:tc>
      </w:tr>
      <w:tr w:rsidR="00E726CE" w:rsidRPr="00AA1F65" w14:paraId="3E28703E" w14:textId="77777777" w:rsidTr="0056581C">
        <w:trPr>
          <w:cantSplit/>
        </w:trPr>
        <w:tc>
          <w:tcPr>
            <w:tcW w:w="2321" w:type="dxa"/>
            <w:shd w:val="clear" w:color="000000" w:fill="FFFFFF"/>
            <w:tcMar>
              <w:top w:w="57" w:type="dxa"/>
              <w:bottom w:w="57" w:type="dxa"/>
            </w:tcMar>
            <w:hideMark/>
          </w:tcPr>
          <w:p w14:paraId="09B861D7"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II.5 Utilisation élargie et plus efficace du système de Madrid, notamment par les pays en développement et les PMA</w:t>
            </w:r>
          </w:p>
        </w:tc>
        <w:tc>
          <w:tcPr>
            <w:tcW w:w="2325" w:type="dxa"/>
            <w:shd w:val="clear" w:color="000000" w:fill="FFFFFF"/>
            <w:tcMar>
              <w:top w:w="57" w:type="dxa"/>
              <w:bottom w:w="57" w:type="dxa"/>
            </w:tcMar>
            <w:hideMark/>
          </w:tcPr>
          <w:p w14:paraId="018E24FD"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Nombre de demandes déposées selon le système de Madrid émanant de pays en transition et de pays développés</w:t>
            </w:r>
          </w:p>
        </w:tc>
        <w:tc>
          <w:tcPr>
            <w:tcW w:w="2317" w:type="dxa"/>
            <w:shd w:val="clear" w:color="000000" w:fill="FFFFFF"/>
            <w:tcMar>
              <w:top w:w="57" w:type="dxa"/>
              <w:bottom w:w="57" w:type="dxa"/>
            </w:tcMar>
            <w:hideMark/>
          </w:tcPr>
          <w:p w14:paraId="452DB402"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47 </w:t>
            </w:r>
            <w:r w:rsidRPr="00AA1F65">
              <w:rPr>
                <w:rFonts w:eastAsia="Times New Roman" w:cs="Arial"/>
                <w:color w:val="000000"/>
                <w:sz w:val="16"/>
                <w:szCs w:val="16"/>
                <w:lang w:eastAsia="en-US"/>
              </w:rPr>
              <w:t>094 (2016)</w:t>
            </w:r>
          </w:p>
        </w:tc>
        <w:tc>
          <w:tcPr>
            <w:tcW w:w="2324" w:type="dxa"/>
            <w:shd w:val="clear" w:color="000000" w:fill="FFFFFF"/>
            <w:tcMar>
              <w:top w:w="57" w:type="dxa"/>
              <w:bottom w:w="57" w:type="dxa"/>
            </w:tcMar>
            <w:hideMark/>
          </w:tcPr>
          <w:p w14:paraId="055F901E" w14:textId="77777777" w:rsidR="00E726CE" w:rsidRPr="00AA1F65" w:rsidRDefault="00E726CE" w:rsidP="00986700">
            <w:pPr>
              <w:rPr>
                <w:rFonts w:eastAsia="Times New Roman" w:cs="Arial"/>
                <w:color w:val="000000"/>
                <w:sz w:val="16"/>
                <w:szCs w:val="16"/>
                <w:lang w:eastAsia="en-US"/>
              </w:rPr>
            </w:pPr>
            <w:r>
              <w:rPr>
                <w:rFonts w:eastAsia="Times New Roman" w:cs="Arial"/>
                <w:color w:val="000000"/>
                <w:sz w:val="16"/>
                <w:szCs w:val="16"/>
                <w:lang w:eastAsia="en-US"/>
              </w:rPr>
              <w:t xml:space="preserve">Augmentation annuelle de </w:t>
            </w:r>
            <w:r w:rsidRPr="00AA1F65">
              <w:rPr>
                <w:rFonts w:eastAsia="Times New Roman" w:cs="Arial"/>
                <w:color w:val="000000"/>
                <w:sz w:val="16"/>
                <w:szCs w:val="16"/>
                <w:lang w:eastAsia="en-US"/>
              </w:rPr>
              <w:t>1%</w:t>
            </w:r>
          </w:p>
        </w:tc>
      </w:tr>
      <w:tr w:rsidR="00E726CE" w:rsidRPr="00611930" w14:paraId="352FE886" w14:textId="77777777" w:rsidTr="0056581C">
        <w:trPr>
          <w:cantSplit/>
        </w:trPr>
        <w:tc>
          <w:tcPr>
            <w:tcW w:w="2321" w:type="dxa"/>
            <w:shd w:val="clear" w:color="000000" w:fill="FFFFFF"/>
            <w:tcMar>
              <w:top w:w="57" w:type="dxa"/>
              <w:bottom w:w="57" w:type="dxa"/>
            </w:tcMar>
            <w:hideMark/>
          </w:tcPr>
          <w:p w14:paraId="3066CDD8"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II.7 De plus en plus de litiges internationaux ou nationaux de propriété intellectuelle sont évités ou réglés par la médiation, l</w:t>
            </w:r>
            <w:r>
              <w:rPr>
                <w:rFonts w:eastAsia="Times New Roman" w:cs="Arial"/>
                <w:color w:val="000000"/>
                <w:sz w:val="16"/>
                <w:szCs w:val="16"/>
                <w:lang w:val="fr-CH" w:eastAsia="en-US"/>
              </w:rPr>
              <w:t>’</w:t>
            </w:r>
            <w:r w:rsidRPr="009C4AAA">
              <w:rPr>
                <w:rFonts w:eastAsia="Times New Roman" w:cs="Arial"/>
                <w:color w:val="000000"/>
                <w:sz w:val="16"/>
                <w:szCs w:val="16"/>
                <w:lang w:val="fr-CH" w:eastAsia="en-US"/>
              </w:rPr>
              <w:t>arbitrage et les autres modes extrajudiciaires de règlement des litiges de l</w:t>
            </w:r>
            <w:r>
              <w:rPr>
                <w:rFonts w:eastAsia="Times New Roman" w:cs="Arial"/>
                <w:color w:val="000000"/>
                <w:sz w:val="16"/>
                <w:szCs w:val="16"/>
                <w:lang w:val="fr-CH" w:eastAsia="en-US"/>
              </w:rPr>
              <w:t>’</w:t>
            </w:r>
            <w:r w:rsidRPr="009C4AAA">
              <w:rPr>
                <w:rFonts w:eastAsia="Times New Roman" w:cs="Arial"/>
                <w:color w:val="000000"/>
                <w:sz w:val="16"/>
                <w:szCs w:val="16"/>
                <w:lang w:val="fr-CH" w:eastAsia="en-US"/>
              </w:rPr>
              <w:t>OMPI</w:t>
            </w:r>
          </w:p>
        </w:tc>
        <w:tc>
          <w:tcPr>
            <w:tcW w:w="2325" w:type="dxa"/>
            <w:shd w:val="clear" w:color="000000" w:fill="FFFFFF"/>
            <w:tcMar>
              <w:top w:w="57" w:type="dxa"/>
              <w:bottom w:w="57" w:type="dxa"/>
            </w:tcMar>
            <w:hideMark/>
          </w:tcPr>
          <w:p w14:paraId="72F3B0B5" w14:textId="77777777" w:rsidR="00E726CE" w:rsidRPr="00D5153F" w:rsidRDefault="00E726CE" w:rsidP="00986700">
            <w:pPr>
              <w:rPr>
                <w:rFonts w:eastAsia="Times New Roman" w:cs="Arial"/>
                <w:color w:val="000000"/>
                <w:sz w:val="16"/>
                <w:szCs w:val="16"/>
                <w:lang w:val="fr-CH" w:eastAsia="en-US"/>
              </w:rPr>
            </w:pPr>
            <w:r>
              <w:rPr>
                <w:rFonts w:eastAsia="Times New Roman" w:cs="Arial"/>
                <w:color w:val="000000"/>
                <w:sz w:val="16"/>
                <w:szCs w:val="16"/>
                <w:lang w:val="fr-CH" w:eastAsia="en-US"/>
              </w:rPr>
              <w:t>U</w:t>
            </w:r>
            <w:r w:rsidRPr="00D5153F">
              <w:rPr>
                <w:rFonts w:eastAsia="Times New Roman" w:cs="Arial"/>
                <w:color w:val="000000"/>
                <w:sz w:val="16"/>
                <w:szCs w:val="16"/>
                <w:lang w:val="fr-CH" w:eastAsia="en-US"/>
              </w:rPr>
              <w:t>tilisation accrue de services et de clauses de règlement extrajudiciaire des litiges dans les transactions et les enregistrements de titres de propriété intellectuelle, notamment par le recours aux procédures de l</w:t>
            </w:r>
            <w:r>
              <w:rPr>
                <w:rFonts w:eastAsia="Times New Roman" w:cs="Arial"/>
                <w:color w:val="000000"/>
                <w:sz w:val="16"/>
                <w:szCs w:val="16"/>
                <w:lang w:val="fr-CH" w:eastAsia="en-US"/>
              </w:rPr>
              <w:t>’</w:t>
            </w:r>
            <w:r w:rsidRPr="00D5153F">
              <w:rPr>
                <w:rFonts w:eastAsia="Times New Roman" w:cs="Arial"/>
                <w:color w:val="000000"/>
                <w:sz w:val="16"/>
                <w:szCs w:val="16"/>
                <w:lang w:val="fr-CH" w:eastAsia="en-US"/>
              </w:rPr>
              <w:t>OMPI</w:t>
            </w:r>
            <w:r>
              <w:rPr>
                <w:rFonts w:eastAsia="Times New Roman" w:cs="Arial"/>
                <w:color w:val="000000"/>
                <w:sz w:val="16"/>
                <w:szCs w:val="16"/>
                <w:lang w:val="fr-CH" w:eastAsia="en-US"/>
              </w:rPr>
              <w:t>, par</w:t>
            </w:r>
            <w:r w:rsidRPr="00D5153F">
              <w:rPr>
                <w:rFonts w:eastAsia="Times New Roman" w:cs="Arial"/>
                <w:color w:val="000000"/>
                <w:sz w:val="16"/>
                <w:szCs w:val="16"/>
                <w:lang w:val="fr-CH" w:eastAsia="en-US"/>
              </w:rPr>
              <w:t xml:space="preserve"> des parties originaires de pays en transition et de pays développés</w:t>
            </w:r>
          </w:p>
        </w:tc>
        <w:tc>
          <w:tcPr>
            <w:tcW w:w="2317" w:type="dxa"/>
            <w:shd w:val="clear" w:color="000000" w:fill="FFFFFF"/>
            <w:tcMar>
              <w:top w:w="57" w:type="dxa"/>
              <w:bottom w:w="57" w:type="dxa"/>
            </w:tcMar>
            <w:hideMark/>
          </w:tcPr>
          <w:p w14:paraId="09CEF669" w14:textId="77777777" w:rsidR="00E726CE" w:rsidRPr="009C4AAA" w:rsidRDefault="00E726CE"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469 litiges et 206</w:t>
            </w:r>
            <w:r>
              <w:rPr>
                <w:rFonts w:eastAsia="Times New Roman" w:cs="Arial"/>
                <w:color w:val="000000"/>
                <w:sz w:val="16"/>
                <w:szCs w:val="16"/>
                <w:lang w:val="fr-CH" w:eastAsia="en-US"/>
              </w:rPr>
              <w:t> </w:t>
            </w:r>
            <w:r w:rsidRPr="009C4AAA">
              <w:rPr>
                <w:rFonts w:eastAsia="Times New Roman" w:cs="Arial"/>
                <w:color w:val="000000"/>
                <w:sz w:val="16"/>
                <w:szCs w:val="16"/>
                <w:lang w:val="fr-CH" w:eastAsia="en-US"/>
              </w:rPr>
              <w:t>bons offices impliquant des parties originaires de pays en transition et de pays développés</w:t>
            </w:r>
            <w:r>
              <w:rPr>
                <w:rFonts w:eastAsia="Times New Roman" w:cs="Arial"/>
                <w:color w:val="000000"/>
                <w:sz w:val="16"/>
                <w:szCs w:val="16"/>
                <w:lang w:val="fr-CH" w:eastAsia="en-US"/>
              </w:rPr>
              <w:t xml:space="preserve"> </w:t>
            </w:r>
            <w:r>
              <w:rPr>
                <w:rFonts w:eastAsia="Times New Roman" w:cs="Arial"/>
                <w:color w:val="000000"/>
                <w:sz w:val="16"/>
                <w:szCs w:val="16"/>
                <w:lang w:val="fr-CH" w:eastAsia="en-US"/>
              </w:rPr>
              <w:br/>
              <w:t>(cumul à la fin de </w:t>
            </w:r>
            <w:r w:rsidRPr="009C4AAA">
              <w:rPr>
                <w:rFonts w:eastAsia="Times New Roman" w:cs="Arial"/>
                <w:color w:val="000000"/>
                <w:sz w:val="16"/>
                <w:szCs w:val="16"/>
                <w:lang w:val="fr-CH" w:eastAsia="en-US"/>
              </w:rPr>
              <w:t>2016)</w:t>
            </w:r>
          </w:p>
        </w:tc>
        <w:tc>
          <w:tcPr>
            <w:tcW w:w="2324" w:type="dxa"/>
            <w:shd w:val="clear" w:color="000000" w:fill="FFFFFF"/>
            <w:tcMar>
              <w:top w:w="57" w:type="dxa"/>
              <w:bottom w:w="57" w:type="dxa"/>
            </w:tcMar>
            <w:hideMark/>
          </w:tcPr>
          <w:p w14:paraId="63CFC7C6" w14:textId="77777777" w:rsidR="00E726CE" w:rsidRPr="00CA4807" w:rsidRDefault="00E726CE" w:rsidP="00986700">
            <w:pPr>
              <w:rPr>
                <w:rFonts w:eastAsia="Times New Roman" w:cs="Arial"/>
                <w:color w:val="000000"/>
                <w:sz w:val="16"/>
                <w:szCs w:val="16"/>
                <w:lang w:val="fr-CH" w:eastAsia="en-US"/>
              </w:rPr>
            </w:pPr>
            <w:r w:rsidRPr="00CA4807">
              <w:rPr>
                <w:rFonts w:eastAsia="Times New Roman" w:cs="Arial"/>
                <w:color w:val="000000"/>
                <w:sz w:val="16"/>
                <w:szCs w:val="16"/>
                <w:lang w:val="fr-CH" w:eastAsia="en-US"/>
              </w:rPr>
              <w:t xml:space="preserve">136 litiges et bons offices supplémentaires impliquant des parties originaires de pays en transition </w:t>
            </w:r>
            <w:r>
              <w:rPr>
                <w:rFonts w:eastAsia="Times New Roman" w:cs="Arial"/>
                <w:color w:val="000000"/>
                <w:sz w:val="16"/>
                <w:szCs w:val="16"/>
                <w:lang w:val="fr-CH" w:eastAsia="en-US"/>
              </w:rPr>
              <w:t>et de pays développés</w:t>
            </w:r>
          </w:p>
        </w:tc>
      </w:tr>
      <w:tr w:rsidR="0056581C" w:rsidRPr="0056581C" w14:paraId="6B32A392" w14:textId="77777777" w:rsidTr="0056581C">
        <w:trPr>
          <w:cantSplit/>
        </w:trPr>
        <w:tc>
          <w:tcPr>
            <w:tcW w:w="2321" w:type="dxa"/>
            <w:shd w:val="clear" w:color="000000" w:fill="FFFFFF"/>
            <w:tcMar>
              <w:top w:w="57" w:type="dxa"/>
              <w:bottom w:w="57" w:type="dxa"/>
            </w:tcMar>
          </w:tcPr>
          <w:p w14:paraId="1AFD1AB1" w14:textId="77777777" w:rsidR="0056581C" w:rsidRPr="0056581C" w:rsidRDefault="0056581C" w:rsidP="00986700">
            <w:pPr>
              <w:rPr>
                <w:rFonts w:eastAsia="Times New Roman" w:cs="Arial"/>
                <w:color w:val="000000"/>
                <w:sz w:val="16"/>
                <w:szCs w:val="16"/>
                <w:lang w:val="fr-CH" w:eastAsia="en-US"/>
              </w:rPr>
            </w:pPr>
          </w:p>
        </w:tc>
        <w:tc>
          <w:tcPr>
            <w:tcW w:w="2325" w:type="dxa"/>
            <w:shd w:val="clear" w:color="000000" w:fill="FFFFFF"/>
            <w:tcMar>
              <w:top w:w="57" w:type="dxa"/>
              <w:bottom w:w="57" w:type="dxa"/>
            </w:tcMar>
          </w:tcPr>
          <w:p w14:paraId="7AF5B391" w14:textId="1DD17859" w:rsidR="0056581C" w:rsidRPr="0056581C" w:rsidRDefault="0056581C" w:rsidP="00986700">
            <w:pPr>
              <w:rPr>
                <w:rFonts w:eastAsia="Times New Roman" w:cs="Arial"/>
                <w:color w:val="000000"/>
                <w:sz w:val="16"/>
                <w:szCs w:val="16"/>
                <w:lang w:val="fr-CH" w:eastAsia="en-US"/>
              </w:rPr>
            </w:pPr>
            <w:r w:rsidRPr="0056581C">
              <w:rPr>
                <w:rFonts w:eastAsia="Times New Roman"/>
                <w:sz w:val="16"/>
                <w:lang w:eastAsia="en-US"/>
              </w:rPr>
              <w:t>Politiques de règlement extrajudiciaire des litiges dont le Centre a contribué à l’élaboration ou pour lesquelles il a fourni un appui</w:t>
            </w:r>
          </w:p>
        </w:tc>
        <w:tc>
          <w:tcPr>
            <w:tcW w:w="2317" w:type="dxa"/>
            <w:shd w:val="clear" w:color="000000" w:fill="FFFFFF"/>
            <w:tcMar>
              <w:top w:w="57" w:type="dxa"/>
              <w:bottom w:w="57" w:type="dxa"/>
            </w:tcMar>
          </w:tcPr>
          <w:p w14:paraId="3EF6B584" w14:textId="695F445A" w:rsidR="0056581C" w:rsidRPr="0056581C" w:rsidRDefault="0056581C" w:rsidP="00986700">
            <w:pPr>
              <w:rPr>
                <w:rFonts w:eastAsia="Times New Roman" w:cs="Arial"/>
                <w:color w:val="000000"/>
                <w:sz w:val="16"/>
                <w:szCs w:val="16"/>
                <w:lang w:val="fr-CH" w:eastAsia="en-US"/>
              </w:rPr>
            </w:pPr>
            <w:r w:rsidRPr="0056581C">
              <w:rPr>
                <w:rFonts w:eastAsia="Times New Roman"/>
                <w:sz w:val="16"/>
                <w:lang w:eastAsia="en-US"/>
              </w:rPr>
              <w:t>10 programmes adoptés dans des pays en transition et des pays développés (au total en mars 2017)</w:t>
            </w:r>
          </w:p>
        </w:tc>
        <w:tc>
          <w:tcPr>
            <w:tcW w:w="2324" w:type="dxa"/>
            <w:shd w:val="clear" w:color="000000" w:fill="FFFFFF"/>
            <w:tcMar>
              <w:top w:w="57" w:type="dxa"/>
              <w:bottom w:w="57" w:type="dxa"/>
            </w:tcMar>
          </w:tcPr>
          <w:p w14:paraId="199E5BC0" w14:textId="2A06B4FA" w:rsidR="0056581C" w:rsidRPr="0056581C" w:rsidRDefault="0056581C" w:rsidP="00986700">
            <w:pPr>
              <w:rPr>
                <w:rFonts w:eastAsia="Times New Roman" w:cs="Arial"/>
                <w:color w:val="000000"/>
                <w:sz w:val="16"/>
                <w:szCs w:val="16"/>
                <w:lang w:val="fr-CH" w:eastAsia="en-US"/>
              </w:rPr>
            </w:pPr>
            <w:r w:rsidRPr="0056581C">
              <w:rPr>
                <w:rFonts w:eastAsia="Times New Roman"/>
                <w:sz w:val="16"/>
                <w:lang w:eastAsia="en-US"/>
              </w:rPr>
              <w:t>1 programme supplémentaire adopté</w:t>
            </w:r>
          </w:p>
        </w:tc>
      </w:tr>
      <w:tr w:rsidR="0056581C" w:rsidRPr="00AA1F65" w14:paraId="5A35190F" w14:textId="77777777" w:rsidTr="0056581C">
        <w:trPr>
          <w:cantSplit/>
        </w:trPr>
        <w:tc>
          <w:tcPr>
            <w:tcW w:w="2321" w:type="dxa"/>
            <w:shd w:val="clear" w:color="000000" w:fill="FFFFFF"/>
            <w:tcMar>
              <w:top w:w="57" w:type="dxa"/>
              <w:bottom w:w="57" w:type="dxa"/>
            </w:tcMar>
            <w:hideMark/>
          </w:tcPr>
          <w:p w14:paraId="09F81E3F" w14:textId="306606EC" w:rsidR="0056581C" w:rsidRPr="009C4AAA" w:rsidRDefault="0056581C" w:rsidP="007146B2">
            <w:pPr>
              <w:rPr>
                <w:rFonts w:eastAsia="Times New Roman" w:cs="Arial"/>
                <w:color w:val="000000"/>
                <w:sz w:val="16"/>
                <w:szCs w:val="16"/>
                <w:lang w:val="fr-CH" w:eastAsia="en-US"/>
              </w:rPr>
            </w:pPr>
            <w:r w:rsidRPr="009C4AAA">
              <w:rPr>
                <w:rFonts w:eastAsia="Times New Roman" w:cs="Arial"/>
                <w:color w:val="000000"/>
                <w:sz w:val="16"/>
                <w:szCs w:val="16"/>
                <w:lang w:val="fr-CH" w:eastAsia="en-US"/>
              </w:rPr>
              <w:t>III.1 Stratégies et plans nationaux en matière de propriété intellectuelle conformes aux objectifs de développement nationaux</w:t>
            </w:r>
          </w:p>
        </w:tc>
        <w:tc>
          <w:tcPr>
            <w:tcW w:w="2325" w:type="dxa"/>
            <w:shd w:val="clear" w:color="000000" w:fill="FFFFFF"/>
            <w:tcMar>
              <w:top w:w="57" w:type="dxa"/>
              <w:bottom w:w="57" w:type="dxa"/>
            </w:tcMar>
            <w:hideMark/>
          </w:tcPr>
          <w:p w14:paraId="0EAD07E5" w14:textId="77777777" w:rsidR="0056581C" w:rsidRPr="009C4AAA" w:rsidRDefault="0056581C" w:rsidP="00986700">
            <w:pPr>
              <w:rPr>
                <w:rFonts w:eastAsia="Times New Roman" w:cs="Arial"/>
                <w:color w:val="000000"/>
                <w:sz w:val="16"/>
                <w:szCs w:val="16"/>
                <w:lang w:val="fr-CH" w:eastAsia="en-US"/>
              </w:rPr>
            </w:pPr>
            <w:r>
              <w:rPr>
                <w:rFonts w:eastAsia="Times New Roman" w:cs="Arial"/>
                <w:color w:val="000000"/>
                <w:sz w:val="16"/>
                <w:szCs w:val="16"/>
                <w:lang w:val="fr-CH" w:eastAsia="en-US"/>
              </w:rPr>
              <w:t>N</w:t>
            </w:r>
            <w:r w:rsidRPr="009C4AAA">
              <w:rPr>
                <w:rFonts w:eastAsia="Times New Roman" w:cs="Arial"/>
                <w:color w:val="000000"/>
                <w:sz w:val="16"/>
                <w:szCs w:val="16"/>
                <w:lang w:val="fr-CH" w:eastAsia="en-US"/>
              </w:rPr>
              <w:t>ombre de pays en train de formuler des stratégies nationales de propriété intellectuelle</w:t>
            </w:r>
          </w:p>
        </w:tc>
        <w:tc>
          <w:tcPr>
            <w:tcW w:w="2317" w:type="dxa"/>
            <w:shd w:val="clear" w:color="000000" w:fill="FFFFFF"/>
            <w:tcMar>
              <w:top w:w="57" w:type="dxa"/>
              <w:bottom w:w="57" w:type="dxa"/>
            </w:tcMar>
            <w:hideMark/>
          </w:tcPr>
          <w:p w14:paraId="1F1487BA" w14:textId="77777777" w:rsidR="0056581C" w:rsidRPr="00AA1F65" w:rsidRDefault="0056581C" w:rsidP="00E82B8A">
            <w:pPr>
              <w:rPr>
                <w:rFonts w:eastAsia="Times New Roman" w:cs="Arial"/>
                <w:color w:val="000000"/>
                <w:sz w:val="16"/>
                <w:szCs w:val="16"/>
                <w:lang w:eastAsia="en-US"/>
              </w:rPr>
            </w:pPr>
            <w:r>
              <w:rPr>
                <w:rFonts w:eastAsia="Times New Roman" w:cs="Arial"/>
                <w:color w:val="000000"/>
                <w:sz w:val="16"/>
                <w:szCs w:val="16"/>
                <w:lang w:eastAsia="en-US"/>
              </w:rPr>
              <w:t>À la fin de </w:t>
            </w:r>
            <w:r w:rsidRPr="00AA1F65">
              <w:rPr>
                <w:rFonts w:eastAsia="Times New Roman" w:cs="Arial"/>
                <w:color w:val="000000"/>
                <w:sz w:val="16"/>
                <w:szCs w:val="16"/>
                <w:lang w:eastAsia="en-US"/>
              </w:rPr>
              <w:t>2016</w:t>
            </w:r>
            <w:r>
              <w:rPr>
                <w:rFonts w:eastAsia="Times New Roman" w:cs="Arial"/>
                <w:color w:val="000000"/>
                <w:sz w:val="16"/>
                <w:szCs w:val="16"/>
                <w:lang w:eastAsia="en-US"/>
              </w:rPr>
              <w:t> :</w:t>
            </w:r>
          </w:p>
          <w:p w14:paraId="71A7B280" w14:textId="1F745471" w:rsidR="0056581C" w:rsidRPr="00E82B8A" w:rsidRDefault="0056581C" w:rsidP="00E82B8A">
            <w:pPr>
              <w:rPr>
                <w:rFonts w:eastAsia="Times New Roman" w:cs="Arial"/>
                <w:color w:val="000000"/>
                <w:sz w:val="16"/>
                <w:szCs w:val="16"/>
                <w:lang w:val="fr-CH" w:eastAsia="en-US"/>
              </w:rPr>
            </w:pPr>
            <w:r>
              <w:rPr>
                <w:rFonts w:eastAsia="Times New Roman" w:cs="Arial"/>
                <w:color w:val="000000"/>
                <w:sz w:val="16"/>
                <w:szCs w:val="16"/>
                <w:lang w:val="fr-CH" w:eastAsia="en-US"/>
              </w:rPr>
              <w:t>– 3</w:t>
            </w:r>
            <w:r w:rsidRPr="00E82B8A">
              <w:rPr>
                <w:rFonts w:eastAsia="Times New Roman" w:cs="Arial"/>
                <w:color w:val="000000"/>
                <w:sz w:val="16"/>
                <w:szCs w:val="16"/>
                <w:lang w:val="fr-CH" w:eastAsia="en-US"/>
              </w:rPr>
              <w:t xml:space="preserve"> pays (Kirghizistan, Slovaquie et Ukraine) étaient en train de formuler des stratégies nationales de propriété intellectuelle;</w:t>
            </w:r>
          </w:p>
          <w:p w14:paraId="4977C0BA" w14:textId="0BD9B557" w:rsidR="0056581C" w:rsidRPr="00E82B8A" w:rsidRDefault="0056581C" w:rsidP="00E82B8A">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Pr="00E82B8A">
              <w:rPr>
                <w:rFonts w:eastAsia="Times New Roman" w:cs="Arial"/>
                <w:color w:val="000000"/>
                <w:sz w:val="16"/>
                <w:szCs w:val="16"/>
                <w:lang w:val="fr-CH" w:eastAsia="en-US"/>
              </w:rPr>
              <w:t>2 pays (Géorgie et Lettonie) finalisaient la formulation de stratégies de propriété intellectuelle.</w:t>
            </w:r>
          </w:p>
        </w:tc>
        <w:tc>
          <w:tcPr>
            <w:tcW w:w="2324" w:type="dxa"/>
            <w:shd w:val="clear" w:color="000000" w:fill="FFFFFF"/>
            <w:tcMar>
              <w:top w:w="57" w:type="dxa"/>
              <w:bottom w:w="57" w:type="dxa"/>
            </w:tcMar>
            <w:hideMark/>
          </w:tcPr>
          <w:p w14:paraId="12296C86" w14:textId="77777777" w:rsidR="0056581C" w:rsidRPr="00AA1F65" w:rsidRDefault="0056581C" w:rsidP="00986700">
            <w:pPr>
              <w:rPr>
                <w:rFonts w:eastAsia="Times New Roman" w:cs="Arial"/>
                <w:color w:val="000000"/>
                <w:sz w:val="16"/>
                <w:szCs w:val="16"/>
                <w:lang w:eastAsia="en-US"/>
              </w:rPr>
            </w:pPr>
            <w:r>
              <w:rPr>
                <w:rFonts w:eastAsia="Times New Roman" w:cs="Arial"/>
                <w:color w:val="000000"/>
                <w:sz w:val="16"/>
                <w:szCs w:val="16"/>
                <w:lang w:eastAsia="en-US"/>
              </w:rPr>
              <w:t>4</w:t>
            </w:r>
            <w:r w:rsidRPr="00AA1F65">
              <w:rPr>
                <w:rFonts w:eastAsia="Times New Roman" w:cs="Arial"/>
                <w:color w:val="000000"/>
                <w:sz w:val="16"/>
                <w:szCs w:val="16"/>
                <w:lang w:eastAsia="en-US"/>
              </w:rPr>
              <w:t xml:space="preserve"> </w:t>
            </w:r>
            <w:r>
              <w:rPr>
                <w:rFonts w:eastAsia="Times New Roman" w:cs="Arial"/>
                <w:color w:val="000000"/>
                <w:sz w:val="16"/>
                <w:szCs w:val="16"/>
                <w:lang w:eastAsia="en-US"/>
              </w:rPr>
              <w:t>pays supplémentaires</w:t>
            </w:r>
            <w:r w:rsidRPr="00AA1F65">
              <w:rPr>
                <w:rFonts w:eastAsia="Times New Roman" w:cs="Arial"/>
                <w:color w:val="000000"/>
                <w:sz w:val="16"/>
                <w:szCs w:val="16"/>
                <w:lang w:eastAsia="en-US"/>
              </w:rPr>
              <w:t xml:space="preserve"> </w:t>
            </w:r>
          </w:p>
        </w:tc>
      </w:tr>
      <w:tr w:rsidR="0056581C" w:rsidRPr="00AA1F65" w14:paraId="322118EF" w14:textId="77777777" w:rsidTr="0056581C">
        <w:trPr>
          <w:cantSplit/>
        </w:trPr>
        <w:tc>
          <w:tcPr>
            <w:tcW w:w="2321" w:type="dxa"/>
            <w:shd w:val="clear" w:color="000000" w:fill="FFFFFF"/>
            <w:tcMar>
              <w:top w:w="57" w:type="dxa"/>
              <w:bottom w:w="57" w:type="dxa"/>
            </w:tcMar>
            <w:vAlign w:val="bottom"/>
            <w:hideMark/>
          </w:tcPr>
          <w:p w14:paraId="420F401F" w14:textId="77777777" w:rsidR="0056581C" w:rsidRPr="00AA1F65" w:rsidRDefault="0056581C" w:rsidP="00986700">
            <w:pPr>
              <w:jc w:val="right"/>
              <w:rPr>
                <w:rFonts w:eastAsia="Times New Roman" w:cs="Arial"/>
                <w:color w:val="000000"/>
                <w:sz w:val="16"/>
                <w:szCs w:val="16"/>
                <w:lang w:eastAsia="en-US"/>
              </w:rPr>
            </w:pPr>
            <w:r w:rsidRPr="00AA1F65">
              <w:rPr>
                <w:rFonts w:eastAsia="Times New Roman" w:cs="Arial"/>
                <w:color w:val="000000"/>
                <w:sz w:val="16"/>
                <w:szCs w:val="16"/>
                <w:lang w:eastAsia="en-US"/>
              </w:rPr>
              <w:t> </w:t>
            </w:r>
          </w:p>
        </w:tc>
        <w:tc>
          <w:tcPr>
            <w:tcW w:w="2325" w:type="dxa"/>
            <w:shd w:val="clear" w:color="000000" w:fill="FFFFFF"/>
            <w:tcMar>
              <w:top w:w="57" w:type="dxa"/>
              <w:bottom w:w="57" w:type="dxa"/>
            </w:tcMar>
            <w:hideMark/>
          </w:tcPr>
          <w:p w14:paraId="5E1BBFC6" w14:textId="77777777" w:rsidR="0056581C" w:rsidRPr="00CA4807" w:rsidRDefault="0056581C" w:rsidP="00986700">
            <w:pPr>
              <w:rPr>
                <w:rFonts w:eastAsia="Times New Roman" w:cs="Arial"/>
                <w:color w:val="000000"/>
                <w:sz w:val="16"/>
                <w:szCs w:val="16"/>
                <w:lang w:val="fr-CH" w:eastAsia="en-US"/>
              </w:rPr>
            </w:pPr>
            <w:r w:rsidRPr="00CA4807">
              <w:rPr>
                <w:rFonts w:eastAsia="Times New Roman" w:cs="Arial"/>
                <w:color w:val="000000"/>
                <w:sz w:val="16"/>
                <w:szCs w:val="16"/>
                <w:lang w:val="fr-CH" w:eastAsia="en-US"/>
              </w:rPr>
              <w:t>Nombre de pays ayant élaboré des stratégies ou des plans nationaux de propriété intellectuelle conformes aux objectifs nationaux de développement</w:t>
            </w:r>
          </w:p>
        </w:tc>
        <w:tc>
          <w:tcPr>
            <w:tcW w:w="2317" w:type="dxa"/>
            <w:shd w:val="clear" w:color="000000" w:fill="FFFFFF"/>
            <w:tcMar>
              <w:top w:w="57" w:type="dxa"/>
              <w:bottom w:w="57" w:type="dxa"/>
            </w:tcMar>
            <w:hideMark/>
          </w:tcPr>
          <w:p w14:paraId="6998F8F3" w14:textId="77777777" w:rsidR="0056581C" w:rsidRPr="009C4AAA" w:rsidRDefault="0056581C" w:rsidP="00986700">
            <w:pPr>
              <w:rPr>
                <w:rFonts w:eastAsia="Times New Roman" w:cs="Arial"/>
                <w:color w:val="000000"/>
                <w:sz w:val="16"/>
                <w:szCs w:val="16"/>
                <w:lang w:val="fr-CH" w:eastAsia="en-US"/>
              </w:rPr>
            </w:pPr>
            <w:r w:rsidRPr="009C4AAA">
              <w:rPr>
                <w:rFonts w:eastAsia="Times New Roman" w:cs="Arial"/>
                <w:color w:val="000000"/>
                <w:sz w:val="16"/>
                <w:szCs w:val="16"/>
                <w:lang w:val="fr-CH" w:eastAsia="en-US"/>
              </w:rPr>
              <w:t>21 pays</w:t>
            </w:r>
            <w:r w:rsidRPr="009C4AAA">
              <w:rPr>
                <w:rFonts w:eastAsia="Times New Roman" w:cs="Arial"/>
                <w:color w:val="000000"/>
                <w:sz w:val="16"/>
                <w:szCs w:val="16"/>
                <w:lang w:val="fr-CH" w:eastAsia="en-US"/>
              </w:rPr>
              <w:br/>
              <w:t>(cumul à la fin de</w:t>
            </w:r>
            <w:r>
              <w:rPr>
                <w:rFonts w:eastAsia="Times New Roman" w:cs="Arial"/>
                <w:color w:val="000000"/>
                <w:sz w:val="16"/>
                <w:szCs w:val="16"/>
                <w:lang w:val="fr-CH" w:eastAsia="en-US"/>
              </w:rPr>
              <w:t> </w:t>
            </w:r>
            <w:r w:rsidRPr="009C4AAA">
              <w:rPr>
                <w:rFonts w:eastAsia="Times New Roman" w:cs="Arial"/>
                <w:color w:val="000000"/>
                <w:sz w:val="16"/>
                <w:szCs w:val="16"/>
                <w:lang w:val="fr-CH" w:eastAsia="en-US"/>
              </w:rPr>
              <w:t>2016)</w:t>
            </w:r>
          </w:p>
        </w:tc>
        <w:tc>
          <w:tcPr>
            <w:tcW w:w="2324" w:type="dxa"/>
            <w:shd w:val="clear" w:color="000000" w:fill="FFFFFF"/>
            <w:tcMar>
              <w:top w:w="57" w:type="dxa"/>
              <w:bottom w:w="57" w:type="dxa"/>
            </w:tcMar>
            <w:hideMark/>
          </w:tcPr>
          <w:p w14:paraId="2C93834E" w14:textId="77777777" w:rsidR="0056581C" w:rsidRPr="00AA1F65" w:rsidRDefault="0056581C" w:rsidP="00986700">
            <w:pPr>
              <w:rPr>
                <w:rFonts w:eastAsia="Times New Roman" w:cs="Arial"/>
                <w:color w:val="000000"/>
                <w:sz w:val="16"/>
                <w:szCs w:val="16"/>
                <w:lang w:eastAsia="en-US"/>
              </w:rPr>
            </w:pPr>
            <w:r>
              <w:rPr>
                <w:rFonts w:eastAsia="Times New Roman" w:cs="Arial"/>
                <w:color w:val="000000"/>
                <w:sz w:val="16"/>
                <w:szCs w:val="16"/>
                <w:lang w:eastAsia="en-US"/>
              </w:rPr>
              <w:t>4</w:t>
            </w:r>
            <w:r w:rsidRPr="00AA1F65">
              <w:rPr>
                <w:rFonts w:eastAsia="Times New Roman" w:cs="Arial"/>
                <w:color w:val="000000"/>
                <w:sz w:val="16"/>
                <w:szCs w:val="16"/>
                <w:lang w:eastAsia="en-US"/>
              </w:rPr>
              <w:t xml:space="preserve"> </w:t>
            </w:r>
            <w:r>
              <w:rPr>
                <w:rFonts w:eastAsia="Times New Roman" w:cs="Arial"/>
                <w:color w:val="000000"/>
                <w:sz w:val="16"/>
                <w:szCs w:val="16"/>
                <w:lang w:eastAsia="en-US"/>
              </w:rPr>
              <w:t>pays supplémentaires</w:t>
            </w:r>
            <w:r w:rsidRPr="00AA1F65">
              <w:rPr>
                <w:rFonts w:eastAsia="Times New Roman" w:cs="Arial"/>
                <w:color w:val="000000"/>
                <w:sz w:val="16"/>
                <w:szCs w:val="16"/>
                <w:lang w:eastAsia="en-US"/>
              </w:rPr>
              <w:t xml:space="preserve"> </w:t>
            </w:r>
          </w:p>
        </w:tc>
      </w:tr>
      <w:tr w:rsidR="0056581C" w:rsidRPr="00611930" w14:paraId="317A44A7" w14:textId="77777777" w:rsidTr="0056581C">
        <w:trPr>
          <w:cantSplit/>
        </w:trPr>
        <w:tc>
          <w:tcPr>
            <w:tcW w:w="2321" w:type="dxa"/>
            <w:shd w:val="clear" w:color="000000" w:fill="FFFFFF"/>
            <w:tcMar>
              <w:top w:w="57" w:type="dxa"/>
              <w:bottom w:w="57" w:type="dxa"/>
            </w:tcMar>
            <w:hideMark/>
          </w:tcPr>
          <w:p w14:paraId="66A7523B" w14:textId="7C415BE5" w:rsidR="0056581C" w:rsidRPr="00D5153F" w:rsidRDefault="0056581C" w:rsidP="00986700">
            <w:pPr>
              <w:rPr>
                <w:rFonts w:eastAsia="Times New Roman" w:cs="Arial"/>
                <w:color w:val="000000"/>
                <w:sz w:val="16"/>
                <w:szCs w:val="16"/>
                <w:lang w:val="fr-CH" w:eastAsia="en-US"/>
              </w:rPr>
            </w:pPr>
            <w:r w:rsidRPr="00D5153F">
              <w:rPr>
                <w:rFonts w:eastAsia="Times New Roman" w:cs="Arial"/>
                <w:color w:val="000000"/>
                <w:sz w:val="16"/>
                <w:szCs w:val="16"/>
                <w:lang w:val="fr-CH" w:eastAsia="en-US"/>
              </w:rPr>
              <w:t>III.2 Mise en valeur des ressources humaines pour répondre aux diverses exigences en matière d</w:t>
            </w:r>
            <w:r>
              <w:rPr>
                <w:rFonts w:eastAsia="Times New Roman" w:cs="Arial"/>
                <w:color w:val="000000"/>
                <w:sz w:val="16"/>
                <w:szCs w:val="16"/>
                <w:lang w:val="fr-CH" w:eastAsia="en-US"/>
              </w:rPr>
              <w:t>’</w:t>
            </w:r>
            <w:r w:rsidRPr="00D5153F">
              <w:rPr>
                <w:rFonts w:eastAsia="Times New Roman" w:cs="Arial"/>
                <w:color w:val="000000"/>
                <w:sz w:val="16"/>
                <w:szCs w:val="16"/>
                <w:lang w:val="fr-CH" w:eastAsia="en-US"/>
              </w:rPr>
              <w:t>utilisation efficace de la propriété intellectuelle au service du développement dans les pays en développement, les PMA et les pays en transition</w:t>
            </w:r>
          </w:p>
        </w:tc>
        <w:tc>
          <w:tcPr>
            <w:tcW w:w="2325" w:type="dxa"/>
            <w:shd w:val="clear" w:color="000000" w:fill="FFFFFF"/>
            <w:tcMar>
              <w:top w:w="57" w:type="dxa"/>
              <w:bottom w:w="57" w:type="dxa"/>
            </w:tcMar>
            <w:hideMark/>
          </w:tcPr>
          <w:p w14:paraId="3C0A932D" w14:textId="77777777" w:rsidR="0056581C" w:rsidRPr="00D5153F" w:rsidRDefault="0056581C" w:rsidP="00986700">
            <w:pPr>
              <w:rPr>
                <w:rFonts w:eastAsia="Times New Roman" w:cs="Arial"/>
                <w:color w:val="000000"/>
                <w:sz w:val="16"/>
                <w:szCs w:val="16"/>
                <w:lang w:val="fr-CH" w:eastAsia="en-US"/>
              </w:rPr>
            </w:pPr>
            <w:r w:rsidRPr="00D5153F">
              <w:rPr>
                <w:rFonts w:eastAsia="Times New Roman" w:cs="Arial"/>
                <w:color w:val="000000"/>
                <w:sz w:val="16"/>
                <w:szCs w:val="16"/>
                <w:lang w:val="fr-CH" w:eastAsia="en-US"/>
              </w:rPr>
              <w:t>Nombre de pays</w:t>
            </w:r>
            <w:r>
              <w:rPr>
                <w:rFonts w:eastAsia="Times New Roman" w:cs="Arial"/>
                <w:color w:val="000000"/>
                <w:sz w:val="16"/>
                <w:szCs w:val="16"/>
                <w:lang w:val="fr-CH" w:eastAsia="en-US"/>
              </w:rPr>
              <w:t xml:space="preserve"> en transition</w:t>
            </w:r>
            <w:r w:rsidRPr="00D5153F">
              <w:rPr>
                <w:rFonts w:eastAsia="Times New Roman" w:cs="Arial"/>
                <w:color w:val="000000"/>
                <w:sz w:val="16"/>
                <w:szCs w:val="16"/>
                <w:lang w:val="fr-CH" w:eastAsia="en-US"/>
              </w:rPr>
              <w:t xml:space="preserve"> ayant mis en place des programmes et/ou cours de formation annuels en matière de propriété intellectuelle à l</w:t>
            </w:r>
            <w:r>
              <w:rPr>
                <w:rFonts w:eastAsia="Times New Roman" w:cs="Arial"/>
                <w:color w:val="000000"/>
                <w:sz w:val="16"/>
                <w:szCs w:val="16"/>
                <w:lang w:val="fr-CH" w:eastAsia="en-US"/>
              </w:rPr>
              <w:t>’</w:t>
            </w:r>
            <w:r w:rsidRPr="00D5153F">
              <w:rPr>
                <w:rFonts w:eastAsia="Times New Roman" w:cs="Arial"/>
                <w:color w:val="000000"/>
                <w:sz w:val="16"/>
                <w:szCs w:val="16"/>
                <w:lang w:val="fr-CH" w:eastAsia="en-US"/>
              </w:rPr>
              <w:t>intention de spécialistes de la propriété intellectuelle</w:t>
            </w:r>
          </w:p>
        </w:tc>
        <w:tc>
          <w:tcPr>
            <w:tcW w:w="2317" w:type="dxa"/>
            <w:shd w:val="clear" w:color="000000" w:fill="FFFFFF"/>
            <w:tcMar>
              <w:top w:w="57" w:type="dxa"/>
              <w:bottom w:w="57" w:type="dxa"/>
            </w:tcMar>
            <w:hideMark/>
          </w:tcPr>
          <w:p w14:paraId="7CBCF4D8" w14:textId="77777777" w:rsidR="0056581C" w:rsidRPr="00846FB8" w:rsidRDefault="0056581C" w:rsidP="00986700">
            <w:pPr>
              <w:rPr>
                <w:rFonts w:eastAsia="Times New Roman" w:cs="Arial"/>
                <w:color w:val="000000"/>
                <w:sz w:val="16"/>
                <w:szCs w:val="16"/>
                <w:lang w:val="fr-CH" w:eastAsia="en-US"/>
              </w:rPr>
            </w:pPr>
            <w:r w:rsidRPr="00846FB8">
              <w:rPr>
                <w:rFonts w:eastAsia="Times New Roman" w:cs="Arial"/>
                <w:color w:val="000000"/>
                <w:sz w:val="16"/>
                <w:szCs w:val="16"/>
                <w:lang w:val="fr-CH" w:eastAsia="en-US"/>
              </w:rPr>
              <w:t>15 programmes et/ou cours dans 13</w:t>
            </w:r>
            <w:r>
              <w:rPr>
                <w:rFonts w:eastAsia="Times New Roman" w:cs="Arial"/>
                <w:color w:val="000000"/>
                <w:sz w:val="16"/>
                <w:szCs w:val="16"/>
                <w:lang w:val="fr-CH" w:eastAsia="en-US"/>
              </w:rPr>
              <w:t> </w:t>
            </w:r>
            <w:r w:rsidRPr="00846FB8">
              <w:rPr>
                <w:rFonts w:eastAsia="Times New Roman" w:cs="Arial"/>
                <w:color w:val="000000"/>
                <w:sz w:val="16"/>
                <w:szCs w:val="16"/>
                <w:lang w:val="fr-CH" w:eastAsia="en-US"/>
              </w:rPr>
              <w:t xml:space="preserve">pays </w:t>
            </w:r>
            <w:r>
              <w:rPr>
                <w:rFonts w:eastAsia="Times New Roman" w:cs="Arial"/>
                <w:color w:val="000000"/>
                <w:sz w:val="16"/>
                <w:szCs w:val="16"/>
                <w:lang w:val="fr-CH" w:eastAsia="en-US"/>
              </w:rPr>
              <w:t>(Azerbaïdj</w:t>
            </w:r>
            <w:r w:rsidRPr="00846FB8">
              <w:rPr>
                <w:rFonts w:eastAsia="Times New Roman" w:cs="Arial"/>
                <w:color w:val="000000"/>
                <w:sz w:val="16"/>
                <w:szCs w:val="16"/>
                <w:lang w:val="fr-CH" w:eastAsia="en-US"/>
              </w:rPr>
              <w:t>an, Bulgarie, Croatie,</w:t>
            </w:r>
            <w:r>
              <w:rPr>
                <w:rFonts w:eastAsia="Times New Roman" w:cs="Arial"/>
                <w:color w:val="000000"/>
                <w:sz w:val="16"/>
                <w:szCs w:val="16"/>
                <w:lang w:val="fr-CH" w:eastAsia="en-US"/>
              </w:rPr>
              <w:t xml:space="preserve"> Fédération de Russie,</w:t>
            </w:r>
            <w:r w:rsidRPr="00846FB8">
              <w:rPr>
                <w:rFonts w:eastAsia="Times New Roman" w:cs="Arial"/>
                <w:color w:val="000000"/>
                <w:sz w:val="16"/>
                <w:szCs w:val="16"/>
                <w:lang w:val="fr-CH" w:eastAsia="en-US"/>
              </w:rPr>
              <w:t xml:space="preserve"> G</w:t>
            </w:r>
            <w:r>
              <w:rPr>
                <w:rFonts w:eastAsia="Times New Roman" w:cs="Arial"/>
                <w:color w:val="000000"/>
                <w:sz w:val="16"/>
                <w:szCs w:val="16"/>
                <w:lang w:val="fr-CH" w:eastAsia="en-US"/>
              </w:rPr>
              <w:t>éorgie (2), Kazakhstan,</w:t>
            </w:r>
            <w:r w:rsidRPr="00846FB8">
              <w:rPr>
                <w:rFonts w:eastAsia="Times New Roman" w:cs="Arial"/>
                <w:color w:val="000000"/>
                <w:sz w:val="16"/>
                <w:szCs w:val="16"/>
                <w:lang w:val="fr-CH" w:eastAsia="en-US"/>
              </w:rPr>
              <w:t xml:space="preserve"> L</w:t>
            </w:r>
            <w:r>
              <w:rPr>
                <w:rFonts w:eastAsia="Times New Roman" w:cs="Arial"/>
                <w:color w:val="000000"/>
                <w:sz w:val="16"/>
                <w:szCs w:val="16"/>
                <w:lang w:val="fr-CH" w:eastAsia="en-US"/>
              </w:rPr>
              <w:t>ettonie,</w:t>
            </w:r>
            <w:r w:rsidRPr="00846FB8">
              <w:rPr>
                <w:rFonts w:eastAsia="Times New Roman" w:cs="Arial"/>
                <w:color w:val="000000"/>
                <w:sz w:val="16"/>
                <w:szCs w:val="16"/>
                <w:lang w:val="fr-CH" w:eastAsia="en-US"/>
              </w:rPr>
              <w:t xml:space="preserve"> Pol</w:t>
            </w:r>
            <w:r>
              <w:rPr>
                <w:rFonts w:eastAsia="Times New Roman" w:cs="Arial"/>
                <w:color w:val="000000"/>
                <w:sz w:val="16"/>
                <w:szCs w:val="16"/>
                <w:lang w:val="fr-CH" w:eastAsia="en-US"/>
              </w:rPr>
              <w:t>ogne</w:t>
            </w:r>
            <w:r w:rsidRPr="00846FB8">
              <w:rPr>
                <w:rFonts w:eastAsia="Times New Roman" w:cs="Arial"/>
                <w:color w:val="000000"/>
                <w:sz w:val="16"/>
                <w:szCs w:val="16"/>
                <w:lang w:val="fr-CH" w:eastAsia="en-US"/>
              </w:rPr>
              <w:t xml:space="preserve"> (2)</w:t>
            </w:r>
            <w:r>
              <w:rPr>
                <w:rFonts w:eastAsia="Times New Roman" w:cs="Arial"/>
                <w:color w:val="000000"/>
                <w:sz w:val="16"/>
                <w:szCs w:val="16"/>
                <w:lang w:val="fr-CH" w:eastAsia="en-US"/>
              </w:rPr>
              <w:t>, République de</w:t>
            </w:r>
            <w:r w:rsidRPr="00846FB8">
              <w:rPr>
                <w:rFonts w:eastAsia="Times New Roman" w:cs="Arial"/>
                <w:color w:val="000000"/>
                <w:sz w:val="16"/>
                <w:szCs w:val="16"/>
                <w:lang w:val="fr-CH" w:eastAsia="en-US"/>
              </w:rPr>
              <w:t xml:space="preserve"> Moldova</w:t>
            </w:r>
            <w:r>
              <w:rPr>
                <w:rFonts w:eastAsia="Times New Roman" w:cs="Arial"/>
                <w:color w:val="000000"/>
                <w:sz w:val="16"/>
                <w:szCs w:val="16"/>
                <w:lang w:val="fr-CH" w:eastAsia="en-US"/>
              </w:rPr>
              <w:t>,</w:t>
            </w:r>
            <w:r w:rsidRPr="00846FB8">
              <w:rPr>
                <w:rFonts w:eastAsia="Times New Roman" w:cs="Arial"/>
                <w:color w:val="000000"/>
                <w:sz w:val="16"/>
                <w:szCs w:val="16"/>
                <w:lang w:val="fr-CH" w:eastAsia="en-US"/>
              </w:rPr>
              <w:t xml:space="preserve"> République tchèque, Ro</w:t>
            </w:r>
            <w:r>
              <w:rPr>
                <w:rFonts w:eastAsia="Times New Roman" w:cs="Arial"/>
                <w:color w:val="000000"/>
                <w:sz w:val="16"/>
                <w:szCs w:val="16"/>
                <w:lang w:val="fr-CH" w:eastAsia="en-US"/>
              </w:rPr>
              <w:t>umanie, Slovaquie et Turquie)</w:t>
            </w:r>
            <w:r>
              <w:rPr>
                <w:rFonts w:eastAsia="Times New Roman" w:cs="Arial"/>
                <w:color w:val="000000"/>
                <w:sz w:val="16"/>
                <w:szCs w:val="16"/>
                <w:lang w:val="fr-CH" w:eastAsia="en-US"/>
              </w:rPr>
              <w:br/>
              <w:t>(cumul à la fin de 2</w:t>
            </w:r>
            <w:r w:rsidRPr="00846FB8">
              <w:rPr>
                <w:rFonts w:eastAsia="Times New Roman" w:cs="Arial"/>
                <w:color w:val="000000"/>
                <w:sz w:val="16"/>
                <w:szCs w:val="16"/>
                <w:lang w:val="fr-CH" w:eastAsia="en-US"/>
              </w:rPr>
              <w:t>016)</w:t>
            </w:r>
          </w:p>
        </w:tc>
        <w:tc>
          <w:tcPr>
            <w:tcW w:w="2324" w:type="dxa"/>
            <w:shd w:val="clear" w:color="000000" w:fill="FFFFFF"/>
            <w:tcMar>
              <w:top w:w="57" w:type="dxa"/>
              <w:bottom w:w="57" w:type="dxa"/>
            </w:tcMar>
            <w:hideMark/>
          </w:tcPr>
          <w:p w14:paraId="7809F7F4" w14:textId="36EB87C4" w:rsidR="0056581C" w:rsidRPr="00846FB8" w:rsidRDefault="0056581C" w:rsidP="00986700">
            <w:pPr>
              <w:rPr>
                <w:rFonts w:eastAsia="Times New Roman" w:cs="Arial"/>
                <w:color w:val="000000"/>
                <w:sz w:val="16"/>
                <w:szCs w:val="16"/>
                <w:lang w:val="fr-CH" w:eastAsia="en-US"/>
              </w:rPr>
            </w:pPr>
            <w:r>
              <w:rPr>
                <w:rFonts w:eastAsia="Times New Roman" w:cs="Arial"/>
                <w:color w:val="000000"/>
                <w:sz w:val="16"/>
                <w:szCs w:val="16"/>
                <w:lang w:val="fr-CH" w:eastAsia="en-US"/>
              </w:rPr>
              <w:t xml:space="preserve">2 nouveaux programmes et/ou cours mis en place dans les pays de référence </w:t>
            </w:r>
            <w:r>
              <w:rPr>
                <w:rFonts w:eastAsia="Times New Roman" w:cs="Arial"/>
                <w:color w:val="000000"/>
                <w:sz w:val="16"/>
                <w:szCs w:val="16"/>
                <w:lang w:val="fr-CH" w:eastAsia="en-US"/>
              </w:rPr>
              <w:br/>
            </w:r>
            <w:r>
              <w:rPr>
                <w:rFonts w:eastAsia="Times New Roman" w:cs="Arial"/>
                <w:color w:val="000000"/>
                <w:sz w:val="16"/>
                <w:szCs w:val="16"/>
                <w:lang w:val="fr-CH" w:eastAsia="en-US"/>
              </w:rPr>
              <w:br/>
              <w:t>3 pays supplémentaires ayant mis en place des programmes et/ou cours</w:t>
            </w:r>
            <w:r w:rsidRPr="00846FB8">
              <w:rPr>
                <w:rFonts w:eastAsia="Times New Roman" w:cs="Arial"/>
                <w:color w:val="000000"/>
                <w:sz w:val="16"/>
                <w:szCs w:val="16"/>
                <w:lang w:val="fr-CH" w:eastAsia="en-US"/>
              </w:rPr>
              <w:t xml:space="preserve"> </w:t>
            </w:r>
            <w:r>
              <w:rPr>
                <w:rFonts w:eastAsia="Times New Roman" w:cs="Arial"/>
                <w:color w:val="000000"/>
                <w:sz w:val="16"/>
                <w:szCs w:val="16"/>
                <w:lang w:val="fr-CH" w:eastAsia="en-US"/>
              </w:rPr>
              <w:t>de formation annuels en matière de propriété intellectuelle à l’intention des spécialistes de la propriété intellectuelle</w:t>
            </w:r>
          </w:p>
        </w:tc>
      </w:tr>
      <w:tr w:rsidR="0056581C" w:rsidRPr="00AA1F65" w14:paraId="40616C32" w14:textId="77777777" w:rsidTr="0056581C">
        <w:trPr>
          <w:cantSplit/>
        </w:trPr>
        <w:tc>
          <w:tcPr>
            <w:tcW w:w="2321" w:type="dxa"/>
            <w:shd w:val="clear" w:color="000000" w:fill="FFFFFF"/>
            <w:tcMar>
              <w:top w:w="57" w:type="dxa"/>
              <w:bottom w:w="57" w:type="dxa"/>
            </w:tcMar>
            <w:vAlign w:val="bottom"/>
            <w:hideMark/>
          </w:tcPr>
          <w:p w14:paraId="3AA87BA2" w14:textId="77777777" w:rsidR="0056581C" w:rsidRPr="00846FB8" w:rsidRDefault="0056581C" w:rsidP="00986700">
            <w:pPr>
              <w:jc w:val="right"/>
              <w:rPr>
                <w:rFonts w:eastAsia="Times New Roman" w:cs="Arial"/>
                <w:color w:val="000000"/>
                <w:sz w:val="16"/>
                <w:szCs w:val="16"/>
                <w:lang w:val="fr-CH" w:eastAsia="en-US"/>
              </w:rPr>
            </w:pPr>
          </w:p>
        </w:tc>
        <w:tc>
          <w:tcPr>
            <w:tcW w:w="2325" w:type="dxa"/>
            <w:shd w:val="clear" w:color="000000" w:fill="FFFFFF"/>
            <w:tcMar>
              <w:top w:w="57" w:type="dxa"/>
              <w:bottom w:w="57" w:type="dxa"/>
            </w:tcMar>
            <w:hideMark/>
          </w:tcPr>
          <w:p w14:paraId="6C9BBBD5" w14:textId="77777777" w:rsidR="0056581C" w:rsidRPr="00D5153F" w:rsidRDefault="0056581C" w:rsidP="00986700">
            <w:pPr>
              <w:rPr>
                <w:rFonts w:eastAsia="Times New Roman" w:cs="Arial"/>
                <w:color w:val="000000"/>
                <w:sz w:val="16"/>
                <w:szCs w:val="16"/>
                <w:lang w:val="fr-CH" w:eastAsia="en-US"/>
              </w:rPr>
            </w:pPr>
            <w:r w:rsidRPr="00D5153F">
              <w:rPr>
                <w:rFonts w:eastAsia="Times New Roman" w:cs="Arial"/>
                <w:color w:val="000000"/>
                <w:sz w:val="16"/>
                <w:szCs w:val="16"/>
                <w:lang w:val="fr-CH" w:eastAsia="en-US"/>
              </w:rPr>
              <w:t>Pourcentage de professionnels formés en matière de propriété intellectuelle et de fonctionnaires des offices de propriété intellectuelle qui utilisent des compétences améliorées dans le cadre de leurs activités professionnelles</w:t>
            </w:r>
          </w:p>
        </w:tc>
        <w:tc>
          <w:tcPr>
            <w:tcW w:w="2317" w:type="dxa"/>
            <w:shd w:val="clear" w:color="000000" w:fill="FFFFFF"/>
            <w:tcMar>
              <w:top w:w="57" w:type="dxa"/>
              <w:bottom w:w="57" w:type="dxa"/>
            </w:tcMar>
            <w:hideMark/>
          </w:tcPr>
          <w:p w14:paraId="2D81CD3F" w14:textId="77777777" w:rsidR="0056581C" w:rsidRPr="00AA1F65" w:rsidRDefault="0056581C" w:rsidP="00986700">
            <w:pPr>
              <w:rPr>
                <w:rFonts w:eastAsia="Times New Roman" w:cs="Arial"/>
                <w:color w:val="000000"/>
                <w:sz w:val="16"/>
                <w:szCs w:val="16"/>
                <w:lang w:eastAsia="en-US"/>
              </w:rPr>
            </w:pPr>
            <w:r w:rsidRPr="00AA1F65">
              <w:rPr>
                <w:rFonts w:eastAsia="Times New Roman" w:cs="Arial"/>
                <w:color w:val="000000"/>
                <w:sz w:val="16"/>
                <w:szCs w:val="16"/>
                <w:lang w:eastAsia="en-US"/>
              </w:rPr>
              <w:t>83%</w:t>
            </w:r>
          </w:p>
        </w:tc>
        <w:tc>
          <w:tcPr>
            <w:tcW w:w="2324" w:type="dxa"/>
            <w:shd w:val="clear" w:color="000000" w:fill="FFFFFF"/>
            <w:tcMar>
              <w:top w:w="57" w:type="dxa"/>
              <w:bottom w:w="57" w:type="dxa"/>
            </w:tcMar>
            <w:hideMark/>
          </w:tcPr>
          <w:p w14:paraId="67ABAEE5" w14:textId="77777777" w:rsidR="0056581C" w:rsidRPr="00AA1F65" w:rsidRDefault="0056581C" w:rsidP="00986700">
            <w:pPr>
              <w:rPr>
                <w:rFonts w:eastAsia="Times New Roman" w:cs="Arial"/>
                <w:color w:val="000000"/>
                <w:sz w:val="16"/>
                <w:szCs w:val="16"/>
                <w:lang w:eastAsia="en-US"/>
              </w:rPr>
            </w:pPr>
            <w:r w:rsidRPr="00AA1F65">
              <w:rPr>
                <w:rFonts w:eastAsia="Times New Roman" w:cs="Arial"/>
                <w:color w:val="000000"/>
                <w:sz w:val="16"/>
                <w:szCs w:val="16"/>
                <w:lang w:eastAsia="en-US"/>
              </w:rPr>
              <w:t>80%</w:t>
            </w:r>
          </w:p>
        </w:tc>
      </w:tr>
      <w:tr w:rsidR="0056581C" w:rsidRPr="00AA1F65" w14:paraId="638D7667" w14:textId="77777777" w:rsidTr="0056581C">
        <w:trPr>
          <w:cantSplit/>
        </w:trPr>
        <w:tc>
          <w:tcPr>
            <w:tcW w:w="2321" w:type="dxa"/>
            <w:shd w:val="clear" w:color="000000" w:fill="FFFFFF"/>
            <w:tcMar>
              <w:top w:w="57" w:type="dxa"/>
              <w:bottom w:w="57" w:type="dxa"/>
            </w:tcMar>
            <w:hideMark/>
          </w:tcPr>
          <w:p w14:paraId="74808E4E" w14:textId="6F24DDCD" w:rsidR="0056581C" w:rsidRPr="00D256B9" w:rsidRDefault="0056581C" w:rsidP="00986700">
            <w:pPr>
              <w:rPr>
                <w:rFonts w:eastAsia="Times New Roman" w:cs="Arial"/>
                <w:color w:val="000000"/>
                <w:sz w:val="16"/>
                <w:szCs w:val="16"/>
                <w:lang w:val="fr-CH" w:eastAsia="en-US"/>
              </w:rPr>
            </w:pPr>
            <w:r w:rsidRPr="00917B86">
              <w:rPr>
                <w:rFonts w:eastAsia="Times New Roman" w:cs="Arial"/>
                <w:color w:val="000000"/>
                <w:sz w:val="16"/>
                <w:szCs w:val="16"/>
                <w:lang w:val="fr-CH" w:eastAsia="en-US"/>
              </w:rPr>
              <w:lastRenderedPageBreak/>
              <w:t xml:space="preserve">III.4 </w:t>
            </w:r>
            <w:r w:rsidRPr="007146B2">
              <w:rPr>
                <w:rFonts w:eastAsia="Times New Roman" w:cs="Arial"/>
                <w:color w:val="000000"/>
                <w:sz w:val="16"/>
                <w:szCs w:val="16"/>
                <w:lang w:val="fr-CH" w:eastAsia="en-US"/>
              </w:rPr>
              <w:t>Accords de coopération avec les institutions des pays en développement, des PMA et des pays en transition renforcés et adaptés à leurs besoins</w:t>
            </w:r>
          </w:p>
        </w:tc>
        <w:tc>
          <w:tcPr>
            <w:tcW w:w="2325" w:type="dxa"/>
            <w:shd w:val="clear" w:color="000000" w:fill="FFFFFF"/>
            <w:tcMar>
              <w:top w:w="57" w:type="dxa"/>
              <w:bottom w:w="57" w:type="dxa"/>
            </w:tcMar>
            <w:hideMark/>
          </w:tcPr>
          <w:p w14:paraId="02E045DE" w14:textId="77777777" w:rsidR="0056581C" w:rsidRPr="00AA1F65" w:rsidRDefault="0056581C" w:rsidP="00986700">
            <w:pPr>
              <w:rPr>
                <w:rFonts w:eastAsia="Times New Roman" w:cs="Arial"/>
                <w:color w:val="000000"/>
                <w:sz w:val="16"/>
                <w:szCs w:val="16"/>
                <w:lang w:eastAsia="en-US"/>
              </w:rPr>
            </w:pPr>
            <w:r>
              <w:rPr>
                <w:rFonts w:eastAsia="Times New Roman" w:cs="Arial"/>
                <w:color w:val="000000"/>
                <w:sz w:val="16"/>
                <w:szCs w:val="16"/>
                <w:lang w:eastAsia="en-US"/>
              </w:rPr>
              <w:t>Nombre de partenariats établis</w:t>
            </w:r>
          </w:p>
        </w:tc>
        <w:tc>
          <w:tcPr>
            <w:tcW w:w="2317" w:type="dxa"/>
            <w:shd w:val="clear" w:color="000000" w:fill="FFFFFF"/>
            <w:tcMar>
              <w:top w:w="57" w:type="dxa"/>
              <w:bottom w:w="57" w:type="dxa"/>
            </w:tcMar>
            <w:hideMark/>
          </w:tcPr>
          <w:p w14:paraId="70E50EF7" w14:textId="77777777" w:rsidR="0056581C" w:rsidRPr="00D256B9" w:rsidRDefault="0056581C" w:rsidP="00986700">
            <w:pPr>
              <w:rPr>
                <w:rFonts w:eastAsia="Times New Roman" w:cs="Arial"/>
                <w:color w:val="000000"/>
                <w:sz w:val="16"/>
                <w:szCs w:val="16"/>
                <w:lang w:val="fr-CH" w:eastAsia="en-US"/>
              </w:rPr>
            </w:pPr>
            <w:r>
              <w:rPr>
                <w:rFonts w:eastAsia="Times New Roman" w:cs="Arial"/>
                <w:color w:val="000000"/>
                <w:sz w:val="16"/>
                <w:szCs w:val="16"/>
                <w:lang w:val="fr-CH" w:eastAsia="en-US"/>
              </w:rPr>
              <w:t>6</w:t>
            </w:r>
            <w:r w:rsidRPr="00D256B9">
              <w:rPr>
                <w:rFonts w:eastAsia="Times New Roman" w:cs="Arial"/>
                <w:color w:val="000000"/>
                <w:sz w:val="16"/>
                <w:szCs w:val="16"/>
                <w:lang w:val="fr-CH" w:eastAsia="en-US"/>
              </w:rPr>
              <w:t xml:space="preserve"> partenariats établis en matière de propriété intellectuelle en</w:t>
            </w:r>
            <w:r>
              <w:rPr>
                <w:rFonts w:eastAsia="Times New Roman" w:cs="Arial"/>
                <w:color w:val="000000"/>
                <w:sz w:val="16"/>
                <w:szCs w:val="16"/>
                <w:lang w:val="fr-CH" w:eastAsia="en-US"/>
              </w:rPr>
              <w:t> </w:t>
            </w:r>
            <w:r w:rsidRPr="00D256B9">
              <w:rPr>
                <w:rFonts w:eastAsia="Times New Roman" w:cs="Arial"/>
                <w:color w:val="000000"/>
                <w:sz w:val="16"/>
                <w:szCs w:val="16"/>
                <w:lang w:val="fr-CH" w:eastAsia="en-US"/>
              </w:rPr>
              <w:t>2016</w:t>
            </w:r>
            <w:r>
              <w:rPr>
                <w:rFonts w:eastAsia="Times New Roman" w:cs="Arial"/>
                <w:color w:val="000000"/>
                <w:sz w:val="16"/>
                <w:szCs w:val="16"/>
                <w:lang w:val="fr-CH" w:eastAsia="en-US"/>
              </w:rPr>
              <w:t> :</w:t>
            </w:r>
          </w:p>
          <w:p w14:paraId="1E7C1837" w14:textId="77777777" w:rsidR="0056581C" w:rsidRPr="00AA1F65" w:rsidRDefault="0056581C" w:rsidP="00616FD3">
            <w:pPr>
              <w:pStyle w:val="ListParagraph"/>
              <w:numPr>
                <w:ilvl w:val="0"/>
                <w:numId w:val="16"/>
              </w:numPr>
              <w:tabs>
                <w:tab w:val="left" w:pos="158"/>
              </w:tabs>
              <w:ind w:left="0" w:firstLine="0"/>
              <w:rPr>
                <w:rFonts w:eastAsia="Times New Roman" w:cs="Arial"/>
                <w:color w:val="000000"/>
                <w:sz w:val="16"/>
                <w:szCs w:val="16"/>
                <w:lang w:val="fr-CH" w:eastAsia="en-US"/>
              </w:rPr>
            </w:pPr>
            <w:r>
              <w:rPr>
                <w:rFonts w:eastAsia="Times New Roman" w:cs="Arial"/>
                <w:color w:val="000000"/>
                <w:sz w:val="16"/>
                <w:szCs w:val="16"/>
                <w:lang w:val="fr-CH" w:eastAsia="en-US"/>
              </w:rPr>
              <w:t>2 mémorandums d’accord entre</w:t>
            </w:r>
            <w:r w:rsidRPr="00AA1F65">
              <w:rPr>
                <w:rFonts w:eastAsia="Times New Roman" w:cs="Arial"/>
                <w:color w:val="000000"/>
                <w:sz w:val="16"/>
                <w:szCs w:val="16"/>
                <w:lang w:val="fr-CH" w:eastAsia="en-US"/>
              </w:rPr>
              <w:t xml:space="preserve"> </w:t>
            </w:r>
            <w:r>
              <w:rPr>
                <w:rFonts w:eastAsia="Times New Roman" w:cs="Arial"/>
                <w:color w:val="000000"/>
                <w:sz w:val="16"/>
                <w:szCs w:val="16"/>
                <w:lang w:val="fr-CH" w:eastAsia="en-US"/>
              </w:rPr>
              <w:t>l’Institut n</w:t>
            </w:r>
            <w:r w:rsidRPr="00846FB8">
              <w:rPr>
                <w:rFonts w:eastAsia="Times New Roman" w:cs="Arial"/>
                <w:color w:val="000000"/>
                <w:sz w:val="16"/>
                <w:szCs w:val="16"/>
                <w:lang w:val="fr-CH" w:eastAsia="en-US"/>
              </w:rPr>
              <w:t xml:space="preserve">ational de la </w:t>
            </w:r>
            <w:r>
              <w:rPr>
                <w:rFonts w:eastAsia="Times New Roman" w:cs="Arial"/>
                <w:color w:val="000000"/>
                <w:sz w:val="16"/>
                <w:szCs w:val="16"/>
                <w:lang w:val="fr-CH" w:eastAsia="en-US"/>
              </w:rPr>
              <w:t>p</w:t>
            </w:r>
            <w:r w:rsidRPr="00846FB8">
              <w:rPr>
                <w:rFonts w:eastAsia="Times New Roman" w:cs="Arial"/>
                <w:color w:val="000000"/>
                <w:sz w:val="16"/>
                <w:szCs w:val="16"/>
                <w:lang w:val="fr-CH" w:eastAsia="en-US"/>
              </w:rPr>
              <w:t xml:space="preserve">ropriété </w:t>
            </w:r>
            <w:r>
              <w:rPr>
                <w:rFonts w:eastAsia="Times New Roman" w:cs="Arial"/>
                <w:color w:val="000000"/>
                <w:sz w:val="16"/>
                <w:szCs w:val="16"/>
                <w:lang w:val="fr-CH" w:eastAsia="en-US"/>
              </w:rPr>
              <w:t>i</w:t>
            </w:r>
            <w:r w:rsidRPr="00846FB8">
              <w:rPr>
                <w:rFonts w:eastAsia="Times New Roman" w:cs="Arial"/>
                <w:color w:val="000000"/>
                <w:sz w:val="16"/>
                <w:szCs w:val="16"/>
                <w:lang w:val="fr-CH" w:eastAsia="en-US"/>
              </w:rPr>
              <w:t xml:space="preserve">ndustrielle </w:t>
            </w:r>
            <w:r w:rsidRPr="00AA1F65">
              <w:rPr>
                <w:rFonts w:eastAsia="Times New Roman" w:cs="Arial"/>
                <w:color w:val="000000"/>
                <w:sz w:val="16"/>
                <w:szCs w:val="16"/>
                <w:lang w:val="fr-CH" w:eastAsia="en-US"/>
              </w:rPr>
              <w:t xml:space="preserve">(INPI) (France) </w:t>
            </w:r>
            <w:r>
              <w:rPr>
                <w:rFonts w:eastAsia="Times New Roman" w:cs="Arial"/>
                <w:color w:val="000000"/>
                <w:sz w:val="16"/>
                <w:szCs w:val="16"/>
                <w:lang w:val="fr-CH" w:eastAsia="en-US"/>
              </w:rPr>
              <w:t>et l’OMPI</w:t>
            </w:r>
          </w:p>
          <w:p w14:paraId="19B9B167" w14:textId="0F3F52C0" w:rsidR="0056581C" w:rsidRPr="00D256B9" w:rsidRDefault="0056581C" w:rsidP="00616FD3">
            <w:pPr>
              <w:pStyle w:val="ListParagraph"/>
              <w:numPr>
                <w:ilvl w:val="0"/>
                <w:numId w:val="16"/>
              </w:numPr>
              <w:tabs>
                <w:tab w:val="left" w:pos="158"/>
              </w:tabs>
              <w:ind w:left="0" w:firstLine="0"/>
              <w:rPr>
                <w:rFonts w:eastAsia="Times New Roman" w:cs="Arial"/>
                <w:color w:val="000000"/>
                <w:sz w:val="16"/>
                <w:szCs w:val="16"/>
                <w:lang w:val="fr-CH" w:eastAsia="en-US"/>
              </w:rPr>
            </w:pPr>
            <w:r>
              <w:rPr>
                <w:rFonts w:eastAsia="Times New Roman" w:cs="Arial"/>
                <w:color w:val="000000"/>
                <w:sz w:val="16"/>
                <w:szCs w:val="16"/>
                <w:lang w:val="fr-CH" w:eastAsia="en-US"/>
              </w:rPr>
              <w:t>1</w:t>
            </w:r>
            <w:r w:rsidRPr="00D256B9">
              <w:rPr>
                <w:rFonts w:eastAsia="Times New Roman" w:cs="Arial"/>
                <w:color w:val="000000"/>
                <w:sz w:val="16"/>
                <w:szCs w:val="16"/>
                <w:lang w:val="fr-CH" w:eastAsia="en-US"/>
              </w:rPr>
              <w:t xml:space="preserve"> mémorandum d</w:t>
            </w:r>
            <w:r>
              <w:rPr>
                <w:rFonts w:eastAsia="Times New Roman" w:cs="Arial"/>
                <w:color w:val="000000"/>
                <w:sz w:val="16"/>
                <w:szCs w:val="16"/>
                <w:lang w:val="fr-CH" w:eastAsia="en-US"/>
              </w:rPr>
              <w:t>’</w:t>
            </w:r>
            <w:r w:rsidRPr="00D256B9">
              <w:rPr>
                <w:rFonts w:eastAsia="Times New Roman" w:cs="Arial"/>
                <w:color w:val="000000"/>
                <w:sz w:val="16"/>
                <w:szCs w:val="16"/>
                <w:lang w:val="fr-CH" w:eastAsia="en-US"/>
              </w:rPr>
              <w:t>accord entre l</w:t>
            </w:r>
            <w:r>
              <w:rPr>
                <w:rFonts w:eastAsia="Times New Roman" w:cs="Arial"/>
                <w:color w:val="000000"/>
                <w:sz w:val="16"/>
                <w:szCs w:val="16"/>
                <w:lang w:val="fr-CH" w:eastAsia="en-US"/>
              </w:rPr>
              <w:t>’</w:t>
            </w:r>
            <w:r w:rsidRPr="00D256B9">
              <w:rPr>
                <w:rFonts w:eastAsia="Times New Roman" w:cs="Arial"/>
                <w:color w:val="000000"/>
                <w:sz w:val="16"/>
                <w:szCs w:val="16"/>
                <w:lang w:val="fr-CH" w:eastAsia="en-US"/>
              </w:rPr>
              <w:t xml:space="preserve">Institut national de la propriété intellectuelle du Kazakhstan </w:t>
            </w:r>
            <w:r>
              <w:rPr>
                <w:rFonts w:eastAsia="Times New Roman" w:cs="Arial"/>
                <w:color w:val="000000"/>
                <w:sz w:val="16"/>
                <w:szCs w:val="16"/>
                <w:lang w:val="fr-CH" w:eastAsia="en-US"/>
              </w:rPr>
              <w:t>et l’Office des brevets et des marques des États</w:t>
            </w:r>
            <w:r>
              <w:rPr>
                <w:rFonts w:eastAsia="Times New Roman" w:cs="Arial"/>
                <w:color w:val="000000"/>
                <w:sz w:val="16"/>
                <w:szCs w:val="16"/>
                <w:lang w:val="fr-CH" w:eastAsia="en-US"/>
              </w:rPr>
              <w:noBreakHyphen/>
              <w:t>Unis d’Amérique</w:t>
            </w:r>
            <w:r w:rsidRPr="00D256B9">
              <w:rPr>
                <w:rFonts w:eastAsia="Times New Roman" w:cs="Arial"/>
                <w:color w:val="000000"/>
                <w:sz w:val="16"/>
                <w:szCs w:val="16"/>
                <w:lang w:val="fr-CH" w:eastAsia="en-US"/>
              </w:rPr>
              <w:t xml:space="preserve"> (USPTO)</w:t>
            </w:r>
          </w:p>
          <w:p w14:paraId="03D77179" w14:textId="77777777" w:rsidR="0056581C" w:rsidRPr="00E01FE0" w:rsidRDefault="0056581C" w:rsidP="00616FD3">
            <w:pPr>
              <w:pStyle w:val="ListParagraph"/>
              <w:numPr>
                <w:ilvl w:val="0"/>
                <w:numId w:val="16"/>
              </w:numPr>
              <w:tabs>
                <w:tab w:val="left" w:pos="158"/>
              </w:tabs>
              <w:ind w:left="0" w:firstLine="0"/>
              <w:rPr>
                <w:rFonts w:eastAsia="Times New Roman" w:cs="Arial"/>
                <w:color w:val="000000"/>
                <w:sz w:val="16"/>
                <w:szCs w:val="16"/>
                <w:lang w:val="fr-CH" w:eastAsia="en-US"/>
              </w:rPr>
            </w:pPr>
            <w:r w:rsidRPr="00E01FE0">
              <w:rPr>
                <w:rFonts w:eastAsia="Times New Roman" w:cs="Arial"/>
                <w:color w:val="000000"/>
                <w:sz w:val="16"/>
                <w:szCs w:val="16"/>
                <w:lang w:val="fr-CH" w:eastAsia="en-US"/>
              </w:rPr>
              <w:t>Un accord entre l</w:t>
            </w:r>
            <w:r>
              <w:rPr>
                <w:rFonts w:eastAsia="Times New Roman" w:cs="Arial"/>
                <w:color w:val="000000"/>
                <w:sz w:val="16"/>
                <w:szCs w:val="16"/>
                <w:lang w:val="fr-CH" w:eastAsia="en-US"/>
              </w:rPr>
              <w:t>’</w:t>
            </w:r>
            <w:r w:rsidRPr="00E01FE0">
              <w:rPr>
                <w:rFonts w:eastAsia="Times New Roman" w:cs="Arial"/>
                <w:color w:val="000000"/>
                <w:sz w:val="16"/>
                <w:szCs w:val="16"/>
                <w:lang w:val="fr-CH" w:eastAsia="en-US"/>
              </w:rPr>
              <w:t>OMPI et l</w:t>
            </w:r>
            <w:r>
              <w:rPr>
                <w:rFonts w:eastAsia="Times New Roman" w:cs="Arial"/>
                <w:color w:val="000000"/>
                <w:sz w:val="16"/>
                <w:szCs w:val="16"/>
                <w:lang w:val="fr-CH" w:eastAsia="en-US"/>
              </w:rPr>
              <w:t>’</w:t>
            </w:r>
            <w:r w:rsidRPr="00E01FE0">
              <w:rPr>
                <w:rFonts w:eastAsia="Times New Roman" w:cs="Arial"/>
                <w:color w:val="000000"/>
                <w:sz w:val="16"/>
                <w:szCs w:val="16"/>
                <w:lang w:val="fr-CH" w:eastAsia="en-US"/>
              </w:rPr>
              <w:t xml:space="preserve">Organisation hellénique de la propriété industrielle (OBI) </w:t>
            </w:r>
            <w:r>
              <w:rPr>
                <w:rFonts w:eastAsia="Times New Roman" w:cs="Arial"/>
                <w:color w:val="000000"/>
                <w:sz w:val="16"/>
                <w:szCs w:val="16"/>
                <w:lang w:val="fr-CH" w:eastAsia="en-US"/>
              </w:rPr>
              <w:t xml:space="preserve">relatif à la traduction grecque et à l’impression d’une publication de l’OMPI </w:t>
            </w:r>
            <w:r w:rsidRPr="00E01FE0">
              <w:rPr>
                <w:rFonts w:eastAsia="Times New Roman" w:cs="Arial"/>
                <w:color w:val="000000"/>
                <w:sz w:val="16"/>
                <w:szCs w:val="16"/>
                <w:lang w:val="fr-CH" w:eastAsia="en-US"/>
              </w:rPr>
              <w:t>(</w:t>
            </w:r>
            <w:r>
              <w:rPr>
                <w:rFonts w:eastAsia="Times New Roman" w:cs="Arial"/>
                <w:color w:val="000000"/>
                <w:sz w:val="16"/>
                <w:szCs w:val="16"/>
                <w:lang w:val="fr-CH" w:eastAsia="en-US"/>
              </w:rPr>
              <w:t>Breve</w:t>
            </w:r>
            <w:r w:rsidRPr="00E01FE0">
              <w:rPr>
                <w:rFonts w:eastAsia="Times New Roman" w:cs="Arial"/>
                <w:color w:val="000000"/>
                <w:sz w:val="16"/>
                <w:szCs w:val="16"/>
                <w:lang w:val="fr-CH" w:eastAsia="en-US"/>
              </w:rPr>
              <w:t>ts)</w:t>
            </w:r>
          </w:p>
          <w:p w14:paraId="7B28D325" w14:textId="77777777" w:rsidR="0056581C" w:rsidRPr="00591A2F" w:rsidRDefault="0056581C" w:rsidP="00616FD3">
            <w:pPr>
              <w:pStyle w:val="ListParagraph"/>
              <w:numPr>
                <w:ilvl w:val="0"/>
                <w:numId w:val="16"/>
              </w:numPr>
              <w:tabs>
                <w:tab w:val="left" w:pos="158"/>
              </w:tabs>
              <w:ind w:left="0" w:firstLine="0"/>
              <w:rPr>
                <w:rFonts w:eastAsia="Times New Roman" w:cs="Arial"/>
                <w:color w:val="000000"/>
                <w:sz w:val="16"/>
                <w:szCs w:val="16"/>
                <w:lang w:val="en-US" w:eastAsia="en-US"/>
              </w:rPr>
            </w:pPr>
            <w:r w:rsidRPr="00591A2F">
              <w:rPr>
                <w:rFonts w:eastAsia="Times New Roman" w:cs="Arial"/>
                <w:color w:val="000000"/>
                <w:sz w:val="16"/>
                <w:szCs w:val="16"/>
                <w:lang w:val="en-US" w:eastAsia="en-US"/>
              </w:rPr>
              <w:t>10</w:t>
            </w:r>
            <w:r w:rsidRPr="00591A2F">
              <w:rPr>
                <w:rFonts w:eastAsia="Times New Roman" w:cs="Arial"/>
                <w:color w:val="000000"/>
                <w:sz w:val="16"/>
                <w:szCs w:val="16"/>
                <w:vertAlign w:val="superscript"/>
                <w:lang w:val="en-US" w:eastAsia="en-US"/>
              </w:rPr>
              <w:t>e</w:t>
            </w:r>
            <w:r w:rsidRPr="00591A2F">
              <w:rPr>
                <w:rFonts w:eastAsia="Times New Roman" w:cs="Arial"/>
                <w:color w:val="000000"/>
                <w:sz w:val="16"/>
                <w:szCs w:val="16"/>
                <w:lang w:val="en-US" w:eastAsia="en-US"/>
              </w:rPr>
              <w:t> édition du “WIPO Advanced Intellectual Property Research Forum” (Israël)</w:t>
            </w:r>
          </w:p>
          <w:p w14:paraId="68392860" w14:textId="77777777" w:rsidR="0056581C" w:rsidRPr="00B903D1" w:rsidRDefault="0056581C" w:rsidP="00616FD3">
            <w:pPr>
              <w:pStyle w:val="ListParagraph"/>
              <w:numPr>
                <w:ilvl w:val="0"/>
                <w:numId w:val="16"/>
              </w:numPr>
              <w:tabs>
                <w:tab w:val="left" w:pos="158"/>
              </w:tabs>
              <w:ind w:left="0" w:firstLine="0"/>
              <w:rPr>
                <w:rFonts w:eastAsia="Times New Roman" w:cs="Arial"/>
                <w:color w:val="000000"/>
                <w:sz w:val="16"/>
                <w:szCs w:val="16"/>
                <w:lang w:val="fr-CH" w:eastAsia="en-US"/>
              </w:rPr>
            </w:pPr>
            <w:r w:rsidRPr="00B903D1">
              <w:rPr>
                <w:rFonts w:eastAsia="Times New Roman" w:cs="Arial"/>
                <w:color w:val="000000"/>
                <w:sz w:val="16"/>
                <w:szCs w:val="16"/>
                <w:lang w:val="fr-CH" w:eastAsia="en-US"/>
              </w:rPr>
              <w:t>Séminaire de</w:t>
            </w:r>
            <w:r>
              <w:rPr>
                <w:rFonts w:eastAsia="Times New Roman" w:cs="Arial"/>
                <w:color w:val="000000"/>
                <w:sz w:val="16"/>
                <w:szCs w:val="16"/>
                <w:lang w:val="fr-CH" w:eastAsia="en-US"/>
              </w:rPr>
              <w:t xml:space="preserve"> </w:t>
            </w:r>
            <w:r w:rsidRPr="00B903D1">
              <w:rPr>
                <w:rFonts w:eastAsia="Times New Roman" w:cs="Arial"/>
                <w:color w:val="000000"/>
                <w:sz w:val="16"/>
                <w:szCs w:val="16"/>
                <w:lang w:val="fr-CH" w:eastAsia="en-US"/>
              </w:rPr>
              <w:t>l</w:t>
            </w:r>
            <w:r>
              <w:rPr>
                <w:rFonts w:eastAsia="Times New Roman" w:cs="Arial"/>
                <w:color w:val="000000"/>
                <w:sz w:val="16"/>
                <w:szCs w:val="16"/>
                <w:lang w:val="fr-CH" w:eastAsia="en-US"/>
              </w:rPr>
              <w:t>’</w:t>
            </w:r>
            <w:r w:rsidRPr="00B903D1">
              <w:rPr>
                <w:rFonts w:eastAsia="Times New Roman" w:cs="Arial"/>
                <w:color w:val="000000"/>
                <w:sz w:val="16"/>
                <w:szCs w:val="16"/>
                <w:lang w:val="fr-CH" w:eastAsia="en-US"/>
              </w:rPr>
              <w:t>“Ono Academic College” (ONO) (Israël) et de l</w:t>
            </w:r>
            <w:r>
              <w:rPr>
                <w:rFonts w:eastAsia="Times New Roman" w:cs="Arial"/>
                <w:color w:val="000000"/>
                <w:sz w:val="16"/>
                <w:szCs w:val="16"/>
                <w:lang w:val="fr-CH" w:eastAsia="en-US"/>
              </w:rPr>
              <w:t>’</w:t>
            </w:r>
            <w:r w:rsidRPr="00B903D1">
              <w:rPr>
                <w:rFonts w:eastAsia="Times New Roman" w:cs="Arial"/>
                <w:color w:val="000000"/>
                <w:sz w:val="16"/>
                <w:szCs w:val="16"/>
                <w:lang w:val="fr-CH" w:eastAsia="en-US"/>
              </w:rPr>
              <w:t>OMPI de</w:t>
            </w:r>
            <w:r>
              <w:rPr>
                <w:rFonts w:eastAsia="Times New Roman" w:cs="Arial"/>
                <w:color w:val="000000"/>
                <w:sz w:val="16"/>
                <w:szCs w:val="16"/>
                <w:lang w:val="fr-CH" w:eastAsia="en-US"/>
              </w:rPr>
              <w:t> </w:t>
            </w:r>
            <w:r w:rsidRPr="00B903D1">
              <w:rPr>
                <w:rFonts w:eastAsia="Times New Roman" w:cs="Arial"/>
                <w:color w:val="000000"/>
                <w:sz w:val="16"/>
                <w:szCs w:val="16"/>
                <w:lang w:val="fr-CH" w:eastAsia="en-US"/>
              </w:rPr>
              <w:t>2016</w:t>
            </w:r>
          </w:p>
        </w:tc>
        <w:tc>
          <w:tcPr>
            <w:tcW w:w="2324" w:type="dxa"/>
            <w:shd w:val="clear" w:color="000000" w:fill="FFFFFF"/>
            <w:tcMar>
              <w:top w:w="57" w:type="dxa"/>
              <w:bottom w:w="57" w:type="dxa"/>
            </w:tcMar>
            <w:hideMark/>
          </w:tcPr>
          <w:p w14:paraId="73CEE754" w14:textId="77777777" w:rsidR="0056581C" w:rsidRPr="00AA1F65" w:rsidRDefault="0056581C" w:rsidP="00986700">
            <w:pPr>
              <w:rPr>
                <w:rFonts w:eastAsia="Times New Roman" w:cs="Arial"/>
                <w:color w:val="000000"/>
                <w:sz w:val="16"/>
                <w:szCs w:val="16"/>
                <w:lang w:eastAsia="en-US"/>
              </w:rPr>
            </w:pPr>
            <w:r w:rsidRPr="00AA1F65">
              <w:rPr>
                <w:rFonts w:eastAsia="Times New Roman" w:cs="Arial"/>
                <w:color w:val="000000"/>
                <w:sz w:val="16"/>
                <w:szCs w:val="16"/>
                <w:lang w:eastAsia="en-US"/>
              </w:rPr>
              <w:t xml:space="preserve">15 </w:t>
            </w:r>
            <w:r>
              <w:rPr>
                <w:rFonts w:eastAsia="Times New Roman" w:cs="Arial"/>
                <w:color w:val="000000"/>
                <w:sz w:val="16"/>
                <w:szCs w:val="16"/>
                <w:lang w:eastAsia="en-US"/>
              </w:rPr>
              <w:t>partenariats supplémentaires</w:t>
            </w:r>
          </w:p>
        </w:tc>
      </w:tr>
    </w:tbl>
    <w:p w14:paraId="4504350B" w14:textId="77777777" w:rsidR="00E726CE" w:rsidRPr="00AA1F65" w:rsidRDefault="00E726CE"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EE0227" w:rsidRPr="00821D15" w14:paraId="6A73634C" w14:textId="77777777" w:rsidTr="00EE0227">
        <w:trPr>
          <w:cantSplit/>
        </w:trPr>
        <w:tc>
          <w:tcPr>
            <w:tcW w:w="9571" w:type="dxa"/>
            <w:shd w:val="clear" w:color="auto" w:fill="C6D9F1" w:themeFill="text2" w:themeFillTint="33"/>
            <w:vAlign w:val="center"/>
          </w:tcPr>
          <w:p w14:paraId="72E230B4" w14:textId="77777777" w:rsidR="00EE0227" w:rsidRPr="00821D15" w:rsidRDefault="00EE0227" w:rsidP="00986700">
            <w:pPr>
              <w:jc w:val="center"/>
              <w:rPr>
                <w:rFonts w:cs="Arial"/>
                <w:b/>
                <w:szCs w:val="20"/>
              </w:rPr>
            </w:pPr>
            <w:r w:rsidRPr="00821D15">
              <w:rPr>
                <w:rFonts w:cs="Arial"/>
                <w:b/>
                <w:szCs w:val="20"/>
              </w:rPr>
              <w:t>Ressources allouées au programme 10</w:t>
            </w:r>
          </w:p>
        </w:tc>
      </w:tr>
    </w:tbl>
    <w:p w14:paraId="67B548D4" w14:textId="77777777" w:rsidR="00EE0227" w:rsidRPr="00821D15" w:rsidRDefault="00EE0227" w:rsidP="00986700">
      <w:pPr>
        <w:rPr>
          <w:rFonts w:cs="Arial"/>
          <w:szCs w:val="20"/>
        </w:rPr>
      </w:pPr>
    </w:p>
    <w:p w14:paraId="30B7CE46" w14:textId="77777777" w:rsidR="00EE0227" w:rsidRPr="00821D15" w:rsidRDefault="00EE0227" w:rsidP="00616FD3">
      <w:pPr>
        <w:pStyle w:val="ListParagraph"/>
        <w:numPr>
          <w:ilvl w:val="0"/>
          <w:numId w:val="71"/>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9,6% par rapport au budget approuvé pour 2016</w:t>
      </w:r>
      <w:r w:rsidRPr="00821D15">
        <w:rPr>
          <w:rFonts w:cs="Arial"/>
          <w:szCs w:val="20"/>
        </w:rPr>
        <w:noBreakHyphen/>
        <w:t>2017.</w:t>
      </w:r>
    </w:p>
    <w:p w14:paraId="1671246E" w14:textId="77777777" w:rsidR="00EE0227" w:rsidRPr="00821D15" w:rsidRDefault="00EE0227" w:rsidP="00986700">
      <w:pPr>
        <w:rPr>
          <w:rFonts w:cs="Arial"/>
          <w:szCs w:val="20"/>
        </w:rPr>
      </w:pPr>
    </w:p>
    <w:p w14:paraId="0D8F5101" w14:textId="77777777" w:rsidR="00EE0227" w:rsidRPr="00821D15" w:rsidRDefault="00EE0227" w:rsidP="00616FD3">
      <w:pPr>
        <w:pStyle w:val="ListParagraph"/>
        <w:numPr>
          <w:ilvl w:val="0"/>
          <w:numId w:val="71"/>
        </w:numPr>
        <w:ind w:left="0" w:firstLine="0"/>
        <w:jc w:val="both"/>
        <w:rPr>
          <w:rFonts w:cs="Arial"/>
          <w:szCs w:val="20"/>
        </w:rPr>
      </w:pPr>
      <w:r w:rsidRPr="00821D15">
        <w:rPr>
          <w:rFonts w:cs="Arial"/>
          <w:szCs w:val="20"/>
        </w:rPr>
        <w:t>Les dépenses autres que les dépenses de personnel restent au même niveau que dans le budget approuvé pour 2016</w:t>
      </w:r>
      <w:r w:rsidRPr="00821D15">
        <w:rPr>
          <w:rFonts w:cs="Arial"/>
          <w:szCs w:val="20"/>
        </w:rPr>
        <w:noBreakHyphen/>
        <w:t>2017.</w:t>
      </w:r>
    </w:p>
    <w:p w14:paraId="4E2339F3" w14:textId="77777777" w:rsidR="00EE0227" w:rsidRPr="00821D15" w:rsidRDefault="00EE0227" w:rsidP="00986700">
      <w:pPr>
        <w:rPr>
          <w:rFonts w:cs="Arial"/>
          <w:szCs w:val="20"/>
        </w:rPr>
      </w:pPr>
    </w:p>
    <w:p w14:paraId="38730E06" w14:textId="77777777" w:rsidR="00EE0227" w:rsidRPr="00821D15" w:rsidRDefault="00EE0227" w:rsidP="00616FD3">
      <w:pPr>
        <w:pStyle w:val="ListParagraph"/>
        <w:numPr>
          <w:ilvl w:val="0"/>
          <w:numId w:val="71"/>
        </w:numPr>
        <w:ind w:left="0" w:firstLine="0"/>
        <w:jc w:val="both"/>
        <w:rPr>
          <w:rFonts w:cs="Arial"/>
          <w:szCs w:val="20"/>
        </w:rPr>
      </w:pPr>
      <w:r w:rsidRPr="00821D15">
        <w:rPr>
          <w:rFonts w:cs="Arial"/>
          <w:szCs w:val="20"/>
        </w:rPr>
        <w:t>L’augmentation du nombre de postes et des dépenses de personnel correspondantes est principalement due à la régularisation d’une fonction de nature continue afin de renforcer les séminaires itinérants dans les pays en transition et les pays développés et à la création d’un poste supplémentaire pour répondre à la demande croissante dans les pays du Caucase, d’Asie centrale et d’Europe orientale.</w:t>
      </w:r>
    </w:p>
    <w:p w14:paraId="561CF358" w14:textId="77777777" w:rsidR="00674550" w:rsidRDefault="00674550" w:rsidP="00986700"/>
    <w:p w14:paraId="2FB06471" w14:textId="246E31C2"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10 : </w:t>
      </w:r>
      <w:r w:rsidRPr="00674550">
        <w:rPr>
          <w:rFonts w:eastAsia="Times New Roman" w:cs="Arial"/>
          <w:b/>
          <w:szCs w:val="20"/>
          <w:lang w:eastAsia="en-US"/>
        </w:rPr>
        <w:t>Ressources par résultat</w:t>
      </w:r>
    </w:p>
    <w:p w14:paraId="1D0A04FD"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2CE3C27" w14:textId="77777777" w:rsidR="00717231" w:rsidRDefault="00717231" w:rsidP="00986700">
      <w:pPr>
        <w:keepNext/>
      </w:pPr>
    </w:p>
    <w:p w14:paraId="3CE643F0" w14:textId="2D6EFD1D" w:rsidR="00717231" w:rsidRDefault="00717231" w:rsidP="00986700">
      <w:pPr>
        <w:jc w:val="center"/>
      </w:pPr>
      <w:r w:rsidRPr="00717231">
        <w:rPr>
          <w:noProof/>
          <w:lang w:val="en-US" w:eastAsia="en-US"/>
        </w:rPr>
        <w:drawing>
          <wp:inline distT="0" distB="0" distL="0" distR="0" wp14:anchorId="06BBD07F" wp14:editId="779534F0">
            <wp:extent cx="5400000" cy="4492153"/>
            <wp:effectExtent l="0" t="0" r="0" b="381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000" cy="4492153"/>
                    </a:xfrm>
                    <a:prstGeom prst="rect">
                      <a:avLst/>
                    </a:prstGeom>
                    <a:noFill/>
                    <a:ln>
                      <a:noFill/>
                    </a:ln>
                  </pic:spPr>
                </pic:pic>
              </a:graphicData>
            </a:graphic>
          </wp:inline>
        </w:drawing>
      </w:r>
    </w:p>
    <w:p w14:paraId="1076158F" w14:textId="77777777" w:rsidR="00B55ECC" w:rsidRDefault="00B55ECC" w:rsidP="00986700"/>
    <w:p w14:paraId="27702A30"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10</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877B4C6" w14:textId="150F3D18"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335EFE13" w14:textId="77777777" w:rsidR="008778B5" w:rsidRDefault="008778B5" w:rsidP="00986700">
      <w:pPr>
        <w:keepNext/>
        <w:rPr>
          <w:lang w:eastAsia="en-US"/>
        </w:rPr>
      </w:pPr>
    </w:p>
    <w:p w14:paraId="7A1B161E" w14:textId="68DA7908" w:rsidR="00B55ECC" w:rsidRDefault="008778B5" w:rsidP="00986700">
      <w:pPr>
        <w:jc w:val="center"/>
        <w:rPr>
          <w:lang w:eastAsia="en-US"/>
        </w:rPr>
      </w:pPr>
      <w:r w:rsidRPr="008778B5">
        <w:rPr>
          <w:noProof/>
          <w:lang w:val="en-US" w:eastAsia="en-US"/>
        </w:rPr>
        <w:drawing>
          <wp:inline distT="0" distB="0" distL="0" distR="0" wp14:anchorId="7ED81424" wp14:editId="54213064">
            <wp:extent cx="5400000" cy="6031770"/>
            <wp:effectExtent l="0" t="0" r="0" b="762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7C2C826B" w14:textId="77777777" w:rsidR="00B55ECC" w:rsidRPr="00E16214" w:rsidRDefault="00B55ECC" w:rsidP="00986700">
      <w:pPr>
        <w:rPr>
          <w:lang w:eastAsia="en-US"/>
        </w:rPr>
      </w:pPr>
    </w:p>
    <w:p w14:paraId="67076EE4" w14:textId="2335FFEA" w:rsidR="00E726CE" w:rsidRDefault="00E726CE" w:rsidP="00986700">
      <w:pPr>
        <w:rPr>
          <w:rFonts w:ascii="Arial Bold" w:eastAsia="SimSun" w:hAnsi="Arial Bold" w:cs="Arial" w:hint="eastAsia"/>
          <w:b/>
          <w:bCs/>
          <w:caps/>
          <w:kern w:val="32"/>
          <w:sz w:val="22"/>
          <w:szCs w:val="32"/>
          <w:lang w:eastAsia="en-US"/>
        </w:rPr>
      </w:pPr>
      <w:r>
        <w:rPr>
          <w:rFonts w:hint="eastAsia"/>
        </w:rPr>
        <w:br w:type="page"/>
      </w:r>
    </w:p>
    <w:p w14:paraId="5B03C796" w14:textId="5FEA7ED4" w:rsidR="00C95E0C" w:rsidRPr="00E82014" w:rsidRDefault="00C95E0C" w:rsidP="00986700">
      <w:pPr>
        <w:pStyle w:val="Heading2"/>
      </w:pPr>
      <w:bookmarkStart w:id="47" w:name="_Toc482979489"/>
      <w:r w:rsidRPr="00E82014">
        <w:lastRenderedPageBreak/>
        <w:t>Programme 11</w:t>
      </w:r>
      <w:r w:rsidRPr="00E82014">
        <w:rPr>
          <w:rFonts w:cs="Arial"/>
          <w:bCs/>
          <w:rtl/>
        </w:rPr>
        <w:t>‏</w:t>
      </w:r>
      <w:r w:rsidR="0060494B">
        <w:tab/>
      </w:r>
      <w:r w:rsidRPr="00E82014">
        <w:t>Académie de l’OMPI</w:t>
      </w:r>
      <w:bookmarkEnd w:id="47"/>
    </w:p>
    <w:p w14:paraId="3B0CB31D" w14:textId="77777777" w:rsidR="00C95E0C" w:rsidRPr="00E82014" w:rsidRDefault="00C95E0C" w:rsidP="00986700">
      <w:pPr>
        <w:pStyle w:val="StyleHeading3ComplexItalic"/>
        <w:rPr>
          <w:rStyle w:val="StyleStyleHeading3ComplexItalicLatin12ptChar"/>
          <w:rFonts w:eastAsia="SimSun"/>
        </w:rPr>
      </w:pPr>
    </w:p>
    <w:p w14:paraId="71403ADF" w14:textId="77777777" w:rsidR="00C95E0C" w:rsidRPr="00E82014" w:rsidRDefault="00C95E0C" w:rsidP="00986700">
      <w:pPr>
        <w:pStyle w:val="StyleHeading3ComplexItalic"/>
        <w:rPr>
          <w:rStyle w:val="StyleStyleHeading3ComplexItalicLatin12ptChar"/>
          <w:rFonts w:eastAsia="SimSun"/>
        </w:rPr>
      </w:pPr>
    </w:p>
    <w:tbl>
      <w:tblPr>
        <w:tblW w:w="5000" w:type="pct"/>
        <w:tblCellMar>
          <w:top w:w="57" w:type="dxa"/>
          <w:bottom w:w="57" w:type="dxa"/>
        </w:tblCellMar>
        <w:tblLook w:val="01E0" w:firstRow="1" w:lastRow="1" w:firstColumn="1" w:lastColumn="1" w:noHBand="0" w:noVBand="0"/>
      </w:tblPr>
      <w:tblGrid>
        <w:gridCol w:w="9287"/>
      </w:tblGrid>
      <w:tr w:rsidR="00C95E0C" w:rsidRPr="00E82014" w14:paraId="77BDBF35" w14:textId="77777777" w:rsidTr="002C0714">
        <w:trPr>
          <w:cantSplit/>
        </w:trPr>
        <w:tc>
          <w:tcPr>
            <w:tcW w:w="9287" w:type="dxa"/>
            <w:shd w:val="clear" w:color="auto" w:fill="C6D9F1" w:themeFill="text2" w:themeFillTint="33"/>
            <w:vAlign w:val="center"/>
          </w:tcPr>
          <w:p w14:paraId="481F66F6" w14:textId="77777777" w:rsidR="00C95E0C" w:rsidRPr="00E82014" w:rsidRDefault="00C95E0C" w:rsidP="00986700">
            <w:pPr>
              <w:keepNext/>
              <w:keepLines/>
              <w:jc w:val="center"/>
              <w:rPr>
                <w:rFonts w:eastAsia="Times New Roman" w:cs="Arial"/>
                <w:b/>
                <w:bCs/>
                <w:szCs w:val="20"/>
                <w:lang w:eastAsia="en-US"/>
              </w:rPr>
            </w:pPr>
            <w:r w:rsidRPr="00E82014">
              <w:rPr>
                <w:rFonts w:eastAsia="Times New Roman" w:cs="Arial"/>
                <w:b/>
                <w:bCs/>
                <w:szCs w:val="20"/>
                <w:lang w:eastAsia="en-US"/>
              </w:rPr>
              <w:t xml:space="preserve">Stratégies de mise en œuvre </w:t>
            </w:r>
          </w:p>
        </w:tc>
      </w:tr>
    </w:tbl>
    <w:p w14:paraId="455D5E46" w14:textId="538A3EF0" w:rsidR="00C95E0C" w:rsidRPr="00E82014" w:rsidRDefault="00C95E0C" w:rsidP="00986700"/>
    <w:p w14:paraId="29F66D63"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Renforcer la position de l’Académie de l’OMPI en tant que centre d’excellence pour le renforcement des capacités, la formation spécialisée et l’enseignement à distance dans le domaine de la propriété intellectuelle;</w:t>
      </w:r>
    </w:p>
    <w:p w14:paraId="6DCF2D27" w14:textId="77777777" w:rsidR="00C95E0C" w:rsidRPr="00E82014" w:rsidRDefault="00C95E0C" w:rsidP="00986700">
      <w:pPr>
        <w:ind w:left="567" w:hanging="567"/>
        <w:jc w:val="both"/>
        <w:rPr>
          <w:rFonts w:cs="Arial"/>
          <w:szCs w:val="20"/>
        </w:rPr>
      </w:pPr>
    </w:p>
    <w:p w14:paraId="4004283B"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Permettre d’accéder à un coût raisonnable à l’enseignement et à la formation spécialisée en matière de propriété intellectuelle grâce à : des cours d’introduction et de perfectionnement dispensés à distance (DL);  des cours de perfectionnement à l’intention des fonctionnaires gouvernementaux et des magistrats;  une coopération stratégique avec des universités de premier plan et des administrations nationales pour promouvoir la propriété intellectuelle dans l’enseignement supérieur et mettre conjointement en œuvre des programmes de master sur la propriété intellectuelle;  la création d’institutions de formation en matière de propriété intellectuelle dans les États membres;  et la mise en œuvre d’un programme mondial de cours d’été de l’OMPI;</w:t>
      </w:r>
    </w:p>
    <w:p w14:paraId="7A882B08" w14:textId="77777777" w:rsidR="00C95E0C" w:rsidRPr="00E82014" w:rsidRDefault="00C95E0C" w:rsidP="00986700">
      <w:pPr>
        <w:ind w:left="567" w:hanging="567"/>
        <w:jc w:val="both"/>
        <w:rPr>
          <w:rFonts w:cs="Arial"/>
          <w:szCs w:val="20"/>
        </w:rPr>
      </w:pPr>
    </w:p>
    <w:p w14:paraId="54E7DCAC" w14:textId="7BCCA2C3"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Veiller à ce que les cours soient à jour et correspondent aux besoins et aux priorités des États membres grâce à l’examen périodique du contenu et du catalogue des cours proposés, et trouver les moyens de répondre à la forte demande, notamment en ce qui concerne l’enseignement à distance sur la propriété intellectuelle;</w:t>
      </w:r>
    </w:p>
    <w:p w14:paraId="5E099B9B" w14:textId="5E1055F6" w:rsidR="00C95E0C" w:rsidRPr="00E82014" w:rsidRDefault="002C0714" w:rsidP="00986700">
      <w:pPr>
        <w:ind w:left="567" w:hanging="567"/>
        <w:jc w:val="both"/>
        <w:rPr>
          <w:rFonts w:cs="Arial"/>
          <w:szCs w:val="20"/>
        </w:rPr>
      </w:pPr>
      <w:r w:rsidRPr="002C0714">
        <w:rPr>
          <w:noProof/>
          <w:lang w:val="en-US" w:eastAsia="en-US"/>
        </w:rPr>
        <w:drawing>
          <wp:anchor distT="0" distB="0" distL="114300" distR="114300" simplePos="0" relativeHeight="251668480" behindDoc="1" locked="0" layoutInCell="1" allowOverlap="1" wp14:anchorId="138DEDF5" wp14:editId="4BF7205D">
            <wp:simplePos x="0" y="0"/>
            <wp:positionH relativeFrom="column">
              <wp:posOffset>4455795</wp:posOffset>
            </wp:positionH>
            <wp:positionV relativeFrom="paragraph">
              <wp:posOffset>60960</wp:posOffset>
            </wp:positionV>
            <wp:extent cx="1533525" cy="1947545"/>
            <wp:effectExtent l="0" t="0" r="9525" b="0"/>
            <wp:wrapTight wrapText="bothSides">
              <wp:wrapPolygon edited="0">
                <wp:start x="10465" y="0"/>
                <wp:lineTo x="8050" y="845"/>
                <wp:lineTo x="5098" y="2747"/>
                <wp:lineTo x="4025" y="6127"/>
                <wp:lineTo x="4561" y="6761"/>
                <wp:lineTo x="9123" y="6761"/>
                <wp:lineTo x="2415" y="10142"/>
                <wp:lineTo x="1073" y="11409"/>
                <wp:lineTo x="0" y="12888"/>
                <wp:lineTo x="0" y="17536"/>
                <wp:lineTo x="2415" y="20283"/>
                <wp:lineTo x="5635" y="21339"/>
                <wp:lineTo x="6171" y="21339"/>
                <wp:lineTo x="9660" y="21339"/>
                <wp:lineTo x="10196" y="21339"/>
                <wp:lineTo x="13416" y="20283"/>
                <wp:lineTo x="16636" y="16903"/>
                <wp:lineTo x="16368" y="15001"/>
                <wp:lineTo x="15831" y="13522"/>
                <wp:lineTo x="20661" y="10142"/>
                <wp:lineTo x="21466" y="8029"/>
                <wp:lineTo x="21466" y="4437"/>
                <wp:lineTo x="21198" y="2747"/>
                <wp:lineTo x="17441" y="634"/>
                <wp:lineTo x="15563" y="0"/>
                <wp:lineTo x="10465" y="0"/>
              </wp:wrapPolygon>
            </wp:wrapTight>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3352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8371" w14:textId="2AFD9A2C"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Améliorer les méthodes d’évaluation des cours pour faciliter la réalisation des objectifs pédagogiques à long terme;</w:t>
      </w:r>
    </w:p>
    <w:p w14:paraId="68F662BC" w14:textId="77777777" w:rsidR="00C95E0C" w:rsidRPr="00E82014" w:rsidRDefault="00C95E0C" w:rsidP="00986700">
      <w:pPr>
        <w:ind w:left="567" w:hanging="567"/>
        <w:jc w:val="both"/>
        <w:rPr>
          <w:rFonts w:cs="Arial"/>
          <w:szCs w:val="20"/>
        </w:rPr>
      </w:pPr>
    </w:p>
    <w:p w14:paraId="4F36BA96"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Garantir l’égalité entre les sexes dans tous les cours proposés par l’Académie de l’OMPI;</w:t>
      </w:r>
    </w:p>
    <w:p w14:paraId="01A0E2BD" w14:textId="77777777" w:rsidR="00C95E0C" w:rsidRPr="00E82014" w:rsidRDefault="00C95E0C" w:rsidP="00986700">
      <w:pPr>
        <w:ind w:left="567" w:hanging="567"/>
        <w:jc w:val="both"/>
        <w:rPr>
          <w:rFonts w:cs="Arial"/>
          <w:szCs w:val="20"/>
        </w:rPr>
      </w:pPr>
    </w:p>
    <w:p w14:paraId="142722C3" w14:textId="078BD7AD"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Répondre aux demandes des États membres qui souhaitent des versions personnalisées des cours d’enseignement à distance, notamment du cours DL</w:t>
      </w:r>
      <w:r w:rsidR="00B441CA">
        <w:rPr>
          <w:rFonts w:cs="Arial"/>
          <w:szCs w:val="20"/>
        </w:rPr>
        <w:noBreakHyphen/>
      </w:r>
      <w:r w:rsidRPr="00E82014">
        <w:rPr>
          <w:rFonts w:cs="Arial"/>
          <w:szCs w:val="20"/>
        </w:rPr>
        <w:t>101, en les adaptant aux exigences nationales en termes de contenu et de langue, ce qui permettrait à l’Académie de répondre à une demande croissante d’une manière rentable;</w:t>
      </w:r>
    </w:p>
    <w:p w14:paraId="3C6D4BDD" w14:textId="77777777" w:rsidR="00C95E0C" w:rsidRPr="00E82014" w:rsidRDefault="00C95E0C" w:rsidP="00986700">
      <w:pPr>
        <w:ind w:left="567" w:hanging="567"/>
        <w:jc w:val="both"/>
        <w:rPr>
          <w:rFonts w:cs="Arial"/>
          <w:szCs w:val="20"/>
        </w:rPr>
      </w:pPr>
    </w:p>
    <w:p w14:paraId="48042507" w14:textId="48F4DEFA"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Élargir l’accès des aveugles, des déficients visuels et des personnes ayant d’autres difficultés de lecture des textes imprimés</w:t>
      </w:r>
      <w:r w:rsidRPr="00E82014">
        <w:rPr>
          <w:rFonts w:cs="Arial"/>
          <w:i/>
          <w:szCs w:val="20"/>
        </w:rPr>
        <w:t xml:space="preserve"> </w:t>
      </w:r>
      <w:r w:rsidRPr="00E82014">
        <w:rPr>
          <w:rFonts w:cs="Arial"/>
          <w:szCs w:val="20"/>
        </w:rPr>
        <w:t>aux cours d’enseignement à distance en s’inspirant du lancement du Cours général de propriété intellectuelle en format accessible (DL</w:t>
      </w:r>
      <w:r w:rsidR="00B441CA">
        <w:rPr>
          <w:rFonts w:cs="Arial"/>
          <w:szCs w:val="20"/>
        </w:rPr>
        <w:noBreakHyphen/>
      </w:r>
      <w:r w:rsidRPr="00E82014">
        <w:rPr>
          <w:rFonts w:cs="Arial"/>
          <w:szCs w:val="20"/>
        </w:rPr>
        <w:t>101) en 2016 et en proposant des cours d’enseignement à distance supplémentaires dans des formats accessibles;</w:t>
      </w:r>
    </w:p>
    <w:p w14:paraId="620D677D" w14:textId="77777777" w:rsidR="00C95E0C" w:rsidRPr="00E82014" w:rsidRDefault="00C95E0C" w:rsidP="00986700">
      <w:pPr>
        <w:ind w:left="567" w:hanging="567"/>
        <w:jc w:val="both"/>
        <w:rPr>
          <w:rFonts w:cs="Arial"/>
          <w:szCs w:val="20"/>
        </w:rPr>
      </w:pPr>
    </w:p>
    <w:p w14:paraId="37482078" w14:textId="7EBD65EE"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Élargir l’accès au matériel pédagogique sur la propriété intellectuelle destiné aux jeunes</w:t>
      </w:r>
      <w:r w:rsidRPr="00E82014">
        <w:rPr>
          <w:rFonts w:cs="Arial"/>
          <w:b/>
          <w:szCs w:val="20"/>
        </w:rPr>
        <w:t xml:space="preserve"> </w:t>
      </w:r>
      <w:r w:rsidRPr="00E82014">
        <w:rPr>
          <w:rFonts w:cs="Arial"/>
          <w:szCs w:val="20"/>
        </w:rPr>
        <w:t>avec l’initiative DL</w:t>
      </w:r>
      <w:r w:rsidR="00B441CA">
        <w:rPr>
          <w:rFonts w:cs="Arial"/>
          <w:szCs w:val="20"/>
        </w:rPr>
        <w:noBreakHyphen/>
      </w:r>
      <w:r w:rsidRPr="00E82014">
        <w:rPr>
          <w:rFonts w:cs="Arial"/>
          <w:szCs w:val="20"/>
        </w:rPr>
        <w:t>101</w:t>
      </w:r>
      <w:r w:rsidR="00B441CA">
        <w:rPr>
          <w:rFonts w:cs="Arial"/>
          <w:szCs w:val="20"/>
        </w:rPr>
        <w:noBreakHyphen/>
      </w:r>
      <w:r w:rsidRPr="00E82014">
        <w:rPr>
          <w:rFonts w:cs="Arial"/>
          <w:szCs w:val="20"/>
        </w:rPr>
        <w:t>IP4Kids;</w:t>
      </w:r>
    </w:p>
    <w:p w14:paraId="6512714F" w14:textId="77777777" w:rsidR="00C95E0C" w:rsidRPr="00E82014" w:rsidRDefault="00C95E0C" w:rsidP="00986700">
      <w:pPr>
        <w:ind w:left="567" w:hanging="567"/>
        <w:jc w:val="both"/>
        <w:rPr>
          <w:rFonts w:cs="Arial"/>
          <w:szCs w:val="20"/>
        </w:rPr>
      </w:pPr>
    </w:p>
    <w:p w14:paraId="0F91DC1D" w14:textId="65E25FAD"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Améliorer la coopération Sud</w:t>
      </w:r>
      <w:r w:rsidR="00B441CA">
        <w:rPr>
          <w:rFonts w:cs="Arial"/>
          <w:szCs w:val="20"/>
        </w:rPr>
        <w:noBreakHyphen/>
      </w:r>
      <w:r w:rsidRPr="00E82014">
        <w:rPr>
          <w:rFonts w:cs="Arial"/>
          <w:szCs w:val="20"/>
        </w:rPr>
        <w:t>Sud en renforçant les partenariats stratégiques avec les pays en développement ayant des connaissances et des compétences à transmettre à d’autres pays en développement et PMA dans certains domaines de la propriété intellectuelle, notamment s’agissant des cours de perfectionnement sur la propriété intellectuelle;</w:t>
      </w:r>
    </w:p>
    <w:p w14:paraId="69B5F40A" w14:textId="77777777" w:rsidR="00C95E0C" w:rsidRPr="00E82014" w:rsidRDefault="00C95E0C" w:rsidP="00986700">
      <w:pPr>
        <w:ind w:left="567" w:hanging="567"/>
        <w:jc w:val="both"/>
        <w:rPr>
          <w:rFonts w:cs="Arial"/>
          <w:szCs w:val="20"/>
        </w:rPr>
      </w:pPr>
    </w:p>
    <w:p w14:paraId="0460039F"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Promouvoir l’accès à l’enseignement supérieur, en particulier dans les pays en développement, les PMA et les pays en transition, en soutenant de manière continue les universités, notamment en adoptant une approche stratégique à plus long terme pour les programmes communs de master de l’OMPI dans le domaine de la propriété intellectuelle;</w:t>
      </w:r>
    </w:p>
    <w:p w14:paraId="72779205" w14:textId="77777777" w:rsidR="00C95E0C" w:rsidRPr="00E82014" w:rsidRDefault="00C95E0C" w:rsidP="00986700">
      <w:pPr>
        <w:ind w:left="567" w:hanging="567"/>
        <w:jc w:val="both"/>
        <w:rPr>
          <w:rFonts w:cs="Arial"/>
          <w:szCs w:val="20"/>
        </w:rPr>
      </w:pPr>
    </w:p>
    <w:p w14:paraId="7029D0E9"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t>Aider les pays à renforcer leurs capacités nationales de formation en matière de propriété intellectuelle (académies de propriété intellectuelle) par la mise en œuvre de projets nationaux permettant aux pays de concevoir les cours de formation sur la propriété intellectuelle qui répondent le mieux à leurs besoins;</w:t>
      </w:r>
    </w:p>
    <w:p w14:paraId="0F4067AB" w14:textId="77777777" w:rsidR="00C95E0C" w:rsidRPr="00E82014" w:rsidRDefault="00C95E0C" w:rsidP="00986700">
      <w:pPr>
        <w:ind w:left="567" w:hanging="567"/>
        <w:jc w:val="both"/>
        <w:rPr>
          <w:rFonts w:cs="Arial"/>
          <w:szCs w:val="20"/>
        </w:rPr>
      </w:pPr>
    </w:p>
    <w:p w14:paraId="34D5C9B0" w14:textId="77777777" w:rsidR="00C95E0C" w:rsidRPr="00E82014" w:rsidRDefault="00C95E0C" w:rsidP="00616FD3">
      <w:pPr>
        <w:pStyle w:val="ListParagraph"/>
        <w:numPr>
          <w:ilvl w:val="0"/>
          <w:numId w:val="26"/>
        </w:numPr>
        <w:ind w:left="567" w:hanging="567"/>
        <w:jc w:val="both"/>
        <w:rPr>
          <w:rFonts w:cs="Arial"/>
          <w:szCs w:val="20"/>
        </w:rPr>
      </w:pPr>
      <w:r w:rsidRPr="00E82014">
        <w:rPr>
          <w:rFonts w:cs="Arial"/>
          <w:szCs w:val="20"/>
        </w:rPr>
        <w:lastRenderedPageBreak/>
        <w:t>Proposer un programme de cours d’été de l’OMPI destiné à répondre aux demandes croissantes d’États membres souhaitant accueillir ces cours et à assurer une répartition géographique adéquate, s’adressant en particulier aux jeunes cadres du secteur privé, aux juristes débutants, aux étudiants en droit, aux fonctionnaires gouvernementaux et aux autres personnes intéressées;</w:t>
      </w:r>
    </w:p>
    <w:p w14:paraId="08A7321E" w14:textId="77777777" w:rsidR="00C95E0C" w:rsidRPr="00E82014" w:rsidRDefault="00C95E0C" w:rsidP="00986700">
      <w:pPr>
        <w:ind w:left="567" w:hanging="567"/>
        <w:jc w:val="both"/>
        <w:rPr>
          <w:rFonts w:cs="Arial"/>
          <w:szCs w:val="20"/>
        </w:rPr>
      </w:pPr>
    </w:p>
    <w:p w14:paraId="113A5FD3" w14:textId="77777777" w:rsidR="00C95E0C" w:rsidRDefault="00C95E0C" w:rsidP="00616FD3">
      <w:pPr>
        <w:pStyle w:val="ListParagraph"/>
        <w:numPr>
          <w:ilvl w:val="0"/>
          <w:numId w:val="26"/>
        </w:numPr>
        <w:ind w:left="567" w:hanging="567"/>
        <w:jc w:val="both"/>
        <w:rPr>
          <w:rFonts w:cs="Arial"/>
          <w:szCs w:val="20"/>
        </w:rPr>
      </w:pPr>
      <w:r w:rsidRPr="00E82014">
        <w:rPr>
          <w:rFonts w:cs="Arial"/>
          <w:szCs w:val="20"/>
        </w:rPr>
        <w:t>Fournir un appui aux institutions de formation judiciaires dans le cadre du projet de coopération mis en œuvre au titre du Plan d’action pour le développement avec les instituts de formation judiciaires des pays en développement et des pays les moins avancés.</w:t>
      </w:r>
    </w:p>
    <w:p w14:paraId="68AAD7D7" w14:textId="77777777" w:rsidR="00C95E0C" w:rsidRPr="00C95E0C" w:rsidRDefault="00C95E0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C95E0C" w:rsidRPr="00E82014" w14:paraId="02288CB6" w14:textId="77777777" w:rsidTr="00C95E0C">
        <w:trPr>
          <w:cantSplit/>
        </w:trPr>
        <w:tc>
          <w:tcPr>
            <w:tcW w:w="9214" w:type="dxa"/>
            <w:shd w:val="clear" w:color="auto" w:fill="C6D9F1" w:themeFill="text2" w:themeFillTint="33"/>
            <w:vAlign w:val="center"/>
          </w:tcPr>
          <w:p w14:paraId="5DCFA638" w14:textId="77777777" w:rsidR="00C95E0C" w:rsidRPr="00E82014" w:rsidRDefault="00C95E0C" w:rsidP="00986700">
            <w:pPr>
              <w:keepLines/>
              <w:jc w:val="center"/>
              <w:rPr>
                <w:rFonts w:eastAsia="Times New Roman" w:cs="Arial"/>
                <w:b/>
                <w:bCs/>
                <w:szCs w:val="20"/>
                <w:lang w:eastAsia="en-US"/>
              </w:rPr>
            </w:pPr>
            <w:r w:rsidRPr="00E82014">
              <w:rPr>
                <w:rFonts w:cs="Arial"/>
                <w:b/>
                <w:szCs w:val="20"/>
              </w:rPr>
              <w:t>Collaboration interprogrammes</w:t>
            </w:r>
          </w:p>
        </w:tc>
      </w:tr>
    </w:tbl>
    <w:p w14:paraId="077ADA9A" w14:textId="77777777" w:rsidR="00C95E0C" w:rsidRPr="00E82014" w:rsidRDefault="00C95E0C" w:rsidP="00986700">
      <w:pPr>
        <w:rPr>
          <w:rFonts w:cs="Arial"/>
          <w:szCs w:val="20"/>
        </w:rPr>
      </w:pPr>
    </w:p>
    <w:p w14:paraId="2FF48F27" w14:textId="7CE3C7D7" w:rsidR="00C95E0C" w:rsidRPr="00E82014" w:rsidRDefault="00E82B8A" w:rsidP="00E82B8A">
      <w:pPr>
        <w:jc w:val="center"/>
        <w:rPr>
          <w:rFonts w:cs="Arial"/>
          <w:szCs w:val="20"/>
        </w:rPr>
      </w:pPr>
      <w:r w:rsidRPr="00E82B8A">
        <w:rPr>
          <w:noProof/>
          <w:lang w:val="en-US" w:eastAsia="en-US"/>
        </w:rPr>
        <w:drawing>
          <wp:inline distT="0" distB="0" distL="0" distR="0" wp14:anchorId="48EFC256" wp14:editId="45C048D6">
            <wp:extent cx="5408807" cy="3600000"/>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8807" cy="3600000"/>
                    </a:xfrm>
                    <a:prstGeom prst="rect">
                      <a:avLst/>
                    </a:prstGeom>
                    <a:noFill/>
                    <a:ln>
                      <a:noFill/>
                    </a:ln>
                  </pic:spPr>
                </pic:pic>
              </a:graphicData>
            </a:graphic>
          </wp:inline>
        </w:drawing>
      </w:r>
    </w:p>
    <w:p w14:paraId="4152DDA2" w14:textId="77777777" w:rsidR="00C95E0C" w:rsidRPr="00E82014" w:rsidRDefault="00C95E0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3"/>
        <w:gridCol w:w="4644"/>
      </w:tblGrid>
      <w:tr w:rsidR="00C95E0C" w:rsidRPr="00E82014" w14:paraId="1FE28F67" w14:textId="77777777" w:rsidTr="00C95E0C">
        <w:trPr>
          <w:cantSplit/>
        </w:trPr>
        <w:tc>
          <w:tcPr>
            <w:tcW w:w="4785" w:type="dxa"/>
            <w:shd w:val="clear" w:color="auto" w:fill="C6D9F1" w:themeFill="text2" w:themeFillTint="33"/>
            <w:vAlign w:val="center"/>
          </w:tcPr>
          <w:p w14:paraId="230D77B4" w14:textId="77777777" w:rsidR="00C95E0C" w:rsidRPr="00E82014" w:rsidRDefault="00C95E0C" w:rsidP="00986700">
            <w:pPr>
              <w:keepLines/>
              <w:jc w:val="center"/>
              <w:rPr>
                <w:rFonts w:eastAsia="Times New Roman" w:cs="Arial"/>
                <w:b/>
                <w:bCs/>
                <w:sz w:val="18"/>
                <w:szCs w:val="18"/>
                <w:lang w:eastAsia="en-US"/>
              </w:rPr>
            </w:pPr>
            <w:r w:rsidRPr="00E82014">
              <w:rPr>
                <w:rFonts w:eastAsia="Times New Roman" w:cs="Arial"/>
                <w:b/>
                <w:bCs/>
                <w:sz w:val="18"/>
                <w:szCs w:val="18"/>
                <w:lang w:eastAsia="en-US"/>
              </w:rPr>
              <w:t>Risques</w:t>
            </w:r>
          </w:p>
        </w:tc>
        <w:tc>
          <w:tcPr>
            <w:tcW w:w="4786" w:type="dxa"/>
            <w:shd w:val="clear" w:color="auto" w:fill="C6D9F1" w:themeFill="text2" w:themeFillTint="33"/>
            <w:vAlign w:val="center"/>
          </w:tcPr>
          <w:p w14:paraId="56B604CA" w14:textId="77777777" w:rsidR="00C95E0C" w:rsidRPr="00E82014" w:rsidRDefault="00C95E0C" w:rsidP="00986700">
            <w:pPr>
              <w:keepLines/>
              <w:jc w:val="center"/>
              <w:rPr>
                <w:rFonts w:eastAsia="Times New Roman" w:cs="Arial"/>
                <w:b/>
                <w:bCs/>
                <w:sz w:val="18"/>
                <w:szCs w:val="18"/>
                <w:lang w:eastAsia="en-US"/>
              </w:rPr>
            </w:pPr>
            <w:r w:rsidRPr="00E82014">
              <w:rPr>
                <w:rFonts w:eastAsia="Times New Roman" w:cs="Arial"/>
                <w:b/>
                <w:bCs/>
                <w:sz w:val="18"/>
                <w:szCs w:val="18"/>
                <w:lang w:eastAsia="en-US"/>
              </w:rPr>
              <w:t>Mesures d’atténuation</w:t>
            </w:r>
          </w:p>
        </w:tc>
      </w:tr>
      <w:tr w:rsidR="00C95E0C" w:rsidRPr="00E82014" w14:paraId="11661971" w14:textId="77777777" w:rsidTr="00C95E0C">
        <w:trPr>
          <w:cantSplit/>
        </w:trPr>
        <w:tc>
          <w:tcPr>
            <w:tcW w:w="4785" w:type="dxa"/>
            <w:shd w:val="clear" w:color="auto" w:fill="auto"/>
            <w:tcMar>
              <w:top w:w="57" w:type="dxa"/>
              <w:bottom w:w="57" w:type="dxa"/>
            </w:tcMar>
          </w:tcPr>
          <w:p w14:paraId="639AC88B" w14:textId="38FEFBBF" w:rsidR="00C95E0C" w:rsidRPr="00E82014" w:rsidRDefault="00C95E0C" w:rsidP="00986700">
            <w:pPr>
              <w:keepLines/>
              <w:rPr>
                <w:rFonts w:eastAsia="Times New Roman" w:cs="Arial"/>
                <w:sz w:val="16"/>
                <w:szCs w:val="16"/>
                <w:lang w:eastAsia="en-US"/>
              </w:rPr>
            </w:pPr>
            <w:r w:rsidRPr="00E82014">
              <w:rPr>
                <w:rFonts w:eastAsia="Times New Roman" w:cs="Arial"/>
                <w:sz w:val="16"/>
                <w:szCs w:val="16"/>
                <w:lang w:eastAsia="en-US"/>
              </w:rPr>
              <w:t>La diminution des contributions apportées par les institutions partenaires pourrait avoir une incidence sur la mise en œuvre des programmes de formation et la création de nouveaux cours de formation.</w:t>
            </w:r>
          </w:p>
        </w:tc>
        <w:tc>
          <w:tcPr>
            <w:tcW w:w="4786" w:type="dxa"/>
            <w:shd w:val="clear" w:color="auto" w:fill="auto"/>
            <w:tcMar>
              <w:top w:w="57" w:type="dxa"/>
              <w:bottom w:w="57" w:type="dxa"/>
            </w:tcMar>
          </w:tcPr>
          <w:p w14:paraId="595E4ABD" w14:textId="40047CE1" w:rsidR="00C95E0C" w:rsidRPr="00E82014" w:rsidRDefault="00C95E0C" w:rsidP="00986700">
            <w:pPr>
              <w:keepLines/>
              <w:rPr>
                <w:rFonts w:eastAsia="Times New Roman" w:cs="Arial"/>
                <w:sz w:val="16"/>
                <w:szCs w:val="16"/>
                <w:lang w:eastAsia="en-US"/>
              </w:rPr>
            </w:pPr>
            <w:r w:rsidRPr="00E82014">
              <w:rPr>
                <w:rFonts w:eastAsia="Times New Roman" w:cs="Arial"/>
                <w:sz w:val="16"/>
                <w:szCs w:val="16"/>
                <w:lang w:eastAsia="en-US"/>
              </w:rPr>
              <w:t>Poursuite des consultations et de la coordination avec les institutions partenaires actuelles et potentielles.</w:t>
            </w:r>
          </w:p>
        </w:tc>
      </w:tr>
      <w:tr w:rsidR="00C95E0C" w:rsidRPr="00E82014" w14:paraId="7547E7FE" w14:textId="77777777" w:rsidTr="00C95E0C">
        <w:trPr>
          <w:cantSplit/>
        </w:trPr>
        <w:tc>
          <w:tcPr>
            <w:tcW w:w="4785" w:type="dxa"/>
            <w:shd w:val="clear" w:color="auto" w:fill="auto"/>
            <w:tcMar>
              <w:top w:w="57" w:type="dxa"/>
              <w:bottom w:w="57" w:type="dxa"/>
            </w:tcMar>
          </w:tcPr>
          <w:p w14:paraId="7A9E6E7C" w14:textId="0F2DEE4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Sous l’effet de l’évolution rapide de la technologie et du contexte de la propriété intellectuelle, les attentes et les préférences des utilisateurs évoluent aussi rapidement.  La plateforme informatique des cours d’enseignement à distance et son interface graphique peuvent être dépassées.</w:t>
            </w:r>
          </w:p>
        </w:tc>
        <w:tc>
          <w:tcPr>
            <w:tcW w:w="4786" w:type="dxa"/>
            <w:shd w:val="clear" w:color="auto" w:fill="auto"/>
            <w:tcMar>
              <w:top w:w="57" w:type="dxa"/>
              <w:bottom w:w="57" w:type="dxa"/>
            </w:tcMar>
          </w:tcPr>
          <w:p w14:paraId="2B018B40" w14:textId="129318DF"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Enquêtes de satisfaction auprès des étudiants et des formateurs concernés par les cours d’enseignement à distance.  Poursuite de l’investissement réalisé dans l’analyse des cours et la modernisation de la plateforme.</w:t>
            </w:r>
          </w:p>
        </w:tc>
      </w:tr>
      <w:tr w:rsidR="00C95E0C" w:rsidRPr="00E82014" w14:paraId="3DCD03B2" w14:textId="77777777" w:rsidTr="00C95E0C">
        <w:trPr>
          <w:cantSplit/>
        </w:trPr>
        <w:tc>
          <w:tcPr>
            <w:tcW w:w="4785" w:type="dxa"/>
            <w:shd w:val="clear" w:color="auto" w:fill="auto"/>
            <w:tcMar>
              <w:top w:w="57" w:type="dxa"/>
              <w:bottom w:w="57" w:type="dxa"/>
            </w:tcMar>
          </w:tcPr>
          <w:p w14:paraId="2ADC6499" w14:textId="687FAE99"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Les informations en matière de propriété intellectuelle contenues dans les différents programmes de formation de l’Académie pourraient être mal adaptées aux défis mondiaux émergents et à l’évolution mondiale du système de la propriété intellectuelle.</w:t>
            </w:r>
          </w:p>
        </w:tc>
        <w:tc>
          <w:tcPr>
            <w:tcW w:w="4786" w:type="dxa"/>
            <w:shd w:val="clear" w:color="auto" w:fill="auto"/>
            <w:tcMar>
              <w:top w:w="57" w:type="dxa"/>
              <w:bottom w:w="57" w:type="dxa"/>
            </w:tcMar>
          </w:tcPr>
          <w:p w14:paraId="640C0FF5" w14:textId="244BF540"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Évaluation et retour d’information continus de la part des parties prenantes des États membres et des partenaires de formation, des participants, des formateurs et des experts participant aux activités de l’Académie de l’OMPI.</w:t>
            </w:r>
          </w:p>
        </w:tc>
      </w:tr>
    </w:tbl>
    <w:p w14:paraId="14EAC34B" w14:textId="77777777" w:rsidR="00C95E0C" w:rsidRPr="00E82014" w:rsidRDefault="00C95E0C" w:rsidP="00986700">
      <w:pPr>
        <w:rPr>
          <w:rFonts w:cs="Arial"/>
          <w:szCs w:val="20"/>
        </w:rPr>
      </w:pPr>
    </w:p>
    <w:tbl>
      <w:tblPr>
        <w:tblW w:w="5000" w:type="pct"/>
        <w:tblLayout w:type="fixed"/>
        <w:tblCellMar>
          <w:top w:w="57" w:type="dxa"/>
          <w:bottom w:w="57" w:type="dxa"/>
        </w:tblCellMar>
        <w:tblLook w:val="04A0" w:firstRow="1" w:lastRow="0" w:firstColumn="1" w:lastColumn="0" w:noHBand="0" w:noVBand="1"/>
      </w:tblPr>
      <w:tblGrid>
        <w:gridCol w:w="2321"/>
        <w:gridCol w:w="2322"/>
        <w:gridCol w:w="2322"/>
        <w:gridCol w:w="2322"/>
      </w:tblGrid>
      <w:tr w:rsidR="00C95E0C" w:rsidRPr="00E82014" w14:paraId="04E8094D" w14:textId="77777777" w:rsidTr="00C95E0C">
        <w:trPr>
          <w:cantSplit/>
        </w:trPr>
        <w:tc>
          <w:tcPr>
            <w:tcW w:w="2392" w:type="dxa"/>
            <w:shd w:val="clear" w:color="000000" w:fill="C5D9F1"/>
            <w:vAlign w:val="center"/>
            <w:hideMark/>
          </w:tcPr>
          <w:p w14:paraId="0D52D36A" w14:textId="77777777" w:rsidR="00C95E0C" w:rsidRPr="00E82014" w:rsidRDefault="00C95E0C" w:rsidP="00986700">
            <w:pPr>
              <w:jc w:val="center"/>
              <w:rPr>
                <w:rFonts w:eastAsia="Times New Roman" w:cs="Arial"/>
                <w:b/>
                <w:bCs/>
                <w:sz w:val="18"/>
                <w:szCs w:val="18"/>
                <w:lang w:eastAsia="en-US"/>
              </w:rPr>
            </w:pPr>
            <w:r w:rsidRPr="00E82014">
              <w:rPr>
                <w:rFonts w:eastAsia="Times New Roman" w:cs="Arial"/>
                <w:b/>
                <w:bCs/>
                <w:sz w:val="18"/>
                <w:szCs w:val="18"/>
                <w:lang w:eastAsia="en-US"/>
              </w:rPr>
              <w:t>Résultat escompté</w:t>
            </w:r>
          </w:p>
        </w:tc>
        <w:tc>
          <w:tcPr>
            <w:tcW w:w="2393" w:type="dxa"/>
            <w:shd w:val="clear" w:color="000000" w:fill="C5D9F1"/>
            <w:vAlign w:val="center"/>
            <w:hideMark/>
          </w:tcPr>
          <w:p w14:paraId="3D8541B4" w14:textId="77777777" w:rsidR="00C95E0C" w:rsidRPr="00E82014" w:rsidRDefault="00C95E0C" w:rsidP="00986700">
            <w:pPr>
              <w:jc w:val="center"/>
              <w:rPr>
                <w:rFonts w:eastAsia="Times New Roman" w:cs="Arial"/>
                <w:b/>
                <w:bCs/>
                <w:sz w:val="18"/>
                <w:szCs w:val="18"/>
                <w:lang w:eastAsia="en-US"/>
              </w:rPr>
            </w:pPr>
            <w:r w:rsidRPr="00E82014">
              <w:rPr>
                <w:rFonts w:eastAsia="Times New Roman" w:cs="Arial"/>
                <w:b/>
                <w:bCs/>
                <w:sz w:val="18"/>
                <w:szCs w:val="18"/>
                <w:lang w:eastAsia="en-US"/>
              </w:rPr>
              <w:t>Indicateurs d’exécution</w:t>
            </w:r>
          </w:p>
        </w:tc>
        <w:tc>
          <w:tcPr>
            <w:tcW w:w="2393" w:type="dxa"/>
            <w:shd w:val="clear" w:color="000000" w:fill="C5D9F1"/>
            <w:vAlign w:val="center"/>
            <w:hideMark/>
          </w:tcPr>
          <w:p w14:paraId="3C367912" w14:textId="77777777" w:rsidR="00C95E0C" w:rsidRPr="00E82014" w:rsidRDefault="00C95E0C" w:rsidP="00986700">
            <w:pPr>
              <w:jc w:val="center"/>
              <w:rPr>
                <w:rFonts w:eastAsia="Times New Roman" w:cs="Arial"/>
                <w:b/>
                <w:bCs/>
                <w:sz w:val="18"/>
                <w:szCs w:val="18"/>
                <w:lang w:eastAsia="en-US"/>
              </w:rPr>
            </w:pPr>
            <w:r w:rsidRPr="00E82014">
              <w:rPr>
                <w:rFonts w:eastAsia="Times New Roman" w:cs="Arial"/>
                <w:b/>
                <w:bCs/>
                <w:sz w:val="18"/>
                <w:szCs w:val="18"/>
                <w:lang w:eastAsia="en-US"/>
              </w:rPr>
              <w:t>Niveaux de référence</w:t>
            </w:r>
          </w:p>
        </w:tc>
        <w:tc>
          <w:tcPr>
            <w:tcW w:w="2393" w:type="dxa"/>
            <w:shd w:val="clear" w:color="000000" w:fill="C5D9F1"/>
            <w:vAlign w:val="center"/>
            <w:hideMark/>
          </w:tcPr>
          <w:p w14:paraId="10CF89D9" w14:textId="77777777" w:rsidR="00C95E0C" w:rsidRPr="00E82014" w:rsidRDefault="00C95E0C" w:rsidP="00986700">
            <w:pPr>
              <w:jc w:val="center"/>
              <w:rPr>
                <w:rFonts w:eastAsia="Times New Roman" w:cs="Arial"/>
                <w:b/>
                <w:bCs/>
                <w:sz w:val="18"/>
                <w:szCs w:val="18"/>
                <w:lang w:eastAsia="en-US"/>
              </w:rPr>
            </w:pPr>
            <w:r w:rsidRPr="00E82014">
              <w:rPr>
                <w:rFonts w:eastAsia="Times New Roman" w:cs="Arial"/>
                <w:b/>
                <w:bCs/>
                <w:sz w:val="18"/>
                <w:szCs w:val="18"/>
                <w:lang w:eastAsia="en-US"/>
              </w:rPr>
              <w:t>Objectifs visés</w:t>
            </w:r>
          </w:p>
        </w:tc>
      </w:tr>
      <w:tr w:rsidR="00C95E0C" w:rsidRPr="00E82014" w14:paraId="40C34C2C" w14:textId="77777777" w:rsidTr="00C95E0C">
        <w:trPr>
          <w:cantSplit/>
        </w:trPr>
        <w:tc>
          <w:tcPr>
            <w:tcW w:w="2392" w:type="dxa"/>
            <w:vMerge w:val="restart"/>
            <w:shd w:val="clear" w:color="000000" w:fill="FFFFFF"/>
            <w:hideMark/>
          </w:tcPr>
          <w:p w14:paraId="54B97CAE" w14:textId="59F49363"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 xml:space="preserve">III.2 Mise en valeur des ressources humaines pour répondre aux diverses exigences en matière d’utilisation efficace de la </w:t>
            </w:r>
            <w:r w:rsidRPr="00E82014">
              <w:rPr>
                <w:rFonts w:eastAsia="Times New Roman" w:cs="Arial"/>
                <w:sz w:val="16"/>
                <w:szCs w:val="16"/>
                <w:lang w:eastAsia="en-US"/>
              </w:rPr>
              <w:lastRenderedPageBreak/>
              <w:t>propriété intellectuelle au service du développement dans les pays en développement, les PMA et les pays en transition</w:t>
            </w:r>
          </w:p>
        </w:tc>
        <w:tc>
          <w:tcPr>
            <w:tcW w:w="2393" w:type="dxa"/>
            <w:shd w:val="clear" w:color="000000" w:fill="FFFFFF"/>
            <w:hideMark/>
          </w:tcPr>
          <w:p w14:paraId="6AF0F168"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lastRenderedPageBreak/>
              <w:t>Pourcentage de personnes formées qui sont satisfaites des programmes de formation de l’Académie de l’OMPI</w:t>
            </w:r>
          </w:p>
        </w:tc>
        <w:tc>
          <w:tcPr>
            <w:tcW w:w="2393" w:type="dxa"/>
            <w:shd w:val="clear" w:color="000000" w:fill="FFFFFF"/>
            <w:hideMark/>
          </w:tcPr>
          <w:p w14:paraId="386A0696" w14:textId="13337AB0" w:rsidR="00C95E0C" w:rsidRPr="00E82014" w:rsidRDefault="00C95E0C" w:rsidP="00E82B8A">
            <w:pPr>
              <w:rPr>
                <w:rFonts w:eastAsia="Times New Roman" w:cs="Arial"/>
                <w:sz w:val="16"/>
                <w:szCs w:val="16"/>
                <w:lang w:eastAsia="en-US"/>
              </w:rPr>
            </w:pPr>
            <w:r w:rsidRPr="00E82014">
              <w:rPr>
                <w:rFonts w:eastAsia="Times New Roman" w:cs="Arial"/>
                <w:sz w:val="16"/>
                <w:szCs w:val="16"/>
                <w:lang w:eastAsia="en-US"/>
              </w:rPr>
              <w:t xml:space="preserve">À déterminer </w:t>
            </w:r>
          </w:p>
        </w:tc>
        <w:tc>
          <w:tcPr>
            <w:tcW w:w="2393" w:type="dxa"/>
            <w:shd w:val="clear" w:color="000000" w:fill="FFFFFF"/>
            <w:hideMark/>
          </w:tcPr>
          <w:p w14:paraId="568B803B"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70% des personnes ayant répondu</w:t>
            </w:r>
          </w:p>
        </w:tc>
      </w:tr>
      <w:tr w:rsidR="00C95E0C" w:rsidRPr="00E82014" w14:paraId="753BCE38" w14:textId="77777777" w:rsidTr="00C95E0C">
        <w:trPr>
          <w:cantSplit/>
        </w:trPr>
        <w:tc>
          <w:tcPr>
            <w:tcW w:w="2392" w:type="dxa"/>
            <w:vMerge/>
            <w:shd w:val="clear" w:color="000000" w:fill="FFFFFF"/>
            <w:vAlign w:val="center"/>
            <w:hideMark/>
          </w:tcPr>
          <w:p w14:paraId="1F4E0DAD" w14:textId="77777777" w:rsidR="00C95E0C" w:rsidRPr="00E82014" w:rsidRDefault="00C95E0C" w:rsidP="00986700">
            <w:pPr>
              <w:rPr>
                <w:rFonts w:eastAsia="Times New Roman" w:cs="Arial"/>
                <w:sz w:val="16"/>
                <w:szCs w:val="16"/>
                <w:lang w:eastAsia="en-US"/>
              </w:rPr>
            </w:pPr>
          </w:p>
        </w:tc>
        <w:tc>
          <w:tcPr>
            <w:tcW w:w="2393" w:type="dxa"/>
            <w:shd w:val="clear" w:color="000000" w:fill="FFFFFF"/>
            <w:hideMark/>
          </w:tcPr>
          <w:p w14:paraId="106F6996"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Pourcentage des participants des cours qui utilisent des connaissances et des compétences améliorées en matière de propriété intellectuelle dans le cadre de leur travail</w:t>
            </w:r>
          </w:p>
        </w:tc>
        <w:tc>
          <w:tcPr>
            <w:tcW w:w="2393" w:type="dxa"/>
            <w:shd w:val="clear" w:color="000000" w:fill="FFFFFF"/>
            <w:hideMark/>
          </w:tcPr>
          <w:p w14:paraId="1D325AC3" w14:textId="298BAF8B" w:rsidR="00C95E0C" w:rsidRPr="00E82014" w:rsidRDefault="00E82B8A" w:rsidP="00E82B8A">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hideMark/>
          </w:tcPr>
          <w:p w14:paraId="2FD0B851"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60% des personnes ayant répondu</w:t>
            </w:r>
          </w:p>
        </w:tc>
      </w:tr>
      <w:tr w:rsidR="00C95E0C" w:rsidRPr="00E82014" w14:paraId="7909DAC1" w14:textId="77777777" w:rsidTr="00C95E0C">
        <w:trPr>
          <w:cantSplit/>
        </w:trPr>
        <w:tc>
          <w:tcPr>
            <w:tcW w:w="2392" w:type="dxa"/>
            <w:vMerge/>
            <w:shd w:val="clear" w:color="000000" w:fill="FFFFFF"/>
            <w:vAlign w:val="center"/>
            <w:hideMark/>
          </w:tcPr>
          <w:p w14:paraId="12632F89" w14:textId="77777777" w:rsidR="00C95E0C" w:rsidRPr="00E82014" w:rsidRDefault="00C95E0C" w:rsidP="00986700">
            <w:pPr>
              <w:rPr>
                <w:rFonts w:eastAsia="Times New Roman" w:cs="Arial"/>
                <w:sz w:val="16"/>
                <w:szCs w:val="16"/>
                <w:lang w:eastAsia="en-US"/>
              </w:rPr>
            </w:pPr>
          </w:p>
        </w:tc>
        <w:tc>
          <w:tcPr>
            <w:tcW w:w="2393" w:type="dxa"/>
            <w:shd w:val="clear" w:color="000000" w:fill="FFFFFF"/>
            <w:hideMark/>
          </w:tcPr>
          <w:p w14:paraId="0223518C"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Pourcentage de supérieurs hiérarchiques satisfaits de l’utilisation des connaissances et des compétences améliorées en matière de propriété intellectuelle par les personnes formées dans le cadre de leur travail</w:t>
            </w:r>
          </w:p>
        </w:tc>
        <w:tc>
          <w:tcPr>
            <w:tcW w:w="2393" w:type="dxa"/>
            <w:shd w:val="clear" w:color="000000" w:fill="FFFFFF"/>
            <w:hideMark/>
          </w:tcPr>
          <w:p w14:paraId="1FFC12DF" w14:textId="7BAD87B5" w:rsidR="00C95E0C" w:rsidRPr="00E82014" w:rsidRDefault="00E82B8A" w:rsidP="00E82B8A">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hideMark/>
          </w:tcPr>
          <w:p w14:paraId="246CB288"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50% des personnes ayant répondu</w:t>
            </w:r>
          </w:p>
        </w:tc>
      </w:tr>
      <w:tr w:rsidR="00C95E0C" w:rsidRPr="00E82014" w14:paraId="6E5D7DD5" w14:textId="77777777" w:rsidTr="00C95E0C">
        <w:trPr>
          <w:cantSplit/>
        </w:trPr>
        <w:tc>
          <w:tcPr>
            <w:tcW w:w="2392" w:type="dxa"/>
            <w:vMerge/>
            <w:shd w:val="clear" w:color="000000" w:fill="FFFFFF"/>
            <w:hideMark/>
          </w:tcPr>
          <w:p w14:paraId="0A1A05AB" w14:textId="77777777" w:rsidR="00C95E0C" w:rsidRPr="00E82014" w:rsidRDefault="00C95E0C" w:rsidP="00986700">
            <w:pPr>
              <w:rPr>
                <w:rFonts w:eastAsia="Times New Roman" w:cs="Arial"/>
                <w:sz w:val="16"/>
                <w:szCs w:val="16"/>
                <w:lang w:eastAsia="en-US"/>
              </w:rPr>
            </w:pPr>
          </w:p>
        </w:tc>
        <w:tc>
          <w:tcPr>
            <w:tcW w:w="2393" w:type="dxa"/>
            <w:shd w:val="clear" w:color="000000" w:fill="FFFFFF"/>
            <w:hideMark/>
          </w:tcPr>
          <w:p w14:paraId="235825CC"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Pourcentage d’augmentation du nombre de participants suivant des cours d’enseignement à distance de l’Académie</w:t>
            </w:r>
          </w:p>
        </w:tc>
        <w:tc>
          <w:tcPr>
            <w:tcW w:w="2393" w:type="dxa"/>
            <w:shd w:val="clear" w:color="auto" w:fill="auto"/>
            <w:hideMark/>
          </w:tcPr>
          <w:p w14:paraId="07AED130"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54 596 (2016)</w:t>
            </w:r>
          </w:p>
        </w:tc>
        <w:tc>
          <w:tcPr>
            <w:tcW w:w="2393" w:type="dxa"/>
            <w:shd w:val="clear" w:color="auto" w:fill="auto"/>
            <w:hideMark/>
          </w:tcPr>
          <w:p w14:paraId="589BDC41"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 xml:space="preserve">Rester au niveau de référence </w:t>
            </w:r>
          </w:p>
        </w:tc>
      </w:tr>
      <w:tr w:rsidR="00C95E0C" w:rsidRPr="00E82014" w14:paraId="50A68D9D" w14:textId="77777777" w:rsidTr="00C95E0C">
        <w:trPr>
          <w:cantSplit/>
        </w:trPr>
        <w:tc>
          <w:tcPr>
            <w:tcW w:w="2392" w:type="dxa"/>
            <w:vMerge/>
            <w:shd w:val="clear" w:color="000000" w:fill="FFFFFF"/>
          </w:tcPr>
          <w:p w14:paraId="13B13484" w14:textId="77777777" w:rsidR="00C95E0C" w:rsidRPr="00E82014" w:rsidRDefault="00C95E0C" w:rsidP="00986700">
            <w:pPr>
              <w:rPr>
                <w:rFonts w:eastAsia="Times New Roman" w:cs="Arial"/>
                <w:sz w:val="16"/>
                <w:szCs w:val="16"/>
                <w:lang w:eastAsia="en-US"/>
              </w:rPr>
            </w:pPr>
          </w:p>
        </w:tc>
        <w:tc>
          <w:tcPr>
            <w:tcW w:w="2393" w:type="dxa"/>
            <w:shd w:val="clear" w:color="000000" w:fill="FFFFFF"/>
          </w:tcPr>
          <w:p w14:paraId="1038613B"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Taux de réussite aux examens dans les cours de perfectionnement dispensés à distance</w:t>
            </w:r>
          </w:p>
        </w:tc>
        <w:tc>
          <w:tcPr>
            <w:tcW w:w="2393" w:type="dxa"/>
            <w:shd w:val="clear" w:color="auto" w:fill="auto"/>
          </w:tcPr>
          <w:p w14:paraId="5DF6CD87" w14:textId="3C2FB7B3"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69% (2014</w:t>
            </w:r>
            <w:r w:rsidR="00B441CA">
              <w:rPr>
                <w:rFonts w:eastAsia="Times New Roman" w:cs="Arial"/>
                <w:sz w:val="16"/>
                <w:szCs w:val="16"/>
                <w:lang w:eastAsia="en-US"/>
              </w:rPr>
              <w:noBreakHyphen/>
            </w:r>
            <w:r w:rsidRPr="00E82014">
              <w:rPr>
                <w:rFonts w:eastAsia="Times New Roman" w:cs="Arial"/>
                <w:sz w:val="16"/>
                <w:szCs w:val="16"/>
                <w:lang w:eastAsia="en-US"/>
              </w:rPr>
              <w:t>2015)</w:t>
            </w:r>
          </w:p>
        </w:tc>
        <w:tc>
          <w:tcPr>
            <w:tcW w:w="2393" w:type="dxa"/>
            <w:shd w:val="clear" w:color="auto" w:fill="auto"/>
          </w:tcPr>
          <w:p w14:paraId="60379D9E"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69%</w:t>
            </w:r>
          </w:p>
        </w:tc>
      </w:tr>
      <w:tr w:rsidR="00C95E0C" w:rsidRPr="00E82014" w14:paraId="79F723C0" w14:textId="77777777" w:rsidTr="00C95E0C">
        <w:trPr>
          <w:cantSplit/>
        </w:trPr>
        <w:tc>
          <w:tcPr>
            <w:tcW w:w="2392" w:type="dxa"/>
            <w:vMerge/>
            <w:shd w:val="clear" w:color="000000" w:fill="FFFFFF"/>
            <w:noWrap/>
            <w:vAlign w:val="bottom"/>
            <w:hideMark/>
          </w:tcPr>
          <w:p w14:paraId="2093AA5C" w14:textId="77777777" w:rsidR="00C95E0C" w:rsidRPr="00E82014" w:rsidRDefault="00C95E0C" w:rsidP="00986700">
            <w:pPr>
              <w:rPr>
                <w:rFonts w:ascii="Calibri" w:eastAsia="Times New Roman" w:hAnsi="Calibri" w:cs="Times New Roman"/>
                <w:lang w:eastAsia="en-US"/>
              </w:rPr>
            </w:pPr>
          </w:p>
        </w:tc>
        <w:tc>
          <w:tcPr>
            <w:tcW w:w="2393" w:type="dxa"/>
            <w:shd w:val="clear" w:color="000000" w:fill="FFFFFF"/>
            <w:hideMark/>
          </w:tcPr>
          <w:p w14:paraId="5BFB5B98"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Nombre de nouvelles académies nationales créées et devenues viables</w:t>
            </w:r>
          </w:p>
        </w:tc>
        <w:tc>
          <w:tcPr>
            <w:tcW w:w="2393" w:type="dxa"/>
            <w:shd w:val="clear" w:color="000000" w:fill="FFFFFF"/>
            <w:hideMark/>
          </w:tcPr>
          <w:p w14:paraId="54F5BDB2" w14:textId="2CE6C520" w:rsidR="00C95E0C" w:rsidRPr="00E82014" w:rsidRDefault="00E82B8A" w:rsidP="00E82B8A">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hideMark/>
          </w:tcPr>
          <w:p w14:paraId="727B2995"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(4 au total)</w:t>
            </w:r>
          </w:p>
        </w:tc>
      </w:tr>
      <w:tr w:rsidR="00C95E0C" w:rsidRPr="00E82014" w14:paraId="790416F3" w14:textId="77777777" w:rsidTr="00C95E0C">
        <w:trPr>
          <w:cantSplit/>
        </w:trPr>
        <w:tc>
          <w:tcPr>
            <w:tcW w:w="2392" w:type="dxa"/>
            <w:vMerge/>
            <w:shd w:val="clear" w:color="000000" w:fill="FFFFFF"/>
            <w:hideMark/>
          </w:tcPr>
          <w:p w14:paraId="192368E0" w14:textId="77777777" w:rsidR="00C95E0C" w:rsidRPr="00E82014" w:rsidRDefault="00C95E0C" w:rsidP="00986700">
            <w:pPr>
              <w:rPr>
                <w:rFonts w:eastAsia="Times New Roman" w:cs="Arial"/>
                <w:sz w:val="16"/>
                <w:szCs w:val="16"/>
                <w:lang w:eastAsia="en-US"/>
              </w:rPr>
            </w:pPr>
          </w:p>
        </w:tc>
        <w:tc>
          <w:tcPr>
            <w:tcW w:w="2393" w:type="dxa"/>
            <w:shd w:val="clear" w:color="000000" w:fill="FFFFFF"/>
            <w:hideMark/>
          </w:tcPr>
          <w:p w14:paraId="7E7B110B"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Rapport global hommes/femmes dans les cours de l’Académie de l’OMPI</w:t>
            </w:r>
          </w:p>
        </w:tc>
        <w:tc>
          <w:tcPr>
            <w:tcW w:w="2393" w:type="dxa"/>
            <w:shd w:val="clear" w:color="000000" w:fill="FFFFFF"/>
            <w:hideMark/>
          </w:tcPr>
          <w:p w14:paraId="5249D1A0" w14:textId="6366673E" w:rsidR="00C95E0C" w:rsidRPr="00E82014" w:rsidRDefault="00E82B8A" w:rsidP="00E82B8A">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hideMark/>
          </w:tcPr>
          <w:p w14:paraId="74FBC010" w14:textId="77777777" w:rsidR="00C95E0C" w:rsidRPr="00E82014" w:rsidRDefault="00C95E0C" w:rsidP="00986700">
            <w:pPr>
              <w:rPr>
                <w:rFonts w:eastAsia="Times New Roman" w:cs="Arial"/>
                <w:sz w:val="16"/>
                <w:szCs w:val="16"/>
                <w:lang w:eastAsia="en-US"/>
              </w:rPr>
            </w:pPr>
            <w:r w:rsidRPr="00E82014">
              <w:rPr>
                <w:rFonts w:eastAsia="Times New Roman" w:cs="Arial"/>
                <w:sz w:val="16"/>
                <w:szCs w:val="16"/>
                <w:lang w:eastAsia="en-US"/>
              </w:rPr>
              <w:t>50/50</w:t>
            </w:r>
          </w:p>
        </w:tc>
      </w:tr>
    </w:tbl>
    <w:p w14:paraId="2CF17345" w14:textId="77777777" w:rsidR="00C95E0C" w:rsidRDefault="00C95E0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EE0227" w:rsidRPr="00821D15" w14:paraId="09FFCA24" w14:textId="77777777" w:rsidTr="00EE0227">
        <w:trPr>
          <w:cantSplit/>
        </w:trPr>
        <w:tc>
          <w:tcPr>
            <w:tcW w:w="9571" w:type="dxa"/>
            <w:shd w:val="clear" w:color="auto" w:fill="C6D9F1" w:themeFill="text2" w:themeFillTint="33"/>
            <w:vAlign w:val="center"/>
          </w:tcPr>
          <w:p w14:paraId="159B8310" w14:textId="77777777" w:rsidR="00EE0227" w:rsidRPr="00821D15" w:rsidRDefault="00EE0227" w:rsidP="00986700">
            <w:pPr>
              <w:jc w:val="center"/>
              <w:rPr>
                <w:rFonts w:cs="Arial"/>
                <w:b/>
                <w:szCs w:val="20"/>
              </w:rPr>
            </w:pPr>
            <w:r w:rsidRPr="00821D15">
              <w:rPr>
                <w:rFonts w:cs="Arial"/>
                <w:b/>
                <w:szCs w:val="20"/>
              </w:rPr>
              <w:t>Ressources allouées au programme 11</w:t>
            </w:r>
          </w:p>
        </w:tc>
      </w:tr>
    </w:tbl>
    <w:p w14:paraId="34FA8BF0" w14:textId="77777777" w:rsidR="00EE0227" w:rsidRPr="00821D15" w:rsidRDefault="00EE0227" w:rsidP="00986700">
      <w:pPr>
        <w:rPr>
          <w:rFonts w:cs="Arial"/>
          <w:szCs w:val="20"/>
        </w:rPr>
      </w:pPr>
    </w:p>
    <w:p w14:paraId="0AD74D42" w14:textId="77777777" w:rsidR="00EE0227" w:rsidRPr="00821D15" w:rsidRDefault="00EE0227" w:rsidP="00616FD3">
      <w:pPr>
        <w:pStyle w:val="ListParagraph"/>
        <w:numPr>
          <w:ilvl w:val="0"/>
          <w:numId w:val="72"/>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2,1% par rapport au budget approuvé pour 2016</w:t>
      </w:r>
      <w:r w:rsidRPr="00821D15">
        <w:rPr>
          <w:rFonts w:cs="Arial"/>
          <w:szCs w:val="20"/>
        </w:rPr>
        <w:noBreakHyphen/>
        <w:t>2017.</w:t>
      </w:r>
    </w:p>
    <w:p w14:paraId="00BB9301" w14:textId="77777777" w:rsidR="00EE0227" w:rsidRPr="00821D15" w:rsidRDefault="00EE0227" w:rsidP="00986700">
      <w:pPr>
        <w:rPr>
          <w:rFonts w:cs="Arial"/>
          <w:szCs w:val="20"/>
        </w:rPr>
      </w:pPr>
    </w:p>
    <w:p w14:paraId="37033F6B" w14:textId="77777777" w:rsidR="00EE0227" w:rsidRPr="00821D15" w:rsidRDefault="00EE0227" w:rsidP="00616FD3">
      <w:pPr>
        <w:pStyle w:val="ListParagraph"/>
        <w:numPr>
          <w:ilvl w:val="0"/>
          <w:numId w:val="72"/>
        </w:numPr>
        <w:ind w:left="0" w:firstLine="0"/>
        <w:jc w:val="both"/>
        <w:rPr>
          <w:rFonts w:cs="Arial"/>
          <w:szCs w:val="20"/>
        </w:rPr>
      </w:pPr>
      <w:r w:rsidRPr="00821D15">
        <w:rPr>
          <w:rFonts w:cs="Arial"/>
          <w:szCs w:val="20"/>
        </w:rPr>
        <w:t>L’augmentation du nombre de postes et des dépenses de personnel correspondantes résulte du renforcement du programme de perfectionnement des cadres.</w:t>
      </w:r>
    </w:p>
    <w:p w14:paraId="12A4AC3D" w14:textId="77777777" w:rsidR="00EE0227" w:rsidRPr="00821D15" w:rsidRDefault="00EE0227" w:rsidP="00986700">
      <w:pPr>
        <w:rPr>
          <w:rFonts w:cs="Arial"/>
          <w:szCs w:val="20"/>
        </w:rPr>
      </w:pPr>
    </w:p>
    <w:p w14:paraId="52706039" w14:textId="77777777" w:rsidR="00EE0227" w:rsidRPr="00821D15" w:rsidRDefault="00EE0227" w:rsidP="00616FD3">
      <w:pPr>
        <w:pStyle w:val="ListParagraph"/>
        <w:numPr>
          <w:ilvl w:val="0"/>
          <w:numId w:val="72"/>
        </w:numPr>
        <w:ind w:left="0" w:firstLine="0"/>
        <w:jc w:val="both"/>
        <w:rPr>
          <w:rFonts w:cs="Arial"/>
          <w:szCs w:val="20"/>
        </w:rPr>
      </w:pPr>
      <w:r w:rsidRPr="00821D15">
        <w:rPr>
          <w:rFonts w:cs="Arial"/>
          <w:szCs w:val="20"/>
        </w:rPr>
        <w:t>L’augmentation des dépenses autres que les dépenses de personnel résulte d’une provision supplémentaire pour la finalisation du projet du Plan d’action pour le développement relatif à la coopération avec les instituts de formation judiciaires des pays en développement et des pays les moins avancés et son intégration en 2019 dans les travaux menés dans le cadre du programme.</w:t>
      </w:r>
    </w:p>
    <w:p w14:paraId="31369269" w14:textId="77777777" w:rsidR="00EE0227" w:rsidRPr="00E82014" w:rsidRDefault="00EE0227" w:rsidP="00986700">
      <w:pPr>
        <w:jc w:val="both"/>
        <w:rPr>
          <w:rFonts w:cs="Arial"/>
          <w:szCs w:val="20"/>
        </w:rPr>
      </w:pPr>
    </w:p>
    <w:p w14:paraId="32779CC5" w14:textId="13494222"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11 : </w:t>
      </w:r>
      <w:r w:rsidRPr="00674550">
        <w:rPr>
          <w:rFonts w:eastAsia="Times New Roman" w:cs="Arial"/>
          <w:b/>
          <w:szCs w:val="20"/>
          <w:lang w:eastAsia="en-US"/>
        </w:rPr>
        <w:t>Ressources par résultat</w:t>
      </w:r>
    </w:p>
    <w:p w14:paraId="31C5FB5F"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5F0FAEF" w14:textId="77777777" w:rsidR="00717231" w:rsidRDefault="00717231" w:rsidP="00986700"/>
    <w:p w14:paraId="58D7728C" w14:textId="181CCA59" w:rsidR="00717231" w:rsidRDefault="00717231" w:rsidP="00986700">
      <w:pPr>
        <w:jc w:val="center"/>
      </w:pPr>
      <w:r w:rsidRPr="00717231">
        <w:rPr>
          <w:noProof/>
          <w:lang w:val="en-US" w:eastAsia="en-US"/>
        </w:rPr>
        <w:drawing>
          <wp:inline distT="0" distB="0" distL="0" distR="0" wp14:anchorId="4D404F81" wp14:editId="3BEC1E39">
            <wp:extent cx="5400000" cy="1369014"/>
            <wp:effectExtent l="0" t="0" r="0" b="317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4C1E0C03" w14:textId="77777777" w:rsidR="00B55ECC" w:rsidRDefault="00B55ECC" w:rsidP="00986700"/>
    <w:p w14:paraId="2A754C3D"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11</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4D19B65" w14:textId="70FA8A30" w:rsidR="008778B5" w:rsidRDefault="0027684D" w:rsidP="00AC3B37">
      <w:pPr>
        <w:keepNext/>
        <w:keepLines/>
        <w:spacing w:after="120"/>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14F0AEFD" w14:textId="6261DE1B" w:rsidR="00B55ECC" w:rsidRDefault="008778B5" w:rsidP="00986700">
      <w:pPr>
        <w:jc w:val="center"/>
        <w:rPr>
          <w:lang w:eastAsia="en-US"/>
        </w:rPr>
      </w:pPr>
      <w:r w:rsidRPr="008778B5">
        <w:rPr>
          <w:noProof/>
          <w:lang w:val="en-US" w:eastAsia="en-US"/>
        </w:rPr>
        <w:drawing>
          <wp:inline distT="0" distB="0" distL="0" distR="0" wp14:anchorId="1CF83338" wp14:editId="7E7DBE5B">
            <wp:extent cx="5400000" cy="6457274"/>
            <wp:effectExtent l="0" t="0" r="0"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000" cy="6457274"/>
                    </a:xfrm>
                    <a:prstGeom prst="rect">
                      <a:avLst/>
                    </a:prstGeom>
                    <a:noFill/>
                    <a:ln>
                      <a:noFill/>
                    </a:ln>
                  </pic:spPr>
                </pic:pic>
              </a:graphicData>
            </a:graphic>
          </wp:inline>
        </w:drawing>
      </w:r>
    </w:p>
    <w:p w14:paraId="7075DD93" w14:textId="77777777" w:rsidR="00B55ECC" w:rsidRDefault="00B55ECC" w:rsidP="00986700">
      <w:pPr>
        <w:rPr>
          <w:lang w:eastAsia="en-US"/>
        </w:rPr>
      </w:pPr>
    </w:p>
    <w:p w14:paraId="77F0DB7C" w14:textId="77777777" w:rsidR="00637026" w:rsidRPr="00E61AC7" w:rsidRDefault="00637026" w:rsidP="00637026">
      <w:pPr>
        <w:keepNext/>
        <w:jc w:val="center"/>
        <w:rPr>
          <w:b/>
          <w:szCs w:val="20"/>
          <w:lang w:eastAsia="en-US"/>
        </w:rPr>
      </w:pPr>
      <w:r w:rsidRPr="00E61AC7">
        <w:rPr>
          <w:b/>
          <w:szCs w:val="20"/>
          <w:lang w:eastAsia="en-US"/>
        </w:rPr>
        <w:t>Fonds fiduciaires potentiellement disponibles aux fins d’activités de programme en 2018-20191</w:t>
      </w:r>
    </w:p>
    <w:p w14:paraId="6E2127B2" w14:textId="77777777" w:rsidR="00637026" w:rsidRPr="00E61AC7" w:rsidRDefault="00637026" w:rsidP="00AC3B37">
      <w:pPr>
        <w:keepNext/>
        <w:spacing w:after="120"/>
        <w:jc w:val="center"/>
        <w:rPr>
          <w:i/>
          <w:szCs w:val="20"/>
          <w:lang w:eastAsia="en-US"/>
        </w:rPr>
      </w:pPr>
      <w:r w:rsidRPr="00E61AC7">
        <w:rPr>
          <w:i/>
          <w:szCs w:val="20"/>
          <w:lang w:eastAsia="en-US"/>
        </w:rPr>
        <w:t>(en milliers de francs suisses)</w:t>
      </w:r>
    </w:p>
    <w:p w14:paraId="78140155" w14:textId="046B1AB3" w:rsidR="003F24B1" w:rsidRDefault="00637026" w:rsidP="00AC3B37">
      <w:r w:rsidRPr="00637026">
        <w:rPr>
          <w:noProof/>
          <w:lang w:val="en-US" w:eastAsia="en-US"/>
        </w:rPr>
        <w:drawing>
          <wp:inline distT="0" distB="0" distL="0" distR="0" wp14:anchorId="7D1112C0" wp14:editId="1C2AA511">
            <wp:extent cx="5760085" cy="167991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1679910"/>
                    </a:xfrm>
                    <a:prstGeom prst="rect">
                      <a:avLst/>
                    </a:prstGeom>
                    <a:noFill/>
                    <a:ln>
                      <a:noFill/>
                    </a:ln>
                  </pic:spPr>
                </pic:pic>
              </a:graphicData>
            </a:graphic>
          </wp:inline>
        </w:drawing>
      </w:r>
      <w:r w:rsidR="003F24B1">
        <w:br w:type="page"/>
      </w:r>
    </w:p>
    <w:p w14:paraId="58B8CE15" w14:textId="77777777" w:rsidR="007A7A77" w:rsidRPr="00136CC3" w:rsidRDefault="007A7A77" w:rsidP="00986700">
      <w:pPr>
        <w:pStyle w:val="Heading2"/>
        <w:rPr>
          <w:iCs/>
        </w:rPr>
      </w:pPr>
      <w:bookmarkStart w:id="48" w:name="_Toc482979490"/>
      <w:r w:rsidRPr="00136CC3">
        <w:lastRenderedPageBreak/>
        <w:t>Programme 30</w:t>
      </w:r>
      <w:r w:rsidRPr="00136CC3">
        <w:tab/>
        <w:t>Appui</w:t>
      </w:r>
      <w:r w:rsidRPr="00145FCB">
        <w:t xml:space="preserve"> aux PME</w:t>
      </w:r>
      <w:r w:rsidRPr="00136CC3">
        <w:t xml:space="preserve"> et </w:t>
      </w:r>
      <w:r w:rsidRPr="00136CC3">
        <w:rPr>
          <w:rFonts w:hint="eastAsia"/>
        </w:rPr>
        <w:t>à</w:t>
      </w:r>
      <w:r w:rsidRPr="00136CC3">
        <w:t xml:space="preserve"> la cr</w:t>
      </w:r>
      <w:r w:rsidRPr="00136CC3">
        <w:rPr>
          <w:rFonts w:hint="eastAsia"/>
        </w:rPr>
        <w:t>é</w:t>
      </w:r>
      <w:r w:rsidRPr="00136CC3">
        <w:t>ation d</w:t>
      </w:r>
      <w:r>
        <w:t>’</w:t>
      </w:r>
      <w:r w:rsidRPr="00136CC3">
        <w:t>entreprises</w:t>
      </w:r>
      <w:bookmarkEnd w:id="48"/>
    </w:p>
    <w:p w14:paraId="44C6E55A" w14:textId="77777777" w:rsidR="007A7A77" w:rsidRPr="00136CC3" w:rsidRDefault="007A7A77" w:rsidP="00986700">
      <w:pPr>
        <w:tabs>
          <w:tab w:val="left" w:pos="1701"/>
        </w:tabs>
        <w:ind w:left="1701" w:hanging="1701"/>
        <w:rPr>
          <w:rFonts w:cs="Arial"/>
          <w:bCs/>
          <w:iCs/>
        </w:rPr>
      </w:pPr>
    </w:p>
    <w:tbl>
      <w:tblPr>
        <w:tblW w:w="5000" w:type="pct"/>
        <w:tblCellMar>
          <w:top w:w="57" w:type="dxa"/>
          <w:bottom w:w="57" w:type="dxa"/>
        </w:tblCellMar>
        <w:tblLook w:val="01E0" w:firstRow="1" w:lastRow="1" w:firstColumn="1" w:lastColumn="1" w:noHBand="0" w:noVBand="0"/>
      </w:tblPr>
      <w:tblGrid>
        <w:gridCol w:w="9287"/>
      </w:tblGrid>
      <w:tr w:rsidR="007A7A77" w:rsidRPr="0034194E" w14:paraId="106370EB" w14:textId="77777777" w:rsidTr="008B3CED">
        <w:trPr>
          <w:cantSplit/>
        </w:trPr>
        <w:tc>
          <w:tcPr>
            <w:tcW w:w="9287" w:type="dxa"/>
            <w:shd w:val="clear" w:color="auto" w:fill="C6D9F1" w:themeFill="text2" w:themeFillTint="33"/>
            <w:vAlign w:val="center"/>
          </w:tcPr>
          <w:p w14:paraId="1D5992DA" w14:textId="77777777" w:rsidR="007A7A77" w:rsidRPr="0034194E" w:rsidRDefault="007A7A77" w:rsidP="008B3CED">
            <w:pPr>
              <w:keepNext/>
              <w:keepLines/>
              <w:jc w:val="center"/>
              <w:rPr>
                <w:rFonts w:eastAsia="Times New Roman" w:cs="Arial"/>
                <w:b/>
                <w:bCs/>
                <w:szCs w:val="20"/>
                <w:lang w:eastAsia="en-US"/>
              </w:rPr>
            </w:pPr>
            <w:r w:rsidRPr="0034194E">
              <w:rPr>
                <w:rFonts w:eastAsia="Times New Roman" w:cs="Arial"/>
                <w:b/>
                <w:bCs/>
                <w:szCs w:val="20"/>
                <w:lang w:eastAsia="en-US"/>
              </w:rPr>
              <w:t xml:space="preserve">Stratégies de mise en œuvre </w:t>
            </w:r>
          </w:p>
        </w:tc>
      </w:tr>
    </w:tbl>
    <w:p w14:paraId="51EF91EE" w14:textId="7C5F3E11" w:rsidR="007A7A77" w:rsidRPr="00136CC3" w:rsidRDefault="007A7A77" w:rsidP="00986700">
      <w:pPr>
        <w:jc w:val="both"/>
        <w:rPr>
          <w:rFonts w:cs="Arial"/>
          <w:szCs w:val="20"/>
        </w:rPr>
      </w:pPr>
    </w:p>
    <w:p w14:paraId="6EBE37E4" w14:textId="77777777" w:rsidR="007A7A77" w:rsidRPr="00136CC3"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Faciliter l</w:t>
      </w:r>
      <w:r>
        <w:rPr>
          <w:rFonts w:eastAsia="Times New Roman" w:cs="Arial"/>
          <w:szCs w:val="20"/>
          <w:lang w:eastAsia="en-US"/>
        </w:rPr>
        <w:t>’</w:t>
      </w:r>
      <w:r w:rsidRPr="00136CC3">
        <w:rPr>
          <w:rFonts w:eastAsia="Times New Roman" w:cs="Arial"/>
          <w:szCs w:val="20"/>
          <w:lang w:eastAsia="en-US"/>
        </w:rPr>
        <w:t>utilisation efficace du système de propriété intellectuelle pour les acteurs de l</w:t>
      </w:r>
      <w:r>
        <w:rPr>
          <w:rFonts w:eastAsia="Times New Roman" w:cs="Arial"/>
          <w:szCs w:val="20"/>
          <w:lang w:eastAsia="en-US"/>
        </w:rPr>
        <w:t>’</w:t>
      </w:r>
      <w:r w:rsidRPr="00136CC3">
        <w:rPr>
          <w:rFonts w:eastAsia="Times New Roman" w:cs="Arial"/>
          <w:szCs w:val="20"/>
          <w:lang w:eastAsia="en-US"/>
        </w:rPr>
        <w:t>innovation (PME, universités et instituts de recherche et organismes d</w:t>
      </w:r>
      <w:r>
        <w:rPr>
          <w:rFonts w:eastAsia="Times New Roman" w:cs="Arial"/>
          <w:szCs w:val="20"/>
          <w:lang w:eastAsia="en-US"/>
        </w:rPr>
        <w:t>’</w:t>
      </w:r>
      <w:r w:rsidRPr="00136CC3">
        <w:rPr>
          <w:rFonts w:eastAsia="Times New Roman" w:cs="Arial"/>
          <w:szCs w:val="20"/>
          <w:lang w:eastAsia="en-US"/>
        </w:rPr>
        <w:t>aide</w:t>
      </w:r>
      <w:r w:rsidRPr="00145FCB">
        <w:rPr>
          <w:rFonts w:eastAsia="Times New Roman" w:cs="Arial"/>
          <w:szCs w:val="20"/>
          <w:lang w:eastAsia="en-US"/>
        </w:rPr>
        <w:t xml:space="preserve"> aux PME</w:t>
      </w:r>
      <w:r w:rsidRPr="00136CC3">
        <w:rPr>
          <w:rFonts w:eastAsia="Times New Roman" w:cs="Arial"/>
          <w:szCs w:val="20"/>
          <w:lang w:eastAsia="en-US"/>
        </w:rPr>
        <w:t>) en recommandant des mesures de politique générale en vue de la réalisation des objectifs de développement nationaux;</w:t>
      </w:r>
    </w:p>
    <w:p w14:paraId="12731D44" w14:textId="77777777" w:rsidR="007A7A77" w:rsidRPr="00136CC3" w:rsidRDefault="007A7A77" w:rsidP="00986700">
      <w:pPr>
        <w:ind w:left="567" w:hanging="567"/>
        <w:jc w:val="both"/>
        <w:rPr>
          <w:rFonts w:eastAsia="Times New Roman" w:cs="Arial"/>
          <w:szCs w:val="20"/>
          <w:lang w:eastAsia="en-US"/>
        </w:rPr>
      </w:pPr>
    </w:p>
    <w:p w14:paraId="653681B5" w14:textId="77777777" w:rsidR="007A7A77" w:rsidRPr="00136CC3"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Élaborer du matériel didactique conçu pour répondre aux besoins particuliers</w:t>
      </w:r>
      <w:r w:rsidRPr="00145FCB">
        <w:rPr>
          <w:rFonts w:eastAsia="Times New Roman" w:cs="Arial"/>
          <w:szCs w:val="20"/>
          <w:lang w:eastAsia="en-US"/>
        </w:rPr>
        <w:t xml:space="preserve"> des PME</w:t>
      </w:r>
      <w:r w:rsidRPr="00136CC3">
        <w:rPr>
          <w:rFonts w:eastAsia="Times New Roman" w:cs="Arial"/>
          <w:szCs w:val="20"/>
          <w:lang w:eastAsia="en-US"/>
        </w:rPr>
        <w:t>, des universités et instituts de recherche, en le mettant à disposition pour adaptation au niveau local;</w:t>
      </w:r>
    </w:p>
    <w:p w14:paraId="771AEBF2" w14:textId="77777777" w:rsidR="007A7A77" w:rsidRPr="00136CC3" w:rsidRDefault="007A7A77" w:rsidP="00986700">
      <w:pPr>
        <w:ind w:left="567" w:hanging="567"/>
        <w:jc w:val="both"/>
        <w:rPr>
          <w:rFonts w:eastAsia="Times New Roman" w:cs="Arial"/>
          <w:szCs w:val="20"/>
          <w:lang w:eastAsia="en-US"/>
        </w:rPr>
      </w:pPr>
    </w:p>
    <w:p w14:paraId="5EDA9208" w14:textId="02CC5181" w:rsidR="007A7A77" w:rsidRPr="00136CC3"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Démontrer l</w:t>
      </w:r>
      <w:r>
        <w:rPr>
          <w:rFonts w:eastAsia="Times New Roman" w:cs="Arial"/>
          <w:szCs w:val="20"/>
          <w:lang w:eastAsia="en-US"/>
        </w:rPr>
        <w:t>’</w:t>
      </w:r>
      <w:r w:rsidRPr="00136CC3">
        <w:rPr>
          <w:rFonts w:eastAsia="Times New Roman" w:cs="Arial"/>
          <w:szCs w:val="20"/>
          <w:lang w:eastAsia="en-US"/>
        </w:rPr>
        <w:t>incidence positive de l</w:t>
      </w:r>
      <w:r>
        <w:rPr>
          <w:rFonts w:eastAsia="Times New Roman" w:cs="Arial"/>
          <w:szCs w:val="20"/>
          <w:lang w:eastAsia="en-US"/>
        </w:rPr>
        <w:t>’</w:t>
      </w:r>
      <w:r w:rsidRPr="00136CC3">
        <w:rPr>
          <w:rFonts w:eastAsia="Times New Roman" w:cs="Arial"/>
          <w:szCs w:val="20"/>
          <w:lang w:eastAsia="en-US"/>
        </w:rPr>
        <w:t>utilisation du système de propriété intellectuelle et des instruments de politique générale connexes par</w:t>
      </w:r>
      <w:r w:rsidRPr="00145FCB">
        <w:rPr>
          <w:rFonts w:eastAsia="Times New Roman" w:cs="Arial"/>
          <w:szCs w:val="20"/>
          <w:lang w:eastAsia="en-US"/>
        </w:rPr>
        <w:t xml:space="preserve"> les PME</w:t>
      </w:r>
      <w:r w:rsidRPr="00136CC3">
        <w:rPr>
          <w:rFonts w:eastAsia="Times New Roman" w:cs="Arial"/>
          <w:szCs w:val="20"/>
          <w:lang w:eastAsia="en-US"/>
        </w:rPr>
        <w:t>, les universités et les instituts de recherche sur la compétitivité des entreprises, la création d</w:t>
      </w:r>
      <w:r>
        <w:rPr>
          <w:rFonts w:eastAsia="Times New Roman" w:cs="Arial"/>
          <w:szCs w:val="20"/>
          <w:lang w:eastAsia="en-US"/>
        </w:rPr>
        <w:t>’</w:t>
      </w:r>
      <w:r w:rsidRPr="00136CC3">
        <w:rPr>
          <w:rFonts w:eastAsia="Times New Roman" w:cs="Arial"/>
          <w:szCs w:val="20"/>
          <w:lang w:eastAsia="en-US"/>
        </w:rPr>
        <w:t>entreprises de haute technologie, le partage des connaissances et, à terme, la création d</w:t>
      </w:r>
      <w:r>
        <w:rPr>
          <w:rFonts w:eastAsia="Times New Roman" w:cs="Arial"/>
          <w:szCs w:val="20"/>
          <w:lang w:eastAsia="en-US"/>
        </w:rPr>
        <w:t>’</w:t>
      </w:r>
      <w:r w:rsidRPr="00136CC3">
        <w:rPr>
          <w:rFonts w:eastAsia="Times New Roman" w:cs="Arial"/>
          <w:szCs w:val="20"/>
          <w:lang w:eastAsia="en-US"/>
        </w:rPr>
        <w:t>emplois et la croissance économique;</w:t>
      </w:r>
    </w:p>
    <w:p w14:paraId="02212523" w14:textId="77777777" w:rsidR="007A7A77" w:rsidRPr="00136CC3" w:rsidRDefault="007A7A77" w:rsidP="00986700">
      <w:pPr>
        <w:ind w:left="567" w:hanging="567"/>
        <w:jc w:val="both"/>
        <w:rPr>
          <w:rFonts w:eastAsia="Times New Roman" w:cs="Arial"/>
          <w:szCs w:val="20"/>
          <w:lang w:eastAsia="en-US"/>
        </w:rPr>
      </w:pPr>
    </w:p>
    <w:p w14:paraId="4C9A563A" w14:textId="62800C7F" w:rsidR="007A7A77" w:rsidRPr="00136CC3"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 xml:space="preserve">Créer et renforcer la présence sur le </w:t>
      </w:r>
      <w:r>
        <w:rPr>
          <w:rFonts w:eastAsia="Times New Roman" w:cs="Arial"/>
          <w:szCs w:val="20"/>
          <w:lang w:eastAsia="en-US"/>
        </w:rPr>
        <w:t>Web</w:t>
      </w:r>
      <w:r w:rsidRPr="00136CC3">
        <w:rPr>
          <w:rFonts w:eastAsia="Times New Roman" w:cs="Arial"/>
          <w:szCs w:val="20"/>
          <w:lang w:eastAsia="en-US"/>
        </w:rPr>
        <w:t xml:space="preserve"> pour le partage de l</w:t>
      </w:r>
      <w:r>
        <w:rPr>
          <w:rFonts w:eastAsia="Times New Roman" w:cs="Arial"/>
          <w:szCs w:val="20"/>
          <w:lang w:eastAsia="en-US"/>
        </w:rPr>
        <w:t>’</w:t>
      </w:r>
      <w:r w:rsidRPr="00136CC3">
        <w:rPr>
          <w:rFonts w:eastAsia="Times New Roman" w:cs="Arial"/>
          <w:szCs w:val="20"/>
          <w:lang w:eastAsia="en-US"/>
        </w:rPr>
        <w:t>information sur la gestion de la propriété intellectuelle pour</w:t>
      </w:r>
      <w:r w:rsidRPr="00145FCB">
        <w:rPr>
          <w:rFonts w:eastAsia="Times New Roman" w:cs="Arial"/>
          <w:szCs w:val="20"/>
          <w:lang w:eastAsia="en-US"/>
        </w:rPr>
        <w:t xml:space="preserve"> les PME</w:t>
      </w:r>
      <w:r w:rsidRPr="00136CC3">
        <w:rPr>
          <w:rFonts w:eastAsia="Times New Roman" w:cs="Arial"/>
          <w:szCs w:val="20"/>
          <w:lang w:eastAsia="en-US"/>
        </w:rPr>
        <w:t>, la concession de licences de propriété intellectuelle et les politiques institutionnelles en la matière et explorer l</w:t>
      </w:r>
      <w:r>
        <w:rPr>
          <w:rFonts w:eastAsia="Times New Roman" w:cs="Arial"/>
          <w:szCs w:val="20"/>
          <w:lang w:eastAsia="en-US"/>
        </w:rPr>
        <w:t>’</w:t>
      </w:r>
      <w:r w:rsidRPr="00136CC3">
        <w:rPr>
          <w:rFonts w:eastAsia="Times New Roman" w:cs="Arial"/>
          <w:szCs w:val="20"/>
          <w:lang w:eastAsia="en-US"/>
        </w:rPr>
        <w:t>opportunité d</w:t>
      </w:r>
      <w:r>
        <w:rPr>
          <w:rFonts w:eastAsia="Times New Roman" w:cs="Arial"/>
          <w:szCs w:val="20"/>
          <w:lang w:eastAsia="en-US"/>
        </w:rPr>
        <w:t>’</w:t>
      </w:r>
      <w:r w:rsidRPr="00136CC3">
        <w:rPr>
          <w:rFonts w:eastAsia="Times New Roman" w:cs="Arial"/>
          <w:szCs w:val="20"/>
          <w:lang w:eastAsia="en-US"/>
        </w:rPr>
        <w:t>utiliser de nouveaux outils fondés sur le Web pour fournir une assistance technique plus ciblée et d</w:t>
      </w:r>
      <w:r>
        <w:rPr>
          <w:rFonts w:eastAsia="Times New Roman" w:cs="Arial"/>
          <w:szCs w:val="20"/>
          <w:lang w:eastAsia="en-US"/>
        </w:rPr>
        <w:t>’</w:t>
      </w:r>
      <w:r w:rsidRPr="00136CC3">
        <w:rPr>
          <w:rFonts w:eastAsia="Times New Roman" w:cs="Arial"/>
          <w:szCs w:val="20"/>
          <w:lang w:eastAsia="en-US"/>
        </w:rPr>
        <w:t>un meilleur rapport coût</w:t>
      </w:r>
      <w:r w:rsidR="00B441CA">
        <w:rPr>
          <w:rFonts w:eastAsia="Times New Roman" w:cs="Arial"/>
          <w:szCs w:val="20"/>
          <w:lang w:eastAsia="en-US"/>
        </w:rPr>
        <w:noBreakHyphen/>
      </w:r>
      <w:r w:rsidRPr="00136CC3">
        <w:rPr>
          <w:rFonts w:eastAsia="Times New Roman" w:cs="Arial"/>
          <w:szCs w:val="20"/>
          <w:lang w:eastAsia="en-US"/>
        </w:rPr>
        <w:t>efficacité;</w:t>
      </w:r>
    </w:p>
    <w:p w14:paraId="57EAD6D9" w14:textId="77777777" w:rsidR="007A7A77" w:rsidRPr="00136CC3" w:rsidRDefault="007A7A77" w:rsidP="00986700">
      <w:pPr>
        <w:ind w:left="567" w:hanging="567"/>
        <w:jc w:val="both"/>
        <w:rPr>
          <w:rFonts w:eastAsia="Times New Roman" w:cs="Arial"/>
          <w:szCs w:val="20"/>
          <w:lang w:eastAsia="en-US"/>
        </w:rPr>
      </w:pPr>
    </w:p>
    <w:p w14:paraId="67412343" w14:textId="77777777" w:rsidR="007A7A77" w:rsidRPr="00136CC3"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 xml:space="preserve">Mettre au point et exécuter des programmes de renforcement des capacités personnalisés en matière de gestion de la propriété intellectuelle, </w:t>
      </w:r>
      <w:r>
        <w:rPr>
          <w:rFonts w:eastAsia="Times New Roman" w:cs="Arial"/>
          <w:szCs w:val="20"/>
          <w:lang w:eastAsia="en-US"/>
        </w:rPr>
        <w:t>y compris</w:t>
      </w:r>
      <w:r w:rsidRPr="00136CC3">
        <w:rPr>
          <w:rFonts w:eastAsia="Times New Roman" w:cs="Arial"/>
          <w:szCs w:val="20"/>
          <w:lang w:eastAsia="en-US"/>
        </w:rPr>
        <w:t xml:space="preserve"> la concession de licences de propriété intellectuelle, en mettant l</w:t>
      </w:r>
      <w:r>
        <w:rPr>
          <w:rFonts w:eastAsia="Times New Roman" w:cs="Arial"/>
          <w:szCs w:val="20"/>
          <w:lang w:eastAsia="en-US"/>
        </w:rPr>
        <w:t>’</w:t>
      </w:r>
      <w:r w:rsidRPr="00136CC3">
        <w:rPr>
          <w:rFonts w:eastAsia="Times New Roman" w:cs="Arial"/>
          <w:szCs w:val="20"/>
          <w:lang w:eastAsia="en-US"/>
        </w:rPr>
        <w:t>accent les besoins</w:t>
      </w:r>
      <w:r w:rsidRPr="00145FCB">
        <w:rPr>
          <w:rFonts w:eastAsia="Times New Roman" w:cs="Arial"/>
          <w:szCs w:val="20"/>
          <w:lang w:eastAsia="en-US"/>
        </w:rPr>
        <w:t xml:space="preserve"> des PME</w:t>
      </w:r>
      <w:r w:rsidRPr="00136CC3">
        <w:rPr>
          <w:rFonts w:eastAsia="Times New Roman" w:cs="Arial"/>
          <w:szCs w:val="20"/>
          <w:lang w:eastAsia="en-US"/>
        </w:rPr>
        <w:t>, des universités et des instituts de recherche;</w:t>
      </w:r>
    </w:p>
    <w:p w14:paraId="48F2B8C6" w14:textId="77777777" w:rsidR="007A7A77" w:rsidRPr="00136CC3" w:rsidRDefault="007A7A77" w:rsidP="00986700">
      <w:pPr>
        <w:ind w:left="567" w:hanging="567"/>
        <w:jc w:val="both"/>
        <w:rPr>
          <w:rFonts w:eastAsia="Times New Roman" w:cs="Arial"/>
          <w:szCs w:val="20"/>
          <w:lang w:eastAsia="en-US"/>
        </w:rPr>
      </w:pPr>
    </w:p>
    <w:p w14:paraId="22A7724D" w14:textId="77777777" w:rsidR="007A7A77" w:rsidRDefault="007A7A77" w:rsidP="00616FD3">
      <w:pPr>
        <w:pStyle w:val="ListParagraph"/>
        <w:numPr>
          <w:ilvl w:val="0"/>
          <w:numId w:val="24"/>
        </w:numPr>
        <w:ind w:left="567" w:hanging="567"/>
        <w:jc w:val="both"/>
        <w:rPr>
          <w:rFonts w:eastAsia="Times New Roman" w:cs="Arial"/>
          <w:szCs w:val="20"/>
          <w:lang w:eastAsia="en-US"/>
        </w:rPr>
      </w:pPr>
      <w:r w:rsidRPr="00136CC3">
        <w:rPr>
          <w:rFonts w:eastAsia="Times New Roman" w:cs="Arial"/>
          <w:szCs w:val="20"/>
          <w:lang w:eastAsia="en-US"/>
        </w:rPr>
        <w:t xml:space="preserve">Aider les universités et les instituts de recherche à renforcer leurs capacités en matière de gestion de la propriété intellectuelle, </w:t>
      </w:r>
      <w:r>
        <w:rPr>
          <w:rFonts w:eastAsia="Times New Roman" w:cs="Arial"/>
          <w:szCs w:val="20"/>
          <w:lang w:eastAsia="en-US"/>
        </w:rPr>
        <w:t>y compris</w:t>
      </w:r>
      <w:r w:rsidRPr="00136CC3">
        <w:rPr>
          <w:rFonts w:eastAsia="Times New Roman" w:cs="Arial"/>
          <w:szCs w:val="20"/>
          <w:lang w:eastAsia="en-US"/>
        </w:rPr>
        <w:t xml:space="preserve"> l</w:t>
      </w:r>
      <w:r>
        <w:rPr>
          <w:rFonts w:eastAsia="Times New Roman" w:cs="Arial"/>
          <w:szCs w:val="20"/>
          <w:lang w:eastAsia="en-US"/>
        </w:rPr>
        <w:t>’</w:t>
      </w:r>
      <w:r w:rsidRPr="00136CC3">
        <w:rPr>
          <w:rFonts w:eastAsia="Times New Roman" w:cs="Arial"/>
          <w:szCs w:val="20"/>
          <w:lang w:eastAsia="en-US"/>
        </w:rPr>
        <w:t>élaboration ou le renforcement de politiques institutionnelles en matière de propriété intellectuelle;</w:t>
      </w:r>
    </w:p>
    <w:p w14:paraId="0CD8BCCE" w14:textId="77777777" w:rsidR="007A7A77" w:rsidRPr="00136CC3" w:rsidRDefault="007A7A77" w:rsidP="00986700">
      <w:pPr>
        <w:ind w:left="567" w:hanging="567"/>
        <w:jc w:val="both"/>
        <w:rPr>
          <w:rFonts w:eastAsia="Times New Roman" w:cs="Arial"/>
          <w:szCs w:val="20"/>
          <w:lang w:eastAsia="en-US"/>
        </w:rPr>
      </w:pPr>
    </w:p>
    <w:p w14:paraId="71CFF397" w14:textId="088EE396" w:rsidR="007A7A77" w:rsidRDefault="007A7A77" w:rsidP="00616FD3">
      <w:pPr>
        <w:pStyle w:val="CommentText"/>
        <w:numPr>
          <w:ilvl w:val="0"/>
          <w:numId w:val="24"/>
        </w:numPr>
        <w:ind w:left="567" w:hanging="567"/>
        <w:jc w:val="both"/>
        <w:rPr>
          <w:rFonts w:eastAsia="Times New Roman" w:cs="Arial"/>
          <w:lang w:eastAsia="en-US"/>
        </w:rPr>
      </w:pPr>
      <w:r w:rsidRPr="00136CC3">
        <w:rPr>
          <w:rFonts w:eastAsia="Times New Roman" w:cs="Arial"/>
          <w:lang w:eastAsia="en-US"/>
        </w:rPr>
        <w:t>Améliorer la prestation de services et de garantir l</w:t>
      </w:r>
      <w:r>
        <w:rPr>
          <w:rFonts w:eastAsia="Times New Roman" w:cs="Arial"/>
          <w:lang w:eastAsia="en-US"/>
        </w:rPr>
        <w:t>’</w:t>
      </w:r>
      <w:r w:rsidRPr="00136CC3">
        <w:rPr>
          <w:rFonts w:eastAsia="Times New Roman" w:cs="Arial"/>
          <w:lang w:eastAsia="en-US"/>
        </w:rPr>
        <w:t>adhésion, la responsabilisation et la pérennisation au niveau national moyennant le renforcement de la collaboration avec les parties prenantes nationales et les autres organisations internationales et régionales, ainsi que la mise en œuvre d</w:t>
      </w:r>
      <w:r>
        <w:rPr>
          <w:rFonts w:eastAsia="Times New Roman" w:cs="Arial"/>
          <w:lang w:eastAsia="en-US"/>
        </w:rPr>
        <w:t>’</w:t>
      </w:r>
      <w:r w:rsidRPr="00136CC3">
        <w:rPr>
          <w:rFonts w:eastAsia="Times New Roman" w:cs="Arial"/>
          <w:lang w:eastAsia="en-US"/>
        </w:rPr>
        <w:t>une approche de l</w:t>
      </w:r>
      <w:r>
        <w:rPr>
          <w:rFonts w:eastAsia="Times New Roman" w:cs="Arial"/>
          <w:lang w:eastAsia="en-US"/>
        </w:rPr>
        <w:t>’</w:t>
      </w:r>
      <w:r w:rsidRPr="00136CC3">
        <w:rPr>
          <w:rFonts w:eastAsia="Times New Roman" w:cs="Arial"/>
          <w:lang w:eastAsia="en-US"/>
        </w:rPr>
        <w:t>assistance technique fondée sur la réalisation de projets et la parité hommes</w:t>
      </w:r>
      <w:r w:rsidR="00B441CA">
        <w:rPr>
          <w:rFonts w:eastAsia="Times New Roman" w:cs="Arial"/>
          <w:lang w:eastAsia="en-US"/>
        </w:rPr>
        <w:noBreakHyphen/>
      </w:r>
      <w:r w:rsidRPr="00136CC3">
        <w:rPr>
          <w:rFonts w:eastAsia="Times New Roman" w:cs="Arial"/>
          <w:lang w:eastAsia="en-US"/>
        </w:rPr>
        <w:t>femmes.</w:t>
      </w:r>
    </w:p>
    <w:p w14:paraId="51C0D001" w14:textId="77777777" w:rsidR="007A7A77" w:rsidRPr="00136CC3" w:rsidRDefault="007A7A77" w:rsidP="00986700">
      <w:pPr>
        <w:ind w:left="567" w:hanging="567"/>
        <w:rPr>
          <w:rFonts w:eastAsia="Times New Roman" w:cs="Arial"/>
          <w:szCs w:val="20"/>
          <w:lang w:eastAsia="en-US"/>
        </w:rPr>
      </w:pPr>
    </w:p>
    <w:p w14:paraId="6CF8A2A2" w14:textId="77777777" w:rsidR="007A7A77" w:rsidRPr="00136CC3" w:rsidRDefault="007A7A77" w:rsidP="00986700">
      <w:pPr>
        <w:ind w:left="567" w:hanging="567"/>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7A7A77" w:rsidRPr="00136CC3" w14:paraId="79E9EACD" w14:textId="77777777" w:rsidTr="007A7A77">
        <w:trPr>
          <w:cantSplit/>
        </w:trPr>
        <w:tc>
          <w:tcPr>
            <w:tcW w:w="9571" w:type="dxa"/>
            <w:shd w:val="clear" w:color="auto" w:fill="C6D9F1" w:themeFill="text2" w:themeFillTint="33"/>
            <w:vAlign w:val="center"/>
          </w:tcPr>
          <w:p w14:paraId="19840CC0" w14:textId="2F02A2FC" w:rsidR="007A7A77" w:rsidRPr="00136CC3" w:rsidRDefault="007A7A77" w:rsidP="00E82B8A">
            <w:pPr>
              <w:keepNext/>
              <w:keepLines/>
              <w:jc w:val="center"/>
              <w:rPr>
                <w:rFonts w:eastAsia="Times New Roman" w:cs="Arial"/>
                <w:b/>
                <w:bCs/>
                <w:szCs w:val="20"/>
                <w:lang w:eastAsia="en-US"/>
              </w:rPr>
            </w:pPr>
            <w:r w:rsidRPr="00136CC3">
              <w:rPr>
                <w:rFonts w:eastAsia="Times New Roman" w:cs="Arial"/>
                <w:b/>
                <w:bCs/>
                <w:szCs w:val="20"/>
                <w:lang w:eastAsia="en-US"/>
              </w:rPr>
              <w:lastRenderedPageBreak/>
              <w:t xml:space="preserve">Collaboration interprogrammes </w:t>
            </w:r>
          </w:p>
        </w:tc>
      </w:tr>
    </w:tbl>
    <w:p w14:paraId="1DE1BE80" w14:textId="77777777" w:rsidR="007A7A77" w:rsidRPr="00136CC3" w:rsidRDefault="007A7A77" w:rsidP="00AF390D">
      <w:pPr>
        <w:keepNext/>
        <w:rPr>
          <w:rFonts w:cs="Arial"/>
          <w:szCs w:val="20"/>
        </w:rPr>
      </w:pPr>
    </w:p>
    <w:p w14:paraId="7855E9EC" w14:textId="531EBB5D" w:rsidR="007A7A77" w:rsidRPr="00136CC3" w:rsidRDefault="005A64E3" w:rsidP="005A64E3">
      <w:pPr>
        <w:keepLines/>
        <w:autoSpaceDE w:val="0"/>
        <w:autoSpaceDN w:val="0"/>
        <w:adjustRightInd w:val="0"/>
        <w:ind w:right="-59"/>
        <w:jc w:val="center"/>
        <w:rPr>
          <w:rFonts w:eastAsia="Times New Roman" w:cs="Arial"/>
          <w:i/>
          <w:szCs w:val="20"/>
          <w:lang w:eastAsia="en-US"/>
        </w:rPr>
      </w:pPr>
      <w:r w:rsidRPr="005A64E3">
        <w:rPr>
          <w:noProof/>
          <w:lang w:val="en-US" w:eastAsia="en-US"/>
        </w:rPr>
        <w:drawing>
          <wp:inline distT="0" distB="0" distL="0" distR="0" wp14:anchorId="6684F45E" wp14:editId="006CAA7F">
            <wp:extent cx="3569189" cy="32400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69189" cy="3240000"/>
                    </a:xfrm>
                    <a:prstGeom prst="rect">
                      <a:avLst/>
                    </a:prstGeom>
                    <a:noFill/>
                    <a:ln>
                      <a:noFill/>
                    </a:ln>
                  </pic:spPr>
                </pic:pic>
              </a:graphicData>
            </a:graphic>
          </wp:inline>
        </w:drawing>
      </w:r>
    </w:p>
    <w:p w14:paraId="66380351" w14:textId="77777777" w:rsidR="007A7A77" w:rsidRPr="00136CC3" w:rsidRDefault="007A7A77" w:rsidP="005A64E3">
      <w:pPr>
        <w:rPr>
          <w:lang w:eastAsia="en-US"/>
        </w:rPr>
      </w:pPr>
    </w:p>
    <w:tbl>
      <w:tblPr>
        <w:tblW w:w="5000" w:type="pct"/>
        <w:tblCellMar>
          <w:top w:w="57" w:type="dxa"/>
          <w:bottom w:w="57" w:type="dxa"/>
        </w:tblCellMar>
        <w:tblLook w:val="01E0" w:firstRow="1" w:lastRow="1" w:firstColumn="1" w:lastColumn="1" w:noHBand="0" w:noVBand="0"/>
      </w:tblPr>
      <w:tblGrid>
        <w:gridCol w:w="4640"/>
        <w:gridCol w:w="4647"/>
      </w:tblGrid>
      <w:tr w:rsidR="007A7A77" w:rsidRPr="00136CC3" w14:paraId="5B8E1B04" w14:textId="77777777" w:rsidTr="007A7A77">
        <w:trPr>
          <w:cantSplit/>
        </w:trPr>
        <w:tc>
          <w:tcPr>
            <w:tcW w:w="4785" w:type="dxa"/>
            <w:shd w:val="clear" w:color="auto" w:fill="C6D9F1" w:themeFill="text2" w:themeFillTint="33"/>
            <w:vAlign w:val="center"/>
          </w:tcPr>
          <w:p w14:paraId="0DE438C2" w14:textId="77777777" w:rsidR="007A7A77" w:rsidRPr="00136CC3" w:rsidRDefault="007A7A77" w:rsidP="00986700">
            <w:pPr>
              <w:keepLines/>
              <w:jc w:val="center"/>
              <w:rPr>
                <w:rFonts w:eastAsia="Times New Roman" w:cs="Arial"/>
                <w:b/>
                <w:bCs/>
                <w:sz w:val="18"/>
                <w:szCs w:val="18"/>
                <w:lang w:eastAsia="en-US"/>
              </w:rPr>
            </w:pPr>
            <w:r w:rsidRPr="00136CC3">
              <w:rPr>
                <w:rFonts w:eastAsia="Times New Roman" w:cs="Arial"/>
                <w:b/>
                <w:bCs/>
                <w:sz w:val="18"/>
                <w:szCs w:val="18"/>
                <w:lang w:eastAsia="en-US"/>
              </w:rPr>
              <w:t>Risques</w:t>
            </w:r>
          </w:p>
        </w:tc>
        <w:tc>
          <w:tcPr>
            <w:tcW w:w="4786" w:type="dxa"/>
            <w:shd w:val="clear" w:color="auto" w:fill="C6D9F1" w:themeFill="text2" w:themeFillTint="33"/>
            <w:vAlign w:val="center"/>
          </w:tcPr>
          <w:p w14:paraId="07622766" w14:textId="77777777" w:rsidR="007A7A77" w:rsidRPr="00136CC3" w:rsidRDefault="007A7A77" w:rsidP="00986700">
            <w:pPr>
              <w:keepLines/>
              <w:jc w:val="center"/>
              <w:rPr>
                <w:rFonts w:eastAsia="Times New Roman" w:cs="Arial"/>
                <w:b/>
                <w:bCs/>
                <w:sz w:val="18"/>
                <w:szCs w:val="18"/>
                <w:lang w:eastAsia="en-US"/>
              </w:rPr>
            </w:pPr>
            <w:r w:rsidRPr="00136CC3">
              <w:rPr>
                <w:rFonts w:eastAsia="Times New Roman" w:cs="Arial"/>
                <w:b/>
                <w:bCs/>
                <w:sz w:val="18"/>
                <w:szCs w:val="18"/>
                <w:lang w:eastAsia="en-US"/>
              </w:rPr>
              <w:t>Mesures d</w:t>
            </w:r>
            <w:r>
              <w:rPr>
                <w:rFonts w:eastAsia="Times New Roman" w:cs="Arial"/>
                <w:b/>
                <w:bCs/>
                <w:sz w:val="18"/>
                <w:szCs w:val="18"/>
                <w:lang w:eastAsia="en-US"/>
              </w:rPr>
              <w:t>’</w:t>
            </w:r>
            <w:r w:rsidRPr="00136CC3">
              <w:rPr>
                <w:rFonts w:eastAsia="Times New Roman" w:cs="Arial"/>
                <w:b/>
                <w:bCs/>
                <w:sz w:val="18"/>
                <w:szCs w:val="18"/>
                <w:lang w:eastAsia="en-US"/>
              </w:rPr>
              <w:t>atténuation</w:t>
            </w:r>
          </w:p>
        </w:tc>
      </w:tr>
      <w:tr w:rsidR="007A7A77" w:rsidRPr="00136CC3" w14:paraId="7D25EF64" w14:textId="77777777" w:rsidTr="007A7A77">
        <w:trPr>
          <w:cantSplit/>
        </w:trPr>
        <w:tc>
          <w:tcPr>
            <w:tcW w:w="4785" w:type="dxa"/>
            <w:shd w:val="clear" w:color="auto" w:fill="auto"/>
            <w:tcMar>
              <w:top w:w="57" w:type="dxa"/>
              <w:bottom w:w="57" w:type="dxa"/>
            </w:tcMar>
          </w:tcPr>
          <w:p w14:paraId="75AF53AC" w14:textId="77777777" w:rsidR="007A7A77" w:rsidRPr="00136CC3" w:rsidRDefault="007A7A77" w:rsidP="00986700">
            <w:pPr>
              <w:keepLines/>
              <w:rPr>
                <w:rFonts w:eastAsia="Times New Roman" w:cs="Arial"/>
                <w:sz w:val="16"/>
                <w:szCs w:val="16"/>
                <w:lang w:eastAsia="en-US"/>
              </w:rPr>
            </w:pPr>
            <w:r w:rsidRPr="00136CC3">
              <w:rPr>
                <w:rFonts w:eastAsia="Times New Roman" w:cs="Arial"/>
                <w:sz w:val="16"/>
                <w:szCs w:val="16"/>
                <w:lang w:eastAsia="en-US"/>
              </w:rPr>
              <w:t>Des changements économiques et politiques pourraient redéfinir les priorités en ce qui concerne l</w:t>
            </w:r>
            <w:r>
              <w:rPr>
                <w:rFonts w:eastAsia="Times New Roman" w:cs="Arial"/>
                <w:sz w:val="16"/>
                <w:szCs w:val="16"/>
                <w:lang w:eastAsia="en-US"/>
              </w:rPr>
              <w:t>’</w:t>
            </w:r>
            <w:r w:rsidRPr="00136CC3">
              <w:rPr>
                <w:rFonts w:eastAsia="Times New Roman" w:cs="Arial"/>
                <w:sz w:val="16"/>
                <w:szCs w:val="16"/>
                <w:lang w:eastAsia="en-US"/>
              </w:rPr>
              <w:t>élaboration de stratégies nationales en matière d</w:t>
            </w:r>
            <w:r>
              <w:rPr>
                <w:rFonts w:eastAsia="Times New Roman" w:cs="Arial"/>
                <w:sz w:val="16"/>
                <w:szCs w:val="16"/>
                <w:lang w:eastAsia="en-US"/>
              </w:rPr>
              <w:t>’</w:t>
            </w:r>
            <w:r w:rsidRPr="00136CC3">
              <w:rPr>
                <w:rFonts w:eastAsia="Times New Roman" w:cs="Arial"/>
                <w:sz w:val="16"/>
                <w:szCs w:val="16"/>
                <w:lang w:eastAsia="en-US"/>
              </w:rPr>
              <w:t>innovation et de propriété intellectuelle.</w:t>
            </w:r>
          </w:p>
        </w:tc>
        <w:tc>
          <w:tcPr>
            <w:tcW w:w="4786" w:type="dxa"/>
            <w:shd w:val="clear" w:color="auto" w:fill="auto"/>
            <w:tcMar>
              <w:top w:w="57" w:type="dxa"/>
              <w:bottom w:w="57" w:type="dxa"/>
            </w:tcMar>
          </w:tcPr>
          <w:p w14:paraId="6229EAEA" w14:textId="77777777" w:rsidR="007A7A77" w:rsidRPr="00136CC3" w:rsidRDefault="007A7A77" w:rsidP="00986700">
            <w:pPr>
              <w:keepLines/>
              <w:rPr>
                <w:rFonts w:eastAsia="Times New Roman" w:cs="Arial"/>
                <w:sz w:val="16"/>
                <w:szCs w:val="16"/>
                <w:lang w:eastAsia="en-US"/>
              </w:rPr>
            </w:pPr>
            <w:r w:rsidRPr="00136CC3">
              <w:rPr>
                <w:rFonts w:eastAsia="Times New Roman" w:cs="Arial"/>
                <w:sz w:val="16"/>
                <w:szCs w:val="16"/>
                <w:lang w:eastAsia="en-US"/>
              </w:rPr>
              <w:t>Travailler en étroite collaboration avec les bénéficiaires, les donateurs et les États membres</w:t>
            </w:r>
            <w:r>
              <w:rPr>
                <w:rFonts w:eastAsia="Times New Roman" w:cs="Arial"/>
                <w:sz w:val="16"/>
                <w:szCs w:val="16"/>
                <w:lang w:eastAsia="en-US"/>
              </w:rPr>
              <w:t xml:space="preserve">.  </w:t>
            </w:r>
            <w:r w:rsidRPr="00136CC3">
              <w:rPr>
                <w:rFonts w:eastAsia="Times New Roman" w:cs="Arial"/>
                <w:sz w:val="16"/>
                <w:szCs w:val="16"/>
                <w:lang w:eastAsia="en-US"/>
              </w:rPr>
              <w:t>Planifier et coordonner toutes les questions en rapport avec la propriété intellectuelle avec les autres organisations et partenaires internationaux.</w:t>
            </w:r>
          </w:p>
        </w:tc>
      </w:tr>
    </w:tbl>
    <w:p w14:paraId="335DCE1C" w14:textId="77777777" w:rsidR="007A7A77" w:rsidRPr="00136CC3" w:rsidRDefault="007A7A77" w:rsidP="00986700">
      <w:pPr>
        <w:rPr>
          <w:rFonts w:cs="Arial"/>
          <w:szCs w:val="20"/>
        </w:rPr>
      </w:pPr>
    </w:p>
    <w:p w14:paraId="30B8C889" w14:textId="77777777" w:rsidR="007A7A77" w:rsidRPr="00136CC3" w:rsidRDefault="007A7A77" w:rsidP="00986700">
      <w:pPr>
        <w:rPr>
          <w:rFonts w:cs="Arial"/>
          <w:szCs w:val="20"/>
        </w:rPr>
      </w:pPr>
    </w:p>
    <w:tbl>
      <w:tblPr>
        <w:tblW w:w="5000" w:type="pct"/>
        <w:tblCellMar>
          <w:top w:w="57" w:type="dxa"/>
          <w:bottom w:w="57" w:type="dxa"/>
        </w:tblCellMar>
        <w:tblLook w:val="04A0" w:firstRow="1" w:lastRow="0" w:firstColumn="1" w:lastColumn="0" w:noHBand="0" w:noVBand="1"/>
      </w:tblPr>
      <w:tblGrid>
        <w:gridCol w:w="2325"/>
        <w:gridCol w:w="2330"/>
        <w:gridCol w:w="2304"/>
        <w:gridCol w:w="2328"/>
      </w:tblGrid>
      <w:tr w:rsidR="007A7A77" w:rsidRPr="00136CC3" w14:paraId="77B88997" w14:textId="77777777" w:rsidTr="007A7A77">
        <w:trPr>
          <w:cantSplit/>
          <w:tblHeader/>
        </w:trPr>
        <w:tc>
          <w:tcPr>
            <w:tcW w:w="2393" w:type="dxa"/>
            <w:shd w:val="clear" w:color="000000" w:fill="C5D9F1"/>
            <w:vAlign w:val="center"/>
            <w:hideMark/>
          </w:tcPr>
          <w:p w14:paraId="3BF20ABC" w14:textId="77777777" w:rsidR="007A7A77" w:rsidRPr="00136CC3" w:rsidRDefault="007A7A77" w:rsidP="00986700">
            <w:pPr>
              <w:keepNext/>
              <w:jc w:val="center"/>
              <w:rPr>
                <w:rFonts w:eastAsia="Times New Roman" w:cs="Arial"/>
                <w:b/>
                <w:bCs/>
                <w:sz w:val="18"/>
                <w:szCs w:val="18"/>
                <w:lang w:eastAsia="en-US"/>
              </w:rPr>
            </w:pPr>
            <w:bookmarkStart w:id="49" w:name="RANGE!A6:D14"/>
            <w:r w:rsidRPr="00136CC3">
              <w:rPr>
                <w:rFonts w:eastAsia="Times New Roman" w:cs="Arial"/>
                <w:b/>
                <w:bCs/>
                <w:sz w:val="18"/>
                <w:szCs w:val="18"/>
                <w:lang w:eastAsia="en-US"/>
              </w:rPr>
              <w:t xml:space="preserve">Résultat escompté </w:t>
            </w:r>
            <w:bookmarkEnd w:id="49"/>
          </w:p>
        </w:tc>
        <w:tc>
          <w:tcPr>
            <w:tcW w:w="2393" w:type="dxa"/>
            <w:shd w:val="clear" w:color="000000" w:fill="C5D9F1"/>
            <w:vAlign w:val="center"/>
            <w:hideMark/>
          </w:tcPr>
          <w:p w14:paraId="4F929567" w14:textId="77777777" w:rsidR="007A7A77" w:rsidRPr="00136CC3" w:rsidRDefault="007A7A77" w:rsidP="00986700">
            <w:pPr>
              <w:keepNext/>
              <w:jc w:val="center"/>
              <w:rPr>
                <w:rFonts w:eastAsia="Times New Roman" w:cs="Arial"/>
                <w:b/>
                <w:bCs/>
                <w:sz w:val="18"/>
                <w:szCs w:val="18"/>
                <w:lang w:eastAsia="en-US"/>
              </w:rPr>
            </w:pPr>
            <w:r w:rsidRPr="00136CC3">
              <w:rPr>
                <w:rFonts w:eastAsia="Times New Roman" w:cs="Arial"/>
                <w:b/>
                <w:bCs/>
                <w:sz w:val="18"/>
                <w:szCs w:val="18"/>
                <w:lang w:eastAsia="en-US"/>
              </w:rPr>
              <w:t>Indicateurs d</w:t>
            </w:r>
            <w:r>
              <w:rPr>
                <w:rFonts w:eastAsia="Times New Roman" w:cs="Arial"/>
                <w:b/>
                <w:bCs/>
                <w:sz w:val="18"/>
                <w:szCs w:val="18"/>
                <w:lang w:eastAsia="en-US"/>
              </w:rPr>
              <w:t>’</w:t>
            </w:r>
            <w:r w:rsidRPr="00136CC3">
              <w:rPr>
                <w:rFonts w:eastAsia="Times New Roman" w:cs="Arial"/>
                <w:b/>
                <w:bCs/>
                <w:sz w:val="18"/>
                <w:szCs w:val="18"/>
                <w:lang w:eastAsia="en-US"/>
              </w:rPr>
              <w:t>exécution</w:t>
            </w:r>
          </w:p>
        </w:tc>
        <w:tc>
          <w:tcPr>
            <w:tcW w:w="2392" w:type="dxa"/>
            <w:shd w:val="clear" w:color="000000" w:fill="C5D9F1"/>
            <w:vAlign w:val="center"/>
            <w:hideMark/>
          </w:tcPr>
          <w:p w14:paraId="457A78B8" w14:textId="77777777" w:rsidR="007A7A77" w:rsidRPr="00136CC3" w:rsidRDefault="007A7A77" w:rsidP="00986700">
            <w:pPr>
              <w:keepNext/>
              <w:jc w:val="center"/>
              <w:rPr>
                <w:rFonts w:eastAsia="Times New Roman" w:cs="Arial"/>
                <w:b/>
                <w:bCs/>
                <w:sz w:val="18"/>
                <w:szCs w:val="18"/>
                <w:lang w:eastAsia="en-US"/>
              </w:rPr>
            </w:pPr>
            <w:r w:rsidRPr="00136CC3">
              <w:rPr>
                <w:rFonts w:eastAsia="Times New Roman" w:cs="Arial"/>
                <w:b/>
                <w:bCs/>
                <w:sz w:val="18"/>
                <w:szCs w:val="18"/>
                <w:lang w:eastAsia="en-US"/>
              </w:rPr>
              <w:t>Niveaux de référence</w:t>
            </w:r>
          </w:p>
        </w:tc>
        <w:tc>
          <w:tcPr>
            <w:tcW w:w="2393" w:type="dxa"/>
            <w:shd w:val="clear" w:color="000000" w:fill="C5D9F1"/>
            <w:vAlign w:val="center"/>
            <w:hideMark/>
          </w:tcPr>
          <w:p w14:paraId="0675FEB1" w14:textId="77777777" w:rsidR="007A7A77" w:rsidRPr="00136CC3" w:rsidRDefault="007A7A77" w:rsidP="00986700">
            <w:pPr>
              <w:keepNext/>
              <w:jc w:val="center"/>
              <w:rPr>
                <w:rFonts w:eastAsia="Times New Roman" w:cs="Arial"/>
                <w:b/>
                <w:bCs/>
                <w:sz w:val="18"/>
                <w:szCs w:val="18"/>
                <w:lang w:eastAsia="en-US"/>
              </w:rPr>
            </w:pPr>
            <w:r w:rsidRPr="00136CC3">
              <w:rPr>
                <w:rFonts w:eastAsia="Times New Roman" w:cs="Arial"/>
                <w:b/>
                <w:bCs/>
                <w:sz w:val="18"/>
                <w:szCs w:val="18"/>
                <w:lang w:eastAsia="en-US"/>
              </w:rPr>
              <w:t>Objectifs visés</w:t>
            </w:r>
          </w:p>
        </w:tc>
      </w:tr>
      <w:tr w:rsidR="007A7A77" w:rsidRPr="00136CC3" w14:paraId="4097AE8F" w14:textId="77777777" w:rsidTr="007A7A77">
        <w:trPr>
          <w:cantSplit/>
        </w:trPr>
        <w:tc>
          <w:tcPr>
            <w:tcW w:w="2393" w:type="dxa"/>
            <w:shd w:val="clear" w:color="000000" w:fill="FFFFFF"/>
            <w:tcMar>
              <w:top w:w="57" w:type="dxa"/>
            </w:tcMar>
            <w:hideMark/>
          </w:tcPr>
          <w:p w14:paraId="7D835605"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III.2 Renforcement des capacités en matière de ressources humaines pour pouvoir répondre aux nombreuses exigences en ce qui concerne l</w:t>
            </w:r>
            <w:r>
              <w:rPr>
                <w:rFonts w:eastAsia="Times New Roman" w:cs="Arial"/>
                <w:sz w:val="16"/>
                <w:szCs w:val="16"/>
                <w:lang w:eastAsia="en-US"/>
              </w:rPr>
              <w:t>’</w:t>
            </w:r>
            <w:r w:rsidRPr="00136CC3">
              <w:rPr>
                <w:rFonts w:eastAsia="Times New Roman" w:cs="Arial"/>
                <w:sz w:val="16"/>
                <w:szCs w:val="16"/>
                <w:lang w:eastAsia="en-US"/>
              </w:rPr>
              <w:t>utilisation efficace de la propriété intellectuelle au service du développement dans les pays en développement, les PMA et les pays en transition</w:t>
            </w:r>
          </w:p>
        </w:tc>
        <w:tc>
          <w:tcPr>
            <w:tcW w:w="2393" w:type="dxa"/>
            <w:shd w:val="clear" w:color="000000" w:fill="FFFFFF"/>
            <w:tcMar>
              <w:top w:w="57" w:type="dxa"/>
            </w:tcMar>
            <w:hideMark/>
          </w:tcPr>
          <w:p w14:paraId="3287FADF"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Pourcentage de professionnels formés en matière de propriété intellectuelle qui utilisent des compétences améliorées dans le cadre de leurs activités professionnelles</w:t>
            </w:r>
          </w:p>
        </w:tc>
        <w:tc>
          <w:tcPr>
            <w:tcW w:w="2392" w:type="dxa"/>
            <w:shd w:val="clear" w:color="000000" w:fill="FFFFFF"/>
            <w:tcMar>
              <w:top w:w="57" w:type="dxa"/>
            </w:tcMar>
            <w:hideMark/>
          </w:tcPr>
          <w:p w14:paraId="25B01CFF"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63% des participants (fin 2016)</w:t>
            </w:r>
          </w:p>
        </w:tc>
        <w:tc>
          <w:tcPr>
            <w:tcW w:w="2393" w:type="dxa"/>
            <w:shd w:val="clear" w:color="000000" w:fill="FFFFFF"/>
            <w:tcMar>
              <w:top w:w="57" w:type="dxa"/>
            </w:tcMar>
            <w:hideMark/>
          </w:tcPr>
          <w:p w14:paraId="70553043"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 xml:space="preserve">75% des participants </w:t>
            </w:r>
            <w:r w:rsidRPr="00136CC3">
              <w:rPr>
                <w:rFonts w:eastAsia="Times New Roman" w:cs="Arial"/>
                <w:sz w:val="16"/>
                <w:szCs w:val="16"/>
                <w:lang w:eastAsia="en-US"/>
              </w:rPr>
              <w:br/>
            </w:r>
          </w:p>
          <w:p w14:paraId="0F295B13"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75% des superviseurs</w:t>
            </w:r>
          </w:p>
        </w:tc>
      </w:tr>
      <w:tr w:rsidR="007A7A77" w:rsidRPr="00136CC3" w14:paraId="2302F1EE" w14:textId="77777777" w:rsidTr="007A7A77">
        <w:trPr>
          <w:cantSplit/>
        </w:trPr>
        <w:tc>
          <w:tcPr>
            <w:tcW w:w="2393" w:type="dxa"/>
            <w:shd w:val="clear" w:color="000000" w:fill="FFFFFF"/>
            <w:tcMar>
              <w:top w:w="57" w:type="dxa"/>
            </w:tcMar>
            <w:vAlign w:val="bottom"/>
            <w:hideMark/>
          </w:tcPr>
          <w:p w14:paraId="161088CE" w14:textId="77777777" w:rsidR="007A7A77" w:rsidRPr="00136CC3" w:rsidRDefault="007A7A77" w:rsidP="00986700">
            <w:pPr>
              <w:jc w:val="right"/>
              <w:rPr>
                <w:rFonts w:eastAsia="Times New Roman" w:cs="Arial"/>
                <w:sz w:val="16"/>
                <w:szCs w:val="16"/>
                <w:lang w:eastAsia="en-US"/>
              </w:rPr>
            </w:pPr>
          </w:p>
        </w:tc>
        <w:tc>
          <w:tcPr>
            <w:tcW w:w="2393" w:type="dxa"/>
            <w:shd w:val="clear" w:color="000000" w:fill="FFFFFF"/>
            <w:tcMar>
              <w:top w:w="57" w:type="dxa"/>
            </w:tcMar>
            <w:hideMark/>
          </w:tcPr>
          <w:p w14:paraId="135D0D0C"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Nombre et pourcentage de participants de bureaux de gestion de la technologie au sein d</w:t>
            </w:r>
            <w:r>
              <w:rPr>
                <w:rFonts w:eastAsia="Times New Roman" w:cs="Arial"/>
                <w:sz w:val="16"/>
                <w:szCs w:val="16"/>
                <w:lang w:eastAsia="en-US"/>
              </w:rPr>
              <w:t>’</w:t>
            </w:r>
            <w:r w:rsidRPr="00136CC3">
              <w:rPr>
                <w:rFonts w:eastAsia="Times New Roman" w:cs="Arial"/>
                <w:sz w:val="16"/>
                <w:szCs w:val="16"/>
                <w:lang w:eastAsia="en-US"/>
              </w:rPr>
              <w:t>universités ou d</w:t>
            </w:r>
            <w:r>
              <w:rPr>
                <w:rFonts w:eastAsia="Times New Roman" w:cs="Arial"/>
                <w:sz w:val="16"/>
                <w:szCs w:val="16"/>
                <w:lang w:eastAsia="en-US"/>
              </w:rPr>
              <w:t>’</w:t>
            </w:r>
            <w:r w:rsidRPr="00136CC3">
              <w:rPr>
                <w:rFonts w:eastAsia="Times New Roman" w:cs="Arial"/>
                <w:sz w:val="16"/>
                <w:szCs w:val="16"/>
                <w:lang w:eastAsia="en-US"/>
              </w:rPr>
              <w:t>instituts de recherche dans les activités de formation et de renforcement des capacités qui obtiennent un score de 60% ou plus à un bref questionnaire à choix multiple sur les questions de fond.</w:t>
            </w:r>
          </w:p>
        </w:tc>
        <w:tc>
          <w:tcPr>
            <w:tcW w:w="2392" w:type="dxa"/>
            <w:shd w:val="clear" w:color="000000" w:fill="FFFFFF"/>
            <w:tcMar>
              <w:top w:w="57" w:type="dxa"/>
            </w:tcMar>
            <w:hideMark/>
          </w:tcPr>
          <w:p w14:paraId="73CA4066"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n.d.</w:t>
            </w:r>
          </w:p>
        </w:tc>
        <w:tc>
          <w:tcPr>
            <w:tcW w:w="2393" w:type="dxa"/>
            <w:shd w:val="clear" w:color="000000" w:fill="FFFFFF"/>
            <w:tcMar>
              <w:top w:w="57" w:type="dxa"/>
            </w:tcMar>
            <w:hideMark/>
          </w:tcPr>
          <w:p w14:paraId="31158E5A" w14:textId="6D1DB72F" w:rsidR="007A7A77" w:rsidRPr="00136CC3" w:rsidRDefault="00FD64AE" w:rsidP="00FD64AE">
            <w:pPr>
              <w:rPr>
                <w:rFonts w:eastAsia="Times New Roman" w:cs="Arial"/>
                <w:sz w:val="16"/>
                <w:szCs w:val="16"/>
                <w:lang w:eastAsia="en-US"/>
              </w:rPr>
            </w:pPr>
            <w:r>
              <w:rPr>
                <w:rFonts w:eastAsia="Times New Roman" w:cs="Arial"/>
                <w:sz w:val="16"/>
                <w:szCs w:val="16"/>
                <w:lang w:eastAsia="en-US"/>
              </w:rPr>
              <w:t>À déterminer</w:t>
            </w:r>
          </w:p>
        </w:tc>
      </w:tr>
      <w:tr w:rsidR="007A7A77" w:rsidRPr="00136CC3" w14:paraId="57A65D19" w14:textId="77777777" w:rsidTr="007A7A77">
        <w:trPr>
          <w:cantSplit/>
        </w:trPr>
        <w:tc>
          <w:tcPr>
            <w:tcW w:w="2393" w:type="dxa"/>
            <w:shd w:val="clear" w:color="000000" w:fill="FFFFFF"/>
            <w:tcMar>
              <w:top w:w="57" w:type="dxa"/>
            </w:tcMar>
            <w:vAlign w:val="bottom"/>
            <w:hideMark/>
          </w:tcPr>
          <w:p w14:paraId="43080C21" w14:textId="77777777" w:rsidR="007A7A77" w:rsidRPr="00136CC3" w:rsidRDefault="007A7A77" w:rsidP="00986700">
            <w:pPr>
              <w:jc w:val="right"/>
              <w:rPr>
                <w:rFonts w:eastAsia="Times New Roman" w:cs="Arial"/>
                <w:sz w:val="16"/>
                <w:szCs w:val="16"/>
                <w:lang w:eastAsia="en-US"/>
              </w:rPr>
            </w:pPr>
          </w:p>
        </w:tc>
        <w:tc>
          <w:tcPr>
            <w:tcW w:w="2393" w:type="dxa"/>
            <w:shd w:val="clear" w:color="000000" w:fill="FFFFFF"/>
            <w:tcMar>
              <w:top w:w="57" w:type="dxa"/>
            </w:tcMar>
            <w:hideMark/>
          </w:tcPr>
          <w:p w14:paraId="26C63192"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Pourcentage de participants aux activités de formation et de renforcement des capacités de l</w:t>
            </w:r>
            <w:r>
              <w:rPr>
                <w:rFonts w:eastAsia="Times New Roman" w:cs="Arial"/>
                <w:sz w:val="16"/>
                <w:szCs w:val="16"/>
                <w:lang w:eastAsia="en-US"/>
              </w:rPr>
              <w:t>’</w:t>
            </w:r>
            <w:r w:rsidRPr="00136CC3">
              <w:rPr>
                <w:rFonts w:eastAsia="Times New Roman" w:cs="Arial"/>
                <w:sz w:val="16"/>
                <w:szCs w:val="16"/>
                <w:lang w:eastAsia="en-US"/>
              </w:rPr>
              <w:t>OMPI provenant de bureaux de gestion de la technologie au sein d</w:t>
            </w:r>
            <w:r>
              <w:rPr>
                <w:rFonts w:eastAsia="Times New Roman" w:cs="Arial"/>
                <w:sz w:val="16"/>
                <w:szCs w:val="16"/>
                <w:lang w:eastAsia="en-US"/>
              </w:rPr>
              <w:t>’</w:t>
            </w:r>
            <w:r w:rsidRPr="00136CC3">
              <w:rPr>
                <w:rFonts w:eastAsia="Times New Roman" w:cs="Arial"/>
                <w:sz w:val="16"/>
                <w:szCs w:val="16"/>
                <w:lang w:eastAsia="en-US"/>
              </w:rPr>
              <w:t>universités ou d</w:t>
            </w:r>
            <w:r>
              <w:rPr>
                <w:rFonts w:eastAsia="Times New Roman" w:cs="Arial"/>
                <w:sz w:val="16"/>
                <w:szCs w:val="16"/>
                <w:lang w:eastAsia="en-US"/>
              </w:rPr>
              <w:t>’</w:t>
            </w:r>
            <w:r w:rsidRPr="00136CC3">
              <w:rPr>
                <w:rFonts w:eastAsia="Times New Roman" w:cs="Arial"/>
                <w:sz w:val="16"/>
                <w:szCs w:val="16"/>
                <w:lang w:eastAsia="en-US"/>
              </w:rPr>
              <w:t>instituts de recherche qui appliquent les connaissances et compétences nouvellement acquises dans le cadre de leurs activités professionnelles.</w:t>
            </w:r>
          </w:p>
        </w:tc>
        <w:tc>
          <w:tcPr>
            <w:tcW w:w="2392" w:type="dxa"/>
            <w:shd w:val="clear" w:color="000000" w:fill="FFFFFF"/>
            <w:tcMar>
              <w:top w:w="57" w:type="dxa"/>
            </w:tcMar>
            <w:hideMark/>
          </w:tcPr>
          <w:p w14:paraId="1C6870E1"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n.d.</w:t>
            </w:r>
          </w:p>
        </w:tc>
        <w:tc>
          <w:tcPr>
            <w:tcW w:w="2393" w:type="dxa"/>
            <w:shd w:val="clear" w:color="000000" w:fill="FFFFFF"/>
            <w:tcMar>
              <w:top w:w="57" w:type="dxa"/>
            </w:tcMar>
            <w:hideMark/>
          </w:tcPr>
          <w:p w14:paraId="6DBF1C1C" w14:textId="38D2E846" w:rsidR="007A7A77" w:rsidRPr="00136CC3" w:rsidRDefault="00FD64AE" w:rsidP="00FD64AE">
            <w:pPr>
              <w:rPr>
                <w:rFonts w:eastAsia="Times New Roman" w:cs="Arial"/>
                <w:sz w:val="16"/>
                <w:szCs w:val="16"/>
                <w:lang w:eastAsia="en-US"/>
              </w:rPr>
            </w:pPr>
            <w:r>
              <w:rPr>
                <w:rFonts w:eastAsia="Times New Roman" w:cs="Arial"/>
                <w:sz w:val="16"/>
                <w:szCs w:val="16"/>
                <w:lang w:eastAsia="en-US"/>
              </w:rPr>
              <w:t>À déterminer</w:t>
            </w:r>
          </w:p>
        </w:tc>
      </w:tr>
      <w:tr w:rsidR="007A7A77" w:rsidRPr="00136CC3" w14:paraId="4522B39B" w14:textId="77777777" w:rsidTr="007A7A77">
        <w:trPr>
          <w:cantSplit/>
        </w:trPr>
        <w:tc>
          <w:tcPr>
            <w:tcW w:w="2393" w:type="dxa"/>
            <w:vMerge w:val="restart"/>
            <w:shd w:val="clear" w:color="000000" w:fill="FFFFFF"/>
            <w:tcMar>
              <w:top w:w="57" w:type="dxa"/>
            </w:tcMar>
            <w:hideMark/>
          </w:tcPr>
          <w:p w14:paraId="244E7CBF" w14:textId="46ACC18F"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III</w:t>
            </w:r>
            <w:r w:rsidR="00073F3E">
              <w:rPr>
                <w:rFonts w:eastAsia="Times New Roman" w:cs="Arial"/>
                <w:sz w:val="16"/>
                <w:szCs w:val="16"/>
                <w:lang w:eastAsia="en-US"/>
              </w:rPr>
              <w:t>.</w:t>
            </w:r>
            <w:r w:rsidRPr="00136CC3">
              <w:rPr>
                <w:rFonts w:eastAsia="Times New Roman" w:cs="Arial"/>
                <w:sz w:val="16"/>
                <w:szCs w:val="16"/>
                <w:lang w:eastAsia="en-US"/>
              </w:rPr>
              <w:t>6 Renforcement des capacités</w:t>
            </w:r>
            <w:r w:rsidRPr="00145FCB">
              <w:rPr>
                <w:rFonts w:eastAsia="Times New Roman" w:cs="Arial"/>
                <w:sz w:val="16"/>
                <w:szCs w:val="16"/>
                <w:lang w:eastAsia="en-US"/>
              </w:rPr>
              <w:t xml:space="preserve"> des PME</w:t>
            </w:r>
            <w:r w:rsidRPr="00136CC3">
              <w:rPr>
                <w:rFonts w:eastAsia="Times New Roman" w:cs="Arial"/>
                <w:sz w:val="16"/>
                <w:szCs w:val="16"/>
                <w:lang w:eastAsia="en-US"/>
              </w:rPr>
              <w:t>, des universités et des instituts de recherche en matière d</w:t>
            </w:r>
            <w:r>
              <w:rPr>
                <w:rFonts w:eastAsia="Times New Roman" w:cs="Arial"/>
                <w:sz w:val="16"/>
                <w:szCs w:val="16"/>
                <w:lang w:eastAsia="en-US"/>
              </w:rPr>
              <w:t>’</w:t>
            </w:r>
            <w:r w:rsidRPr="00136CC3">
              <w:rPr>
                <w:rFonts w:eastAsia="Times New Roman" w:cs="Arial"/>
                <w:sz w:val="16"/>
                <w:szCs w:val="16"/>
                <w:lang w:eastAsia="en-US"/>
              </w:rPr>
              <w:t>utilisation efficace de la propriété intellectuelle au service de l</w:t>
            </w:r>
            <w:r>
              <w:rPr>
                <w:rFonts w:eastAsia="Times New Roman" w:cs="Arial"/>
                <w:sz w:val="16"/>
                <w:szCs w:val="16"/>
                <w:lang w:eastAsia="en-US"/>
              </w:rPr>
              <w:t>’</w:t>
            </w:r>
            <w:r w:rsidRPr="00136CC3">
              <w:rPr>
                <w:rFonts w:eastAsia="Times New Roman" w:cs="Arial"/>
                <w:sz w:val="16"/>
                <w:szCs w:val="16"/>
                <w:lang w:eastAsia="en-US"/>
              </w:rPr>
              <w:t>innovation</w:t>
            </w:r>
          </w:p>
        </w:tc>
        <w:tc>
          <w:tcPr>
            <w:tcW w:w="2393" w:type="dxa"/>
            <w:shd w:val="clear" w:color="000000" w:fill="FFFFFF"/>
            <w:tcMar>
              <w:top w:w="57" w:type="dxa"/>
            </w:tcMar>
            <w:hideMark/>
          </w:tcPr>
          <w:p w14:paraId="72147E1B"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Niveau de satisfaction des participants aux activités de formation et de renforcement des capacités de l</w:t>
            </w:r>
            <w:r>
              <w:rPr>
                <w:rFonts w:eastAsia="Times New Roman" w:cs="Arial"/>
                <w:sz w:val="16"/>
                <w:szCs w:val="16"/>
                <w:lang w:eastAsia="en-US"/>
              </w:rPr>
              <w:t>’</w:t>
            </w:r>
            <w:r w:rsidRPr="00136CC3">
              <w:rPr>
                <w:rFonts w:eastAsia="Times New Roman" w:cs="Arial"/>
                <w:sz w:val="16"/>
                <w:szCs w:val="16"/>
                <w:lang w:eastAsia="en-US"/>
              </w:rPr>
              <w:t>OMPI visant les institutions d</w:t>
            </w:r>
            <w:r>
              <w:rPr>
                <w:rFonts w:eastAsia="Times New Roman" w:cs="Arial"/>
                <w:sz w:val="16"/>
                <w:szCs w:val="16"/>
                <w:lang w:eastAsia="en-US"/>
              </w:rPr>
              <w:t>’</w:t>
            </w:r>
            <w:r w:rsidRPr="00136CC3">
              <w:rPr>
                <w:rFonts w:eastAsia="Times New Roman" w:cs="Arial"/>
                <w:sz w:val="16"/>
                <w:szCs w:val="16"/>
                <w:lang w:eastAsia="en-US"/>
              </w:rPr>
              <w:t>aide</w:t>
            </w:r>
            <w:r w:rsidRPr="00145FCB">
              <w:rPr>
                <w:rFonts w:eastAsia="Times New Roman" w:cs="Arial"/>
                <w:sz w:val="16"/>
                <w:szCs w:val="16"/>
                <w:lang w:eastAsia="en-US"/>
              </w:rPr>
              <w:t xml:space="preserve"> aux PME</w:t>
            </w:r>
            <w:r w:rsidRPr="00136CC3">
              <w:rPr>
                <w:rFonts w:eastAsia="Times New Roman" w:cs="Arial"/>
                <w:sz w:val="16"/>
                <w:szCs w:val="16"/>
                <w:lang w:eastAsia="en-US"/>
              </w:rPr>
              <w:t xml:space="preserve"> </w:t>
            </w:r>
          </w:p>
        </w:tc>
        <w:tc>
          <w:tcPr>
            <w:tcW w:w="2392" w:type="dxa"/>
            <w:shd w:val="clear" w:color="000000" w:fill="FFFFFF"/>
            <w:tcMar>
              <w:top w:w="57" w:type="dxa"/>
            </w:tcMar>
            <w:hideMark/>
          </w:tcPr>
          <w:p w14:paraId="1736C008"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90%</w:t>
            </w:r>
          </w:p>
          <w:p w14:paraId="2A71ADE0" w14:textId="77777777" w:rsidR="007A7A77" w:rsidRPr="00136CC3" w:rsidRDefault="007A7A77" w:rsidP="00616FD3">
            <w:pPr>
              <w:pStyle w:val="ListParagraph"/>
              <w:numPr>
                <w:ilvl w:val="0"/>
                <w:numId w:val="25"/>
              </w:numPr>
              <w:ind w:left="0" w:hanging="135"/>
              <w:rPr>
                <w:rFonts w:eastAsia="Times New Roman" w:cs="Arial"/>
                <w:sz w:val="16"/>
                <w:szCs w:val="16"/>
                <w:lang w:eastAsia="en-US"/>
              </w:rPr>
            </w:pPr>
            <w:r w:rsidRPr="00136CC3">
              <w:rPr>
                <w:rFonts w:eastAsia="Times New Roman" w:cs="Arial"/>
                <w:sz w:val="16"/>
                <w:szCs w:val="16"/>
                <w:lang w:eastAsia="en-US"/>
              </w:rPr>
              <w:t>42% très satisfaits</w:t>
            </w:r>
          </w:p>
          <w:p w14:paraId="66284257" w14:textId="77777777" w:rsidR="007A7A77" w:rsidRPr="00136CC3" w:rsidRDefault="007A7A77" w:rsidP="00616FD3">
            <w:pPr>
              <w:pStyle w:val="ListParagraph"/>
              <w:numPr>
                <w:ilvl w:val="0"/>
                <w:numId w:val="25"/>
              </w:numPr>
              <w:ind w:left="0" w:hanging="135"/>
              <w:rPr>
                <w:rFonts w:eastAsia="Times New Roman" w:cs="Arial"/>
                <w:sz w:val="16"/>
                <w:szCs w:val="16"/>
                <w:lang w:eastAsia="en-US"/>
              </w:rPr>
            </w:pPr>
            <w:r w:rsidRPr="00136CC3">
              <w:rPr>
                <w:rFonts w:eastAsia="Times New Roman" w:cs="Arial"/>
                <w:sz w:val="16"/>
                <w:szCs w:val="16"/>
                <w:lang w:eastAsia="en-US"/>
              </w:rPr>
              <w:t>48% de satisfaits</w:t>
            </w:r>
          </w:p>
          <w:p w14:paraId="3185E6E3"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(fin 2016)</w:t>
            </w:r>
          </w:p>
        </w:tc>
        <w:tc>
          <w:tcPr>
            <w:tcW w:w="2393" w:type="dxa"/>
            <w:shd w:val="clear" w:color="000000" w:fill="FFFFFF"/>
            <w:tcMar>
              <w:top w:w="57" w:type="dxa"/>
            </w:tcMar>
            <w:hideMark/>
          </w:tcPr>
          <w:p w14:paraId="78F75FCA" w14:textId="65517DAA" w:rsidR="007A7A77" w:rsidRPr="00136CC3" w:rsidRDefault="00073F3E" w:rsidP="00986700">
            <w:pPr>
              <w:rPr>
                <w:rFonts w:eastAsia="Times New Roman" w:cs="Arial"/>
                <w:sz w:val="16"/>
                <w:szCs w:val="16"/>
                <w:lang w:eastAsia="en-US"/>
              </w:rPr>
            </w:pPr>
            <w:r>
              <w:rPr>
                <w:rFonts w:eastAsia="Times New Roman" w:cs="Arial"/>
                <w:sz w:val="16"/>
                <w:szCs w:val="16"/>
                <w:lang w:eastAsia="en-US"/>
              </w:rPr>
              <w:t>90%</w:t>
            </w:r>
          </w:p>
        </w:tc>
      </w:tr>
      <w:tr w:rsidR="007A7A77" w:rsidRPr="00136CC3" w14:paraId="2C997970" w14:textId="77777777" w:rsidTr="007A7A77">
        <w:trPr>
          <w:cantSplit/>
        </w:trPr>
        <w:tc>
          <w:tcPr>
            <w:tcW w:w="2393" w:type="dxa"/>
            <w:vMerge/>
            <w:shd w:val="clear" w:color="000000" w:fill="FFFFFF"/>
            <w:noWrap/>
            <w:tcMar>
              <w:top w:w="57" w:type="dxa"/>
            </w:tcMar>
            <w:vAlign w:val="bottom"/>
            <w:hideMark/>
          </w:tcPr>
          <w:p w14:paraId="5F511873" w14:textId="77777777" w:rsidR="007A7A77" w:rsidRPr="00136CC3" w:rsidRDefault="007A7A77" w:rsidP="00986700">
            <w:pPr>
              <w:jc w:val="right"/>
              <w:rPr>
                <w:rFonts w:ascii="Calibri" w:eastAsia="Times New Roman" w:hAnsi="Calibri" w:cs="Times New Roman"/>
                <w:lang w:eastAsia="en-US"/>
              </w:rPr>
            </w:pPr>
          </w:p>
        </w:tc>
        <w:tc>
          <w:tcPr>
            <w:tcW w:w="2393" w:type="dxa"/>
            <w:shd w:val="clear" w:color="000000" w:fill="FFFFFF"/>
            <w:tcMar>
              <w:top w:w="57" w:type="dxa"/>
            </w:tcMar>
            <w:hideMark/>
          </w:tcPr>
          <w:p w14:paraId="4523D722"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Pourcentage d</w:t>
            </w:r>
            <w:r>
              <w:rPr>
                <w:rFonts w:eastAsia="Times New Roman" w:cs="Arial"/>
                <w:sz w:val="16"/>
                <w:szCs w:val="16"/>
                <w:lang w:eastAsia="en-US"/>
              </w:rPr>
              <w:t>’</w:t>
            </w:r>
            <w:r w:rsidRPr="00136CC3">
              <w:rPr>
                <w:rFonts w:eastAsia="Times New Roman" w:cs="Arial"/>
                <w:sz w:val="16"/>
                <w:szCs w:val="16"/>
                <w:lang w:eastAsia="en-US"/>
              </w:rPr>
              <w:t>institutions d</w:t>
            </w:r>
            <w:r>
              <w:rPr>
                <w:rFonts w:eastAsia="Times New Roman" w:cs="Arial"/>
                <w:sz w:val="16"/>
                <w:szCs w:val="16"/>
                <w:lang w:eastAsia="en-US"/>
              </w:rPr>
              <w:t>’</w:t>
            </w:r>
            <w:r w:rsidRPr="00136CC3">
              <w:rPr>
                <w:rFonts w:eastAsia="Times New Roman" w:cs="Arial"/>
                <w:sz w:val="16"/>
                <w:szCs w:val="16"/>
                <w:lang w:eastAsia="en-US"/>
              </w:rPr>
              <w:t>aide</w:t>
            </w:r>
            <w:r w:rsidRPr="00145FCB">
              <w:rPr>
                <w:rFonts w:eastAsia="Times New Roman" w:cs="Arial"/>
                <w:sz w:val="16"/>
                <w:szCs w:val="16"/>
                <w:lang w:eastAsia="en-US"/>
              </w:rPr>
              <w:t xml:space="preserve"> aux PME</w:t>
            </w:r>
            <w:r w:rsidRPr="00136CC3">
              <w:rPr>
                <w:rFonts w:eastAsia="Times New Roman" w:cs="Arial"/>
                <w:sz w:val="16"/>
                <w:szCs w:val="16"/>
                <w:lang w:eastAsia="en-US"/>
              </w:rPr>
              <w:t xml:space="preserve"> ayant suivi une formation qui proposent des programmes de formation et des services consultatifs sur la gestion des actifs de propriété intellectuelle</w:t>
            </w:r>
          </w:p>
        </w:tc>
        <w:tc>
          <w:tcPr>
            <w:tcW w:w="2392" w:type="dxa"/>
            <w:shd w:val="clear" w:color="000000" w:fill="FFFFFF"/>
            <w:tcMar>
              <w:top w:w="57" w:type="dxa"/>
            </w:tcMar>
            <w:hideMark/>
          </w:tcPr>
          <w:p w14:paraId="0B0107A6" w14:textId="346DE82C" w:rsidR="007A7A77" w:rsidRPr="00136CC3" w:rsidRDefault="00FD64AE" w:rsidP="00FD64AE">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tcMar>
              <w:top w:w="57" w:type="dxa"/>
            </w:tcMar>
            <w:hideMark/>
          </w:tcPr>
          <w:p w14:paraId="418F2C0B"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80%</w:t>
            </w:r>
          </w:p>
        </w:tc>
      </w:tr>
      <w:tr w:rsidR="007A7A77" w:rsidRPr="00136CC3" w14:paraId="5310651D" w14:textId="77777777" w:rsidTr="007A7A77">
        <w:trPr>
          <w:cantSplit/>
        </w:trPr>
        <w:tc>
          <w:tcPr>
            <w:tcW w:w="2393" w:type="dxa"/>
            <w:vMerge/>
            <w:shd w:val="clear" w:color="000000" w:fill="FFFFFF"/>
            <w:noWrap/>
            <w:tcMar>
              <w:top w:w="57" w:type="dxa"/>
            </w:tcMar>
            <w:vAlign w:val="bottom"/>
          </w:tcPr>
          <w:p w14:paraId="16D4968E" w14:textId="77777777" w:rsidR="007A7A77" w:rsidRPr="00136CC3" w:rsidRDefault="007A7A77" w:rsidP="00986700">
            <w:pPr>
              <w:jc w:val="right"/>
              <w:rPr>
                <w:rFonts w:ascii="Calibri" w:eastAsia="Times New Roman" w:hAnsi="Calibri" w:cs="Times New Roman"/>
                <w:lang w:eastAsia="en-US"/>
              </w:rPr>
            </w:pPr>
          </w:p>
        </w:tc>
        <w:tc>
          <w:tcPr>
            <w:tcW w:w="2393" w:type="dxa"/>
            <w:shd w:val="clear" w:color="000000" w:fill="FFFFFF"/>
            <w:tcMar>
              <w:top w:w="57" w:type="dxa"/>
            </w:tcMar>
          </w:tcPr>
          <w:p w14:paraId="74A08965"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Nombre de consultations uniques du site</w:t>
            </w:r>
            <w:r>
              <w:rPr>
                <w:rFonts w:eastAsia="Times New Roman" w:cs="Arial"/>
                <w:sz w:val="16"/>
                <w:szCs w:val="16"/>
                <w:lang w:eastAsia="en-US"/>
              </w:rPr>
              <w:t> Web</w:t>
            </w:r>
            <w:r w:rsidRPr="00136CC3">
              <w:rPr>
                <w:rFonts w:eastAsia="Times New Roman" w:cs="Arial"/>
                <w:sz w:val="16"/>
                <w:szCs w:val="16"/>
                <w:lang w:eastAsia="en-US"/>
              </w:rPr>
              <w:t xml:space="preserve"> consacré</w:t>
            </w:r>
            <w:r w:rsidRPr="00145FCB">
              <w:rPr>
                <w:rFonts w:eastAsia="Times New Roman" w:cs="Arial"/>
                <w:sz w:val="16"/>
                <w:szCs w:val="16"/>
                <w:lang w:eastAsia="en-US"/>
              </w:rPr>
              <w:t xml:space="preserve"> aux PME</w:t>
            </w:r>
          </w:p>
        </w:tc>
        <w:tc>
          <w:tcPr>
            <w:tcW w:w="2392" w:type="dxa"/>
            <w:shd w:val="clear" w:color="000000" w:fill="FFFFFF"/>
            <w:tcMar>
              <w:top w:w="57" w:type="dxa"/>
            </w:tcMar>
          </w:tcPr>
          <w:p w14:paraId="4DC3D04A"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1 000 395</w:t>
            </w:r>
            <w:r w:rsidRPr="00136CC3">
              <w:rPr>
                <w:rFonts w:eastAsia="Times New Roman" w:cs="Arial"/>
                <w:sz w:val="16"/>
                <w:szCs w:val="16"/>
                <w:vertAlign w:val="superscript"/>
                <w:lang w:eastAsia="en-US"/>
              </w:rPr>
              <w:footnoteReference w:id="33"/>
            </w:r>
            <w:r w:rsidRPr="00136CC3">
              <w:rPr>
                <w:rFonts w:eastAsia="Times New Roman" w:cs="Arial"/>
                <w:sz w:val="16"/>
                <w:szCs w:val="16"/>
                <w:lang w:eastAsia="en-US"/>
              </w:rPr>
              <w:t xml:space="preserve"> </w:t>
            </w:r>
            <w:r w:rsidRPr="00136CC3">
              <w:rPr>
                <w:rFonts w:eastAsia="Times New Roman" w:cs="Arial"/>
                <w:sz w:val="16"/>
                <w:szCs w:val="16"/>
                <w:lang w:eastAsia="en-US"/>
              </w:rPr>
              <w:br/>
              <w:t>(2016)</w:t>
            </w:r>
          </w:p>
        </w:tc>
        <w:tc>
          <w:tcPr>
            <w:tcW w:w="2393" w:type="dxa"/>
            <w:shd w:val="clear" w:color="000000" w:fill="FFFFFF"/>
            <w:tcMar>
              <w:top w:w="57" w:type="dxa"/>
            </w:tcMar>
          </w:tcPr>
          <w:p w14:paraId="6C1A9699"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Augmentation de 10% au cours de l</w:t>
            </w:r>
            <w:r>
              <w:rPr>
                <w:rFonts w:eastAsia="Times New Roman" w:cs="Arial"/>
                <w:sz w:val="16"/>
                <w:szCs w:val="16"/>
                <w:lang w:eastAsia="en-US"/>
              </w:rPr>
              <w:t>’</w:t>
            </w:r>
            <w:r w:rsidRPr="00136CC3">
              <w:rPr>
                <w:rFonts w:eastAsia="Times New Roman" w:cs="Arial"/>
                <w:sz w:val="16"/>
                <w:szCs w:val="16"/>
                <w:lang w:eastAsia="en-US"/>
              </w:rPr>
              <w:t>exercice biennal</w:t>
            </w:r>
          </w:p>
        </w:tc>
      </w:tr>
      <w:tr w:rsidR="007A7A77" w:rsidRPr="00136CC3" w14:paraId="01371135" w14:textId="77777777" w:rsidTr="007A7A77">
        <w:trPr>
          <w:cantSplit/>
        </w:trPr>
        <w:tc>
          <w:tcPr>
            <w:tcW w:w="2393" w:type="dxa"/>
            <w:vMerge/>
            <w:shd w:val="clear" w:color="000000" w:fill="FFFFFF"/>
            <w:tcMar>
              <w:top w:w="57" w:type="dxa"/>
            </w:tcMar>
            <w:vAlign w:val="bottom"/>
            <w:hideMark/>
          </w:tcPr>
          <w:p w14:paraId="3703FB34" w14:textId="77777777" w:rsidR="007A7A77" w:rsidRPr="00136CC3" w:rsidRDefault="007A7A77" w:rsidP="00986700">
            <w:pPr>
              <w:jc w:val="right"/>
              <w:rPr>
                <w:rFonts w:eastAsia="Times New Roman" w:cs="Arial"/>
                <w:sz w:val="16"/>
                <w:szCs w:val="16"/>
                <w:lang w:eastAsia="en-US"/>
              </w:rPr>
            </w:pPr>
          </w:p>
        </w:tc>
        <w:tc>
          <w:tcPr>
            <w:tcW w:w="2393" w:type="dxa"/>
            <w:shd w:val="clear" w:color="000000" w:fill="FFFFFF"/>
            <w:tcMar>
              <w:top w:w="57" w:type="dxa"/>
            </w:tcMar>
          </w:tcPr>
          <w:p w14:paraId="66D77C7A" w14:textId="7B6C0286" w:rsidR="007A7A77" w:rsidRPr="00136CC3" w:rsidRDefault="007A7A77" w:rsidP="00FD64AE">
            <w:pPr>
              <w:rPr>
                <w:rFonts w:eastAsia="Times New Roman" w:cs="Arial"/>
                <w:sz w:val="16"/>
                <w:szCs w:val="16"/>
                <w:lang w:eastAsia="en-US"/>
              </w:rPr>
            </w:pPr>
            <w:r w:rsidRPr="00136CC3">
              <w:rPr>
                <w:rFonts w:eastAsia="Times New Roman" w:cs="Arial"/>
                <w:sz w:val="16"/>
                <w:szCs w:val="16"/>
                <w:lang w:eastAsia="en-US"/>
              </w:rPr>
              <w:t>Nombre de pays dans lesquels des politiques en matière de propriété intellectuelle ont été élaborées ou adoptées en faveur des institutions d</w:t>
            </w:r>
            <w:r>
              <w:rPr>
                <w:rFonts w:eastAsia="Times New Roman" w:cs="Arial"/>
                <w:sz w:val="16"/>
                <w:szCs w:val="16"/>
                <w:lang w:eastAsia="en-US"/>
              </w:rPr>
              <w:t>’</w:t>
            </w:r>
            <w:r w:rsidRPr="00136CC3">
              <w:rPr>
                <w:rFonts w:eastAsia="Times New Roman" w:cs="Arial"/>
                <w:sz w:val="16"/>
                <w:szCs w:val="16"/>
                <w:lang w:eastAsia="en-US"/>
              </w:rPr>
              <w:t>aide</w:t>
            </w:r>
            <w:r w:rsidRPr="00145FCB">
              <w:rPr>
                <w:rFonts w:eastAsia="Times New Roman" w:cs="Arial"/>
                <w:sz w:val="16"/>
                <w:szCs w:val="16"/>
                <w:lang w:eastAsia="en-US"/>
              </w:rPr>
              <w:t xml:space="preserve"> aux PME</w:t>
            </w:r>
          </w:p>
        </w:tc>
        <w:tc>
          <w:tcPr>
            <w:tcW w:w="2392" w:type="dxa"/>
            <w:shd w:val="clear" w:color="000000" w:fill="FFFFFF"/>
            <w:tcMar>
              <w:top w:w="57" w:type="dxa"/>
            </w:tcMar>
          </w:tcPr>
          <w:p w14:paraId="73CF4CF4"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Aucun (2016)</w:t>
            </w:r>
          </w:p>
        </w:tc>
        <w:tc>
          <w:tcPr>
            <w:tcW w:w="2393" w:type="dxa"/>
            <w:shd w:val="clear" w:color="000000" w:fill="FFFFFF"/>
            <w:tcMar>
              <w:top w:w="57" w:type="dxa"/>
            </w:tcMar>
          </w:tcPr>
          <w:p w14:paraId="72C81769"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5 pays (cumulatif)</w:t>
            </w:r>
          </w:p>
        </w:tc>
      </w:tr>
      <w:tr w:rsidR="007A7A77" w:rsidRPr="00136CC3" w14:paraId="27F4A0B7" w14:textId="77777777" w:rsidTr="007A7A77">
        <w:trPr>
          <w:cantSplit/>
        </w:trPr>
        <w:tc>
          <w:tcPr>
            <w:tcW w:w="2393" w:type="dxa"/>
            <w:vMerge/>
            <w:shd w:val="clear" w:color="000000" w:fill="FFFFFF"/>
            <w:tcMar>
              <w:top w:w="57" w:type="dxa"/>
            </w:tcMar>
            <w:hideMark/>
          </w:tcPr>
          <w:p w14:paraId="389BCDAF" w14:textId="77777777" w:rsidR="007A7A77" w:rsidRPr="00136CC3" w:rsidRDefault="007A7A77" w:rsidP="00986700">
            <w:pPr>
              <w:rPr>
                <w:rFonts w:eastAsia="Times New Roman" w:cs="Arial"/>
                <w:sz w:val="16"/>
                <w:szCs w:val="16"/>
                <w:lang w:eastAsia="en-US"/>
              </w:rPr>
            </w:pPr>
          </w:p>
        </w:tc>
        <w:tc>
          <w:tcPr>
            <w:tcW w:w="2393" w:type="dxa"/>
            <w:shd w:val="clear" w:color="000000" w:fill="FFFFFF"/>
            <w:tcMar>
              <w:top w:w="57" w:type="dxa"/>
            </w:tcMar>
            <w:hideMark/>
          </w:tcPr>
          <w:p w14:paraId="4C2E8B97"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Nombre d</w:t>
            </w:r>
            <w:r>
              <w:rPr>
                <w:rFonts w:eastAsia="Times New Roman" w:cs="Arial"/>
                <w:sz w:val="16"/>
                <w:szCs w:val="16"/>
                <w:lang w:eastAsia="en-US"/>
              </w:rPr>
              <w:t>’</w:t>
            </w:r>
            <w:r w:rsidRPr="00136CC3">
              <w:rPr>
                <w:rFonts w:eastAsia="Times New Roman" w:cs="Arial"/>
                <w:sz w:val="16"/>
                <w:szCs w:val="16"/>
                <w:lang w:eastAsia="en-US"/>
              </w:rPr>
              <w:t>universités ou d</w:t>
            </w:r>
            <w:r>
              <w:rPr>
                <w:rFonts w:eastAsia="Times New Roman" w:cs="Arial"/>
                <w:sz w:val="16"/>
                <w:szCs w:val="16"/>
                <w:lang w:eastAsia="en-US"/>
              </w:rPr>
              <w:t>’</w:t>
            </w:r>
            <w:r w:rsidRPr="00136CC3">
              <w:rPr>
                <w:rFonts w:eastAsia="Times New Roman" w:cs="Arial"/>
                <w:sz w:val="16"/>
                <w:szCs w:val="16"/>
                <w:lang w:eastAsia="en-US"/>
              </w:rPr>
              <w:t xml:space="preserve">instituts de recherche ayant élaboré ou amélioré leurs politiques en matière de propriété intellectuelle </w:t>
            </w:r>
          </w:p>
        </w:tc>
        <w:tc>
          <w:tcPr>
            <w:tcW w:w="2392" w:type="dxa"/>
            <w:shd w:val="clear" w:color="000000" w:fill="FFFFFF"/>
            <w:tcMar>
              <w:top w:w="57" w:type="dxa"/>
            </w:tcMar>
            <w:hideMark/>
          </w:tcPr>
          <w:p w14:paraId="30ADFD11" w14:textId="77777777" w:rsidR="007A7A77" w:rsidRPr="00136CC3" w:rsidRDefault="007A7A77" w:rsidP="00986700">
            <w:pPr>
              <w:rPr>
                <w:rFonts w:eastAsia="Times New Roman" w:cs="Arial"/>
                <w:sz w:val="16"/>
                <w:szCs w:val="16"/>
                <w:lang w:eastAsia="en-US"/>
              </w:rPr>
            </w:pPr>
            <w:r w:rsidRPr="00136CC3">
              <w:rPr>
                <w:rFonts w:eastAsia="Times New Roman" w:cs="Arial"/>
                <w:sz w:val="16"/>
                <w:szCs w:val="16"/>
                <w:lang w:eastAsia="en-US"/>
              </w:rPr>
              <w:t xml:space="preserve">444 universités ou instituts de recherche (nombre cumulé à fin 2016) </w:t>
            </w:r>
          </w:p>
        </w:tc>
        <w:tc>
          <w:tcPr>
            <w:tcW w:w="2393" w:type="dxa"/>
            <w:shd w:val="clear" w:color="000000" w:fill="FFFFFF"/>
            <w:tcMar>
              <w:top w:w="57" w:type="dxa"/>
            </w:tcMar>
            <w:hideMark/>
          </w:tcPr>
          <w:p w14:paraId="1DD24D85" w14:textId="15E19387" w:rsidR="007A7A77" w:rsidRPr="00136CC3" w:rsidRDefault="007A7A77" w:rsidP="00E82B8A">
            <w:pPr>
              <w:rPr>
                <w:rFonts w:eastAsia="Times New Roman" w:cs="Arial"/>
                <w:sz w:val="16"/>
                <w:szCs w:val="16"/>
                <w:lang w:eastAsia="en-US"/>
              </w:rPr>
            </w:pPr>
            <w:r w:rsidRPr="00136CC3">
              <w:rPr>
                <w:rFonts w:eastAsia="Times New Roman" w:cs="Arial"/>
                <w:sz w:val="16"/>
                <w:szCs w:val="16"/>
                <w:lang w:eastAsia="en-US"/>
              </w:rPr>
              <w:t xml:space="preserve">20 universités ou instituts de recherche supplémentaires </w:t>
            </w:r>
          </w:p>
        </w:tc>
      </w:tr>
    </w:tbl>
    <w:p w14:paraId="67ED409C" w14:textId="77777777" w:rsidR="00277197" w:rsidRDefault="00277197" w:rsidP="00986700"/>
    <w:tbl>
      <w:tblPr>
        <w:tblW w:w="5000" w:type="pct"/>
        <w:tblCellMar>
          <w:top w:w="57" w:type="dxa"/>
          <w:bottom w:w="57" w:type="dxa"/>
        </w:tblCellMar>
        <w:tblLook w:val="01E0" w:firstRow="1" w:lastRow="1" w:firstColumn="1" w:lastColumn="1" w:noHBand="0" w:noVBand="0"/>
      </w:tblPr>
      <w:tblGrid>
        <w:gridCol w:w="9287"/>
      </w:tblGrid>
      <w:tr w:rsidR="00277197" w:rsidRPr="00821D15" w14:paraId="5A1EFD3E" w14:textId="77777777" w:rsidTr="001A722F">
        <w:trPr>
          <w:cantSplit/>
        </w:trPr>
        <w:tc>
          <w:tcPr>
            <w:tcW w:w="9571" w:type="dxa"/>
            <w:shd w:val="clear" w:color="auto" w:fill="C6D9F1" w:themeFill="text2" w:themeFillTint="33"/>
            <w:vAlign w:val="center"/>
          </w:tcPr>
          <w:p w14:paraId="13D47F29" w14:textId="77777777" w:rsidR="00277197" w:rsidRPr="00821D15" w:rsidRDefault="00277197" w:rsidP="00986700">
            <w:pPr>
              <w:jc w:val="center"/>
              <w:rPr>
                <w:rFonts w:cs="Arial"/>
                <w:b/>
                <w:szCs w:val="20"/>
              </w:rPr>
            </w:pPr>
            <w:r w:rsidRPr="00821D15">
              <w:rPr>
                <w:rFonts w:cs="Arial"/>
                <w:b/>
                <w:szCs w:val="20"/>
              </w:rPr>
              <w:t>Ressources allouées au programme 30</w:t>
            </w:r>
          </w:p>
        </w:tc>
      </w:tr>
    </w:tbl>
    <w:p w14:paraId="71E619F3" w14:textId="77777777" w:rsidR="00277197" w:rsidRPr="00821D15" w:rsidRDefault="00277197" w:rsidP="00986700">
      <w:pPr>
        <w:rPr>
          <w:rFonts w:cs="Arial"/>
          <w:szCs w:val="20"/>
        </w:rPr>
      </w:pPr>
    </w:p>
    <w:p w14:paraId="237E64BB" w14:textId="77777777" w:rsidR="00277197" w:rsidRPr="00821D15" w:rsidRDefault="00277197" w:rsidP="00616FD3">
      <w:pPr>
        <w:pStyle w:val="ListParagraph"/>
        <w:numPr>
          <w:ilvl w:val="0"/>
          <w:numId w:val="73"/>
        </w:numPr>
        <w:ind w:left="0" w:firstLine="0"/>
        <w:contextualSpacing w:val="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4% par rapport au budget approuvé pour 2016</w:t>
      </w:r>
      <w:r w:rsidRPr="00821D15">
        <w:rPr>
          <w:rFonts w:cs="Arial"/>
          <w:szCs w:val="20"/>
        </w:rPr>
        <w:noBreakHyphen/>
        <w:t>2017.</w:t>
      </w:r>
    </w:p>
    <w:p w14:paraId="42EB3186" w14:textId="77777777" w:rsidR="00277197" w:rsidRPr="00821D15" w:rsidRDefault="00277197" w:rsidP="00986700">
      <w:pPr>
        <w:rPr>
          <w:rFonts w:cs="Arial"/>
          <w:szCs w:val="20"/>
        </w:rPr>
      </w:pPr>
    </w:p>
    <w:p w14:paraId="53D7C87B" w14:textId="77777777" w:rsidR="00277197" w:rsidRPr="00821D15" w:rsidRDefault="00277197" w:rsidP="00616FD3">
      <w:pPr>
        <w:pStyle w:val="ListParagraph"/>
        <w:numPr>
          <w:ilvl w:val="0"/>
          <w:numId w:val="73"/>
        </w:numPr>
        <w:ind w:left="0" w:firstLine="0"/>
        <w:contextualSpacing w:val="0"/>
        <w:jc w:val="both"/>
        <w:rPr>
          <w:rFonts w:cs="Arial"/>
          <w:szCs w:val="20"/>
        </w:rPr>
      </w:pPr>
      <w:r w:rsidRPr="00821D15">
        <w:rPr>
          <w:rFonts w:cs="Arial"/>
          <w:szCs w:val="20"/>
        </w:rPr>
        <w:t>Les dépenses autres que les dépenses de personnel restent au même niveau que dans le budget approuvé pour 2016</w:t>
      </w:r>
      <w:r w:rsidRPr="00821D15">
        <w:rPr>
          <w:rFonts w:cs="Arial"/>
          <w:szCs w:val="20"/>
        </w:rPr>
        <w:noBreakHyphen/>
        <w:t>2017.  L’augmentation des dépenses de personnel résulte de l’allocation de ressources supplémentaires pour les agents temporaires dans le cadre du programme.</w:t>
      </w:r>
    </w:p>
    <w:p w14:paraId="1832F89E" w14:textId="77777777" w:rsidR="00277197" w:rsidRPr="00821D15" w:rsidRDefault="00277197" w:rsidP="00986700">
      <w:pPr>
        <w:rPr>
          <w:rFonts w:cs="Arial"/>
          <w:szCs w:val="20"/>
        </w:rPr>
      </w:pPr>
    </w:p>
    <w:p w14:paraId="76788862" w14:textId="77777777" w:rsidR="00277197" w:rsidRPr="00821D15" w:rsidRDefault="00277197" w:rsidP="00616FD3">
      <w:pPr>
        <w:pStyle w:val="ListParagraph"/>
        <w:numPr>
          <w:ilvl w:val="0"/>
          <w:numId w:val="73"/>
        </w:numPr>
        <w:ind w:left="0" w:firstLine="0"/>
        <w:contextualSpacing w:val="0"/>
        <w:jc w:val="both"/>
        <w:rPr>
          <w:rFonts w:cs="Arial"/>
          <w:szCs w:val="20"/>
        </w:rPr>
      </w:pPr>
      <w:r w:rsidRPr="00821D15">
        <w:rPr>
          <w:rFonts w:cs="Arial"/>
          <w:szCs w:val="20"/>
        </w:rPr>
        <w:t>La diminution des ressources allouées au titre du résultat escompté III.1 (stratégies et plans nationaux en matière de propriété intellectuelle) en 2018</w:t>
      </w:r>
      <w:r w:rsidRPr="00821D15">
        <w:rPr>
          <w:rFonts w:cs="Arial"/>
          <w:szCs w:val="20"/>
        </w:rPr>
        <w:noBreakHyphen/>
        <w:t>2019 correspond aux responsabilités concernant l’élaboration de stratégies nationales de propriété intellectuelle dans le cadre des programmes 9 (bureaux régionaux) et 10 (pays en transition et pays développés).</w:t>
      </w:r>
    </w:p>
    <w:p w14:paraId="09150048" w14:textId="77777777" w:rsidR="00277197" w:rsidRPr="00821D15" w:rsidRDefault="00277197" w:rsidP="00986700">
      <w:pPr>
        <w:rPr>
          <w:rFonts w:cs="Arial"/>
          <w:szCs w:val="20"/>
        </w:rPr>
      </w:pPr>
    </w:p>
    <w:p w14:paraId="05B87432" w14:textId="77777777" w:rsidR="00277197" w:rsidRPr="00821D15" w:rsidRDefault="00277197" w:rsidP="00616FD3">
      <w:pPr>
        <w:pStyle w:val="ListParagraph"/>
        <w:numPr>
          <w:ilvl w:val="0"/>
          <w:numId w:val="73"/>
        </w:numPr>
        <w:ind w:left="0" w:firstLine="0"/>
        <w:contextualSpacing w:val="0"/>
        <w:jc w:val="both"/>
        <w:rPr>
          <w:rFonts w:cs="Arial"/>
          <w:szCs w:val="20"/>
        </w:rPr>
      </w:pPr>
      <w:r w:rsidRPr="00821D15">
        <w:rPr>
          <w:rFonts w:cs="Arial"/>
          <w:szCs w:val="20"/>
        </w:rPr>
        <w:t>L’augmentation des ressources allouées au titre du résultat escompté III.6 (PME, universités et instituts de recherche) résulte de la volonté de renforcer les capacités des universités et des instituts de recherche dans le cadre de ce résultat escompté en 2018</w:t>
      </w:r>
      <w:r w:rsidRPr="00821D15">
        <w:rPr>
          <w:rFonts w:cs="Arial"/>
          <w:szCs w:val="20"/>
        </w:rPr>
        <w:noBreakHyphen/>
        <w:t xml:space="preserve">2019, ce dont il était précédemment </w:t>
      </w:r>
      <w:r w:rsidRPr="00821D15">
        <w:rPr>
          <w:rFonts w:cs="Arial"/>
          <w:szCs w:val="20"/>
        </w:rPr>
        <w:lastRenderedPageBreak/>
        <w:t>rendu compte sous le résultat escompté IV.2 (amélioration de l’accessibilité et de l’utilisation de l’information en matière de propriété intellectuelle).</w:t>
      </w:r>
    </w:p>
    <w:p w14:paraId="104E51D2" w14:textId="77777777" w:rsidR="00277197" w:rsidRPr="00821D15" w:rsidRDefault="00277197" w:rsidP="00986700">
      <w:pPr>
        <w:rPr>
          <w:rFonts w:cs="Arial"/>
          <w:szCs w:val="20"/>
        </w:rPr>
      </w:pPr>
    </w:p>
    <w:p w14:paraId="27A5ACD9" w14:textId="77777777" w:rsidR="00277197" w:rsidRPr="00821D15" w:rsidRDefault="00277197" w:rsidP="00616FD3">
      <w:pPr>
        <w:pStyle w:val="ListParagraph"/>
        <w:numPr>
          <w:ilvl w:val="0"/>
          <w:numId w:val="73"/>
        </w:numPr>
        <w:ind w:left="0" w:firstLine="0"/>
        <w:jc w:val="both"/>
        <w:rPr>
          <w:rFonts w:cs="Arial"/>
          <w:szCs w:val="20"/>
        </w:rPr>
      </w:pPr>
      <w:r w:rsidRPr="00821D15">
        <w:rPr>
          <w:rFonts w:cs="Arial"/>
          <w:szCs w:val="20"/>
        </w:rPr>
        <w:t>Le transfert de ressources du résultat escompté IV.2 au résultat escompté III.2 (mise en valeur des ressources humaines) résulte de la volonté de mettre l’accent sur le renforcement des capacités des bureaux de gestion de la technologie existants en 2018</w:t>
      </w:r>
      <w:r w:rsidRPr="00821D15">
        <w:rPr>
          <w:rFonts w:cs="Arial"/>
          <w:szCs w:val="20"/>
        </w:rPr>
        <w:noBreakHyphen/>
        <w:t>2019 après la création de ces bureaux au cours de l’exercice biennal précédent.</w:t>
      </w:r>
    </w:p>
    <w:p w14:paraId="7C7AC4ED" w14:textId="77777777" w:rsidR="00674550" w:rsidRDefault="00674550" w:rsidP="00986700"/>
    <w:p w14:paraId="0CE1A93E" w14:textId="2999A765"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30 : </w:t>
      </w:r>
      <w:r w:rsidRPr="00674550">
        <w:rPr>
          <w:rFonts w:eastAsia="Times New Roman" w:cs="Arial"/>
          <w:b/>
          <w:szCs w:val="20"/>
          <w:lang w:eastAsia="en-US"/>
        </w:rPr>
        <w:t>Ressources par résultat</w:t>
      </w:r>
    </w:p>
    <w:p w14:paraId="48266DA4"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6B79819" w14:textId="77777777" w:rsidR="00674550" w:rsidRDefault="00674550" w:rsidP="00986700"/>
    <w:p w14:paraId="238B8476" w14:textId="5895F444" w:rsidR="00717231" w:rsidRDefault="00717231" w:rsidP="00986700">
      <w:pPr>
        <w:jc w:val="center"/>
      </w:pPr>
      <w:r w:rsidRPr="00717231">
        <w:rPr>
          <w:noProof/>
          <w:lang w:val="en-US" w:eastAsia="en-US"/>
        </w:rPr>
        <w:drawing>
          <wp:inline distT="0" distB="0" distL="0" distR="0" wp14:anchorId="7AD3A928" wp14:editId="31772F9D">
            <wp:extent cx="5400000" cy="2722938"/>
            <wp:effectExtent l="0" t="0" r="0"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000" cy="2722938"/>
                    </a:xfrm>
                    <a:prstGeom prst="rect">
                      <a:avLst/>
                    </a:prstGeom>
                    <a:noFill/>
                    <a:ln>
                      <a:noFill/>
                    </a:ln>
                  </pic:spPr>
                </pic:pic>
              </a:graphicData>
            </a:graphic>
          </wp:inline>
        </w:drawing>
      </w:r>
    </w:p>
    <w:p w14:paraId="43E80194" w14:textId="77777777" w:rsidR="00B55ECC" w:rsidRDefault="00B55ECC" w:rsidP="00986700"/>
    <w:p w14:paraId="10403006"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30</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3FF533BA" w14:textId="097F02B1"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3CCE4488" w14:textId="77777777" w:rsidR="008778B5" w:rsidRDefault="008778B5" w:rsidP="00986700">
      <w:pPr>
        <w:keepNext/>
        <w:rPr>
          <w:lang w:eastAsia="en-US"/>
        </w:rPr>
      </w:pPr>
    </w:p>
    <w:p w14:paraId="634AC670" w14:textId="6E5D1723" w:rsidR="00B55ECC" w:rsidRDefault="008778B5" w:rsidP="00986700">
      <w:pPr>
        <w:jc w:val="center"/>
        <w:rPr>
          <w:lang w:eastAsia="en-US"/>
        </w:rPr>
      </w:pPr>
      <w:r w:rsidRPr="008778B5">
        <w:rPr>
          <w:noProof/>
          <w:lang w:val="en-US" w:eastAsia="en-US"/>
        </w:rPr>
        <w:drawing>
          <wp:inline distT="0" distB="0" distL="0" distR="0" wp14:anchorId="16DD3610" wp14:editId="1F4713CB">
            <wp:extent cx="5400000" cy="6031770"/>
            <wp:effectExtent l="0" t="0" r="0" b="762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46AB952C" w14:textId="77777777" w:rsidR="00B55ECC" w:rsidRPr="00E16214" w:rsidRDefault="00B55ECC" w:rsidP="00986700">
      <w:pPr>
        <w:rPr>
          <w:lang w:eastAsia="en-US"/>
        </w:rPr>
      </w:pPr>
    </w:p>
    <w:p w14:paraId="2F1EC1DB" w14:textId="77777777" w:rsidR="007A7A77" w:rsidRDefault="007A7A77" w:rsidP="00986700">
      <w:pPr>
        <w:rPr>
          <w:rFonts w:ascii="Arial Bold" w:eastAsia="SimSun" w:hAnsi="Arial Bold" w:cs="Arial" w:hint="eastAsia"/>
          <w:b/>
          <w:bCs/>
          <w:caps/>
          <w:kern w:val="32"/>
          <w:sz w:val="22"/>
          <w:szCs w:val="32"/>
          <w:lang w:eastAsia="en-US"/>
        </w:rPr>
      </w:pPr>
      <w:r>
        <w:rPr>
          <w:rFonts w:hint="eastAsia"/>
        </w:rPr>
        <w:br w:type="page"/>
      </w:r>
    </w:p>
    <w:p w14:paraId="2120B56D" w14:textId="77777777" w:rsidR="0099440C" w:rsidRPr="0050292B" w:rsidRDefault="0099440C" w:rsidP="00986700">
      <w:pPr>
        <w:pStyle w:val="Heading4"/>
      </w:pPr>
      <w:bookmarkStart w:id="50" w:name="_Toc367350587"/>
      <w:bookmarkStart w:id="51" w:name="_Toc481222391"/>
      <w:bookmarkStart w:id="52" w:name="_Toc482979491"/>
      <w:r w:rsidRPr="0050292B">
        <w:lastRenderedPageBreak/>
        <w:t>Objectif stratégique IV</w:t>
      </w:r>
      <w:r w:rsidRPr="0050292B">
        <w:tab/>
      </w:r>
      <w:bookmarkEnd w:id="50"/>
      <w:bookmarkEnd w:id="51"/>
      <w:r w:rsidRPr="0050292B">
        <w:t>Coordination et développement de l’infrastructure mondiale en matière de propriété intellectuelle</w:t>
      </w:r>
      <w:bookmarkEnd w:id="52"/>
    </w:p>
    <w:p w14:paraId="7EDCC81F" w14:textId="77777777" w:rsidR="0099440C" w:rsidRPr="0050292B" w:rsidRDefault="0099440C" w:rsidP="00986700">
      <w:pPr>
        <w:tabs>
          <w:tab w:val="left" w:pos="1701"/>
        </w:tabs>
        <w:ind w:left="1701" w:hanging="1701"/>
        <w:rPr>
          <w:caps/>
        </w:rPr>
      </w:pPr>
    </w:p>
    <w:p w14:paraId="76F64FEF" w14:textId="77777777" w:rsidR="0099440C" w:rsidRPr="0050292B" w:rsidRDefault="0099440C" w:rsidP="00986700">
      <w:pPr>
        <w:tabs>
          <w:tab w:val="left" w:pos="1701"/>
        </w:tabs>
        <w:ind w:left="1701" w:hanging="1701"/>
        <w:rPr>
          <w:cap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60"/>
        <w:gridCol w:w="3878"/>
        <w:gridCol w:w="2449"/>
      </w:tblGrid>
      <w:tr w:rsidR="0099440C" w:rsidRPr="0050292B" w14:paraId="33F69AEB" w14:textId="77777777" w:rsidTr="00672EEF">
        <w:trPr>
          <w:cantSplit/>
          <w:tblHeader/>
        </w:trPr>
        <w:tc>
          <w:tcPr>
            <w:tcW w:w="2960" w:type="dxa"/>
            <w:shd w:val="clear" w:color="auto" w:fill="B8CCE4" w:themeFill="accent1" w:themeFillTint="66"/>
            <w:vAlign w:val="center"/>
            <w:hideMark/>
          </w:tcPr>
          <w:p w14:paraId="62657BA2" w14:textId="77777777" w:rsidR="0099440C" w:rsidRPr="0050292B" w:rsidRDefault="0099440C" w:rsidP="00986700">
            <w:pPr>
              <w:jc w:val="center"/>
              <w:rPr>
                <w:b/>
                <w:bCs/>
                <w:sz w:val="18"/>
                <w:szCs w:val="18"/>
              </w:rPr>
            </w:pPr>
            <w:r w:rsidRPr="0050292B">
              <w:rPr>
                <w:b/>
                <w:bCs/>
                <w:sz w:val="18"/>
                <w:szCs w:val="18"/>
              </w:rPr>
              <w:t>Résultats escomptés</w:t>
            </w:r>
          </w:p>
        </w:tc>
        <w:tc>
          <w:tcPr>
            <w:tcW w:w="3878" w:type="dxa"/>
            <w:shd w:val="clear" w:color="auto" w:fill="B8CCE4" w:themeFill="accent1" w:themeFillTint="66"/>
            <w:vAlign w:val="center"/>
            <w:hideMark/>
          </w:tcPr>
          <w:p w14:paraId="6A44E0C6" w14:textId="77777777" w:rsidR="0099440C" w:rsidRPr="0050292B" w:rsidRDefault="0099440C" w:rsidP="00986700">
            <w:pPr>
              <w:jc w:val="center"/>
              <w:rPr>
                <w:b/>
                <w:bCs/>
                <w:sz w:val="18"/>
                <w:szCs w:val="18"/>
              </w:rPr>
            </w:pPr>
            <w:r w:rsidRPr="0050292B">
              <w:rPr>
                <w:b/>
                <w:sz w:val="18"/>
                <w:szCs w:val="18"/>
              </w:rPr>
              <w:t>Indicateurs d’exécution</w:t>
            </w:r>
          </w:p>
        </w:tc>
        <w:tc>
          <w:tcPr>
            <w:tcW w:w="2449" w:type="dxa"/>
            <w:shd w:val="clear" w:color="auto" w:fill="B8CCE4" w:themeFill="accent1" w:themeFillTint="66"/>
            <w:vAlign w:val="center"/>
            <w:hideMark/>
          </w:tcPr>
          <w:p w14:paraId="6F6FED7C" w14:textId="77777777" w:rsidR="0099440C" w:rsidRPr="0050292B" w:rsidRDefault="0099440C" w:rsidP="00986700">
            <w:pPr>
              <w:jc w:val="center"/>
              <w:rPr>
                <w:b/>
                <w:bCs/>
                <w:sz w:val="18"/>
                <w:szCs w:val="18"/>
              </w:rPr>
            </w:pPr>
            <w:r w:rsidRPr="0050292B">
              <w:rPr>
                <w:b/>
                <w:sz w:val="18"/>
                <w:szCs w:val="16"/>
              </w:rPr>
              <w:t>Programme(s) concerné(s)</w:t>
            </w:r>
          </w:p>
        </w:tc>
      </w:tr>
      <w:tr w:rsidR="0099440C" w:rsidRPr="0050292B" w14:paraId="0A0793F4" w14:textId="77777777" w:rsidTr="00672EEF">
        <w:trPr>
          <w:cantSplit/>
        </w:trPr>
        <w:tc>
          <w:tcPr>
            <w:tcW w:w="2960" w:type="dxa"/>
            <w:vMerge w:val="restart"/>
            <w:hideMark/>
          </w:tcPr>
          <w:p w14:paraId="16A2005E" w14:textId="77777777" w:rsidR="0099440C" w:rsidRPr="0050292B" w:rsidRDefault="0099440C" w:rsidP="00986700">
            <w:pPr>
              <w:rPr>
                <w:sz w:val="16"/>
                <w:szCs w:val="16"/>
              </w:rPr>
            </w:pPr>
            <w:r w:rsidRPr="0050292B">
              <w:rPr>
                <w:sz w:val="16"/>
                <w:szCs w:val="16"/>
              </w:rPr>
              <w:t>IV.1 Système actualisé et mondialement accepté de classifications internationales et de normes de l’OMPI pour faciliter l’accès des parties prenantes du monde entier à l’information en matière de propriété intellectuelle, ainsi que son utilisation et sa diffusion</w:t>
            </w:r>
          </w:p>
        </w:tc>
        <w:tc>
          <w:tcPr>
            <w:tcW w:w="3878" w:type="dxa"/>
            <w:hideMark/>
          </w:tcPr>
          <w:p w14:paraId="5FF4C534" w14:textId="77777777" w:rsidR="0099440C" w:rsidRPr="0050292B" w:rsidRDefault="0099440C" w:rsidP="00986700">
            <w:pPr>
              <w:rPr>
                <w:sz w:val="16"/>
                <w:szCs w:val="16"/>
              </w:rPr>
            </w:pPr>
            <w:r w:rsidRPr="0050292B">
              <w:rPr>
                <w:sz w:val="16"/>
                <w:szCs w:val="16"/>
              </w:rPr>
              <w:t>Nombre de modifications et de dossiers d’information introduits dans la classification de Nice</w:t>
            </w:r>
          </w:p>
        </w:tc>
        <w:tc>
          <w:tcPr>
            <w:tcW w:w="2449" w:type="dxa"/>
            <w:hideMark/>
          </w:tcPr>
          <w:p w14:paraId="4C3E386D" w14:textId="77777777" w:rsidR="0099440C" w:rsidRPr="0050292B" w:rsidRDefault="0099440C" w:rsidP="00986700">
            <w:pPr>
              <w:jc w:val="center"/>
              <w:rPr>
                <w:sz w:val="16"/>
                <w:szCs w:val="16"/>
              </w:rPr>
            </w:pPr>
            <w:r w:rsidRPr="0050292B">
              <w:rPr>
                <w:sz w:val="16"/>
                <w:szCs w:val="16"/>
              </w:rPr>
              <w:t>Programme 12</w:t>
            </w:r>
          </w:p>
        </w:tc>
      </w:tr>
      <w:tr w:rsidR="0099440C" w:rsidRPr="0050292B" w14:paraId="50E46FD5" w14:textId="77777777" w:rsidTr="00672EEF">
        <w:trPr>
          <w:cantSplit/>
        </w:trPr>
        <w:tc>
          <w:tcPr>
            <w:tcW w:w="2960" w:type="dxa"/>
            <w:vMerge/>
            <w:hideMark/>
          </w:tcPr>
          <w:p w14:paraId="5FC3AFC3" w14:textId="77777777" w:rsidR="0099440C" w:rsidRPr="0050292B" w:rsidRDefault="0099440C" w:rsidP="00986700">
            <w:pPr>
              <w:rPr>
                <w:sz w:val="16"/>
                <w:szCs w:val="16"/>
              </w:rPr>
            </w:pPr>
          </w:p>
        </w:tc>
        <w:tc>
          <w:tcPr>
            <w:tcW w:w="3878" w:type="dxa"/>
            <w:hideMark/>
          </w:tcPr>
          <w:p w14:paraId="713AA78D" w14:textId="77777777" w:rsidR="0099440C" w:rsidRPr="0050292B" w:rsidRDefault="0099440C" w:rsidP="00986700">
            <w:pPr>
              <w:rPr>
                <w:sz w:val="16"/>
                <w:szCs w:val="16"/>
              </w:rPr>
            </w:pPr>
            <w:r w:rsidRPr="0050292B">
              <w:rPr>
                <w:sz w:val="16"/>
                <w:szCs w:val="16"/>
              </w:rPr>
              <w:t>Nombre d’amendements introduits dans la CIB</w:t>
            </w:r>
          </w:p>
        </w:tc>
        <w:tc>
          <w:tcPr>
            <w:tcW w:w="2449" w:type="dxa"/>
            <w:hideMark/>
          </w:tcPr>
          <w:p w14:paraId="723AB2A6" w14:textId="77777777" w:rsidR="0099440C" w:rsidRPr="0050292B" w:rsidRDefault="0099440C" w:rsidP="00986700">
            <w:pPr>
              <w:jc w:val="center"/>
              <w:rPr>
                <w:sz w:val="16"/>
                <w:szCs w:val="16"/>
              </w:rPr>
            </w:pPr>
            <w:r w:rsidRPr="0050292B">
              <w:rPr>
                <w:sz w:val="16"/>
                <w:szCs w:val="16"/>
              </w:rPr>
              <w:t>Programme 12</w:t>
            </w:r>
          </w:p>
        </w:tc>
      </w:tr>
      <w:tr w:rsidR="0099440C" w:rsidRPr="0050292B" w14:paraId="2B8481AC" w14:textId="77777777" w:rsidTr="00672EEF">
        <w:trPr>
          <w:cantSplit/>
        </w:trPr>
        <w:tc>
          <w:tcPr>
            <w:tcW w:w="2960" w:type="dxa"/>
            <w:vMerge/>
            <w:hideMark/>
          </w:tcPr>
          <w:p w14:paraId="66A31D03" w14:textId="77777777" w:rsidR="0099440C" w:rsidRPr="0050292B" w:rsidRDefault="0099440C" w:rsidP="00986700">
            <w:pPr>
              <w:rPr>
                <w:sz w:val="16"/>
                <w:szCs w:val="16"/>
              </w:rPr>
            </w:pPr>
          </w:p>
        </w:tc>
        <w:tc>
          <w:tcPr>
            <w:tcW w:w="3878" w:type="dxa"/>
            <w:hideMark/>
          </w:tcPr>
          <w:p w14:paraId="1A9CE5BE" w14:textId="77777777" w:rsidR="0099440C" w:rsidRPr="0050292B" w:rsidRDefault="0099440C" w:rsidP="00986700">
            <w:pPr>
              <w:rPr>
                <w:sz w:val="16"/>
                <w:szCs w:val="16"/>
              </w:rPr>
            </w:pPr>
            <w:r w:rsidRPr="0050292B">
              <w:rPr>
                <w:sz w:val="16"/>
                <w:szCs w:val="16"/>
              </w:rPr>
              <w:t>Nombre de normes modifiées ou nouvelles adoptées</w:t>
            </w:r>
          </w:p>
        </w:tc>
        <w:tc>
          <w:tcPr>
            <w:tcW w:w="2449" w:type="dxa"/>
            <w:hideMark/>
          </w:tcPr>
          <w:p w14:paraId="102661D9" w14:textId="77777777" w:rsidR="0099440C" w:rsidRPr="0050292B" w:rsidRDefault="0099440C" w:rsidP="00986700">
            <w:pPr>
              <w:jc w:val="center"/>
              <w:rPr>
                <w:sz w:val="16"/>
                <w:szCs w:val="16"/>
              </w:rPr>
            </w:pPr>
            <w:r w:rsidRPr="0050292B">
              <w:rPr>
                <w:sz w:val="16"/>
                <w:szCs w:val="16"/>
              </w:rPr>
              <w:t>Programme 12</w:t>
            </w:r>
          </w:p>
        </w:tc>
      </w:tr>
      <w:tr w:rsidR="0099440C" w:rsidRPr="0050292B" w14:paraId="71B5AD27" w14:textId="77777777" w:rsidTr="00672EEF">
        <w:trPr>
          <w:cantSplit/>
        </w:trPr>
        <w:tc>
          <w:tcPr>
            <w:tcW w:w="2960" w:type="dxa"/>
            <w:hideMark/>
          </w:tcPr>
          <w:p w14:paraId="156F7409" w14:textId="77777777" w:rsidR="0099440C" w:rsidRPr="0050292B" w:rsidRDefault="0099440C" w:rsidP="00986700">
            <w:pPr>
              <w:rPr>
                <w:sz w:val="16"/>
                <w:szCs w:val="16"/>
              </w:rPr>
            </w:pPr>
          </w:p>
        </w:tc>
        <w:tc>
          <w:tcPr>
            <w:tcW w:w="3878" w:type="dxa"/>
            <w:hideMark/>
          </w:tcPr>
          <w:p w14:paraId="6FC33ADC" w14:textId="77777777" w:rsidR="0099440C" w:rsidRPr="0050292B" w:rsidRDefault="0099440C" w:rsidP="00986700">
            <w:pPr>
              <w:rPr>
                <w:sz w:val="16"/>
                <w:szCs w:val="16"/>
              </w:rPr>
            </w:pPr>
            <w:r w:rsidRPr="0050292B">
              <w:rPr>
                <w:sz w:val="16"/>
                <w:szCs w:val="16"/>
              </w:rPr>
              <w:t>Préparation du passage à la norme ST.26 menée à bien</w:t>
            </w:r>
          </w:p>
        </w:tc>
        <w:tc>
          <w:tcPr>
            <w:tcW w:w="2449" w:type="dxa"/>
            <w:hideMark/>
          </w:tcPr>
          <w:p w14:paraId="2FB5EF9A" w14:textId="77777777" w:rsidR="0099440C" w:rsidRPr="0050292B" w:rsidRDefault="0099440C" w:rsidP="00986700">
            <w:pPr>
              <w:jc w:val="center"/>
              <w:rPr>
                <w:sz w:val="16"/>
                <w:szCs w:val="16"/>
              </w:rPr>
            </w:pPr>
            <w:r w:rsidRPr="0050292B">
              <w:rPr>
                <w:sz w:val="16"/>
                <w:szCs w:val="16"/>
              </w:rPr>
              <w:t>Programme 12</w:t>
            </w:r>
          </w:p>
        </w:tc>
      </w:tr>
      <w:tr w:rsidR="0099440C" w:rsidRPr="0050292B" w14:paraId="234B271F" w14:textId="77777777" w:rsidTr="00672EEF">
        <w:trPr>
          <w:cantSplit/>
        </w:trPr>
        <w:tc>
          <w:tcPr>
            <w:tcW w:w="2960" w:type="dxa"/>
            <w:hideMark/>
          </w:tcPr>
          <w:p w14:paraId="61C09293" w14:textId="77777777" w:rsidR="0099440C" w:rsidRPr="0050292B" w:rsidRDefault="0099440C" w:rsidP="00986700">
            <w:pPr>
              <w:rPr>
                <w:sz w:val="16"/>
                <w:szCs w:val="16"/>
              </w:rPr>
            </w:pPr>
          </w:p>
        </w:tc>
        <w:tc>
          <w:tcPr>
            <w:tcW w:w="3878" w:type="dxa"/>
            <w:hideMark/>
          </w:tcPr>
          <w:p w14:paraId="33C3F056" w14:textId="77777777" w:rsidR="0099440C" w:rsidRPr="0050292B" w:rsidRDefault="0099440C" w:rsidP="00986700">
            <w:pPr>
              <w:rPr>
                <w:sz w:val="16"/>
                <w:szCs w:val="16"/>
              </w:rPr>
            </w:pPr>
            <w:r w:rsidRPr="0050292B">
              <w:rPr>
                <w:sz w:val="16"/>
                <w:szCs w:val="16"/>
              </w:rPr>
              <w:t>Nombre d’utilisateurs consultant les publications sur l’Internet des classifications internationales et des normes, en particulier dans les pays en développement</w:t>
            </w:r>
          </w:p>
        </w:tc>
        <w:tc>
          <w:tcPr>
            <w:tcW w:w="2449" w:type="dxa"/>
            <w:hideMark/>
          </w:tcPr>
          <w:p w14:paraId="7EE7F266" w14:textId="77777777" w:rsidR="0099440C" w:rsidRPr="0050292B" w:rsidRDefault="0099440C" w:rsidP="00986700">
            <w:pPr>
              <w:jc w:val="center"/>
              <w:rPr>
                <w:sz w:val="16"/>
                <w:szCs w:val="16"/>
              </w:rPr>
            </w:pPr>
            <w:r w:rsidRPr="0050292B">
              <w:rPr>
                <w:sz w:val="16"/>
                <w:szCs w:val="16"/>
              </w:rPr>
              <w:t>Programme 12</w:t>
            </w:r>
          </w:p>
        </w:tc>
      </w:tr>
      <w:tr w:rsidR="0099440C" w:rsidRPr="0050292B" w14:paraId="3D1CBC02" w14:textId="77777777" w:rsidTr="00672EEF">
        <w:trPr>
          <w:cantSplit/>
        </w:trPr>
        <w:tc>
          <w:tcPr>
            <w:tcW w:w="2960" w:type="dxa"/>
            <w:hideMark/>
          </w:tcPr>
          <w:p w14:paraId="152891AD" w14:textId="77777777" w:rsidR="0099440C" w:rsidRPr="0050292B" w:rsidRDefault="0099440C" w:rsidP="00986700">
            <w:pPr>
              <w:rPr>
                <w:sz w:val="16"/>
                <w:szCs w:val="16"/>
              </w:rPr>
            </w:pPr>
            <w:r w:rsidRPr="0050292B">
              <w:rPr>
                <w:sz w:val="16"/>
                <w:szCs w:val="16"/>
              </w:rPr>
              <w:t>IV.2 Amélioration de l’accessibilité et de l’utilisation de l’information en matière de propriété intellectuelle par les institutions compétentes et le public afin de promouvoir l’innovation et la créativité</w:t>
            </w:r>
          </w:p>
        </w:tc>
        <w:tc>
          <w:tcPr>
            <w:tcW w:w="3878" w:type="dxa"/>
            <w:hideMark/>
          </w:tcPr>
          <w:p w14:paraId="50696347" w14:textId="77777777" w:rsidR="0099440C" w:rsidRPr="0050292B" w:rsidRDefault="0099440C" w:rsidP="00986700">
            <w:pPr>
              <w:rPr>
                <w:sz w:val="16"/>
                <w:szCs w:val="16"/>
              </w:rPr>
            </w:pPr>
            <w:r w:rsidRPr="0050292B">
              <w:rPr>
                <w:sz w:val="16"/>
                <w:szCs w:val="16"/>
              </w:rPr>
              <w:t>Nombre de ressources en ligne ou sur papier relatives au droit d’auteur, y compris des principes directeurs non contraignants ou des bases de données, élaborées en intégrant ou en tenant compte des contributions d’États membres et de parties prenantes afin de fournir des informations sur le cadre juridique en matière de droit d’auteur et son application dans la pratique</w:t>
            </w:r>
          </w:p>
        </w:tc>
        <w:tc>
          <w:tcPr>
            <w:tcW w:w="2449" w:type="dxa"/>
            <w:hideMark/>
          </w:tcPr>
          <w:p w14:paraId="761274EE" w14:textId="77777777" w:rsidR="0099440C" w:rsidRPr="0050292B" w:rsidRDefault="0099440C" w:rsidP="00986700">
            <w:pPr>
              <w:jc w:val="center"/>
              <w:rPr>
                <w:sz w:val="16"/>
                <w:szCs w:val="16"/>
              </w:rPr>
            </w:pPr>
            <w:r w:rsidRPr="0050292B">
              <w:rPr>
                <w:sz w:val="16"/>
                <w:szCs w:val="16"/>
              </w:rPr>
              <w:t>Programme 3</w:t>
            </w:r>
          </w:p>
        </w:tc>
      </w:tr>
      <w:tr w:rsidR="0099440C" w:rsidRPr="0050292B" w14:paraId="43CDF29B" w14:textId="77777777" w:rsidTr="00672EEF">
        <w:trPr>
          <w:cantSplit/>
        </w:trPr>
        <w:tc>
          <w:tcPr>
            <w:tcW w:w="2960" w:type="dxa"/>
            <w:hideMark/>
          </w:tcPr>
          <w:p w14:paraId="126561A3" w14:textId="77777777" w:rsidR="0099440C" w:rsidRPr="0050292B" w:rsidRDefault="0099440C" w:rsidP="00986700">
            <w:pPr>
              <w:rPr>
                <w:sz w:val="16"/>
                <w:szCs w:val="16"/>
              </w:rPr>
            </w:pPr>
          </w:p>
        </w:tc>
        <w:tc>
          <w:tcPr>
            <w:tcW w:w="3878" w:type="dxa"/>
            <w:hideMark/>
          </w:tcPr>
          <w:p w14:paraId="565F5393" w14:textId="77777777" w:rsidR="0099440C" w:rsidRPr="0050292B" w:rsidRDefault="0099440C" w:rsidP="00986700">
            <w:pPr>
              <w:rPr>
                <w:sz w:val="16"/>
                <w:szCs w:val="16"/>
              </w:rPr>
            </w:pPr>
            <w:r w:rsidRPr="0050292B">
              <w:rPr>
                <w:sz w:val="16"/>
                <w:szCs w:val="16"/>
              </w:rPr>
              <w:t>Nombre d’entrées en format accessible dans les bases de données, inventaires, registres, portails et autres plateformes relatifs aux savoirs traditionnels, aux expressions culturelles traditionnelles et aux ressources génétiques</w:t>
            </w:r>
          </w:p>
        </w:tc>
        <w:tc>
          <w:tcPr>
            <w:tcW w:w="2449" w:type="dxa"/>
            <w:hideMark/>
          </w:tcPr>
          <w:p w14:paraId="2216126F" w14:textId="77777777" w:rsidR="0099440C" w:rsidRPr="0050292B" w:rsidRDefault="0099440C" w:rsidP="00986700">
            <w:pPr>
              <w:jc w:val="center"/>
              <w:rPr>
                <w:sz w:val="16"/>
                <w:szCs w:val="16"/>
              </w:rPr>
            </w:pPr>
            <w:r w:rsidRPr="0050292B">
              <w:rPr>
                <w:sz w:val="16"/>
                <w:szCs w:val="16"/>
              </w:rPr>
              <w:t>Programme 4</w:t>
            </w:r>
          </w:p>
        </w:tc>
      </w:tr>
      <w:tr w:rsidR="0099440C" w:rsidRPr="0050292B" w14:paraId="6846A9AD" w14:textId="77777777" w:rsidTr="00672EEF">
        <w:trPr>
          <w:cantSplit/>
        </w:trPr>
        <w:tc>
          <w:tcPr>
            <w:tcW w:w="2960" w:type="dxa"/>
            <w:hideMark/>
          </w:tcPr>
          <w:p w14:paraId="4EE10CAF" w14:textId="77777777" w:rsidR="0099440C" w:rsidRPr="0050292B" w:rsidRDefault="0099440C" w:rsidP="00986700">
            <w:pPr>
              <w:rPr>
                <w:sz w:val="16"/>
                <w:szCs w:val="16"/>
              </w:rPr>
            </w:pPr>
          </w:p>
        </w:tc>
        <w:tc>
          <w:tcPr>
            <w:tcW w:w="3878" w:type="dxa"/>
            <w:hideMark/>
          </w:tcPr>
          <w:p w14:paraId="2AB07064" w14:textId="77777777" w:rsidR="0099440C" w:rsidRPr="0050292B" w:rsidRDefault="0099440C" w:rsidP="00986700">
            <w:pPr>
              <w:rPr>
                <w:sz w:val="16"/>
                <w:szCs w:val="16"/>
              </w:rPr>
            </w:pPr>
            <w:r w:rsidRPr="0050292B">
              <w:rPr>
                <w:sz w:val="16"/>
                <w:szCs w:val="16"/>
              </w:rPr>
              <w:t>Nombre d’utilisateurs uniques des bases de données, inventaires, registres, portails et autres plateformes relatifs aux savoirs traditionnels, aux expressions culturelles traditionnelles et aux ressources génétiques</w:t>
            </w:r>
          </w:p>
        </w:tc>
        <w:tc>
          <w:tcPr>
            <w:tcW w:w="2449" w:type="dxa"/>
            <w:hideMark/>
          </w:tcPr>
          <w:p w14:paraId="4DD4657F" w14:textId="77777777" w:rsidR="0099440C" w:rsidRPr="0050292B" w:rsidRDefault="0099440C" w:rsidP="00986700">
            <w:pPr>
              <w:jc w:val="center"/>
              <w:rPr>
                <w:sz w:val="16"/>
                <w:szCs w:val="16"/>
              </w:rPr>
            </w:pPr>
            <w:r w:rsidRPr="0050292B">
              <w:rPr>
                <w:sz w:val="16"/>
                <w:szCs w:val="16"/>
              </w:rPr>
              <w:t>Programme 4</w:t>
            </w:r>
          </w:p>
        </w:tc>
      </w:tr>
      <w:tr w:rsidR="0099440C" w:rsidRPr="0050292B" w14:paraId="4BB3CB9B" w14:textId="77777777" w:rsidTr="00672EEF">
        <w:trPr>
          <w:cantSplit/>
        </w:trPr>
        <w:tc>
          <w:tcPr>
            <w:tcW w:w="2960" w:type="dxa"/>
            <w:hideMark/>
          </w:tcPr>
          <w:p w14:paraId="79E84B4E" w14:textId="77777777" w:rsidR="0099440C" w:rsidRPr="0050292B" w:rsidRDefault="0099440C" w:rsidP="00986700">
            <w:pPr>
              <w:rPr>
                <w:sz w:val="16"/>
                <w:szCs w:val="16"/>
              </w:rPr>
            </w:pPr>
          </w:p>
        </w:tc>
        <w:tc>
          <w:tcPr>
            <w:tcW w:w="3878" w:type="dxa"/>
            <w:hideMark/>
          </w:tcPr>
          <w:p w14:paraId="5F9DDA08" w14:textId="77777777" w:rsidR="0099440C" w:rsidRPr="0050292B" w:rsidRDefault="0099440C" w:rsidP="00986700">
            <w:pPr>
              <w:rPr>
                <w:sz w:val="16"/>
                <w:szCs w:val="16"/>
              </w:rPr>
            </w:pPr>
            <w:r w:rsidRPr="0050292B">
              <w:rPr>
                <w:sz w:val="16"/>
                <w:szCs w:val="16"/>
              </w:rPr>
              <w:t>Nombre de réseaux nationaux de centres d’appui à la technologie et à l’innovation (CATI) durables</w:t>
            </w:r>
          </w:p>
        </w:tc>
        <w:tc>
          <w:tcPr>
            <w:tcW w:w="2449" w:type="dxa"/>
            <w:hideMark/>
          </w:tcPr>
          <w:p w14:paraId="2CABE58B" w14:textId="77777777" w:rsidR="008B3772" w:rsidRDefault="008B3772" w:rsidP="00986700">
            <w:pPr>
              <w:jc w:val="center"/>
              <w:rPr>
                <w:sz w:val="16"/>
                <w:szCs w:val="16"/>
              </w:rPr>
            </w:pPr>
            <w:r>
              <w:rPr>
                <w:sz w:val="16"/>
                <w:szCs w:val="16"/>
              </w:rPr>
              <w:t>Programme 9</w:t>
            </w:r>
          </w:p>
          <w:p w14:paraId="4A5A4D20" w14:textId="77777777" w:rsidR="0099440C" w:rsidRDefault="0099440C" w:rsidP="00986700">
            <w:pPr>
              <w:jc w:val="center"/>
              <w:rPr>
                <w:sz w:val="16"/>
                <w:szCs w:val="16"/>
              </w:rPr>
            </w:pPr>
            <w:r w:rsidRPr="0050292B">
              <w:rPr>
                <w:sz w:val="16"/>
                <w:szCs w:val="16"/>
              </w:rPr>
              <w:t>Programme 14</w:t>
            </w:r>
          </w:p>
          <w:p w14:paraId="45C257EC" w14:textId="11C84213" w:rsidR="008B3772" w:rsidRPr="0050292B" w:rsidRDefault="008B3772" w:rsidP="00986700">
            <w:pPr>
              <w:jc w:val="center"/>
              <w:rPr>
                <w:sz w:val="16"/>
                <w:szCs w:val="16"/>
              </w:rPr>
            </w:pPr>
            <w:r>
              <w:rPr>
                <w:sz w:val="16"/>
                <w:szCs w:val="16"/>
              </w:rPr>
              <w:t>Programme 20</w:t>
            </w:r>
          </w:p>
        </w:tc>
      </w:tr>
      <w:tr w:rsidR="0099440C" w:rsidRPr="0050292B" w14:paraId="434E2078" w14:textId="77777777" w:rsidTr="00672EEF">
        <w:trPr>
          <w:cantSplit/>
        </w:trPr>
        <w:tc>
          <w:tcPr>
            <w:tcW w:w="2960" w:type="dxa"/>
            <w:hideMark/>
          </w:tcPr>
          <w:p w14:paraId="4B96CF1A" w14:textId="5991D30C" w:rsidR="0099440C" w:rsidRPr="0050292B" w:rsidRDefault="0099440C" w:rsidP="00986700">
            <w:pPr>
              <w:rPr>
                <w:sz w:val="16"/>
                <w:szCs w:val="16"/>
              </w:rPr>
            </w:pPr>
          </w:p>
        </w:tc>
        <w:tc>
          <w:tcPr>
            <w:tcW w:w="3878" w:type="dxa"/>
            <w:hideMark/>
          </w:tcPr>
          <w:p w14:paraId="7393F175" w14:textId="77777777" w:rsidR="0099440C" w:rsidRPr="0050292B" w:rsidRDefault="0099440C" w:rsidP="00986700">
            <w:pPr>
              <w:rPr>
                <w:sz w:val="16"/>
                <w:szCs w:val="16"/>
              </w:rPr>
            </w:pPr>
            <w:r w:rsidRPr="0050292B">
              <w:rPr>
                <w:sz w:val="16"/>
                <w:szCs w:val="16"/>
              </w:rPr>
              <w:t>Nombre d’organismes, de communautés et d’individus au niveau national qui ont appliqué et utilisé des technologies appropriées comme solution à des enjeux de développement recensés dans les PMA</w:t>
            </w:r>
          </w:p>
        </w:tc>
        <w:tc>
          <w:tcPr>
            <w:tcW w:w="2449" w:type="dxa"/>
            <w:hideMark/>
          </w:tcPr>
          <w:p w14:paraId="0DA30D9E" w14:textId="77777777" w:rsidR="0099440C" w:rsidRPr="0050292B" w:rsidRDefault="0099440C" w:rsidP="00986700">
            <w:pPr>
              <w:jc w:val="center"/>
              <w:rPr>
                <w:sz w:val="16"/>
                <w:szCs w:val="16"/>
              </w:rPr>
            </w:pPr>
            <w:r w:rsidRPr="0050292B">
              <w:rPr>
                <w:sz w:val="16"/>
                <w:szCs w:val="16"/>
              </w:rPr>
              <w:t>Programme 9</w:t>
            </w:r>
          </w:p>
        </w:tc>
      </w:tr>
      <w:tr w:rsidR="0099440C" w:rsidRPr="0050292B" w14:paraId="72CA970B" w14:textId="77777777" w:rsidTr="00672EEF">
        <w:trPr>
          <w:cantSplit/>
        </w:trPr>
        <w:tc>
          <w:tcPr>
            <w:tcW w:w="2960" w:type="dxa"/>
            <w:hideMark/>
          </w:tcPr>
          <w:p w14:paraId="27406CAB" w14:textId="77777777" w:rsidR="0099440C" w:rsidRPr="0050292B" w:rsidRDefault="0099440C" w:rsidP="00986700">
            <w:pPr>
              <w:rPr>
                <w:sz w:val="16"/>
                <w:szCs w:val="16"/>
              </w:rPr>
            </w:pPr>
          </w:p>
        </w:tc>
        <w:tc>
          <w:tcPr>
            <w:tcW w:w="3878" w:type="dxa"/>
            <w:hideMark/>
          </w:tcPr>
          <w:p w14:paraId="6D95A420" w14:textId="77777777" w:rsidR="0099440C" w:rsidRPr="0050292B" w:rsidRDefault="0099440C" w:rsidP="00986700">
            <w:pPr>
              <w:rPr>
                <w:sz w:val="16"/>
                <w:szCs w:val="16"/>
              </w:rPr>
            </w:pPr>
            <w:r w:rsidRPr="0050292B">
              <w:rPr>
                <w:sz w:val="16"/>
                <w:szCs w:val="16"/>
              </w:rPr>
              <w:t>Nombre d’utilisateurs uniques ayant effectué une recherche en matière de brevets par trimestre dans PATENTSCOPE</w:t>
            </w:r>
          </w:p>
        </w:tc>
        <w:tc>
          <w:tcPr>
            <w:tcW w:w="2449" w:type="dxa"/>
            <w:hideMark/>
          </w:tcPr>
          <w:p w14:paraId="20C64ED2" w14:textId="77777777" w:rsidR="0099440C" w:rsidRPr="0050292B" w:rsidRDefault="0099440C" w:rsidP="00986700">
            <w:pPr>
              <w:jc w:val="center"/>
              <w:rPr>
                <w:sz w:val="16"/>
                <w:szCs w:val="16"/>
              </w:rPr>
            </w:pPr>
            <w:r w:rsidRPr="0050292B">
              <w:rPr>
                <w:sz w:val="16"/>
                <w:szCs w:val="16"/>
              </w:rPr>
              <w:t>Programme 13</w:t>
            </w:r>
          </w:p>
        </w:tc>
      </w:tr>
      <w:tr w:rsidR="0099440C" w:rsidRPr="0050292B" w14:paraId="26CD0883" w14:textId="77777777" w:rsidTr="00672EEF">
        <w:trPr>
          <w:cantSplit/>
        </w:trPr>
        <w:tc>
          <w:tcPr>
            <w:tcW w:w="2960" w:type="dxa"/>
            <w:hideMark/>
          </w:tcPr>
          <w:p w14:paraId="61116925" w14:textId="77777777" w:rsidR="0099440C" w:rsidRPr="0050292B" w:rsidRDefault="0099440C" w:rsidP="00986700">
            <w:pPr>
              <w:rPr>
                <w:sz w:val="16"/>
                <w:szCs w:val="16"/>
              </w:rPr>
            </w:pPr>
          </w:p>
        </w:tc>
        <w:tc>
          <w:tcPr>
            <w:tcW w:w="3878" w:type="dxa"/>
            <w:hideMark/>
          </w:tcPr>
          <w:p w14:paraId="73FB9CB6" w14:textId="77777777" w:rsidR="0099440C" w:rsidRPr="0050292B" w:rsidRDefault="0099440C" w:rsidP="00986700">
            <w:pPr>
              <w:rPr>
                <w:sz w:val="16"/>
                <w:szCs w:val="16"/>
              </w:rPr>
            </w:pPr>
            <w:r w:rsidRPr="0050292B">
              <w:rPr>
                <w:sz w:val="16"/>
                <w:szCs w:val="16"/>
              </w:rPr>
              <w:t>Nombre d’utilisateurs par trimestre des systèmes de bases de données mondiales</w:t>
            </w:r>
          </w:p>
        </w:tc>
        <w:tc>
          <w:tcPr>
            <w:tcW w:w="2449" w:type="dxa"/>
            <w:hideMark/>
          </w:tcPr>
          <w:p w14:paraId="16B7DE04" w14:textId="77777777" w:rsidR="0099440C" w:rsidRPr="0050292B" w:rsidRDefault="0099440C" w:rsidP="00986700">
            <w:pPr>
              <w:jc w:val="center"/>
              <w:rPr>
                <w:sz w:val="16"/>
                <w:szCs w:val="16"/>
              </w:rPr>
            </w:pPr>
            <w:r w:rsidRPr="0050292B">
              <w:rPr>
                <w:sz w:val="16"/>
                <w:szCs w:val="16"/>
              </w:rPr>
              <w:t>Programme 13</w:t>
            </w:r>
          </w:p>
        </w:tc>
      </w:tr>
      <w:tr w:rsidR="0099440C" w:rsidRPr="0050292B" w14:paraId="5D16AF46" w14:textId="77777777" w:rsidTr="00672EEF">
        <w:trPr>
          <w:cantSplit/>
        </w:trPr>
        <w:tc>
          <w:tcPr>
            <w:tcW w:w="2960" w:type="dxa"/>
            <w:hideMark/>
          </w:tcPr>
          <w:p w14:paraId="22CC40E4" w14:textId="77777777" w:rsidR="0099440C" w:rsidRPr="0050292B" w:rsidRDefault="0099440C" w:rsidP="00986700">
            <w:pPr>
              <w:rPr>
                <w:sz w:val="16"/>
                <w:szCs w:val="16"/>
              </w:rPr>
            </w:pPr>
          </w:p>
        </w:tc>
        <w:tc>
          <w:tcPr>
            <w:tcW w:w="3878" w:type="dxa"/>
            <w:hideMark/>
          </w:tcPr>
          <w:p w14:paraId="10E22041" w14:textId="77777777" w:rsidR="0099440C" w:rsidRPr="0050292B" w:rsidRDefault="0099440C" w:rsidP="00986700">
            <w:pPr>
              <w:rPr>
                <w:sz w:val="16"/>
                <w:szCs w:val="16"/>
              </w:rPr>
            </w:pPr>
            <w:r w:rsidRPr="0050292B">
              <w:rPr>
                <w:sz w:val="16"/>
                <w:szCs w:val="16"/>
              </w:rPr>
              <w:t>Nombre d’utilisateurs des bases de données mondiales de l’OMPI : PATENTSCOPE, Base de données mondiale sur les marques et Base de données mondiales sur les dessins et modèles</w:t>
            </w:r>
          </w:p>
        </w:tc>
        <w:tc>
          <w:tcPr>
            <w:tcW w:w="2449" w:type="dxa"/>
            <w:hideMark/>
          </w:tcPr>
          <w:p w14:paraId="4DFC24A5" w14:textId="77777777" w:rsidR="0099440C" w:rsidRPr="0050292B" w:rsidRDefault="0099440C" w:rsidP="00986700">
            <w:pPr>
              <w:jc w:val="center"/>
              <w:rPr>
                <w:sz w:val="16"/>
                <w:szCs w:val="16"/>
              </w:rPr>
            </w:pPr>
            <w:r w:rsidRPr="0050292B">
              <w:rPr>
                <w:sz w:val="16"/>
                <w:szCs w:val="16"/>
              </w:rPr>
              <w:t>Programme 20</w:t>
            </w:r>
          </w:p>
        </w:tc>
      </w:tr>
      <w:tr w:rsidR="0099440C" w:rsidRPr="0050292B" w14:paraId="7128E1E0" w14:textId="77777777" w:rsidTr="00672EEF">
        <w:trPr>
          <w:cantSplit/>
        </w:trPr>
        <w:tc>
          <w:tcPr>
            <w:tcW w:w="2960" w:type="dxa"/>
            <w:hideMark/>
          </w:tcPr>
          <w:p w14:paraId="4A4EE865" w14:textId="77777777" w:rsidR="0099440C" w:rsidRPr="0050292B" w:rsidRDefault="0099440C" w:rsidP="00986700">
            <w:pPr>
              <w:rPr>
                <w:sz w:val="16"/>
                <w:szCs w:val="16"/>
              </w:rPr>
            </w:pPr>
          </w:p>
        </w:tc>
        <w:tc>
          <w:tcPr>
            <w:tcW w:w="3878" w:type="dxa"/>
            <w:hideMark/>
          </w:tcPr>
          <w:p w14:paraId="50364DF9" w14:textId="77777777" w:rsidR="0099440C" w:rsidRPr="0050292B" w:rsidRDefault="0099440C" w:rsidP="00986700">
            <w:pPr>
              <w:rPr>
                <w:sz w:val="16"/>
                <w:szCs w:val="16"/>
              </w:rPr>
            </w:pPr>
            <w:r w:rsidRPr="0050292B">
              <w:rPr>
                <w:sz w:val="16"/>
                <w:szCs w:val="16"/>
              </w:rPr>
              <w:t>Nombre de projets/programmes de transfert de technologie lancés par des pays en développement en ayant recours à des informations en matière de brevets figurant dans le domaine public</w:t>
            </w:r>
          </w:p>
        </w:tc>
        <w:tc>
          <w:tcPr>
            <w:tcW w:w="2449" w:type="dxa"/>
            <w:hideMark/>
          </w:tcPr>
          <w:p w14:paraId="4E5A16C8" w14:textId="77777777" w:rsidR="0099440C" w:rsidRPr="0050292B" w:rsidRDefault="0099440C" w:rsidP="00986700">
            <w:pPr>
              <w:jc w:val="center"/>
              <w:rPr>
                <w:sz w:val="16"/>
                <w:szCs w:val="16"/>
              </w:rPr>
            </w:pPr>
            <w:r w:rsidRPr="0050292B">
              <w:rPr>
                <w:sz w:val="16"/>
                <w:szCs w:val="16"/>
              </w:rPr>
              <w:t>Programme 9</w:t>
            </w:r>
          </w:p>
        </w:tc>
      </w:tr>
      <w:tr w:rsidR="0099440C" w:rsidRPr="0050292B" w14:paraId="27ACCCFD" w14:textId="77777777" w:rsidTr="00672EEF">
        <w:trPr>
          <w:cantSplit/>
        </w:trPr>
        <w:tc>
          <w:tcPr>
            <w:tcW w:w="2960" w:type="dxa"/>
            <w:hideMark/>
          </w:tcPr>
          <w:p w14:paraId="486E4BCE" w14:textId="77777777" w:rsidR="0099440C" w:rsidRPr="0050292B" w:rsidRDefault="0099440C" w:rsidP="00986700">
            <w:pPr>
              <w:rPr>
                <w:sz w:val="16"/>
                <w:szCs w:val="16"/>
              </w:rPr>
            </w:pPr>
          </w:p>
        </w:tc>
        <w:tc>
          <w:tcPr>
            <w:tcW w:w="3878" w:type="dxa"/>
            <w:hideMark/>
          </w:tcPr>
          <w:p w14:paraId="4A5EFA39" w14:textId="77777777" w:rsidR="0099440C" w:rsidRPr="0050292B" w:rsidRDefault="0099440C" w:rsidP="00986700">
            <w:pPr>
              <w:rPr>
                <w:sz w:val="16"/>
                <w:szCs w:val="16"/>
              </w:rPr>
            </w:pPr>
            <w:r w:rsidRPr="0050292B">
              <w:rPr>
                <w:sz w:val="16"/>
                <w:szCs w:val="16"/>
              </w:rPr>
              <w:t xml:space="preserve">Utilisation d’une technologie appropriée pour le développement par les recherches en matière de brevets et les rapports, panoramas technologiques, plans d’action </w:t>
            </w:r>
          </w:p>
        </w:tc>
        <w:tc>
          <w:tcPr>
            <w:tcW w:w="2449" w:type="dxa"/>
            <w:hideMark/>
          </w:tcPr>
          <w:p w14:paraId="38B23520" w14:textId="77777777" w:rsidR="0099440C" w:rsidRPr="0050292B" w:rsidRDefault="0099440C" w:rsidP="00986700">
            <w:pPr>
              <w:jc w:val="center"/>
              <w:rPr>
                <w:sz w:val="16"/>
                <w:szCs w:val="16"/>
              </w:rPr>
            </w:pPr>
            <w:r w:rsidRPr="0050292B">
              <w:rPr>
                <w:sz w:val="16"/>
                <w:szCs w:val="16"/>
              </w:rPr>
              <w:t>Programme 9</w:t>
            </w:r>
          </w:p>
        </w:tc>
      </w:tr>
      <w:tr w:rsidR="0099440C" w:rsidRPr="0050292B" w14:paraId="79F84D63" w14:textId="77777777" w:rsidTr="00672EEF">
        <w:trPr>
          <w:cantSplit/>
        </w:trPr>
        <w:tc>
          <w:tcPr>
            <w:tcW w:w="2960" w:type="dxa"/>
            <w:hideMark/>
          </w:tcPr>
          <w:p w14:paraId="2B40E0E0" w14:textId="77777777" w:rsidR="0099440C" w:rsidRPr="0050292B" w:rsidRDefault="0099440C" w:rsidP="00986700">
            <w:pPr>
              <w:rPr>
                <w:sz w:val="16"/>
                <w:szCs w:val="16"/>
              </w:rPr>
            </w:pPr>
          </w:p>
        </w:tc>
        <w:tc>
          <w:tcPr>
            <w:tcW w:w="3878" w:type="dxa"/>
            <w:hideMark/>
          </w:tcPr>
          <w:p w14:paraId="72FFB87B" w14:textId="77777777" w:rsidR="0099440C" w:rsidRPr="0050292B" w:rsidRDefault="0099440C" w:rsidP="00986700">
            <w:pPr>
              <w:rPr>
                <w:sz w:val="16"/>
                <w:szCs w:val="16"/>
              </w:rPr>
            </w:pPr>
            <w:r w:rsidRPr="0050292B">
              <w:rPr>
                <w:sz w:val="16"/>
                <w:szCs w:val="16"/>
              </w:rPr>
              <w:t>Nombre de combinaisons linguistiques disponibles pour la traduction de la description et des revendications</w:t>
            </w:r>
          </w:p>
        </w:tc>
        <w:tc>
          <w:tcPr>
            <w:tcW w:w="2449" w:type="dxa"/>
            <w:hideMark/>
          </w:tcPr>
          <w:p w14:paraId="57552EFC" w14:textId="77777777" w:rsidR="0099440C" w:rsidRPr="0050292B" w:rsidRDefault="0099440C" w:rsidP="00986700">
            <w:pPr>
              <w:jc w:val="center"/>
              <w:rPr>
                <w:sz w:val="16"/>
                <w:szCs w:val="16"/>
              </w:rPr>
            </w:pPr>
            <w:r w:rsidRPr="0050292B">
              <w:rPr>
                <w:sz w:val="16"/>
                <w:szCs w:val="16"/>
              </w:rPr>
              <w:t>Programme 13</w:t>
            </w:r>
          </w:p>
        </w:tc>
      </w:tr>
      <w:tr w:rsidR="0099440C" w:rsidRPr="0050292B" w14:paraId="7139EA00" w14:textId="77777777" w:rsidTr="00672EEF">
        <w:trPr>
          <w:cantSplit/>
        </w:trPr>
        <w:tc>
          <w:tcPr>
            <w:tcW w:w="2960" w:type="dxa"/>
            <w:hideMark/>
          </w:tcPr>
          <w:p w14:paraId="45BDD8FC" w14:textId="77777777" w:rsidR="0099440C" w:rsidRPr="0050292B" w:rsidRDefault="0099440C" w:rsidP="00986700">
            <w:pPr>
              <w:rPr>
                <w:sz w:val="16"/>
                <w:szCs w:val="16"/>
              </w:rPr>
            </w:pPr>
          </w:p>
        </w:tc>
        <w:tc>
          <w:tcPr>
            <w:tcW w:w="3878" w:type="dxa"/>
            <w:hideMark/>
          </w:tcPr>
          <w:p w14:paraId="1F3A055B" w14:textId="77777777" w:rsidR="0099440C" w:rsidRPr="0050292B" w:rsidRDefault="0099440C" w:rsidP="00986700">
            <w:pPr>
              <w:rPr>
                <w:sz w:val="16"/>
                <w:szCs w:val="16"/>
              </w:rPr>
            </w:pPr>
            <w:r w:rsidRPr="0050292B">
              <w:rPr>
                <w:sz w:val="16"/>
                <w:szCs w:val="16"/>
              </w:rPr>
              <w:t>Nombre moyen d’utilisateurs ayant bénéficié des services de CATI par an</w:t>
            </w:r>
          </w:p>
        </w:tc>
        <w:tc>
          <w:tcPr>
            <w:tcW w:w="2449" w:type="dxa"/>
            <w:hideMark/>
          </w:tcPr>
          <w:p w14:paraId="0FEC2451" w14:textId="77777777" w:rsidR="0099440C" w:rsidRPr="0050292B" w:rsidRDefault="0099440C" w:rsidP="00986700">
            <w:pPr>
              <w:jc w:val="center"/>
              <w:rPr>
                <w:sz w:val="16"/>
                <w:szCs w:val="16"/>
              </w:rPr>
            </w:pPr>
            <w:r w:rsidRPr="0050292B">
              <w:rPr>
                <w:sz w:val="16"/>
                <w:szCs w:val="16"/>
              </w:rPr>
              <w:t>Programme 14</w:t>
            </w:r>
          </w:p>
        </w:tc>
      </w:tr>
      <w:tr w:rsidR="0099440C" w:rsidRPr="0050292B" w14:paraId="06F5EDDD" w14:textId="77777777" w:rsidTr="00672EEF">
        <w:trPr>
          <w:cantSplit/>
        </w:trPr>
        <w:tc>
          <w:tcPr>
            <w:tcW w:w="2960" w:type="dxa"/>
            <w:hideMark/>
          </w:tcPr>
          <w:p w14:paraId="55D2F324" w14:textId="77777777" w:rsidR="0099440C" w:rsidRPr="0050292B" w:rsidRDefault="0099440C" w:rsidP="00986700">
            <w:pPr>
              <w:rPr>
                <w:sz w:val="16"/>
                <w:szCs w:val="16"/>
              </w:rPr>
            </w:pPr>
          </w:p>
        </w:tc>
        <w:tc>
          <w:tcPr>
            <w:tcW w:w="3878" w:type="dxa"/>
            <w:hideMark/>
          </w:tcPr>
          <w:p w14:paraId="18C6908F" w14:textId="77777777" w:rsidR="0099440C" w:rsidRPr="0050292B" w:rsidRDefault="0099440C" w:rsidP="00986700">
            <w:pPr>
              <w:rPr>
                <w:sz w:val="16"/>
                <w:szCs w:val="16"/>
              </w:rPr>
            </w:pPr>
            <w:r w:rsidRPr="0050292B">
              <w:rPr>
                <w:sz w:val="16"/>
                <w:szCs w:val="16"/>
              </w:rPr>
              <w:t>Technologie appropriée recensée commercialisée dans les PMA</w:t>
            </w:r>
          </w:p>
        </w:tc>
        <w:tc>
          <w:tcPr>
            <w:tcW w:w="2449" w:type="dxa"/>
            <w:hideMark/>
          </w:tcPr>
          <w:p w14:paraId="14A487AE" w14:textId="77777777" w:rsidR="0099440C" w:rsidRPr="0050292B" w:rsidRDefault="0099440C" w:rsidP="00986700">
            <w:pPr>
              <w:jc w:val="center"/>
              <w:rPr>
                <w:sz w:val="16"/>
                <w:szCs w:val="16"/>
              </w:rPr>
            </w:pPr>
            <w:r w:rsidRPr="0050292B">
              <w:rPr>
                <w:sz w:val="16"/>
                <w:szCs w:val="16"/>
              </w:rPr>
              <w:t>Programme 9</w:t>
            </w:r>
          </w:p>
        </w:tc>
      </w:tr>
      <w:tr w:rsidR="0099440C" w:rsidRPr="0050292B" w14:paraId="009EA222" w14:textId="77777777" w:rsidTr="00672EEF">
        <w:trPr>
          <w:cantSplit/>
        </w:trPr>
        <w:tc>
          <w:tcPr>
            <w:tcW w:w="2960" w:type="dxa"/>
            <w:hideMark/>
          </w:tcPr>
          <w:p w14:paraId="23B2EDFC" w14:textId="77777777" w:rsidR="0099440C" w:rsidRPr="0050292B" w:rsidRDefault="0099440C" w:rsidP="00986700">
            <w:pPr>
              <w:rPr>
                <w:sz w:val="16"/>
                <w:szCs w:val="16"/>
              </w:rPr>
            </w:pPr>
          </w:p>
        </w:tc>
        <w:tc>
          <w:tcPr>
            <w:tcW w:w="3878" w:type="dxa"/>
            <w:hideMark/>
          </w:tcPr>
          <w:p w14:paraId="2260A6F4" w14:textId="77777777" w:rsidR="0099440C" w:rsidRPr="0050292B" w:rsidRDefault="0099440C" w:rsidP="00986700">
            <w:pPr>
              <w:rPr>
                <w:sz w:val="16"/>
                <w:szCs w:val="16"/>
              </w:rPr>
            </w:pPr>
            <w:r w:rsidRPr="0050292B">
              <w:rPr>
                <w:sz w:val="16"/>
                <w:szCs w:val="16"/>
              </w:rPr>
              <w:t>Projets reproduits dans d’autres secteurs dans les PMA</w:t>
            </w:r>
          </w:p>
        </w:tc>
        <w:tc>
          <w:tcPr>
            <w:tcW w:w="2449" w:type="dxa"/>
            <w:hideMark/>
          </w:tcPr>
          <w:p w14:paraId="70F1A046" w14:textId="77777777" w:rsidR="0099440C" w:rsidRPr="0050292B" w:rsidRDefault="0099440C" w:rsidP="00986700">
            <w:pPr>
              <w:jc w:val="center"/>
              <w:rPr>
                <w:sz w:val="16"/>
                <w:szCs w:val="16"/>
              </w:rPr>
            </w:pPr>
            <w:r w:rsidRPr="0050292B">
              <w:rPr>
                <w:sz w:val="16"/>
                <w:szCs w:val="16"/>
              </w:rPr>
              <w:t>Programme 9</w:t>
            </w:r>
          </w:p>
        </w:tc>
      </w:tr>
      <w:tr w:rsidR="0099440C" w:rsidRPr="0050292B" w14:paraId="3B35C483" w14:textId="77777777" w:rsidTr="00672EEF">
        <w:trPr>
          <w:cantSplit/>
        </w:trPr>
        <w:tc>
          <w:tcPr>
            <w:tcW w:w="2960" w:type="dxa"/>
            <w:hideMark/>
          </w:tcPr>
          <w:p w14:paraId="60BE99D6" w14:textId="77777777" w:rsidR="0099440C" w:rsidRPr="0050292B" w:rsidRDefault="0099440C" w:rsidP="00986700">
            <w:pPr>
              <w:rPr>
                <w:sz w:val="16"/>
                <w:szCs w:val="16"/>
              </w:rPr>
            </w:pPr>
          </w:p>
        </w:tc>
        <w:tc>
          <w:tcPr>
            <w:tcW w:w="3878" w:type="dxa"/>
            <w:hideMark/>
          </w:tcPr>
          <w:p w14:paraId="0B209C62" w14:textId="77777777" w:rsidR="0099440C" w:rsidRPr="0050292B" w:rsidRDefault="0099440C" w:rsidP="00986700">
            <w:pPr>
              <w:rPr>
                <w:sz w:val="16"/>
                <w:szCs w:val="16"/>
              </w:rPr>
            </w:pPr>
            <w:r w:rsidRPr="0050292B">
              <w:rPr>
                <w:sz w:val="16"/>
                <w:szCs w:val="16"/>
              </w:rPr>
              <w:t xml:space="preserve">Institutions créées pour continuer à travailler sur la technologie appropriée dans les PMA </w:t>
            </w:r>
          </w:p>
        </w:tc>
        <w:tc>
          <w:tcPr>
            <w:tcW w:w="2449" w:type="dxa"/>
            <w:hideMark/>
          </w:tcPr>
          <w:p w14:paraId="7D1C2148" w14:textId="77777777" w:rsidR="0099440C" w:rsidRPr="0050292B" w:rsidRDefault="0099440C" w:rsidP="00986700">
            <w:pPr>
              <w:jc w:val="center"/>
              <w:rPr>
                <w:sz w:val="16"/>
                <w:szCs w:val="16"/>
              </w:rPr>
            </w:pPr>
            <w:r w:rsidRPr="0050292B">
              <w:rPr>
                <w:sz w:val="16"/>
                <w:szCs w:val="16"/>
              </w:rPr>
              <w:t>Programme 9</w:t>
            </w:r>
          </w:p>
        </w:tc>
      </w:tr>
      <w:tr w:rsidR="0099440C" w:rsidRPr="0050292B" w14:paraId="5B5E6CFD" w14:textId="77777777" w:rsidTr="00672EEF">
        <w:trPr>
          <w:cantSplit/>
        </w:trPr>
        <w:tc>
          <w:tcPr>
            <w:tcW w:w="2960" w:type="dxa"/>
            <w:hideMark/>
          </w:tcPr>
          <w:p w14:paraId="18C0AB16" w14:textId="77777777" w:rsidR="0099440C" w:rsidRPr="0050292B" w:rsidRDefault="0099440C" w:rsidP="00986700">
            <w:pPr>
              <w:rPr>
                <w:sz w:val="16"/>
                <w:szCs w:val="16"/>
              </w:rPr>
            </w:pPr>
          </w:p>
        </w:tc>
        <w:tc>
          <w:tcPr>
            <w:tcW w:w="3878" w:type="dxa"/>
            <w:hideMark/>
          </w:tcPr>
          <w:p w14:paraId="32702823" w14:textId="77777777" w:rsidR="0099440C" w:rsidRPr="0050292B" w:rsidRDefault="0099440C" w:rsidP="00986700">
            <w:pPr>
              <w:rPr>
                <w:sz w:val="16"/>
                <w:szCs w:val="16"/>
              </w:rPr>
            </w:pPr>
            <w:r w:rsidRPr="0050292B">
              <w:rPr>
                <w:sz w:val="16"/>
                <w:szCs w:val="16"/>
              </w:rPr>
              <w:t>Délai de chargement des données</w:t>
            </w:r>
          </w:p>
        </w:tc>
        <w:tc>
          <w:tcPr>
            <w:tcW w:w="2449" w:type="dxa"/>
            <w:hideMark/>
          </w:tcPr>
          <w:p w14:paraId="13C08296" w14:textId="77777777" w:rsidR="0099440C" w:rsidRPr="0050292B" w:rsidRDefault="0099440C" w:rsidP="00986700">
            <w:pPr>
              <w:jc w:val="center"/>
              <w:rPr>
                <w:sz w:val="16"/>
                <w:szCs w:val="16"/>
              </w:rPr>
            </w:pPr>
            <w:r w:rsidRPr="0050292B">
              <w:rPr>
                <w:sz w:val="16"/>
                <w:szCs w:val="16"/>
              </w:rPr>
              <w:t>Programme 13</w:t>
            </w:r>
          </w:p>
        </w:tc>
      </w:tr>
      <w:tr w:rsidR="0099440C" w:rsidRPr="0050292B" w14:paraId="2B5455E4" w14:textId="77777777" w:rsidTr="00672EEF">
        <w:trPr>
          <w:cantSplit/>
        </w:trPr>
        <w:tc>
          <w:tcPr>
            <w:tcW w:w="2960" w:type="dxa"/>
            <w:hideMark/>
          </w:tcPr>
          <w:p w14:paraId="5087FE1A" w14:textId="77777777" w:rsidR="0099440C" w:rsidRPr="0050292B" w:rsidRDefault="0099440C" w:rsidP="00986700">
            <w:pPr>
              <w:rPr>
                <w:sz w:val="16"/>
                <w:szCs w:val="16"/>
              </w:rPr>
            </w:pPr>
          </w:p>
        </w:tc>
        <w:tc>
          <w:tcPr>
            <w:tcW w:w="3878" w:type="dxa"/>
            <w:hideMark/>
          </w:tcPr>
          <w:p w14:paraId="0C2BFD45" w14:textId="77777777" w:rsidR="0099440C" w:rsidRPr="0050292B" w:rsidRDefault="0099440C" w:rsidP="00986700">
            <w:pPr>
              <w:rPr>
                <w:sz w:val="16"/>
                <w:szCs w:val="16"/>
              </w:rPr>
            </w:pPr>
            <w:r w:rsidRPr="0050292B">
              <w:rPr>
                <w:sz w:val="16"/>
                <w:szCs w:val="16"/>
              </w:rPr>
              <w:t>Nombre d’utilisateurs actifs inscrits aux programmes ARDI et ASPI</w:t>
            </w:r>
          </w:p>
        </w:tc>
        <w:tc>
          <w:tcPr>
            <w:tcW w:w="2449" w:type="dxa"/>
            <w:hideMark/>
          </w:tcPr>
          <w:p w14:paraId="0EA00108" w14:textId="77777777" w:rsidR="0099440C" w:rsidRPr="0050292B" w:rsidRDefault="0099440C" w:rsidP="00986700">
            <w:pPr>
              <w:jc w:val="center"/>
              <w:rPr>
                <w:sz w:val="16"/>
                <w:szCs w:val="16"/>
              </w:rPr>
            </w:pPr>
            <w:r w:rsidRPr="0050292B">
              <w:rPr>
                <w:sz w:val="16"/>
                <w:szCs w:val="16"/>
              </w:rPr>
              <w:t>Programme 14</w:t>
            </w:r>
          </w:p>
        </w:tc>
      </w:tr>
      <w:tr w:rsidR="0099440C" w:rsidRPr="0050292B" w14:paraId="19AB8BDA" w14:textId="77777777" w:rsidTr="00672EEF">
        <w:trPr>
          <w:cantSplit/>
        </w:trPr>
        <w:tc>
          <w:tcPr>
            <w:tcW w:w="2960" w:type="dxa"/>
            <w:hideMark/>
          </w:tcPr>
          <w:p w14:paraId="5D6FD854" w14:textId="77777777" w:rsidR="0099440C" w:rsidRPr="0050292B" w:rsidRDefault="0099440C" w:rsidP="00986700">
            <w:pPr>
              <w:rPr>
                <w:sz w:val="16"/>
                <w:szCs w:val="16"/>
              </w:rPr>
            </w:pPr>
          </w:p>
        </w:tc>
        <w:tc>
          <w:tcPr>
            <w:tcW w:w="3878" w:type="dxa"/>
            <w:hideMark/>
          </w:tcPr>
          <w:p w14:paraId="26CAF9D1" w14:textId="77777777" w:rsidR="0099440C" w:rsidRPr="0050292B" w:rsidRDefault="0099440C" w:rsidP="00986700">
            <w:pPr>
              <w:rPr>
                <w:sz w:val="16"/>
                <w:szCs w:val="16"/>
              </w:rPr>
            </w:pPr>
            <w:r w:rsidRPr="0050292B">
              <w:rPr>
                <w:sz w:val="16"/>
                <w:szCs w:val="16"/>
              </w:rPr>
              <w:t>Poursuite et développement des programmes nationaux de renforcement des capacités techniques relatifs aux technologies appropriées dans les PMA</w:t>
            </w:r>
          </w:p>
        </w:tc>
        <w:tc>
          <w:tcPr>
            <w:tcW w:w="2449" w:type="dxa"/>
            <w:hideMark/>
          </w:tcPr>
          <w:p w14:paraId="53DE7E99" w14:textId="77777777" w:rsidR="0099440C" w:rsidRPr="0050292B" w:rsidRDefault="0099440C" w:rsidP="00986700">
            <w:pPr>
              <w:jc w:val="center"/>
              <w:rPr>
                <w:sz w:val="16"/>
                <w:szCs w:val="16"/>
              </w:rPr>
            </w:pPr>
            <w:r w:rsidRPr="0050292B">
              <w:rPr>
                <w:sz w:val="16"/>
                <w:szCs w:val="16"/>
              </w:rPr>
              <w:t>Programme 9</w:t>
            </w:r>
          </w:p>
        </w:tc>
      </w:tr>
      <w:tr w:rsidR="0099440C" w:rsidRPr="0050292B" w14:paraId="13978D20" w14:textId="77777777" w:rsidTr="00672EEF">
        <w:trPr>
          <w:cantSplit/>
        </w:trPr>
        <w:tc>
          <w:tcPr>
            <w:tcW w:w="2960" w:type="dxa"/>
            <w:hideMark/>
          </w:tcPr>
          <w:p w14:paraId="6520DC9F" w14:textId="77777777" w:rsidR="0099440C" w:rsidRPr="0050292B" w:rsidRDefault="0099440C" w:rsidP="00986700">
            <w:pPr>
              <w:rPr>
                <w:sz w:val="16"/>
                <w:szCs w:val="16"/>
              </w:rPr>
            </w:pPr>
          </w:p>
        </w:tc>
        <w:tc>
          <w:tcPr>
            <w:tcW w:w="3878" w:type="dxa"/>
            <w:hideMark/>
          </w:tcPr>
          <w:p w14:paraId="38BCA2F8" w14:textId="77777777" w:rsidR="0099440C" w:rsidRPr="0050292B" w:rsidRDefault="0099440C" w:rsidP="00986700">
            <w:pPr>
              <w:rPr>
                <w:sz w:val="16"/>
                <w:szCs w:val="16"/>
              </w:rPr>
            </w:pPr>
            <w:r w:rsidRPr="0050292B">
              <w:rPr>
                <w:sz w:val="16"/>
                <w:szCs w:val="16"/>
              </w:rPr>
              <w:t>Nombre d’utilisateurs du service de téléchargement</w:t>
            </w:r>
          </w:p>
        </w:tc>
        <w:tc>
          <w:tcPr>
            <w:tcW w:w="2449" w:type="dxa"/>
            <w:hideMark/>
          </w:tcPr>
          <w:p w14:paraId="37C4CA74" w14:textId="77777777" w:rsidR="0099440C" w:rsidRPr="0050292B" w:rsidRDefault="0099440C" w:rsidP="00986700">
            <w:pPr>
              <w:jc w:val="center"/>
              <w:rPr>
                <w:sz w:val="16"/>
                <w:szCs w:val="16"/>
              </w:rPr>
            </w:pPr>
            <w:r w:rsidRPr="0050292B">
              <w:rPr>
                <w:sz w:val="16"/>
                <w:szCs w:val="16"/>
              </w:rPr>
              <w:t>Programme 13</w:t>
            </w:r>
          </w:p>
        </w:tc>
      </w:tr>
      <w:tr w:rsidR="0099440C" w:rsidRPr="0050292B" w14:paraId="112EFB99" w14:textId="77777777" w:rsidTr="00672EEF">
        <w:trPr>
          <w:cantSplit/>
        </w:trPr>
        <w:tc>
          <w:tcPr>
            <w:tcW w:w="2960" w:type="dxa"/>
            <w:hideMark/>
          </w:tcPr>
          <w:p w14:paraId="380DB4F4" w14:textId="77777777" w:rsidR="0099440C" w:rsidRPr="0050292B" w:rsidRDefault="0099440C" w:rsidP="00986700">
            <w:pPr>
              <w:rPr>
                <w:sz w:val="16"/>
                <w:szCs w:val="16"/>
              </w:rPr>
            </w:pPr>
          </w:p>
        </w:tc>
        <w:tc>
          <w:tcPr>
            <w:tcW w:w="3878" w:type="dxa"/>
            <w:hideMark/>
          </w:tcPr>
          <w:p w14:paraId="00E3D48E" w14:textId="77777777" w:rsidR="0099440C" w:rsidRPr="0050292B" w:rsidRDefault="0099440C" w:rsidP="00986700">
            <w:pPr>
              <w:rPr>
                <w:sz w:val="16"/>
                <w:szCs w:val="16"/>
              </w:rPr>
            </w:pPr>
            <w:r w:rsidRPr="0050292B">
              <w:rPr>
                <w:sz w:val="16"/>
                <w:szCs w:val="16"/>
              </w:rPr>
              <w:t>Utilisation d’une technologie appropriée pour le développement économique prévue dans les politiques et stratégies nationales en matière d’innovation et de propriété intellectuelle dans les PMA</w:t>
            </w:r>
          </w:p>
        </w:tc>
        <w:tc>
          <w:tcPr>
            <w:tcW w:w="2449" w:type="dxa"/>
            <w:hideMark/>
          </w:tcPr>
          <w:p w14:paraId="3F5DEBE1" w14:textId="77777777" w:rsidR="0099440C" w:rsidRPr="0050292B" w:rsidRDefault="0099440C" w:rsidP="00986700">
            <w:pPr>
              <w:jc w:val="center"/>
              <w:rPr>
                <w:sz w:val="16"/>
                <w:szCs w:val="16"/>
              </w:rPr>
            </w:pPr>
            <w:r w:rsidRPr="0050292B">
              <w:rPr>
                <w:sz w:val="16"/>
                <w:szCs w:val="16"/>
              </w:rPr>
              <w:t>Programme 9</w:t>
            </w:r>
          </w:p>
        </w:tc>
      </w:tr>
      <w:tr w:rsidR="0099440C" w:rsidRPr="0050292B" w14:paraId="0DE9DDCC" w14:textId="77777777" w:rsidTr="00672EEF">
        <w:trPr>
          <w:cantSplit/>
        </w:trPr>
        <w:tc>
          <w:tcPr>
            <w:tcW w:w="2960" w:type="dxa"/>
            <w:hideMark/>
          </w:tcPr>
          <w:p w14:paraId="5276C7E4" w14:textId="77777777" w:rsidR="0099440C" w:rsidRPr="0050292B" w:rsidRDefault="0099440C" w:rsidP="00986700">
            <w:pPr>
              <w:rPr>
                <w:sz w:val="16"/>
                <w:szCs w:val="16"/>
              </w:rPr>
            </w:pPr>
          </w:p>
        </w:tc>
        <w:tc>
          <w:tcPr>
            <w:tcW w:w="3878" w:type="dxa"/>
            <w:hideMark/>
          </w:tcPr>
          <w:p w14:paraId="31DF4F38" w14:textId="77777777" w:rsidR="0099440C" w:rsidRPr="0050292B" w:rsidRDefault="0099440C" w:rsidP="00986700">
            <w:pPr>
              <w:rPr>
                <w:sz w:val="16"/>
                <w:szCs w:val="16"/>
              </w:rPr>
            </w:pPr>
            <w:r w:rsidRPr="0050292B">
              <w:rPr>
                <w:sz w:val="16"/>
                <w:szCs w:val="16"/>
              </w:rPr>
              <w:t>Nombre d’utilisateurs de WIPO Lex</w:t>
            </w:r>
          </w:p>
        </w:tc>
        <w:tc>
          <w:tcPr>
            <w:tcW w:w="2449" w:type="dxa"/>
            <w:hideMark/>
          </w:tcPr>
          <w:p w14:paraId="5EEEE591" w14:textId="77777777" w:rsidR="0099440C" w:rsidRPr="0050292B" w:rsidRDefault="0099440C" w:rsidP="00986700">
            <w:pPr>
              <w:jc w:val="center"/>
              <w:rPr>
                <w:sz w:val="16"/>
                <w:szCs w:val="16"/>
              </w:rPr>
            </w:pPr>
            <w:r w:rsidRPr="0050292B">
              <w:rPr>
                <w:sz w:val="16"/>
                <w:szCs w:val="16"/>
              </w:rPr>
              <w:t>Programme 13</w:t>
            </w:r>
          </w:p>
        </w:tc>
      </w:tr>
      <w:tr w:rsidR="0099440C" w:rsidRPr="0050292B" w14:paraId="40B73F05" w14:textId="77777777" w:rsidTr="00672EEF">
        <w:trPr>
          <w:cantSplit/>
        </w:trPr>
        <w:tc>
          <w:tcPr>
            <w:tcW w:w="2960" w:type="dxa"/>
            <w:vMerge w:val="restart"/>
            <w:hideMark/>
          </w:tcPr>
          <w:p w14:paraId="5FEE80B9" w14:textId="77777777" w:rsidR="0099440C" w:rsidRPr="0050292B" w:rsidRDefault="0099440C" w:rsidP="00986700">
            <w:pPr>
              <w:rPr>
                <w:sz w:val="16"/>
                <w:szCs w:val="16"/>
              </w:rPr>
            </w:pPr>
            <w:r w:rsidRPr="0050292B">
              <w:rPr>
                <w:sz w:val="16"/>
                <w:szCs w:val="16"/>
              </w:rPr>
              <w:t>IV.3 Élargissement de la portée géographique du contenu et de l’utilisation des bases de données mondiales de l’OMPI en matière de propriété intellectuelle</w:t>
            </w:r>
          </w:p>
        </w:tc>
        <w:tc>
          <w:tcPr>
            <w:tcW w:w="3878" w:type="dxa"/>
            <w:hideMark/>
          </w:tcPr>
          <w:p w14:paraId="5BCD1A17" w14:textId="77777777" w:rsidR="0099440C" w:rsidRPr="0050292B" w:rsidRDefault="0099440C" w:rsidP="00986700">
            <w:pPr>
              <w:rPr>
                <w:sz w:val="16"/>
                <w:szCs w:val="16"/>
              </w:rPr>
            </w:pPr>
            <w:r w:rsidRPr="0050292B">
              <w:rPr>
                <w:sz w:val="16"/>
                <w:szCs w:val="16"/>
              </w:rPr>
              <w:t>Nombre d’entrées figurant dans PATENTSCOPE</w:t>
            </w:r>
          </w:p>
        </w:tc>
        <w:tc>
          <w:tcPr>
            <w:tcW w:w="2449" w:type="dxa"/>
            <w:hideMark/>
          </w:tcPr>
          <w:p w14:paraId="666EB8DF" w14:textId="77777777" w:rsidR="0099440C" w:rsidRPr="0050292B" w:rsidRDefault="0099440C" w:rsidP="00986700">
            <w:pPr>
              <w:jc w:val="center"/>
              <w:rPr>
                <w:sz w:val="16"/>
                <w:szCs w:val="16"/>
              </w:rPr>
            </w:pPr>
            <w:r w:rsidRPr="0050292B">
              <w:rPr>
                <w:sz w:val="16"/>
                <w:szCs w:val="16"/>
              </w:rPr>
              <w:t>Programme 13</w:t>
            </w:r>
          </w:p>
        </w:tc>
      </w:tr>
      <w:tr w:rsidR="0099440C" w:rsidRPr="0050292B" w14:paraId="692E32EF" w14:textId="77777777" w:rsidTr="00672EEF">
        <w:trPr>
          <w:cantSplit/>
        </w:trPr>
        <w:tc>
          <w:tcPr>
            <w:tcW w:w="2960" w:type="dxa"/>
            <w:vMerge/>
            <w:hideMark/>
          </w:tcPr>
          <w:p w14:paraId="50F96DE5" w14:textId="77777777" w:rsidR="0099440C" w:rsidRPr="0050292B" w:rsidRDefault="0099440C" w:rsidP="00986700">
            <w:pPr>
              <w:rPr>
                <w:sz w:val="16"/>
                <w:szCs w:val="16"/>
              </w:rPr>
            </w:pPr>
          </w:p>
        </w:tc>
        <w:tc>
          <w:tcPr>
            <w:tcW w:w="3878" w:type="dxa"/>
            <w:hideMark/>
          </w:tcPr>
          <w:p w14:paraId="0BF9C42F" w14:textId="77777777" w:rsidR="0099440C" w:rsidRPr="0050292B" w:rsidRDefault="0099440C" w:rsidP="00986700">
            <w:pPr>
              <w:rPr>
                <w:sz w:val="16"/>
                <w:szCs w:val="16"/>
              </w:rPr>
            </w:pPr>
            <w:r w:rsidRPr="0050292B">
              <w:rPr>
                <w:sz w:val="16"/>
                <w:szCs w:val="16"/>
              </w:rPr>
              <w:t>Nombre d’entrées figurant dans la Base de données mondiale sur les marques</w:t>
            </w:r>
          </w:p>
        </w:tc>
        <w:tc>
          <w:tcPr>
            <w:tcW w:w="2449" w:type="dxa"/>
            <w:hideMark/>
          </w:tcPr>
          <w:p w14:paraId="07E7F853" w14:textId="77777777" w:rsidR="0099440C" w:rsidRPr="0050292B" w:rsidRDefault="0099440C" w:rsidP="00986700">
            <w:pPr>
              <w:jc w:val="center"/>
              <w:rPr>
                <w:sz w:val="16"/>
                <w:szCs w:val="16"/>
              </w:rPr>
            </w:pPr>
            <w:r w:rsidRPr="0050292B">
              <w:rPr>
                <w:sz w:val="16"/>
                <w:szCs w:val="16"/>
              </w:rPr>
              <w:t>Programme 13</w:t>
            </w:r>
          </w:p>
        </w:tc>
      </w:tr>
      <w:tr w:rsidR="0099440C" w:rsidRPr="0050292B" w14:paraId="74CF2D55" w14:textId="77777777" w:rsidTr="00672EEF">
        <w:trPr>
          <w:cantSplit/>
        </w:trPr>
        <w:tc>
          <w:tcPr>
            <w:tcW w:w="2960" w:type="dxa"/>
            <w:hideMark/>
          </w:tcPr>
          <w:p w14:paraId="2C64F02A" w14:textId="77777777" w:rsidR="0099440C" w:rsidRPr="0050292B" w:rsidRDefault="0099440C" w:rsidP="00986700">
            <w:pPr>
              <w:rPr>
                <w:sz w:val="16"/>
                <w:szCs w:val="16"/>
              </w:rPr>
            </w:pPr>
          </w:p>
        </w:tc>
        <w:tc>
          <w:tcPr>
            <w:tcW w:w="3878" w:type="dxa"/>
            <w:hideMark/>
          </w:tcPr>
          <w:p w14:paraId="375E3FF8" w14:textId="77777777" w:rsidR="0099440C" w:rsidRPr="0050292B" w:rsidRDefault="0099440C" w:rsidP="00986700">
            <w:pPr>
              <w:rPr>
                <w:sz w:val="16"/>
                <w:szCs w:val="16"/>
              </w:rPr>
            </w:pPr>
            <w:r w:rsidRPr="0050292B">
              <w:rPr>
                <w:sz w:val="16"/>
                <w:szCs w:val="16"/>
              </w:rPr>
              <w:t>Nombre d’entrées figurant dans la Base de données mondiale sur les dessins et modèles</w:t>
            </w:r>
          </w:p>
        </w:tc>
        <w:tc>
          <w:tcPr>
            <w:tcW w:w="2449" w:type="dxa"/>
            <w:hideMark/>
          </w:tcPr>
          <w:p w14:paraId="35C8D63A" w14:textId="77777777" w:rsidR="0099440C" w:rsidRPr="0050292B" w:rsidRDefault="0099440C" w:rsidP="00986700">
            <w:pPr>
              <w:jc w:val="center"/>
              <w:rPr>
                <w:sz w:val="16"/>
                <w:szCs w:val="16"/>
              </w:rPr>
            </w:pPr>
            <w:r w:rsidRPr="0050292B">
              <w:rPr>
                <w:sz w:val="16"/>
                <w:szCs w:val="16"/>
              </w:rPr>
              <w:t>Programme 13</w:t>
            </w:r>
          </w:p>
        </w:tc>
      </w:tr>
      <w:tr w:rsidR="0099440C" w:rsidRPr="0050292B" w14:paraId="464EFC22" w14:textId="77777777" w:rsidTr="00672EEF">
        <w:trPr>
          <w:cantSplit/>
        </w:trPr>
        <w:tc>
          <w:tcPr>
            <w:tcW w:w="2960" w:type="dxa"/>
            <w:hideMark/>
          </w:tcPr>
          <w:p w14:paraId="4B0B13E8" w14:textId="77777777" w:rsidR="0099440C" w:rsidRPr="0050292B" w:rsidRDefault="0099440C" w:rsidP="00986700">
            <w:pPr>
              <w:rPr>
                <w:sz w:val="16"/>
                <w:szCs w:val="16"/>
              </w:rPr>
            </w:pPr>
          </w:p>
        </w:tc>
        <w:tc>
          <w:tcPr>
            <w:tcW w:w="3878" w:type="dxa"/>
            <w:hideMark/>
          </w:tcPr>
          <w:p w14:paraId="0307990E" w14:textId="77777777" w:rsidR="0099440C" w:rsidRPr="0050292B" w:rsidRDefault="0099440C" w:rsidP="00986700">
            <w:pPr>
              <w:rPr>
                <w:sz w:val="16"/>
                <w:szCs w:val="16"/>
              </w:rPr>
            </w:pPr>
            <w:r w:rsidRPr="0050292B">
              <w:rPr>
                <w:sz w:val="16"/>
                <w:szCs w:val="16"/>
              </w:rPr>
              <w:t>Nombre de collections nationales figurant dans PATENTSCOPE</w:t>
            </w:r>
          </w:p>
        </w:tc>
        <w:tc>
          <w:tcPr>
            <w:tcW w:w="2449" w:type="dxa"/>
            <w:hideMark/>
          </w:tcPr>
          <w:p w14:paraId="55876588" w14:textId="77777777" w:rsidR="0099440C" w:rsidRPr="0050292B" w:rsidRDefault="0099440C" w:rsidP="00986700">
            <w:pPr>
              <w:jc w:val="center"/>
              <w:rPr>
                <w:sz w:val="16"/>
                <w:szCs w:val="16"/>
              </w:rPr>
            </w:pPr>
            <w:r w:rsidRPr="0050292B">
              <w:rPr>
                <w:sz w:val="16"/>
                <w:szCs w:val="16"/>
              </w:rPr>
              <w:t>Programme 13</w:t>
            </w:r>
          </w:p>
        </w:tc>
      </w:tr>
      <w:tr w:rsidR="0099440C" w:rsidRPr="0050292B" w14:paraId="48E70F9C" w14:textId="77777777" w:rsidTr="00672EEF">
        <w:trPr>
          <w:cantSplit/>
        </w:trPr>
        <w:tc>
          <w:tcPr>
            <w:tcW w:w="2960" w:type="dxa"/>
            <w:hideMark/>
          </w:tcPr>
          <w:p w14:paraId="5F2B7A25" w14:textId="77777777" w:rsidR="0099440C" w:rsidRPr="0050292B" w:rsidRDefault="0099440C" w:rsidP="00986700">
            <w:pPr>
              <w:rPr>
                <w:sz w:val="16"/>
                <w:szCs w:val="16"/>
              </w:rPr>
            </w:pPr>
          </w:p>
        </w:tc>
        <w:tc>
          <w:tcPr>
            <w:tcW w:w="3878" w:type="dxa"/>
            <w:hideMark/>
          </w:tcPr>
          <w:p w14:paraId="21F9B675" w14:textId="77777777" w:rsidR="0099440C" w:rsidRPr="0050292B" w:rsidRDefault="0099440C" w:rsidP="00986700">
            <w:pPr>
              <w:rPr>
                <w:sz w:val="16"/>
                <w:szCs w:val="16"/>
              </w:rPr>
            </w:pPr>
            <w:r w:rsidRPr="0050292B">
              <w:rPr>
                <w:sz w:val="16"/>
                <w:szCs w:val="16"/>
              </w:rPr>
              <w:t>Nombre de collections nationales figurant dans la Base de données mondiale sur les marques</w:t>
            </w:r>
          </w:p>
        </w:tc>
        <w:tc>
          <w:tcPr>
            <w:tcW w:w="2449" w:type="dxa"/>
            <w:hideMark/>
          </w:tcPr>
          <w:p w14:paraId="03D97841" w14:textId="77777777" w:rsidR="0099440C" w:rsidRPr="0050292B" w:rsidRDefault="0099440C" w:rsidP="00986700">
            <w:pPr>
              <w:jc w:val="center"/>
              <w:rPr>
                <w:sz w:val="16"/>
                <w:szCs w:val="16"/>
              </w:rPr>
            </w:pPr>
            <w:r w:rsidRPr="0050292B">
              <w:rPr>
                <w:sz w:val="16"/>
                <w:szCs w:val="16"/>
              </w:rPr>
              <w:t>Programme 13</w:t>
            </w:r>
          </w:p>
        </w:tc>
      </w:tr>
      <w:tr w:rsidR="0099440C" w:rsidRPr="0050292B" w14:paraId="30A42C94" w14:textId="77777777" w:rsidTr="00672EEF">
        <w:trPr>
          <w:cantSplit/>
        </w:trPr>
        <w:tc>
          <w:tcPr>
            <w:tcW w:w="2960" w:type="dxa"/>
            <w:vMerge w:val="restart"/>
            <w:hideMark/>
          </w:tcPr>
          <w:p w14:paraId="634E9DC6" w14:textId="77777777" w:rsidR="0099440C" w:rsidRPr="0050292B" w:rsidRDefault="0099440C" w:rsidP="00986700">
            <w:pPr>
              <w:rPr>
                <w:sz w:val="16"/>
                <w:szCs w:val="16"/>
              </w:rPr>
            </w:pPr>
            <w:r w:rsidRPr="0050292B">
              <w:rPr>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3878" w:type="dxa"/>
            <w:hideMark/>
          </w:tcPr>
          <w:p w14:paraId="5A07A76B" w14:textId="77777777" w:rsidR="0099440C" w:rsidRPr="0050292B" w:rsidRDefault="0099440C" w:rsidP="00986700">
            <w:pPr>
              <w:rPr>
                <w:sz w:val="16"/>
                <w:szCs w:val="16"/>
              </w:rPr>
            </w:pPr>
            <w:r w:rsidRPr="0050292B">
              <w:rPr>
                <w:sz w:val="16"/>
                <w:szCs w:val="16"/>
              </w:rPr>
              <w:t>Nombre d’offices nationaux ayant numérisé leur collection de brevets</w:t>
            </w:r>
          </w:p>
        </w:tc>
        <w:tc>
          <w:tcPr>
            <w:tcW w:w="2449" w:type="dxa"/>
            <w:hideMark/>
          </w:tcPr>
          <w:p w14:paraId="72AEA2B0" w14:textId="77777777" w:rsidR="0099440C" w:rsidRPr="0050292B" w:rsidRDefault="0099440C" w:rsidP="00986700">
            <w:pPr>
              <w:jc w:val="center"/>
              <w:rPr>
                <w:sz w:val="16"/>
                <w:szCs w:val="16"/>
              </w:rPr>
            </w:pPr>
            <w:r w:rsidRPr="0050292B">
              <w:rPr>
                <w:sz w:val="16"/>
                <w:szCs w:val="16"/>
              </w:rPr>
              <w:t>Programme 13</w:t>
            </w:r>
          </w:p>
        </w:tc>
      </w:tr>
      <w:tr w:rsidR="0099440C" w:rsidRPr="0050292B" w14:paraId="7093FC4C" w14:textId="77777777" w:rsidTr="00672EEF">
        <w:trPr>
          <w:cantSplit/>
        </w:trPr>
        <w:tc>
          <w:tcPr>
            <w:tcW w:w="2960" w:type="dxa"/>
            <w:vMerge/>
            <w:hideMark/>
          </w:tcPr>
          <w:p w14:paraId="254F0029" w14:textId="77777777" w:rsidR="0099440C" w:rsidRPr="0050292B" w:rsidRDefault="0099440C" w:rsidP="00986700">
            <w:pPr>
              <w:rPr>
                <w:sz w:val="16"/>
                <w:szCs w:val="16"/>
              </w:rPr>
            </w:pPr>
          </w:p>
        </w:tc>
        <w:tc>
          <w:tcPr>
            <w:tcW w:w="3878" w:type="dxa"/>
            <w:vMerge w:val="restart"/>
            <w:hideMark/>
          </w:tcPr>
          <w:p w14:paraId="62C5E8ED" w14:textId="77777777" w:rsidR="0099440C" w:rsidRPr="0050292B" w:rsidRDefault="0099440C" w:rsidP="00986700">
            <w:pPr>
              <w:rPr>
                <w:sz w:val="16"/>
                <w:szCs w:val="16"/>
              </w:rPr>
            </w:pPr>
            <w:r w:rsidRPr="0050292B">
              <w:rPr>
                <w:sz w:val="16"/>
                <w:szCs w:val="16"/>
              </w:rPr>
              <w:t>Nombre d’offices utilisant les plateformes d’infrastructure de l’OMPI</w:t>
            </w:r>
          </w:p>
        </w:tc>
        <w:tc>
          <w:tcPr>
            <w:tcW w:w="2449" w:type="dxa"/>
            <w:hideMark/>
          </w:tcPr>
          <w:p w14:paraId="5D85C99A" w14:textId="77777777" w:rsidR="0099440C" w:rsidRPr="0050292B" w:rsidRDefault="0099440C" w:rsidP="00986700">
            <w:pPr>
              <w:jc w:val="center"/>
              <w:rPr>
                <w:sz w:val="16"/>
                <w:szCs w:val="16"/>
              </w:rPr>
            </w:pPr>
            <w:r w:rsidRPr="0050292B">
              <w:rPr>
                <w:sz w:val="16"/>
                <w:szCs w:val="16"/>
              </w:rPr>
              <w:t>Programme 15</w:t>
            </w:r>
          </w:p>
        </w:tc>
      </w:tr>
      <w:tr w:rsidR="0099440C" w:rsidRPr="0050292B" w14:paraId="5D80856B" w14:textId="77777777" w:rsidTr="00672EEF">
        <w:trPr>
          <w:cantSplit/>
        </w:trPr>
        <w:tc>
          <w:tcPr>
            <w:tcW w:w="2960" w:type="dxa"/>
            <w:vMerge/>
            <w:hideMark/>
          </w:tcPr>
          <w:p w14:paraId="7842EA44" w14:textId="77777777" w:rsidR="0099440C" w:rsidRPr="0050292B" w:rsidRDefault="0099440C" w:rsidP="00986700">
            <w:pPr>
              <w:rPr>
                <w:sz w:val="16"/>
                <w:szCs w:val="16"/>
              </w:rPr>
            </w:pPr>
          </w:p>
        </w:tc>
        <w:tc>
          <w:tcPr>
            <w:tcW w:w="3878" w:type="dxa"/>
            <w:vMerge/>
            <w:hideMark/>
          </w:tcPr>
          <w:p w14:paraId="3A2219E1" w14:textId="77777777" w:rsidR="0099440C" w:rsidRPr="0050292B" w:rsidRDefault="0099440C" w:rsidP="00986700">
            <w:pPr>
              <w:rPr>
                <w:sz w:val="16"/>
                <w:szCs w:val="16"/>
              </w:rPr>
            </w:pPr>
          </w:p>
        </w:tc>
        <w:tc>
          <w:tcPr>
            <w:tcW w:w="2449" w:type="dxa"/>
            <w:hideMark/>
          </w:tcPr>
          <w:p w14:paraId="4947AB39" w14:textId="77777777" w:rsidR="0099440C" w:rsidRPr="0050292B" w:rsidRDefault="0099440C" w:rsidP="00986700">
            <w:pPr>
              <w:jc w:val="center"/>
              <w:rPr>
                <w:sz w:val="16"/>
                <w:szCs w:val="16"/>
              </w:rPr>
            </w:pPr>
            <w:r w:rsidRPr="0050292B">
              <w:rPr>
                <w:sz w:val="16"/>
                <w:szCs w:val="16"/>
              </w:rPr>
              <w:t>Programme 20</w:t>
            </w:r>
          </w:p>
        </w:tc>
      </w:tr>
      <w:tr w:rsidR="00672EEF" w:rsidRPr="0050292B" w14:paraId="28621039" w14:textId="77777777" w:rsidTr="00672EEF">
        <w:trPr>
          <w:cantSplit/>
        </w:trPr>
        <w:tc>
          <w:tcPr>
            <w:tcW w:w="2960" w:type="dxa"/>
            <w:hideMark/>
          </w:tcPr>
          <w:p w14:paraId="268B404D" w14:textId="77777777" w:rsidR="00672EEF" w:rsidRPr="0050292B" w:rsidRDefault="00672EEF" w:rsidP="00986700">
            <w:pPr>
              <w:rPr>
                <w:sz w:val="16"/>
                <w:szCs w:val="16"/>
              </w:rPr>
            </w:pPr>
          </w:p>
        </w:tc>
        <w:tc>
          <w:tcPr>
            <w:tcW w:w="3878" w:type="dxa"/>
            <w:hideMark/>
          </w:tcPr>
          <w:p w14:paraId="472E8910" w14:textId="653F5E0B" w:rsidR="00672EEF" w:rsidRPr="0050292B" w:rsidRDefault="00672EEF" w:rsidP="00986700">
            <w:pPr>
              <w:rPr>
                <w:sz w:val="16"/>
                <w:szCs w:val="16"/>
              </w:rPr>
            </w:pPr>
            <w:r w:rsidRPr="0050292B">
              <w:rPr>
                <w:sz w:val="16"/>
                <w:szCs w:val="16"/>
              </w:rPr>
              <w:t xml:space="preserve">Niveau de service moyen des offices de propriété intellectuelle bénéficiant d’une assistance </w:t>
            </w:r>
            <w:r>
              <w:rPr>
                <w:sz w:val="16"/>
                <w:szCs w:val="16"/>
              </w:rPr>
              <w:br/>
            </w:r>
            <w:r w:rsidRPr="0050292B">
              <w:rPr>
                <w:sz w:val="16"/>
                <w:szCs w:val="16"/>
              </w:rPr>
              <w:t>(de 1 à 5)</w:t>
            </w:r>
          </w:p>
        </w:tc>
        <w:tc>
          <w:tcPr>
            <w:tcW w:w="2449" w:type="dxa"/>
            <w:hideMark/>
          </w:tcPr>
          <w:p w14:paraId="086DFD6C" w14:textId="77777777" w:rsidR="00672EEF" w:rsidRDefault="00672EEF" w:rsidP="00986700">
            <w:pPr>
              <w:jc w:val="center"/>
              <w:rPr>
                <w:sz w:val="16"/>
                <w:szCs w:val="16"/>
              </w:rPr>
            </w:pPr>
            <w:r w:rsidRPr="0050292B">
              <w:rPr>
                <w:sz w:val="16"/>
                <w:szCs w:val="16"/>
              </w:rPr>
              <w:t>Programme 9</w:t>
            </w:r>
          </w:p>
          <w:p w14:paraId="5F4D0267" w14:textId="51C748C4" w:rsidR="00672EEF" w:rsidRPr="0050292B" w:rsidRDefault="00672EEF" w:rsidP="00672EEF">
            <w:pPr>
              <w:jc w:val="center"/>
              <w:rPr>
                <w:sz w:val="16"/>
                <w:szCs w:val="16"/>
              </w:rPr>
            </w:pPr>
            <w:r w:rsidRPr="0050292B">
              <w:rPr>
                <w:sz w:val="16"/>
                <w:szCs w:val="16"/>
              </w:rPr>
              <w:t>Programme 15</w:t>
            </w:r>
          </w:p>
        </w:tc>
      </w:tr>
      <w:tr w:rsidR="0099440C" w:rsidRPr="0050292B" w14:paraId="1D27CBF5" w14:textId="77777777" w:rsidTr="00672EEF">
        <w:trPr>
          <w:cantSplit/>
        </w:trPr>
        <w:tc>
          <w:tcPr>
            <w:tcW w:w="2960" w:type="dxa"/>
            <w:hideMark/>
          </w:tcPr>
          <w:p w14:paraId="2074A7EC" w14:textId="77777777" w:rsidR="0099440C" w:rsidRPr="0050292B" w:rsidRDefault="0099440C" w:rsidP="00986700">
            <w:pPr>
              <w:rPr>
                <w:sz w:val="16"/>
                <w:szCs w:val="16"/>
              </w:rPr>
            </w:pPr>
          </w:p>
        </w:tc>
        <w:tc>
          <w:tcPr>
            <w:tcW w:w="3878" w:type="dxa"/>
            <w:hideMark/>
          </w:tcPr>
          <w:p w14:paraId="365AD46A" w14:textId="77777777" w:rsidR="0099440C" w:rsidRPr="0050292B" w:rsidRDefault="0099440C" w:rsidP="00986700">
            <w:pPr>
              <w:rPr>
                <w:sz w:val="16"/>
                <w:szCs w:val="16"/>
              </w:rPr>
            </w:pPr>
            <w:r w:rsidRPr="0050292B">
              <w:rPr>
                <w:sz w:val="16"/>
                <w:szCs w:val="16"/>
              </w:rPr>
              <w:t>Nombre d’organismes de gestion collective dans les pays en développement et les PMA participant à des réseaux régionaux et mondiaux avec le concours de l’OMPI</w:t>
            </w:r>
          </w:p>
        </w:tc>
        <w:tc>
          <w:tcPr>
            <w:tcW w:w="2449" w:type="dxa"/>
            <w:hideMark/>
          </w:tcPr>
          <w:p w14:paraId="5593AB84" w14:textId="77777777" w:rsidR="0099440C" w:rsidRPr="0050292B" w:rsidRDefault="0099440C" w:rsidP="00986700">
            <w:pPr>
              <w:jc w:val="center"/>
              <w:rPr>
                <w:sz w:val="16"/>
                <w:szCs w:val="16"/>
              </w:rPr>
            </w:pPr>
            <w:r w:rsidRPr="0050292B">
              <w:rPr>
                <w:sz w:val="16"/>
                <w:szCs w:val="16"/>
              </w:rPr>
              <w:t>Programme 15</w:t>
            </w:r>
          </w:p>
        </w:tc>
      </w:tr>
    </w:tbl>
    <w:p w14:paraId="1AC84A27" w14:textId="77777777" w:rsidR="0099440C" w:rsidRPr="0050292B" w:rsidRDefault="0099440C" w:rsidP="00986700">
      <w:pPr>
        <w:rPr>
          <w:sz w:val="16"/>
          <w:szCs w:val="16"/>
        </w:rPr>
      </w:pPr>
    </w:p>
    <w:p w14:paraId="10D16CF9" w14:textId="77777777" w:rsidR="0099440C" w:rsidRPr="0050292B" w:rsidRDefault="0099440C" w:rsidP="00986700">
      <w:pPr>
        <w:rPr>
          <w:sz w:val="16"/>
          <w:szCs w:val="16"/>
        </w:rPr>
      </w:pPr>
    </w:p>
    <w:p w14:paraId="4ED7BB68" w14:textId="77777777" w:rsidR="0099440C" w:rsidRDefault="0099440C" w:rsidP="00986700">
      <w:pPr>
        <w:rPr>
          <w:b/>
          <w:caps/>
          <w:sz w:val="22"/>
        </w:rPr>
      </w:pPr>
      <w:r>
        <w:br w:type="page"/>
      </w:r>
    </w:p>
    <w:p w14:paraId="113833ED" w14:textId="4D4E45C7" w:rsidR="003F24B1" w:rsidRPr="00A970C5" w:rsidRDefault="0060494B" w:rsidP="00986700">
      <w:pPr>
        <w:pStyle w:val="Heading2"/>
        <w:rPr>
          <w:iCs/>
        </w:rPr>
      </w:pPr>
      <w:bookmarkStart w:id="53" w:name="_Toc482979492"/>
      <w:r w:rsidRPr="00A970C5">
        <w:rPr>
          <w:rFonts w:hint="eastAsia"/>
        </w:rPr>
        <w:lastRenderedPageBreak/>
        <w:t>Programme </w:t>
      </w:r>
      <w:r w:rsidR="003F24B1" w:rsidRPr="00A970C5">
        <w:t>12</w:t>
      </w:r>
      <w:r>
        <w:tab/>
      </w:r>
      <w:r w:rsidR="003F24B1" w:rsidRPr="00A970C5">
        <w:rPr>
          <w:rFonts w:cs="Arial"/>
          <w:bCs/>
          <w:cs/>
        </w:rPr>
        <w:t>‎</w:t>
      </w:r>
      <w:r w:rsidRPr="00A970C5">
        <w:rPr>
          <w:rFonts w:hint="eastAsia"/>
        </w:rPr>
        <w:t>Classifications internationales et normes</w:t>
      </w:r>
      <w:bookmarkEnd w:id="53"/>
    </w:p>
    <w:p w14:paraId="342CD3DB" w14:textId="77777777" w:rsidR="003F24B1" w:rsidRPr="00A970C5" w:rsidRDefault="003F24B1" w:rsidP="00986700">
      <w:pPr>
        <w:pStyle w:val="StyleHeading3ComplexItalic"/>
        <w:rPr>
          <w:rStyle w:val="StyleStyleHeading3ComplexItalicLatin12ptChar"/>
          <w:rFonts w:eastAsia="SimSun"/>
          <w:szCs w:val="20"/>
        </w:rPr>
      </w:pPr>
    </w:p>
    <w:p w14:paraId="36C83A59" w14:textId="77777777" w:rsidR="003F24B1" w:rsidRPr="00A970C5" w:rsidRDefault="003F24B1" w:rsidP="00986700">
      <w:pPr>
        <w:pStyle w:val="StyleHeading3ComplexItalic"/>
        <w:rPr>
          <w:rStyle w:val="StyleStyleHeading3ComplexItalicLatin12ptChar"/>
          <w:rFonts w:eastAsia="SimSun"/>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6FC1C60E" w14:textId="77777777" w:rsidTr="002C0714">
        <w:trPr>
          <w:cantSplit/>
        </w:trPr>
        <w:tc>
          <w:tcPr>
            <w:tcW w:w="9287" w:type="dxa"/>
            <w:shd w:val="clear" w:color="auto" w:fill="C6D9F1" w:themeFill="text2" w:themeFillTint="33"/>
            <w:vAlign w:val="center"/>
          </w:tcPr>
          <w:p w14:paraId="3A732E3E" w14:textId="77777777" w:rsidR="003F24B1" w:rsidRPr="00A970C5" w:rsidRDefault="003F24B1" w:rsidP="00986700">
            <w:pPr>
              <w:jc w:val="center"/>
              <w:rPr>
                <w:rFonts w:eastAsia="Times New Roman" w:cs="Arial"/>
                <w:b/>
                <w:bCs/>
                <w:szCs w:val="20"/>
                <w:lang w:eastAsia="en-US"/>
              </w:rPr>
            </w:pPr>
            <w:r w:rsidRPr="00A970C5">
              <w:rPr>
                <w:rFonts w:eastAsia="Times New Roman" w:cs="Arial"/>
                <w:b/>
                <w:bCs/>
                <w:szCs w:val="20"/>
                <w:lang w:eastAsia="en-US"/>
              </w:rPr>
              <w:t xml:space="preserve">Stratégies de mise en œuvre </w:t>
            </w:r>
          </w:p>
        </w:tc>
      </w:tr>
    </w:tbl>
    <w:p w14:paraId="77D7F680" w14:textId="0694E3E0" w:rsidR="003F24B1" w:rsidRPr="00A970C5" w:rsidRDefault="003F24B1" w:rsidP="00986700"/>
    <w:p w14:paraId="3318909A" w14:textId="77777777" w:rsidR="003F24B1" w:rsidRPr="00A970C5" w:rsidRDefault="003F24B1" w:rsidP="00986700">
      <w:pPr>
        <w:rPr>
          <w:rFonts w:eastAsia="Times New Roman"/>
          <w:bCs/>
          <w:u w:val="single"/>
          <w:lang w:eastAsia="en-US"/>
        </w:rPr>
      </w:pPr>
      <w:r w:rsidRPr="00A970C5">
        <w:rPr>
          <w:rFonts w:eastAsia="Times New Roman"/>
          <w:bCs/>
          <w:u w:val="single"/>
          <w:lang w:eastAsia="en-US"/>
        </w:rPr>
        <w:t>CIB (classification internationale des brevets)</w:t>
      </w:r>
    </w:p>
    <w:p w14:paraId="50702069" w14:textId="77777777" w:rsidR="003F24B1" w:rsidRPr="00A970C5" w:rsidRDefault="003F24B1" w:rsidP="00986700">
      <w:pPr>
        <w:rPr>
          <w:rFonts w:eastAsia="Times New Roman"/>
          <w:bCs/>
          <w:lang w:eastAsia="en-US"/>
        </w:rPr>
      </w:pPr>
    </w:p>
    <w:p w14:paraId="78984C62" w14:textId="7777777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Améliorer la CIB dans le cadre de la feuille de route pour la révision de la CIB adoptée par le Comité d’experts de l’Union de l’IPC pour être en phase avec le progrès technologique et assurer une cohérence maximale au niveau international en matière de classement des brevets, notamment en encourageant l’utilisation de l’IPCRMS (système de gestion de la révision de la CIB);</w:t>
      </w:r>
    </w:p>
    <w:p w14:paraId="05B74F8E" w14:textId="77777777" w:rsidR="003F24B1" w:rsidRPr="00A970C5" w:rsidRDefault="003F24B1" w:rsidP="00986700">
      <w:pPr>
        <w:ind w:left="567" w:hanging="567"/>
        <w:jc w:val="both"/>
        <w:rPr>
          <w:rFonts w:eastAsia="Times New Roman" w:cs="Arial"/>
          <w:bCs/>
          <w:szCs w:val="20"/>
          <w:lang w:eastAsia="en-US"/>
        </w:rPr>
      </w:pPr>
    </w:p>
    <w:p w14:paraId="3F58D5F9" w14:textId="77777777" w:rsidR="007146B2"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Renforcer la coopération internationale en matière de reclassement de</w:t>
      </w:r>
      <w:r w:rsidR="00FF403C" w:rsidRPr="00A970C5">
        <w:rPr>
          <w:rFonts w:eastAsia="Times New Roman" w:cs="Arial"/>
          <w:bCs/>
          <w:szCs w:val="20"/>
          <w:lang w:eastAsia="en-US"/>
        </w:rPr>
        <w:t>s</w:t>
      </w:r>
      <w:r w:rsidRPr="00A970C5">
        <w:rPr>
          <w:rFonts w:eastAsia="Times New Roman" w:cs="Arial"/>
          <w:bCs/>
          <w:szCs w:val="20"/>
          <w:lang w:eastAsia="en-US"/>
        </w:rPr>
        <w:t xml:space="preserve"> documents de brevet en mettant en œuvre un système de gestion du reclassement</w:t>
      </w:r>
      <w:r w:rsidR="007146B2">
        <w:rPr>
          <w:rFonts w:eastAsia="Times New Roman" w:cs="Arial"/>
          <w:bCs/>
          <w:szCs w:val="20"/>
          <w:lang w:eastAsia="en-US"/>
        </w:rPr>
        <w:t>;</w:t>
      </w:r>
    </w:p>
    <w:p w14:paraId="2A967F68" w14:textId="77777777" w:rsidR="007146B2" w:rsidRDefault="007146B2" w:rsidP="007146B2">
      <w:pPr>
        <w:pStyle w:val="ListParagraph"/>
        <w:ind w:left="567"/>
        <w:jc w:val="both"/>
        <w:rPr>
          <w:rFonts w:eastAsia="Times New Roman" w:cs="Arial"/>
          <w:bCs/>
          <w:szCs w:val="20"/>
          <w:lang w:eastAsia="en-US"/>
        </w:rPr>
      </w:pPr>
    </w:p>
    <w:p w14:paraId="6473A91D" w14:textId="006E4204" w:rsidR="003F24B1" w:rsidRPr="00A970C5" w:rsidRDefault="007146B2" w:rsidP="00986700">
      <w:pPr>
        <w:pStyle w:val="ListParagraph"/>
        <w:numPr>
          <w:ilvl w:val="0"/>
          <w:numId w:val="10"/>
        </w:numPr>
        <w:ind w:left="567" w:hanging="567"/>
        <w:jc w:val="both"/>
        <w:rPr>
          <w:rFonts w:eastAsia="Times New Roman" w:cs="Arial"/>
          <w:bCs/>
          <w:szCs w:val="20"/>
          <w:lang w:eastAsia="en-US"/>
        </w:rPr>
      </w:pPr>
      <w:r>
        <w:rPr>
          <w:rFonts w:eastAsia="Times New Roman" w:cs="Arial"/>
          <w:bCs/>
          <w:szCs w:val="20"/>
          <w:lang w:eastAsia="en-US"/>
        </w:rPr>
        <w:t xml:space="preserve">Encourager et favoriser </w:t>
      </w:r>
      <w:r w:rsidR="003F24B1" w:rsidRPr="00A970C5">
        <w:rPr>
          <w:rFonts w:eastAsia="Times New Roman" w:cs="Arial"/>
          <w:bCs/>
          <w:szCs w:val="20"/>
          <w:lang w:eastAsia="en-US"/>
        </w:rPr>
        <w:t>une utilisation plus large du système de la CIB grâce à la fourniture d’une assistance pour la gestion et la publication des traductions de la CIB dans les langues nationales.</w:t>
      </w:r>
    </w:p>
    <w:p w14:paraId="442BB605" w14:textId="77777777" w:rsidR="003F24B1" w:rsidRPr="00A970C5" w:rsidRDefault="003F24B1" w:rsidP="00986700">
      <w:pPr>
        <w:jc w:val="both"/>
        <w:rPr>
          <w:rFonts w:eastAsia="Times New Roman" w:cs="Arial"/>
          <w:bCs/>
          <w:szCs w:val="20"/>
          <w:lang w:eastAsia="en-US"/>
        </w:rPr>
      </w:pPr>
    </w:p>
    <w:p w14:paraId="5BF2BAA7" w14:textId="77777777" w:rsidR="003F24B1" w:rsidRPr="00A970C5" w:rsidRDefault="003F24B1" w:rsidP="00986700">
      <w:pPr>
        <w:jc w:val="both"/>
        <w:rPr>
          <w:rFonts w:eastAsia="Times New Roman" w:cs="Arial"/>
          <w:bCs/>
          <w:szCs w:val="20"/>
          <w:u w:val="single"/>
          <w:lang w:eastAsia="en-US"/>
        </w:rPr>
      </w:pPr>
      <w:r w:rsidRPr="00A970C5">
        <w:rPr>
          <w:rFonts w:eastAsia="Times New Roman" w:cs="Arial"/>
          <w:bCs/>
          <w:szCs w:val="20"/>
          <w:u w:val="single"/>
          <w:lang w:eastAsia="en-US"/>
        </w:rPr>
        <w:t>Classification de Nice (liste de produits et de services aux fins de l’enregistrement des marques)</w:t>
      </w:r>
    </w:p>
    <w:p w14:paraId="09EF7489" w14:textId="77777777" w:rsidR="003F24B1" w:rsidRPr="00A970C5" w:rsidRDefault="003F24B1" w:rsidP="00986700">
      <w:pPr>
        <w:jc w:val="both"/>
        <w:rPr>
          <w:rFonts w:eastAsia="Times New Roman" w:cs="Arial"/>
          <w:bCs/>
          <w:szCs w:val="20"/>
          <w:lang w:eastAsia="en-US"/>
        </w:rPr>
      </w:pPr>
    </w:p>
    <w:p w14:paraId="42565368" w14:textId="73E197B3" w:rsidR="003F24B1" w:rsidRPr="00A970C5" w:rsidRDefault="002C0714" w:rsidP="00986700">
      <w:pPr>
        <w:pStyle w:val="ListParagraph"/>
        <w:numPr>
          <w:ilvl w:val="0"/>
          <w:numId w:val="10"/>
        </w:numPr>
        <w:ind w:left="567" w:hanging="567"/>
        <w:jc w:val="both"/>
        <w:rPr>
          <w:rFonts w:eastAsia="Times New Roman" w:cs="Arial"/>
          <w:bCs/>
          <w:szCs w:val="20"/>
          <w:lang w:eastAsia="en-US"/>
        </w:rPr>
      </w:pPr>
      <w:r w:rsidRPr="002C0714">
        <w:rPr>
          <w:noProof/>
          <w:lang w:val="en-US" w:eastAsia="en-US"/>
        </w:rPr>
        <w:drawing>
          <wp:anchor distT="0" distB="0" distL="114300" distR="114300" simplePos="0" relativeHeight="251670528" behindDoc="1" locked="0" layoutInCell="1" allowOverlap="1" wp14:anchorId="31AC4AB1" wp14:editId="60126258">
            <wp:simplePos x="0" y="0"/>
            <wp:positionH relativeFrom="column">
              <wp:posOffset>4687570</wp:posOffset>
            </wp:positionH>
            <wp:positionV relativeFrom="paragraph">
              <wp:posOffset>808990</wp:posOffset>
            </wp:positionV>
            <wp:extent cx="1288415" cy="1288415"/>
            <wp:effectExtent l="0" t="0" r="6985" b="6985"/>
            <wp:wrapTight wrapText="bothSides">
              <wp:wrapPolygon edited="0">
                <wp:start x="8304" y="0"/>
                <wp:lineTo x="6387" y="319"/>
                <wp:lineTo x="1277" y="4152"/>
                <wp:lineTo x="0" y="9900"/>
                <wp:lineTo x="0" y="16288"/>
                <wp:lineTo x="6068" y="20440"/>
                <wp:lineTo x="6068" y="20759"/>
                <wp:lineTo x="8942" y="21398"/>
                <wp:lineTo x="9900" y="21398"/>
                <wp:lineTo x="11817" y="21398"/>
                <wp:lineTo x="12775" y="21398"/>
                <wp:lineTo x="15968" y="20759"/>
                <wp:lineTo x="21078" y="15649"/>
                <wp:lineTo x="21398" y="12455"/>
                <wp:lineTo x="21398" y="7984"/>
                <wp:lineTo x="20759" y="4152"/>
                <wp:lineTo x="15649" y="639"/>
                <wp:lineTo x="13414" y="0"/>
                <wp:lineTo x="8304" y="0"/>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B1" w:rsidRPr="00A970C5">
        <w:rPr>
          <w:rFonts w:eastAsia="Times New Roman" w:cs="Arial"/>
          <w:bCs/>
          <w:szCs w:val="20"/>
          <w:lang w:eastAsia="en-US"/>
        </w:rPr>
        <w:t xml:space="preserve">Poursuivre les travaux d’amélioration de la classification de Nice sous les auspices du Comité d’experts de l’Union de Nice en veillant en particulier i) à faire en sorte que la liste des produits et services tienne dûment compte des particularités des marchés émergents et à accélérer l’intégration de nouvelles indications largement utilisées </w:t>
      </w:r>
      <w:r w:rsidR="00FF403C" w:rsidRPr="00A970C5">
        <w:rPr>
          <w:rFonts w:eastAsia="Times New Roman" w:cs="Arial"/>
          <w:bCs/>
          <w:szCs w:val="20"/>
          <w:lang w:eastAsia="en-US"/>
        </w:rPr>
        <w:t>dans</w:t>
      </w:r>
      <w:r w:rsidR="003F24B1" w:rsidRPr="00A970C5">
        <w:rPr>
          <w:rFonts w:eastAsia="Times New Roman" w:cs="Arial"/>
          <w:bCs/>
          <w:szCs w:val="20"/>
          <w:lang w:eastAsia="en-US"/>
        </w:rPr>
        <w:t xml:space="preserve"> cette liste, ii) à étudier le rapport entre la classification de Nice et la base de données sur les produits et services du système de Madrid en vue d’aligner autant que possible les deux instruments</w:t>
      </w:r>
      <w:r w:rsidR="007146B2">
        <w:rPr>
          <w:rFonts w:eastAsia="Times New Roman" w:cs="Arial"/>
          <w:bCs/>
          <w:szCs w:val="20"/>
          <w:lang w:eastAsia="en-US"/>
        </w:rPr>
        <w:t>, et iii) recenser des opportunités de gain d’efficacité dans le système grâce à l’harmonisation des listes de produits et services</w:t>
      </w:r>
      <w:r w:rsidR="003F24B1" w:rsidRPr="00A970C5">
        <w:rPr>
          <w:rFonts w:eastAsia="Times New Roman" w:cs="Arial"/>
          <w:bCs/>
          <w:szCs w:val="20"/>
          <w:lang w:eastAsia="en-US"/>
        </w:rPr>
        <w:t>;</w:t>
      </w:r>
    </w:p>
    <w:p w14:paraId="04CA99FF" w14:textId="511C22CC" w:rsidR="003F24B1" w:rsidRPr="00A970C5" w:rsidRDefault="003F24B1" w:rsidP="00986700">
      <w:pPr>
        <w:ind w:left="567" w:hanging="567"/>
        <w:jc w:val="both"/>
        <w:rPr>
          <w:rFonts w:eastAsia="Times New Roman" w:cs="Arial"/>
          <w:bCs/>
          <w:szCs w:val="20"/>
          <w:lang w:eastAsia="en-US"/>
        </w:rPr>
      </w:pPr>
    </w:p>
    <w:p w14:paraId="6B827D9D" w14:textId="6EDA4A8E"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 xml:space="preserve">Faciliter la révision et la simplification des procédures de publication en </w:t>
      </w:r>
      <w:r w:rsidR="00FF403C" w:rsidRPr="00A970C5">
        <w:rPr>
          <w:rFonts w:eastAsia="Times New Roman" w:cs="Arial"/>
          <w:bCs/>
          <w:szCs w:val="20"/>
          <w:lang w:eastAsia="en-US"/>
        </w:rPr>
        <w:t>améliorant</w:t>
      </w:r>
      <w:r w:rsidRPr="00A970C5">
        <w:rPr>
          <w:rFonts w:eastAsia="Times New Roman" w:cs="Arial"/>
          <w:bCs/>
          <w:szCs w:val="20"/>
          <w:lang w:eastAsia="en-US"/>
        </w:rPr>
        <w:t xml:space="preserve"> le système de gestion de la révision;</w:t>
      </w:r>
    </w:p>
    <w:p w14:paraId="0819CFCC" w14:textId="77777777" w:rsidR="003F24B1" w:rsidRPr="00A970C5" w:rsidRDefault="003F24B1" w:rsidP="00986700">
      <w:pPr>
        <w:ind w:left="567" w:hanging="567"/>
        <w:jc w:val="both"/>
        <w:rPr>
          <w:rFonts w:eastAsia="Times New Roman" w:cs="Arial"/>
          <w:bCs/>
          <w:szCs w:val="20"/>
          <w:lang w:eastAsia="en-US"/>
        </w:rPr>
      </w:pPr>
    </w:p>
    <w:p w14:paraId="61457DFA" w14:textId="0DDCDFEB"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Favoriser l’introduction</w:t>
      </w:r>
      <w:r w:rsidR="00FF403C" w:rsidRPr="00A970C5">
        <w:rPr>
          <w:rFonts w:eastAsia="Times New Roman" w:cs="Arial"/>
          <w:bCs/>
          <w:szCs w:val="20"/>
          <w:lang w:eastAsia="en-US"/>
        </w:rPr>
        <w:t xml:space="preserve"> dans la classification de Nice</w:t>
      </w:r>
      <w:r w:rsidRPr="00A970C5">
        <w:rPr>
          <w:rFonts w:eastAsia="Times New Roman" w:cs="Arial"/>
          <w:bCs/>
          <w:szCs w:val="20"/>
          <w:lang w:eastAsia="en-US"/>
        </w:rPr>
        <w:t xml:space="preserve"> de pratiques largement acceptées</w:t>
      </w:r>
      <w:r w:rsidR="00FF403C" w:rsidRPr="00A970C5">
        <w:rPr>
          <w:rFonts w:eastAsia="Times New Roman" w:cs="Arial"/>
          <w:bCs/>
          <w:szCs w:val="20"/>
          <w:lang w:eastAsia="en-US"/>
        </w:rPr>
        <w:t>,</w:t>
      </w:r>
      <w:r w:rsidRPr="00A970C5">
        <w:rPr>
          <w:rFonts w:eastAsia="Times New Roman" w:cs="Arial"/>
          <w:bCs/>
          <w:szCs w:val="20"/>
          <w:lang w:eastAsia="en-US"/>
        </w:rPr>
        <w:t xml:space="preserve"> grâce à la participation continue de l’OMPI aux initiatives de coopération régionale et internationale dans le domaine du classement des marques.</w:t>
      </w:r>
    </w:p>
    <w:p w14:paraId="41FEDADA" w14:textId="77777777" w:rsidR="003F24B1" w:rsidRPr="00A970C5" w:rsidRDefault="003F24B1" w:rsidP="00986700">
      <w:pPr>
        <w:tabs>
          <w:tab w:val="left" w:pos="3002"/>
        </w:tabs>
        <w:ind w:left="567" w:hanging="567"/>
        <w:jc w:val="both"/>
        <w:rPr>
          <w:rFonts w:eastAsia="Times New Roman" w:cs="Arial"/>
          <w:bCs/>
          <w:szCs w:val="20"/>
          <w:lang w:eastAsia="en-US"/>
        </w:rPr>
      </w:pPr>
    </w:p>
    <w:p w14:paraId="691EC0C6" w14:textId="30A2D9A8" w:rsidR="003F24B1" w:rsidRPr="00A970C5" w:rsidRDefault="003F24B1" w:rsidP="00986700">
      <w:pPr>
        <w:jc w:val="both"/>
        <w:rPr>
          <w:rFonts w:eastAsia="Times New Roman" w:cs="Arial"/>
          <w:bCs/>
          <w:szCs w:val="20"/>
          <w:lang w:eastAsia="en-US"/>
        </w:rPr>
      </w:pPr>
      <w:r w:rsidRPr="00A970C5">
        <w:rPr>
          <w:rFonts w:eastAsia="Times New Roman" w:cs="Arial"/>
          <w:bCs/>
          <w:szCs w:val="20"/>
          <w:u w:val="single"/>
          <w:lang w:eastAsia="en-US"/>
        </w:rPr>
        <w:t>Classification de Locarno (liste de produits aux fins de l’enregistrement des dessins et modèles industriels) et classification de Vienne (éléments figuratifs des marques)</w:t>
      </w:r>
    </w:p>
    <w:p w14:paraId="5BD65521" w14:textId="77777777" w:rsidR="003F24B1" w:rsidRPr="00A970C5" w:rsidRDefault="003F24B1" w:rsidP="00986700">
      <w:pPr>
        <w:ind w:left="567" w:hanging="567"/>
        <w:jc w:val="both"/>
        <w:rPr>
          <w:rFonts w:eastAsia="Times New Roman" w:cs="Arial"/>
          <w:bCs/>
          <w:szCs w:val="20"/>
          <w:lang w:eastAsia="en-US"/>
        </w:rPr>
      </w:pPr>
    </w:p>
    <w:p w14:paraId="488CADBA" w14:textId="12D3E82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 xml:space="preserve">Améliorer la classification de Locarno sous la direction du Comité d’experts de l’Union de Locarno afin d’accroître l’efficacité des recherches dans les bases de données relatives aux dessins et modèles, notamment en </w:t>
      </w:r>
      <w:r w:rsidR="00FF403C" w:rsidRPr="00A970C5">
        <w:rPr>
          <w:rFonts w:eastAsia="Times New Roman" w:cs="Arial"/>
          <w:bCs/>
          <w:szCs w:val="20"/>
          <w:lang w:eastAsia="en-US"/>
        </w:rPr>
        <w:t>perfectionna</w:t>
      </w:r>
      <w:r w:rsidRPr="00A970C5">
        <w:rPr>
          <w:rFonts w:eastAsia="Times New Roman" w:cs="Arial"/>
          <w:bCs/>
          <w:szCs w:val="20"/>
          <w:lang w:eastAsia="en-US"/>
        </w:rPr>
        <w:t>nt le système de gestion de la révision;</w:t>
      </w:r>
    </w:p>
    <w:p w14:paraId="57F19122" w14:textId="77777777" w:rsidR="003F24B1" w:rsidRPr="00A970C5" w:rsidRDefault="003F24B1" w:rsidP="00986700">
      <w:pPr>
        <w:ind w:left="567" w:hanging="567"/>
        <w:jc w:val="both"/>
        <w:rPr>
          <w:rFonts w:eastAsia="Times New Roman" w:cs="Arial"/>
          <w:bCs/>
          <w:szCs w:val="20"/>
          <w:lang w:eastAsia="en-US"/>
        </w:rPr>
      </w:pPr>
    </w:p>
    <w:p w14:paraId="6959BA03" w14:textId="7777777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Imaginer l’évolution future de la classification de Vienne sous l’égide du Comité d’experts de l’Union de Vienne après l’entrée en vigueur de la septième édition de la classification de Vienne le 1</w:t>
      </w:r>
      <w:r w:rsidRPr="00A970C5">
        <w:rPr>
          <w:rFonts w:eastAsia="Times New Roman" w:cs="Arial"/>
          <w:bCs/>
          <w:szCs w:val="20"/>
          <w:vertAlign w:val="superscript"/>
          <w:lang w:eastAsia="en-US"/>
        </w:rPr>
        <w:t>er</w:t>
      </w:r>
      <w:r w:rsidRPr="00A970C5">
        <w:rPr>
          <w:rFonts w:eastAsia="Times New Roman" w:cs="Arial"/>
          <w:bCs/>
          <w:szCs w:val="20"/>
          <w:lang w:eastAsia="en-US"/>
        </w:rPr>
        <w:t> janvier 2018.</w:t>
      </w:r>
    </w:p>
    <w:p w14:paraId="3241FE2D" w14:textId="77777777" w:rsidR="003F24B1" w:rsidRPr="00A970C5" w:rsidRDefault="003F24B1" w:rsidP="00986700">
      <w:pPr>
        <w:jc w:val="both"/>
        <w:rPr>
          <w:rFonts w:eastAsia="Times New Roman" w:cs="Arial"/>
          <w:bCs/>
          <w:szCs w:val="20"/>
          <w:lang w:eastAsia="en-US"/>
        </w:rPr>
      </w:pPr>
    </w:p>
    <w:p w14:paraId="28C0CC35" w14:textId="77777777" w:rsidR="003F24B1" w:rsidRPr="00A970C5" w:rsidRDefault="003F24B1" w:rsidP="00986700">
      <w:pPr>
        <w:jc w:val="both"/>
        <w:rPr>
          <w:rFonts w:eastAsia="Times New Roman" w:cs="Arial"/>
          <w:bCs/>
          <w:szCs w:val="20"/>
          <w:u w:val="single"/>
          <w:lang w:eastAsia="en-US"/>
        </w:rPr>
      </w:pPr>
      <w:r w:rsidRPr="00A970C5">
        <w:rPr>
          <w:rFonts w:eastAsia="Times New Roman" w:cs="Arial"/>
          <w:bCs/>
          <w:szCs w:val="20"/>
          <w:u w:val="single"/>
          <w:lang w:eastAsia="en-US"/>
        </w:rPr>
        <w:t>Normes de l’OMPI</w:t>
      </w:r>
    </w:p>
    <w:p w14:paraId="0766C827" w14:textId="77777777" w:rsidR="003F24B1" w:rsidRPr="00A970C5" w:rsidRDefault="003F24B1" w:rsidP="00986700">
      <w:pPr>
        <w:jc w:val="both"/>
        <w:rPr>
          <w:rFonts w:eastAsia="Times New Roman" w:cs="Arial"/>
          <w:bCs/>
          <w:szCs w:val="20"/>
          <w:lang w:eastAsia="en-US"/>
        </w:rPr>
      </w:pPr>
    </w:p>
    <w:p w14:paraId="0D192ACE" w14:textId="7777777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Travailler en coordination avec les offices de propriété intellectuelle afin de proposer des pratiques recommandées en matière de traitement, de transmission, d’échange, de diffusion et de partage des informations et de la documentation en matière de propriété intellectuelle grâce à l’élaboration et à la révision des normes de l’OMPI sous les auspices du Comité des normes de l’OMPI (CWS);</w:t>
      </w:r>
    </w:p>
    <w:p w14:paraId="198BE1E0" w14:textId="77777777" w:rsidR="003F24B1" w:rsidRPr="00A970C5" w:rsidRDefault="003F24B1" w:rsidP="00986700">
      <w:pPr>
        <w:ind w:left="567" w:hanging="567"/>
        <w:jc w:val="both"/>
        <w:rPr>
          <w:rFonts w:eastAsia="Times New Roman" w:cs="Arial"/>
          <w:bCs/>
          <w:szCs w:val="20"/>
          <w:lang w:eastAsia="en-US"/>
        </w:rPr>
      </w:pPr>
    </w:p>
    <w:p w14:paraId="26651B54" w14:textId="7777777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Élaborer un logiciel facilitant la mise en œuvre de la norme ST.26 de l’OMPI (présentation du listage des séquences de nucléotides et d’acides aminés);</w:t>
      </w:r>
    </w:p>
    <w:p w14:paraId="0FD62DE6" w14:textId="77777777" w:rsidR="003F24B1" w:rsidRPr="00A970C5" w:rsidRDefault="003F24B1" w:rsidP="00986700">
      <w:pPr>
        <w:ind w:left="567" w:hanging="567"/>
        <w:jc w:val="both"/>
        <w:rPr>
          <w:rFonts w:eastAsia="Times New Roman" w:cs="Arial"/>
          <w:bCs/>
          <w:szCs w:val="20"/>
          <w:lang w:eastAsia="en-US"/>
        </w:rPr>
      </w:pPr>
    </w:p>
    <w:p w14:paraId="26AB95DD" w14:textId="0B0E940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lastRenderedPageBreak/>
        <w:t>Collaborer avec les offices de propriété intellectuelle aux fins de la publication d’informations actualisées sur leurs pratiques concernant les normes de l’OMPI et</w:t>
      </w:r>
      <w:r w:rsidR="00FF403C" w:rsidRPr="00A970C5">
        <w:rPr>
          <w:rFonts w:eastAsia="Times New Roman" w:cs="Arial"/>
          <w:bCs/>
          <w:szCs w:val="20"/>
          <w:lang w:eastAsia="en-US"/>
        </w:rPr>
        <w:t>,</w:t>
      </w:r>
      <w:r w:rsidRPr="00A970C5">
        <w:rPr>
          <w:rFonts w:eastAsia="Times New Roman" w:cs="Arial"/>
          <w:bCs/>
          <w:szCs w:val="20"/>
          <w:lang w:eastAsia="en-US"/>
        </w:rPr>
        <w:t xml:space="preserve"> </w:t>
      </w:r>
      <w:r w:rsidR="00FF403C" w:rsidRPr="00A970C5">
        <w:rPr>
          <w:rFonts w:eastAsia="Times New Roman" w:cs="Arial"/>
          <w:bCs/>
          <w:szCs w:val="20"/>
          <w:lang w:eastAsia="en-US"/>
        </w:rPr>
        <w:t xml:space="preserve">s’ils le demandent, </w:t>
      </w:r>
      <w:r w:rsidRPr="00A970C5">
        <w:rPr>
          <w:rFonts w:eastAsia="Times New Roman" w:cs="Arial"/>
          <w:bCs/>
          <w:szCs w:val="20"/>
          <w:lang w:eastAsia="en-US"/>
        </w:rPr>
        <w:t>les aider à mettre en œuvre ces normes;</w:t>
      </w:r>
    </w:p>
    <w:p w14:paraId="1FA119CD" w14:textId="77777777" w:rsidR="003F24B1" w:rsidRPr="00A970C5" w:rsidRDefault="003F24B1" w:rsidP="00986700">
      <w:pPr>
        <w:ind w:left="567" w:hanging="567"/>
        <w:jc w:val="both"/>
        <w:rPr>
          <w:rFonts w:eastAsia="Times New Roman" w:cs="Arial"/>
          <w:bCs/>
          <w:szCs w:val="20"/>
          <w:lang w:eastAsia="en-US"/>
        </w:rPr>
      </w:pPr>
    </w:p>
    <w:p w14:paraId="02679123" w14:textId="77777777" w:rsidR="003F24B1" w:rsidRPr="00A970C5" w:rsidRDefault="003F24B1" w:rsidP="00986700">
      <w:pPr>
        <w:pStyle w:val="ListParagraph"/>
        <w:numPr>
          <w:ilvl w:val="0"/>
          <w:numId w:val="10"/>
        </w:numPr>
        <w:ind w:left="567" w:hanging="567"/>
        <w:jc w:val="both"/>
        <w:rPr>
          <w:rFonts w:eastAsia="Times New Roman" w:cs="Arial"/>
          <w:bCs/>
          <w:szCs w:val="20"/>
          <w:lang w:eastAsia="en-US"/>
        </w:rPr>
      </w:pPr>
      <w:r w:rsidRPr="00A970C5">
        <w:rPr>
          <w:rFonts w:eastAsia="Times New Roman" w:cs="Arial"/>
          <w:bCs/>
          <w:szCs w:val="20"/>
          <w:lang w:eastAsia="en-US"/>
        </w:rPr>
        <w:t>Fournir une formation axée sur la demande en matière d’utilisation des classifications et des normes, en particulier dans les pays en développement.</w:t>
      </w:r>
    </w:p>
    <w:p w14:paraId="5A37A003" w14:textId="77777777" w:rsidR="003F24B1" w:rsidRPr="00A970C5" w:rsidRDefault="003F24B1" w:rsidP="00986700">
      <w:pPr>
        <w:jc w:val="both"/>
        <w:rPr>
          <w:rFonts w:cs="Arial"/>
          <w:szCs w:val="20"/>
        </w:rPr>
      </w:pPr>
    </w:p>
    <w:p w14:paraId="23028B0E" w14:textId="77777777" w:rsidR="003F24B1" w:rsidRPr="00A970C5" w:rsidRDefault="003F24B1" w:rsidP="00986700">
      <w:pPr>
        <w:jc w:val="both"/>
        <w:rPr>
          <w:rFonts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87"/>
      </w:tblGrid>
      <w:tr w:rsidR="00A970C5" w:rsidRPr="00A970C5" w14:paraId="36BE8A16" w14:textId="77777777" w:rsidTr="003F24B1">
        <w:trPr>
          <w:cantSplit/>
        </w:trPr>
        <w:tc>
          <w:tcPr>
            <w:tcW w:w="9571" w:type="dxa"/>
            <w:tcBorders>
              <w:top w:val="nil"/>
              <w:left w:val="nil"/>
              <w:bottom w:val="nil"/>
              <w:right w:val="nil"/>
            </w:tcBorders>
            <w:shd w:val="clear" w:color="auto" w:fill="C6D9F1" w:themeFill="text2" w:themeFillTint="33"/>
            <w:vAlign w:val="center"/>
          </w:tcPr>
          <w:p w14:paraId="339D5B26" w14:textId="32A4EAB6" w:rsidR="003F24B1" w:rsidRPr="00A970C5" w:rsidRDefault="00E82B8A" w:rsidP="00E82B8A">
            <w:pPr>
              <w:keepNext/>
              <w:keepLines/>
              <w:jc w:val="center"/>
              <w:rPr>
                <w:rFonts w:eastAsia="Times New Roman" w:cs="Arial"/>
                <w:b/>
                <w:bCs/>
                <w:szCs w:val="20"/>
                <w:lang w:eastAsia="en-US"/>
              </w:rPr>
            </w:pPr>
            <w:r>
              <w:rPr>
                <w:rFonts w:eastAsia="Times New Roman" w:cs="Arial"/>
                <w:b/>
                <w:bCs/>
                <w:szCs w:val="20"/>
                <w:lang w:eastAsia="en-US"/>
              </w:rPr>
              <w:t>Collaboration interprogrammes</w:t>
            </w:r>
          </w:p>
        </w:tc>
      </w:tr>
    </w:tbl>
    <w:p w14:paraId="46C43A32" w14:textId="77777777" w:rsidR="003F24B1" w:rsidRPr="00A970C5" w:rsidRDefault="003F24B1" w:rsidP="00AF390D">
      <w:pPr>
        <w:keepNext/>
        <w:jc w:val="both"/>
        <w:rPr>
          <w:rFonts w:cs="Arial"/>
          <w:szCs w:val="20"/>
        </w:rPr>
      </w:pPr>
    </w:p>
    <w:p w14:paraId="29D4EC03" w14:textId="33871B6A" w:rsidR="003F24B1" w:rsidRPr="00A970C5" w:rsidRDefault="00AF390D" w:rsidP="00AF390D">
      <w:pPr>
        <w:jc w:val="center"/>
        <w:rPr>
          <w:rFonts w:cs="Arial"/>
          <w:szCs w:val="20"/>
        </w:rPr>
      </w:pPr>
      <w:r w:rsidRPr="00AF390D">
        <w:rPr>
          <w:noProof/>
          <w:lang w:val="en-US" w:eastAsia="en-US"/>
        </w:rPr>
        <w:drawing>
          <wp:inline distT="0" distB="0" distL="0" distR="0" wp14:anchorId="4317AA2F" wp14:editId="0E5D1E7C">
            <wp:extent cx="3903570" cy="3600000"/>
            <wp:effectExtent l="0" t="0" r="1905"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03570" cy="3600000"/>
                    </a:xfrm>
                    <a:prstGeom prst="rect">
                      <a:avLst/>
                    </a:prstGeom>
                    <a:noFill/>
                    <a:ln>
                      <a:noFill/>
                    </a:ln>
                  </pic:spPr>
                </pic:pic>
              </a:graphicData>
            </a:graphic>
          </wp:inline>
        </w:drawing>
      </w:r>
    </w:p>
    <w:p w14:paraId="686F05EE" w14:textId="77777777" w:rsidR="003F24B1" w:rsidRPr="00A970C5" w:rsidRDefault="003F24B1"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1"/>
        <w:gridCol w:w="4646"/>
      </w:tblGrid>
      <w:tr w:rsidR="00A970C5" w:rsidRPr="00A970C5" w14:paraId="1F8FD024" w14:textId="77777777" w:rsidTr="003F24B1">
        <w:trPr>
          <w:cantSplit/>
        </w:trPr>
        <w:tc>
          <w:tcPr>
            <w:tcW w:w="4785" w:type="dxa"/>
            <w:shd w:val="clear" w:color="auto" w:fill="C6D9F1" w:themeFill="text2" w:themeFillTint="33"/>
            <w:vAlign w:val="center"/>
          </w:tcPr>
          <w:p w14:paraId="0643694F" w14:textId="77777777" w:rsidR="003F24B1" w:rsidRPr="00A970C5" w:rsidRDefault="003F24B1" w:rsidP="00986700">
            <w:pPr>
              <w:jc w:val="center"/>
              <w:rPr>
                <w:rFonts w:cs="Arial"/>
                <w:b/>
                <w:bCs/>
                <w:sz w:val="18"/>
                <w:szCs w:val="18"/>
              </w:rPr>
            </w:pPr>
            <w:r w:rsidRPr="00A970C5">
              <w:rPr>
                <w:rFonts w:cs="Arial"/>
                <w:b/>
                <w:bCs/>
                <w:sz w:val="18"/>
                <w:szCs w:val="18"/>
              </w:rPr>
              <w:t>Risques</w:t>
            </w:r>
          </w:p>
        </w:tc>
        <w:tc>
          <w:tcPr>
            <w:tcW w:w="4786" w:type="dxa"/>
            <w:shd w:val="clear" w:color="auto" w:fill="C6D9F1" w:themeFill="text2" w:themeFillTint="33"/>
            <w:vAlign w:val="center"/>
          </w:tcPr>
          <w:p w14:paraId="632BBA1D" w14:textId="77777777" w:rsidR="003F24B1" w:rsidRPr="00A970C5" w:rsidRDefault="003F24B1" w:rsidP="00986700">
            <w:pPr>
              <w:jc w:val="center"/>
              <w:rPr>
                <w:rFonts w:cs="Arial"/>
                <w:b/>
                <w:bCs/>
                <w:sz w:val="18"/>
                <w:szCs w:val="18"/>
              </w:rPr>
            </w:pPr>
            <w:r w:rsidRPr="00A970C5">
              <w:rPr>
                <w:rFonts w:cs="Arial"/>
                <w:b/>
                <w:bCs/>
                <w:sz w:val="18"/>
                <w:szCs w:val="18"/>
              </w:rPr>
              <w:t>Mesures d’atténuation</w:t>
            </w:r>
          </w:p>
        </w:tc>
      </w:tr>
      <w:tr w:rsidR="00A970C5" w:rsidRPr="00A970C5" w14:paraId="26544176" w14:textId="77777777" w:rsidTr="003F24B1">
        <w:trPr>
          <w:cantSplit/>
        </w:trPr>
        <w:tc>
          <w:tcPr>
            <w:tcW w:w="4785" w:type="dxa"/>
            <w:shd w:val="clear" w:color="auto" w:fill="auto"/>
            <w:tcMar>
              <w:top w:w="57" w:type="dxa"/>
              <w:bottom w:w="57" w:type="dxa"/>
            </w:tcMar>
          </w:tcPr>
          <w:p w14:paraId="6B30B43E" w14:textId="38EDF9FE" w:rsidR="003F24B1" w:rsidRPr="00A970C5" w:rsidRDefault="003F24B1" w:rsidP="00986700">
            <w:pPr>
              <w:rPr>
                <w:rFonts w:cs="Arial"/>
                <w:sz w:val="16"/>
                <w:szCs w:val="16"/>
              </w:rPr>
            </w:pPr>
            <w:r w:rsidRPr="00A970C5">
              <w:rPr>
                <w:rFonts w:cs="Arial"/>
                <w:sz w:val="16"/>
                <w:szCs w:val="16"/>
              </w:rPr>
              <w:t xml:space="preserve">Divergences d’opinions entre groupes de pays </w:t>
            </w:r>
            <w:r w:rsidR="00FF403C" w:rsidRPr="00A970C5">
              <w:rPr>
                <w:rFonts w:cs="Arial"/>
                <w:sz w:val="16"/>
                <w:szCs w:val="16"/>
              </w:rPr>
              <w:t>entraînant une l</w:t>
            </w:r>
            <w:r w:rsidRPr="00A970C5">
              <w:rPr>
                <w:rFonts w:cs="Arial"/>
                <w:sz w:val="16"/>
                <w:szCs w:val="16"/>
              </w:rPr>
              <w:t>imitat</w:t>
            </w:r>
            <w:r w:rsidR="00FF403C" w:rsidRPr="00A970C5">
              <w:rPr>
                <w:rFonts w:cs="Arial"/>
                <w:sz w:val="16"/>
                <w:szCs w:val="16"/>
              </w:rPr>
              <w:t>ion de l</w:t>
            </w:r>
            <w:r w:rsidRPr="00A970C5">
              <w:rPr>
                <w:rFonts w:cs="Arial"/>
                <w:sz w:val="16"/>
                <w:szCs w:val="16"/>
              </w:rPr>
              <w:t>’amélioration technique des normes et des classifications.</w:t>
            </w:r>
          </w:p>
        </w:tc>
        <w:tc>
          <w:tcPr>
            <w:tcW w:w="4786" w:type="dxa"/>
            <w:shd w:val="clear" w:color="auto" w:fill="auto"/>
            <w:tcMar>
              <w:top w:w="57" w:type="dxa"/>
              <w:bottom w:w="57" w:type="dxa"/>
            </w:tcMar>
          </w:tcPr>
          <w:p w14:paraId="467F8D15" w14:textId="77777777" w:rsidR="003F24B1" w:rsidRPr="00A970C5" w:rsidRDefault="003F24B1" w:rsidP="00986700">
            <w:pPr>
              <w:rPr>
                <w:rFonts w:cs="Arial"/>
                <w:sz w:val="16"/>
                <w:szCs w:val="16"/>
              </w:rPr>
            </w:pPr>
            <w:r w:rsidRPr="00A970C5">
              <w:rPr>
                <w:rFonts w:cs="Arial"/>
                <w:sz w:val="16"/>
                <w:szCs w:val="20"/>
              </w:rPr>
              <w:t>Débattre des questions politiques et les résoudre en dehors des comités techniques.  Approfondir les débats techniques au sein des comités.  Contrôler la mise en œuvre de plans à long terme.</w:t>
            </w:r>
            <w:r w:rsidRPr="00A970C5">
              <w:rPr>
                <w:sz w:val="16"/>
              </w:rPr>
              <w:t xml:space="preserve"> </w:t>
            </w:r>
            <w:r w:rsidRPr="00A970C5">
              <w:rPr>
                <w:rFonts w:cs="Arial"/>
                <w:sz w:val="16"/>
                <w:szCs w:val="20"/>
              </w:rPr>
              <w:t xml:space="preserve"> </w:t>
            </w:r>
          </w:p>
        </w:tc>
      </w:tr>
      <w:tr w:rsidR="003F24B1" w:rsidRPr="00A970C5" w14:paraId="189DAE47" w14:textId="77777777" w:rsidTr="003F24B1">
        <w:trPr>
          <w:cantSplit/>
        </w:trPr>
        <w:tc>
          <w:tcPr>
            <w:tcW w:w="4785" w:type="dxa"/>
            <w:shd w:val="clear" w:color="auto" w:fill="auto"/>
            <w:tcMar>
              <w:top w:w="57" w:type="dxa"/>
              <w:bottom w:w="57" w:type="dxa"/>
            </w:tcMar>
          </w:tcPr>
          <w:p w14:paraId="096015C0" w14:textId="77777777" w:rsidR="003F24B1" w:rsidRPr="00A970C5" w:rsidRDefault="003F24B1" w:rsidP="00986700">
            <w:pPr>
              <w:rPr>
                <w:rFonts w:cs="Arial"/>
                <w:sz w:val="16"/>
                <w:szCs w:val="16"/>
              </w:rPr>
            </w:pPr>
          </w:p>
        </w:tc>
        <w:tc>
          <w:tcPr>
            <w:tcW w:w="4786" w:type="dxa"/>
            <w:shd w:val="clear" w:color="auto" w:fill="auto"/>
            <w:tcMar>
              <w:top w:w="57" w:type="dxa"/>
              <w:bottom w:w="57" w:type="dxa"/>
            </w:tcMar>
          </w:tcPr>
          <w:p w14:paraId="462F1DF9" w14:textId="77777777" w:rsidR="003F24B1" w:rsidRPr="00A970C5" w:rsidRDefault="003F24B1" w:rsidP="00986700">
            <w:pPr>
              <w:rPr>
                <w:rFonts w:cs="Arial"/>
                <w:sz w:val="16"/>
                <w:szCs w:val="16"/>
              </w:rPr>
            </w:pPr>
            <w:r w:rsidRPr="00A970C5">
              <w:rPr>
                <w:rFonts w:cs="Arial"/>
                <w:sz w:val="16"/>
                <w:szCs w:val="16"/>
              </w:rPr>
              <w:t>Organiser des missions de formation dans les pays en développement, notamment au niveau régional, afin de mieux faire connaître les classifications et les normes.  Prendre en considération les besoins régionaux en matière d’élaboration de classifications et de normes.</w:t>
            </w:r>
          </w:p>
        </w:tc>
      </w:tr>
    </w:tbl>
    <w:p w14:paraId="7433A4F1" w14:textId="77777777" w:rsidR="003F24B1" w:rsidRPr="00A970C5" w:rsidRDefault="003F24B1" w:rsidP="00986700">
      <w:pPr>
        <w:jc w:val="both"/>
        <w:rPr>
          <w:rFonts w:cs="Arial"/>
          <w:szCs w:val="20"/>
        </w:rPr>
      </w:pPr>
    </w:p>
    <w:p w14:paraId="7C4BB8DE" w14:textId="77777777" w:rsidR="003F24B1" w:rsidRPr="00A970C5" w:rsidRDefault="003F24B1"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15"/>
        <w:gridCol w:w="2321"/>
        <w:gridCol w:w="2337"/>
        <w:gridCol w:w="2314"/>
      </w:tblGrid>
      <w:tr w:rsidR="00A970C5" w:rsidRPr="00A970C5" w14:paraId="48B8FBF0" w14:textId="77777777" w:rsidTr="003F24B1">
        <w:trPr>
          <w:cantSplit/>
          <w:tblHeader/>
        </w:trPr>
        <w:tc>
          <w:tcPr>
            <w:tcW w:w="2392" w:type="dxa"/>
            <w:shd w:val="clear" w:color="000000" w:fill="C5D9F1"/>
            <w:tcMar>
              <w:top w:w="57" w:type="dxa"/>
            </w:tcMar>
            <w:vAlign w:val="center"/>
            <w:hideMark/>
          </w:tcPr>
          <w:p w14:paraId="00001EA7" w14:textId="77777777" w:rsidR="003F24B1" w:rsidRPr="00A970C5" w:rsidRDefault="003F24B1" w:rsidP="00986700">
            <w:pPr>
              <w:jc w:val="center"/>
              <w:rPr>
                <w:rFonts w:eastAsia="Times New Roman" w:cs="Arial"/>
                <w:b/>
                <w:bCs/>
                <w:sz w:val="18"/>
                <w:szCs w:val="18"/>
                <w:lang w:eastAsia="en-US"/>
              </w:rPr>
            </w:pPr>
            <w:r w:rsidRPr="00A970C5">
              <w:rPr>
                <w:rFonts w:eastAsia="Times New Roman" w:cs="Arial"/>
                <w:b/>
                <w:bCs/>
                <w:sz w:val="18"/>
                <w:szCs w:val="18"/>
                <w:lang w:eastAsia="en-US"/>
              </w:rPr>
              <w:t>Résultat escompté</w:t>
            </w:r>
          </w:p>
        </w:tc>
        <w:tc>
          <w:tcPr>
            <w:tcW w:w="2393" w:type="dxa"/>
            <w:shd w:val="clear" w:color="000000" w:fill="C5D9F1"/>
            <w:tcMar>
              <w:top w:w="57" w:type="dxa"/>
            </w:tcMar>
            <w:vAlign w:val="center"/>
            <w:hideMark/>
          </w:tcPr>
          <w:p w14:paraId="1FA4A5D7" w14:textId="77777777" w:rsidR="003F24B1" w:rsidRPr="00A970C5" w:rsidRDefault="003F24B1" w:rsidP="00986700">
            <w:pPr>
              <w:jc w:val="center"/>
              <w:rPr>
                <w:rFonts w:eastAsia="Times New Roman" w:cs="Arial"/>
                <w:b/>
                <w:bCs/>
                <w:sz w:val="18"/>
                <w:szCs w:val="18"/>
                <w:lang w:eastAsia="en-US"/>
              </w:rPr>
            </w:pPr>
            <w:r w:rsidRPr="00A970C5">
              <w:rPr>
                <w:rFonts w:eastAsia="Times New Roman" w:cs="Arial"/>
                <w:b/>
                <w:bCs/>
                <w:sz w:val="18"/>
                <w:szCs w:val="18"/>
                <w:lang w:eastAsia="en-US"/>
              </w:rPr>
              <w:t>Indicateurs d’exécution</w:t>
            </w:r>
          </w:p>
        </w:tc>
        <w:tc>
          <w:tcPr>
            <w:tcW w:w="2393" w:type="dxa"/>
            <w:shd w:val="clear" w:color="000000" w:fill="C5D9F1"/>
            <w:tcMar>
              <w:top w:w="57" w:type="dxa"/>
            </w:tcMar>
            <w:vAlign w:val="center"/>
            <w:hideMark/>
          </w:tcPr>
          <w:p w14:paraId="0A7AF34A" w14:textId="77777777" w:rsidR="003F24B1" w:rsidRPr="00A970C5" w:rsidRDefault="003F24B1" w:rsidP="00986700">
            <w:pPr>
              <w:jc w:val="center"/>
              <w:rPr>
                <w:rFonts w:eastAsia="Times New Roman" w:cs="Arial"/>
                <w:b/>
                <w:bCs/>
                <w:sz w:val="18"/>
                <w:szCs w:val="18"/>
                <w:lang w:eastAsia="en-US"/>
              </w:rPr>
            </w:pPr>
            <w:r w:rsidRPr="00A970C5">
              <w:rPr>
                <w:rFonts w:eastAsia="Times New Roman" w:cs="Arial"/>
                <w:b/>
                <w:bCs/>
                <w:sz w:val="18"/>
                <w:szCs w:val="18"/>
                <w:lang w:eastAsia="en-US"/>
              </w:rPr>
              <w:t>Niveaux de référence</w:t>
            </w:r>
          </w:p>
        </w:tc>
        <w:tc>
          <w:tcPr>
            <w:tcW w:w="2393" w:type="dxa"/>
            <w:shd w:val="clear" w:color="000000" w:fill="C5D9F1"/>
            <w:tcMar>
              <w:top w:w="57" w:type="dxa"/>
            </w:tcMar>
            <w:vAlign w:val="center"/>
            <w:hideMark/>
          </w:tcPr>
          <w:p w14:paraId="29D41867" w14:textId="77777777" w:rsidR="003F24B1" w:rsidRPr="00A970C5" w:rsidRDefault="003F24B1" w:rsidP="00986700">
            <w:pPr>
              <w:jc w:val="center"/>
              <w:rPr>
                <w:rFonts w:eastAsia="Times New Roman" w:cs="Arial"/>
                <w:b/>
                <w:bCs/>
                <w:sz w:val="18"/>
                <w:szCs w:val="18"/>
                <w:lang w:eastAsia="en-US"/>
              </w:rPr>
            </w:pPr>
            <w:r w:rsidRPr="00A970C5">
              <w:rPr>
                <w:rFonts w:eastAsia="Times New Roman" w:cs="Arial"/>
                <w:b/>
                <w:bCs/>
                <w:sz w:val="18"/>
                <w:szCs w:val="18"/>
                <w:lang w:eastAsia="en-US"/>
              </w:rPr>
              <w:t>Objectifs visés</w:t>
            </w:r>
          </w:p>
        </w:tc>
      </w:tr>
      <w:tr w:rsidR="00A970C5" w:rsidRPr="00A970C5" w14:paraId="3A0B3422" w14:textId="77777777" w:rsidTr="003F24B1">
        <w:trPr>
          <w:cantSplit/>
        </w:trPr>
        <w:tc>
          <w:tcPr>
            <w:tcW w:w="2392" w:type="dxa"/>
            <w:vMerge w:val="restart"/>
            <w:shd w:val="clear" w:color="000000" w:fill="FFFFFF"/>
            <w:tcMar>
              <w:top w:w="57" w:type="dxa"/>
            </w:tcMar>
            <w:hideMark/>
          </w:tcPr>
          <w:p w14:paraId="7BA5FBD4"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IV.1 Système actualisé et mondialement accepté des classifications internationales et des normes de l’OMPI pour faciliter l’accès des parties prenantes du monde entier à l’information en matière de propriété intellectuelle, ainsi que son utilisation et sa diffusion</w:t>
            </w:r>
          </w:p>
          <w:p w14:paraId="29BAE575" w14:textId="77777777" w:rsidR="003F24B1" w:rsidRPr="00A970C5" w:rsidRDefault="003F24B1" w:rsidP="00986700">
            <w:pPr>
              <w:jc w:val="right"/>
              <w:rPr>
                <w:rFonts w:eastAsia="Times New Roman" w:cs="Arial"/>
                <w:sz w:val="16"/>
                <w:szCs w:val="16"/>
                <w:lang w:eastAsia="en-US"/>
              </w:rPr>
            </w:pPr>
          </w:p>
        </w:tc>
        <w:tc>
          <w:tcPr>
            <w:tcW w:w="2393" w:type="dxa"/>
            <w:shd w:val="clear" w:color="000000" w:fill="FFFFFF"/>
            <w:tcMar>
              <w:top w:w="57" w:type="dxa"/>
            </w:tcMar>
            <w:hideMark/>
          </w:tcPr>
          <w:p w14:paraId="020193A6"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Nombre de modifications et de dossiers d’information introduits dans la classification de Nice</w:t>
            </w:r>
          </w:p>
        </w:tc>
        <w:tc>
          <w:tcPr>
            <w:tcW w:w="2393" w:type="dxa"/>
            <w:shd w:val="clear" w:color="000000" w:fill="FFFFFF"/>
            <w:tcMar>
              <w:top w:w="57" w:type="dxa"/>
            </w:tcMar>
            <w:hideMark/>
          </w:tcPr>
          <w:p w14:paraId="1189E820" w14:textId="3FD2951B"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1213 modifications ont été introduites dans la classification de Nice</w:t>
            </w:r>
            <w:r w:rsidRPr="00A970C5">
              <w:rPr>
                <w:rFonts w:eastAsia="Times New Roman" w:cs="Arial"/>
                <w:sz w:val="16"/>
                <w:szCs w:val="16"/>
                <w:lang w:eastAsia="en-US"/>
              </w:rPr>
              <w:br/>
              <w:t>(11</w:t>
            </w:r>
            <w:r w:rsidR="00B441CA">
              <w:rPr>
                <w:rFonts w:eastAsia="Times New Roman" w:cs="Arial"/>
                <w:sz w:val="16"/>
                <w:szCs w:val="16"/>
                <w:lang w:eastAsia="en-US"/>
              </w:rPr>
              <w:noBreakHyphen/>
            </w:r>
            <w:r w:rsidRPr="00A970C5">
              <w:rPr>
                <w:rFonts w:eastAsia="Times New Roman" w:cs="Arial"/>
                <w:sz w:val="16"/>
                <w:szCs w:val="16"/>
                <w:lang w:eastAsia="en-US"/>
              </w:rPr>
              <w:t>2017)</w:t>
            </w:r>
            <w:r w:rsidRPr="00A970C5">
              <w:rPr>
                <w:rFonts w:eastAsia="Times New Roman" w:cs="Arial"/>
                <w:sz w:val="16"/>
                <w:szCs w:val="16"/>
                <w:lang w:eastAsia="en-US"/>
              </w:rPr>
              <w:br/>
              <w:t>(2016)</w:t>
            </w:r>
            <w:r w:rsidRPr="00A970C5">
              <w:rPr>
                <w:rFonts w:eastAsia="Times New Roman" w:cs="Arial"/>
                <w:sz w:val="16"/>
                <w:szCs w:val="16"/>
                <w:lang w:eastAsia="en-US"/>
              </w:rPr>
              <w:br/>
              <w:t>32 nouveaux dossiers d’information ont été introduits (2016)</w:t>
            </w:r>
          </w:p>
        </w:tc>
        <w:tc>
          <w:tcPr>
            <w:tcW w:w="2393" w:type="dxa"/>
            <w:shd w:val="clear" w:color="000000" w:fill="FFFFFF"/>
            <w:tcMar>
              <w:top w:w="57" w:type="dxa"/>
            </w:tcMar>
            <w:hideMark/>
          </w:tcPr>
          <w:p w14:paraId="729ADC88" w14:textId="33FA84D2" w:rsidR="003F24B1" w:rsidRPr="00A970C5" w:rsidRDefault="00FF403C" w:rsidP="00986700">
            <w:pPr>
              <w:rPr>
                <w:rFonts w:eastAsia="Times New Roman" w:cs="Arial"/>
                <w:sz w:val="16"/>
                <w:szCs w:val="16"/>
                <w:lang w:eastAsia="en-US"/>
              </w:rPr>
            </w:pPr>
            <w:r w:rsidRPr="00A970C5">
              <w:rPr>
                <w:rFonts w:eastAsia="Times New Roman" w:cs="Arial"/>
                <w:sz w:val="16"/>
                <w:szCs w:val="16"/>
                <w:lang w:eastAsia="en-US"/>
              </w:rPr>
              <w:t>Rester aux niveaux de 2016</w:t>
            </w:r>
            <w:r w:rsidR="00B441CA">
              <w:rPr>
                <w:rFonts w:eastAsia="Times New Roman" w:cs="Arial"/>
                <w:sz w:val="16"/>
                <w:szCs w:val="16"/>
                <w:lang w:eastAsia="en-US"/>
              </w:rPr>
              <w:noBreakHyphen/>
            </w:r>
            <w:r w:rsidR="003F24B1" w:rsidRPr="00A970C5">
              <w:rPr>
                <w:rFonts w:eastAsia="Times New Roman" w:cs="Arial"/>
                <w:sz w:val="16"/>
                <w:szCs w:val="16"/>
                <w:lang w:eastAsia="en-US"/>
              </w:rPr>
              <w:t xml:space="preserve">2017 </w:t>
            </w:r>
          </w:p>
        </w:tc>
      </w:tr>
      <w:tr w:rsidR="00A970C5" w:rsidRPr="00A970C5" w14:paraId="21A9599C" w14:textId="77777777" w:rsidTr="003F24B1">
        <w:trPr>
          <w:cantSplit/>
        </w:trPr>
        <w:tc>
          <w:tcPr>
            <w:tcW w:w="2392" w:type="dxa"/>
            <w:vMerge/>
            <w:shd w:val="clear" w:color="000000" w:fill="FFFFFF"/>
            <w:tcMar>
              <w:top w:w="57" w:type="dxa"/>
            </w:tcMar>
            <w:vAlign w:val="bottom"/>
            <w:hideMark/>
          </w:tcPr>
          <w:p w14:paraId="5ADBD763" w14:textId="77777777" w:rsidR="003F24B1" w:rsidRPr="00A970C5" w:rsidRDefault="003F24B1" w:rsidP="00986700">
            <w:pPr>
              <w:jc w:val="right"/>
              <w:rPr>
                <w:rFonts w:eastAsia="Times New Roman" w:cs="Arial"/>
                <w:sz w:val="16"/>
                <w:szCs w:val="16"/>
                <w:lang w:eastAsia="en-US"/>
              </w:rPr>
            </w:pPr>
          </w:p>
        </w:tc>
        <w:tc>
          <w:tcPr>
            <w:tcW w:w="2393" w:type="dxa"/>
            <w:shd w:val="clear" w:color="000000" w:fill="FFFFFF"/>
            <w:tcMar>
              <w:top w:w="57" w:type="dxa"/>
            </w:tcMar>
            <w:hideMark/>
          </w:tcPr>
          <w:p w14:paraId="3EE2E567"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Nombre de modifications introduites dans la CIB</w:t>
            </w:r>
          </w:p>
        </w:tc>
        <w:tc>
          <w:tcPr>
            <w:tcW w:w="2393" w:type="dxa"/>
            <w:shd w:val="clear" w:color="000000" w:fill="FFFFFF"/>
            <w:tcMar>
              <w:top w:w="57" w:type="dxa"/>
            </w:tcMar>
            <w:hideMark/>
          </w:tcPr>
          <w:p w14:paraId="21878499"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1463 modifications ont été introduites dans la version 2017.01 de la CIB (2016)</w:t>
            </w:r>
          </w:p>
        </w:tc>
        <w:tc>
          <w:tcPr>
            <w:tcW w:w="2393" w:type="dxa"/>
            <w:shd w:val="clear" w:color="000000" w:fill="FFFFFF"/>
            <w:tcMar>
              <w:top w:w="57" w:type="dxa"/>
            </w:tcMar>
            <w:hideMark/>
          </w:tcPr>
          <w:p w14:paraId="66F6B5CD" w14:textId="4A35D76C" w:rsidR="003F24B1" w:rsidRPr="00A970C5" w:rsidRDefault="00FF403C" w:rsidP="00986700">
            <w:pPr>
              <w:rPr>
                <w:rFonts w:eastAsia="Times New Roman" w:cs="Arial"/>
                <w:sz w:val="16"/>
                <w:szCs w:val="16"/>
                <w:lang w:eastAsia="en-US"/>
              </w:rPr>
            </w:pPr>
            <w:r w:rsidRPr="00A970C5">
              <w:rPr>
                <w:rFonts w:eastAsia="Times New Roman" w:cs="Arial"/>
                <w:sz w:val="16"/>
                <w:szCs w:val="16"/>
                <w:lang w:eastAsia="en-US"/>
              </w:rPr>
              <w:t>Rester aux niveaux de 2016</w:t>
            </w:r>
            <w:r w:rsidR="00B441CA">
              <w:rPr>
                <w:rFonts w:eastAsia="Times New Roman" w:cs="Arial"/>
                <w:sz w:val="16"/>
                <w:szCs w:val="16"/>
                <w:lang w:eastAsia="en-US"/>
              </w:rPr>
              <w:noBreakHyphen/>
            </w:r>
            <w:r w:rsidR="003F24B1" w:rsidRPr="00A970C5">
              <w:rPr>
                <w:rFonts w:eastAsia="Times New Roman" w:cs="Arial"/>
                <w:sz w:val="16"/>
                <w:szCs w:val="16"/>
                <w:lang w:eastAsia="en-US"/>
              </w:rPr>
              <w:t>2017</w:t>
            </w:r>
          </w:p>
        </w:tc>
      </w:tr>
      <w:tr w:rsidR="00A970C5" w:rsidRPr="00A970C5" w14:paraId="0081341A" w14:textId="77777777" w:rsidTr="003F24B1">
        <w:trPr>
          <w:cantSplit/>
        </w:trPr>
        <w:tc>
          <w:tcPr>
            <w:tcW w:w="2392" w:type="dxa"/>
            <w:vMerge/>
            <w:shd w:val="clear" w:color="000000" w:fill="FFFFFF"/>
            <w:tcMar>
              <w:top w:w="57" w:type="dxa"/>
            </w:tcMar>
            <w:vAlign w:val="bottom"/>
            <w:hideMark/>
          </w:tcPr>
          <w:p w14:paraId="78DF6ADE" w14:textId="77777777" w:rsidR="003F24B1" w:rsidRPr="00A970C5" w:rsidRDefault="003F24B1" w:rsidP="00986700">
            <w:pPr>
              <w:rPr>
                <w:rFonts w:eastAsia="Times New Roman" w:cs="Arial"/>
                <w:sz w:val="16"/>
                <w:szCs w:val="16"/>
                <w:lang w:eastAsia="en-US"/>
              </w:rPr>
            </w:pPr>
          </w:p>
        </w:tc>
        <w:tc>
          <w:tcPr>
            <w:tcW w:w="2393" w:type="dxa"/>
            <w:shd w:val="clear" w:color="000000" w:fill="FFFFFF"/>
            <w:tcMar>
              <w:top w:w="57" w:type="dxa"/>
            </w:tcMar>
            <w:hideMark/>
          </w:tcPr>
          <w:p w14:paraId="5B33799C"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Nombre de normes modifiées ou de nouvelles normes adoptées </w:t>
            </w:r>
          </w:p>
          <w:p w14:paraId="3EC096EE" w14:textId="77777777" w:rsidR="003F24B1" w:rsidRPr="00A970C5" w:rsidRDefault="003F24B1" w:rsidP="00986700">
            <w:pPr>
              <w:rPr>
                <w:rFonts w:eastAsia="Times New Roman" w:cs="Arial"/>
                <w:sz w:val="16"/>
                <w:szCs w:val="16"/>
                <w:lang w:eastAsia="en-US"/>
              </w:rPr>
            </w:pPr>
          </w:p>
          <w:p w14:paraId="2E13C581" w14:textId="60CD4AEF"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Préparation réussie du passage à la norme ST.26</w:t>
            </w:r>
          </w:p>
        </w:tc>
        <w:tc>
          <w:tcPr>
            <w:tcW w:w="2393" w:type="dxa"/>
            <w:shd w:val="clear" w:color="000000" w:fill="FFFFFF"/>
            <w:tcMar>
              <w:top w:w="57" w:type="dxa"/>
            </w:tcMar>
            <w:hideMark/>
          </w:tcPr>
          <w:p w14:paraId="0B612B60"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2 nouvelles normes et 4 révisions de normes (2016)</w:t>
            </w:r>
          </w:p>
          <w:p w14:paraId="3A72CD0A" w14:textId="77777777" w:rsidR="003F24B1" w:rsidRPr="00A970C5" w:rsidRDefault="003F24B1" w:rsidP="00986700">
            <w:pPr>
              <w:rPr>
                <w:rFonts w:eastAsia="Times New Roman" w:cs="Arial"/>
                <w:sz w:val="16"/>
                <w:szCs w:val="16"/>
                <w:lang w:eastAsia="en-US"/>
              </w:rPr>
            </w:pPr>
          </w:p>
          <w:p w14:paraId="478CAD45" w14:textId="12762B9F"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Aucun office n’a </w:t>
            </w:r>
            <w:r w:rsidR="00FF403C" w:rsidRPr="00A970C5">
              <w:rPr>
                <w:rFonts w:eastAsia="Times New Roman" w:cs="Arial"/>
                <w:sz w:val="16"/>
                <w:szCs w:val="16"/>
                <w:lang w:eastAsia="en-US"/>
              </w:rPr>
              <w:t>entam</w:t>
            </w:r>
            <w:r w:rsidRPr="00A970C5">
              <w:rPr>
                <w:rFonts w:eastAsia="Times New Roman" w:cs="Arial"/>
                <w:sz w:val="16"/>
                <w:szCs w:val="16"/>
                <w:lang w:eastAsia="en-US"/>
              </w:rPr>
              <w:t xml:space="preserve">é </w:t>
            </w:r>
            <w:r w:rsidR="00FF403C" w:rsidRPr="00A970C5">
              <w:rPr>
                <w:rFonts w:eastAsia="Times New Roman" w:cs="Arial"/>
                <w:sz w:val="16"/>
                <w:szCs w:val="16"/>
                <w:lang w:eastAsia="en-US"/>
              </w:rPr>
              <w:t>de</w:t>
            </w:r>
            <w:r w:rsidRPr="00A970C5">
              <w:rPr>
                <w:rFonts w:eastAsia="Times New Roman" w:cs="Arial"/>
                <w:sz w:val="16"/>
                <w:szCs w:val="16"/>
                <w:lang w:eastAsia="en-US"/>
              </w:rPr>
              <w:t xml:space="preserve"> prépar</w:t>
            </w:r>
            <w:r w:rsidR="00FF403C" w:rsidRPr="00A970C5">
              <w:rPr>
                <w:rFonts w:eastAsia="Times New Roman" w:cs="Arial"/>
                <w:sz w:val="16"/>
                <w:szCs w:val="16"/>
                <w:lang w:eastAsia="en-US"/>
              </w:rPr>
              <w:t>atifs en vue de</w:t>
            </w:r>
            <w:r w:rsidRPr="00A970C5">
              <w:rPr>
                <w:rFonts w:eastAsia="Times New Roman" w:cs="Arial"/>
                <w:sz w:val="16"/>
                <w:szCs w:val="16"/>
                <w:lang w:eastAsia="en-US"/>
              </w:rPr>
              <w:t xml:space="preserve"> l’utilisation de l’outil relatif à la norme ST.26 </w:t>
            </w:r>
          </w:p>
        </w:tc>
        <w:tc>
          <w:tcPr>
            <w:tcW w:w="2393" w:type="dxa"/>
            <w:shd w:val="clear" w:color="000000" w:fill="FFFFFF"/>
            <w:tcMar>
              <w:top w:w="57" w:type="dxa"/>
            </w:tcMar>
            <w:hideMark/>
          </w:tcPr>
          <w:p w14:paraId="2957BA02"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3 normes modifiées ou nouvelles normes</w:t>
            </w:r>
          </w:p>
          <w:p w14:paraId="62A3A5A4" w14:textId="77777777" w:rsidR="003F24B1" w:rsidRPr="00A970C5" w:rsidRDefault="003F24B1" w:rsidP="00986700">
            <w:pPr>
              <w:rPr>
                <w:rFonts w:eastAsia="Times New Roman" w:cs="Arial"/>
                <w:sz w:val="16"/>
                <w:szCs w:val="16"/>
                <w:lang w:eastAsia="en-US"/>
              </w:rPr>
            </w:pPr>
          </w:p>
          <w:p w14:paraId="7AE00DE0" w14:textId="690CE1C3"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10 offices </w:t>
            </w:r>
            <w:r w:rsidR="00FF403C" w:rsidRPr="00A970C5">
              <w:rPr>
                <w:rFonts w:eastAsia="Times New Roman" w:cs="Arial"/>
                <w:sz w:val="16"/>
                <w:szCs w:val="16"/>
                <w:lang w:eastAsia="en-US"/>
              </w:rPr>
              <w:t>entam</w:t>
            </w:r>
            <w:r w:rsidRPr="00A970C5">
              <w:rPr>
                <w:rFonts w:eastAsia="Times New Roman" w:cs="Arial"/>
                <w:sz w:val="16"/>
                <w:szCs w:val="16"/>
                <w:lang w:eastAsia="en-US"/>
              </w:rPr>
              <w:t xml:space="preserve">ent </w:t>
            </w:r>
            <w:r w:rsidR="00FF403C" w:rsidRPr="00A970C5">
              <w:rPr>
                <w:rFonts w:eastAsia="Times New Roman" w:cs="Arial"/>
                <w:sz w:val="16"/>
                <w:szCs w:val="16"/>
                <w:lang w:eastAsia="en-US"/>
              </w:rPr>
              <w:t>des</w:t>
            </w:r>
            <w:r w:rsidRPr="00A970C5">
              <w:rPr>
                <w:rFonts w:eastAsia="Times New Roman" w:cs="Arial"/>
                <w:sz w:val="16"/>
                <w:szCs w:val="16"/>
                <w:lang w:eastAsia="en-US"/>
              </w:rPr>
              <w:t xml:space="preserve"> prépar</w:t>
            </w:r>
            <w:r w:rsidR="00FF403C" w:rsidRPr="00A970C5">
              <w:rPr>
                <w:rFonts w:eastAsia="Times New Roman" w:cs="Arial"/>
                <w:sz w:val="16"/>
                <w:szCs w:val="16"/>
                <w:lang w:eastAsia="en-US"/>
              </w:rPr>
              <w:t>atifs</w:t>
            </w:r>
            <w:r w:rsidRPr="00A970C5">
              <w:rPr>
                <w:rFonts w:eastAsia="Times New Roman" w:cs="Arial"/>
                <w:sz w:val="16"/>
                <w:szCs w:val="16"/>
                <w:lang w:eastAsia="en-US"/>
              </w:rPr>
              <w:t xml:space="preserve"> </w:t>
            </w:r>
            <w:r w:rsidR="00FF403C" w:rsidRPr="00A970C5">
              <w:rPr>
                <w:rFonts w:eastAsia="Times New Roman" w:cs="Arial"/>
                <w:sz w:val="16"/>
                <w:szCs w:val="16"/>
                <w:lang w:eastAsia="en-US"/>
              </w:rPr>
              <w:t xml:space="preserve">en vue de </w:t>
            </w:r>
            <w:r w:rsidRPr="00A970C5">
              <w:rPr>
                <w:rFonts w:eastAsia="Times New Roman" w:cs="Arial"/>
                <w:sz w:val="16"/>
                <w:szCs w:val="16"/>
                <w:lang w:eastAsia="en-US"/>
              </w:rPr>
              <w:t xml:space="preserve">l’utilisation de l’outil relatif à la norme ST.26 </w:t>
            </w:r>
          </w:p>
        </w:tc>
      </w:tr>
      <w:tr w:rsidR="00A970C5" w:rsidRPr="00A970C5" w14:paraId="1193B27E" w14:textId="77777777" w:rsidTr="003F24B1">
        <w:trPr>
          <w:cantSplit/>
        </w:trPr>
        <w:tc>
          <w:tcPr>
            <w:tcW w:w="2392" w:type="dxa"/>
            <w:shd w:val="clear" w:color="000000" w:fill="FFFFFF"/>
            <w:tcMar>
              <w:top w:w="57" w:type="dxa"/>
            </w:tcMar>
            <w:vAlign w:val="bottom"/>
            <w:hideMark/>
          </w:tcPr>
          <w:p w14:paraId="77B8884F" w14:textId="77777777" w:rsidR="003F24B1" w:rsidRPr="00A970C5" w:rsidRDefault="003F24B1" w:rsidP="00986700">
            <w:pPr>
              <w:jc w:val="right"/>
              <w:rPr>
                <w:rFonts w:eastAsia="Times New Roman" w:cs="Arial"/>
                <w:sz w:val="16"/>
                <w:szCs w:val="16"/>
                <w:lang w:eastAsia="en-US"/>
              </w:rPr>
            </w:pPr>
            <w:r w:rsidRPr="00A970C5">
              <w:rPr>
                <w:rFonts w:eastAsia="Times New Roman" w:cs="Arial"/>
                <w:sz w:val="16"/>
                <w:szCs w:val="16"/>
                <w:lang w:eastAsia="en-US"/>
              </w:rPr>
              <w:t> </w:t>
            </w:r>
          </w:p>
        </w:tc>
        <w:tc>
          <w:tcPr>
            <w:tcW w:w="2393" w:type="dxa"/>
            <w:shd w:val="clear" w:color="000000" w:fill="FFFFFF"/>
            <w:tcMar>
              <w:top w:w="57" w:type="dxa"/>
            </w:tcMar>
            <w:hideMark/>
          </w:tcPr>
          <w:p w14:paraId="7D5227BF"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Nombre d’utilisateurs consultant les publications sur l’Internet des classifications internationales et des normes, notamment dans les pays en développement</w:t>
            </w:r>
          </w:p>
        </w:tc>
        <w:tc>
          <w:tcPr>
            <w:tcW w:w="2393" w:type="dxa"/>
            <w:shd w:val="clear" w:color="000000" w:fill="FFFFFF"/>
            <w:tcMar>
              <w:top w:w="57" w:type="dxa"/>
            </w:tcMar>
            <w:hideMark/>
          </w:tcPr>
          <w:p w14:paraId="648CFC67"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Page d’accueil de la CIB : </w:t>
            </w:r>
            <w:r w:rsidRPr="00A970C5">
              <w:rPr>
                <w:rFonts w:eastAsia="Times New Roman" w:cs="Arial"/>
                <w:sz w:val="16"/>
                <w:szCs w:val="16"/>
                <w:lang w:eastAsia="en-US"/>
              </w:rPr>
              <w:br/>
              <w:t>324 981 visites dont 114 068 en provenance de pays en développement</w:t>
            </w:r>
          </w:p>
          <w:p w14:paraId="371BB22E" w14:textId="77777777" w:rsidR="003F24B1" w:rsidRPr="00A970C5" w:rsidRDefault="003F24B1" w:rsidP="00986700">
            <w:pPr>
              <w:rPr>
                <w:rFonts w:eastAsia="Times New Roman" w:cs="Arial"/>
                <w:sz w:val="16"/>
                <w:szCs w:val="16"/>
                <w:lang w:eastAsia="en-US"/>
              </w:rPr>
            </w:pPr>
          </w:p>
          <w:p w14:paraId="53CBC917" w14:textId="0FBBEA64"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Publication de la CIB : </w:t>
            </w:r>
            <w:r w:rsidRPr="00A970C5">
              <w:rPr>
                <w:rFonts w:eastAsia="Times New Roman" w:cs="Arial"/>
                <w:sz w:val="16"/>
                <w:szCs w:val="16"/>
                <w:lang w:eastAsia="en-US"/>
              </w:rPr>
              <w:br/>
              <w:t>1 386 029 visites dont 539 165 en provenance de pays en développement</w:t>
            </w:r>
          </w:p>
        </w:tc>
        <w:tc>
          <w:tcPr>
            <w:tcW w:w="2393" w:type="dxa"/>
            <w:shd w:val="clear" w:color="000000" w:fill="FFFFFF"/>
            <w:tcMar>
              <w:top w:w="57" w:type="dxa"/>
            </w:tcMar>
            <w:hideMark/>
          </w:tcPr>
          <w:p w14:paraId="4BEE5730" w14:textId="350970BB" w:rsidR="003F24B1" w:rsidRPr="00A970C5" w:rsidRDefault="00FF403C" w:rsidP="00986700">
            <w:pPr>
              <w:rPr>
                <w:rFonts w:eastAsia="Times New Roman" w:cs="Arial"/>
                <w:sz w:val="16"/>
                <w:szCs w:val="16"/>
                <w:lang w:eastAsia="en-US"/>
              </w:rPr>
            </w:pPr>
            <w:r w:rsidRPr="00A970C5">
              <w:rPr>
                <w:rFonts w:eastAsia="Times New Roman" w:cs="Arial"/>
                <w:sz w:val="16"/>
                <w:szCs w:val="16"/>
                <w:lang w:eastAsia="en-US"/>
              </w:rPr>
              <w:t>Rester aux</w:t>
            </w:r>
            <w:r w:rsidR="003F24B1" w:rsidRPr="00A970C5">
              <w:rPr>
                <w:rFonts w:eastAsia="Times New Roman" w:cs="Arial"/>
                <w:sz w:val="16"/>
                <w:szCs w:val="16"/>
                <w:lang w:eastAsia="en-US"/>
              </w:rPr>
              <w:t xml:space="preserve"> niveaux de référence</w:t>
            </w:r>
            <w:r w:rsidR="003F24B1" w:rsidRPr="00A970C5">
              <w:rPr>
                <w:rFonts w:eastAsia="Times New Roman" w:cs="Arial"/>
                <w:sz w:val="16"/>
                <w:szCs w:val="16"/>
                <w:lang w:eastAsia="en-US"/>
              </w:rPr>
              <w:br/>
              <w:t>(annuels)</w:t>
            </w:r>
          </w:p>
        </w:tc>
      </w:tr>
      <w:tr w:rsidR="00A970C5" w:rsidRPr="00A970C5" w14:paraId="3587A27D" w14:textId="77777777" w:rsidTr="003F24B1">
        <w:trPr>
          <w:cantSplit/>
        </w:trPr>
        <w:tc>
          <w:tcPr>
            <w:tcW w:w="2392" w:type="dxa"/>
            <w:shd w:val="clear" w:color="000000" w:fill="FFFFFF"/>
            <w:tcMar>
              <w:top w:w="57" w:type="dxa"/>
            </w:tcMar>
            <w:vAlign w:val="bottom"/>
          </w:tcPr>
          <w:p w14:paraId="6A334E62" w14:textId="77777777" w:rsidR="003F24B1" w:rsidRPr="00A970C5" w:rsidRDefault="003F24B1" w:rsidP="00986700">
            <w:pPr>
              <w:jc w:val="right"/>
              <w:rPr>
                <w:rFonts w:eastAsia="Times New Roman" w:cs="Arial"/>
                <w:sz w:val="16"/>
                <w:szCs w:val="16"/>
                <w:lang w:eastAsia="en-US"/>
              </w:rPr>
            </w:pPr>
          </w:p>
        </w:tc>
        <w:tc>
          <w:tcPr>
            <w:tcW w:w="2393" w:type="dxa"/>
            <w:shd w:val="clear" w:color="000000" w:fill="FFFFFF"/>
            <w:tcMar>
              <w:top w:w="57" w:type="dxa"/>
            </w:tcMar>
          </w:tcPr>
          <w:p w14:paraId="4D52F1CC" w14:textId="77777777" w:rsidR="003F24B1" w:rsidRPr="00A970C5" w:rsidRDefault="003F24B1" w:rsidP="00986700">
            <w:pPr>
              <w:rPr>
                <w:rFonts w:eastAsia="Times New Roman" w:cs="Arial"/>
                <w:sz w:val="16"/>
                <w:szCs w:val="16"/>
                <w:lang w:eastAsia="en-US"/>
              </w:rPr>
            </w:pPr>
          </w:p>
        </w:tc>
        <w:tc>
          <w:tcPr>
            <w:tcW w:w="2393" w:type="dxa"/>
            <w:shd w:val="clear" w:color="000000" w:fill="FFFFFF"/>
            <w:tcMar>
              <w:top w:w="57" w:type="dxa"/>
            </w:tcMar>
          </w:tcPr>
          <w:p w14:paraId="62EA4F11"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Page d’accueil de la classification de Nice : </w:t>
            </w:r>
            <w:r w:rsidRPr="00A970C5">
              <w:rPr>
                <w:rFonts w:eastAsia="Times New Roman" w:cs="Arial"/>
                <w:sz w:val="16"/>
                <w:szCs w:val="16"/>
                <w:lang w:eastAsia="en-US"/>
              </w:rPr>
              <w:br/>
              <w:t>529 804 visites dont 247 418 en provenance de pays en développement</w:t>
            </w:r>
          </w:p>
          <w:p w14:paraId="545E8EB9" w14:textId="77777777" w:rsidR="003F24B1" w:rsidRPr="00A970C5" w:rsidRDefault="003F24B1" w:rsidP="00986700">
            <w:pPr>
              <w:rPr>
                <w:rFonts w:eastAsia="Times New Roman" w:cs="Arial"/>
                <w:sz w:val="16"/>
                <w:szCs w:val="16"/>
                <w:lang w:eastAsia="en-US"/>
              </w:rPr>
            </w:pPr>
          </w:p>
          <w:p w14:paraId="0213040B" w14:textId="51E835A3"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Publication de la classification de Nice : </w:t>
            </w:r>
            <w:r w:rsidRPr="00A970C5">
              <w:rPr>
                <w:rFonts w:eastAsia="Times New Roman" w:cs="Arial"/>
                <w:sz w:val="16"/>
                <w:szCs w:val="16"/>
                <w:lang w:eastAsia="en-US"/>
              </w:rPr>
              <w:br/>
              <w:t>3 767 636 visites dont 1 936 565 en provenance de pays en développement</w:t>
            </w:r>
          </w:p>
        </w:tc>
        <w:tc>
          <w:tcPr>
            <w:tcW w:w="2393" w:type="dxa"/>
            <w:shd w:val="clear" w:color="000000" w:fill="FFFFFF"/>
            <w:tcMar>
              <w:top w:w="57" w:type="dxa"/>
            </w:tcMar>
          </w:tcPr>
          <w:p w14:paraId="2E8EC0CF" w14:textId="77777777" w:rsidR="003F24B1" w:rsidRPr="00A970C5" w:rsidRDefault="003F24B1" w:rsidP="00986700">
            <w:pPr>
              <w:rPr>
                <w:rFonts w:eastAsia="Times New Roman" w:cs="Arial"/>
                <w:sz w:val="16"/>
                <w:szCs w:val="16"/>
                <w:lang w:eastAsia="en-US"/>
              </w:rPr>
            </w:pPr>
          </w:p>
        </w:tc>
      </w:tr>
      <w:tr w:rsidR="00A970C5" w:rsidRPr="00A970C5" w14:paraId="1CC3D53E" w14:textId="77777777" w:rsidTr="003F24B1">
        <w:trPr>
          <w:cantSplit/>
        </w:trPr>
        <w:tc>
          <w:tcPr>
            <w:tcW w:w="2392" w:type="dxa"/>
            <w:shd w:val="clear" w:color="000000" w:fill="FFFFFF"/>
            <w:tcMar>
              <w:top w:w="57" w:type="dxa"/>
            </w:tcMar>
            <w:vAlign w:val="bottom"/>
          </w:tcPr>
          <w:p w14:paraId="2F71655C" w14:textId="77777777" w:rsidR="003F24B1" w:rsidRPr="00A970C5" w:rsidRDefault="003F24B1" w:rsidP="00986700">
            <w:pPr>
              <w:jc w:val="right"/>
              <w:rPr>
                <w:rFonts w:eastAsia="Times New Roman" w:cs="Arial"/>
                <w:sz w:val="16"/>
                <w:szCs w:val="16"/>
                <w:lang w:eastAsia="en-US"/>
              </w:rPr>
            </w:pPr>
          </w:p>
        </w:tc>
        <w:tc>
          <w:tcPr>
            <w:tcW w:w="2393" w:type="dxa"/>
            <w:shd w:val="clear" w:color="000000" w:fill="FFFFFF"/>
            <w:tcMar>
              <w:top w:w="57" w:type="dxa"/>
            </w:tcMar>
          </w:tcPr>
          <w:p w14:paraId="2C4A4CFF" w14:textId="77777777" w:rsidR="003F24B1" w:rsidRPr="00A970C5" w:rsidRDefault="003F24B1" w:rsidP="00986700">
            <w:pPr>
              <w:rPr>
                <w:rFonts w:eastAsia="Times New Roman" w:cs="Arial"/>
                <w:sz w:val="16"/>
                <w:szCs w:val="16"/>
                <w:lang w:eastAsia="en-US"/>
              </w:rPr>
            </w:pPr>
          </w:p>
        </w:tc>
        <w:tc>
          <w:tcPr>
            <w:tcW w:w="2393" w:type="dxa"/>
            <w:shd w:val="clear" w:color="000000" w:fill="FFFFFF"/>
            <w:tcMar>
              <w:top w:w="57" w:type="dxa"/>
            </w:tcMar>
          </w:tcPr>
          <w:p w14:paraId="7D6C8622"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Page d’accueil de la classification de Locarno : </w:t>
            </w:r>
            <w:r w:rsidRPr="00A970C5">
              <w:rPr>
                <w:rFonts w:eastAsia="Times New Roman" w:cs="Arial"/>
                <w:sz w:val="16"/>
                <w:szCs w:val="16"/>
                <w:lang w:eastAsia="en-US"/>
              </w:rPr>
              <w:br/>
              <w:t>46 719 visites dont 16 123 en provenance de pays en développement</w:t>
            </w:r>
          </w:p>
          <w:p w14:paraId="30E9E40B" w14:textId="77777777" w:rsidR="003F24B1" w:rsidRPr="00A970C5" w:rsidRDefault="003F24B1" w:rsidP="00986700">
            <w:pPr>
              <w:rPr>
                <w:rFonts w:eastAsia="Times New Roman" w:cs="Arial"/>
                <w:sz w:val="16"/>
                <w:szCs w:val="16"/>
                <w:lang w:eastAsia="en-US"/>
              </w:rPr>
            </w:pPr>
          </w:p>
          <w:p w14:paraId="39788C8F" w14:textId="25D19485" w:rsidR="003F24B1" w:rsidRPr="00A970C5" w:rsidRDefault="003F24B1" w:rsidP="000B1950">
            <w:pPr>
              <w:rPr>
                <w:rFonts w:eastAsia="Times New Roman" w:cs="Arial"/>
                <w:sz w:val="16"/>
                <w:szCs w:val="16"/>
                <w:lang w:eastAsia="en-US"/>
              </w:rPr>
            </w:pPr>
            <w:r w:rsidRPr="00A970C5">
              <w:rPr>
                <w:rFonts w:eastAsia="Times New Roman" w:cs="Arial"/>
                <w:sz w:val="16"/>
                <w:szCs w:val="16"/>
                <w:lang w:eastAsia="en-US"/>
              </w:rPr>
              <w:t>Publication de la classification de Locarno :</w:t>
            </w:r>
            <w:r w:rsidRPr="00A970C5">
              <w:rPr>
                <w:rFonts w:eastAsia="Times New Roman" w:cs="Arial"/>
                <w:sz w:val="16"/>
                <w:szCs w:val="16"/>
                <w:lang w:eastAsia="en-US"/>
              </w:rPr>
              <w:br/>
              <w:t xml:space="preserve">À déterminer </w:t>
            </w:r>
          </w:p>
        </w:tc>
        <w:tc>
          <w:tcPr>
            <w:tcW w:w="2393" w:type="dxa"/>
            <w:shd w:val="clear" w:color="000000" w:fill="FFFFFF"/>
            <w:tcMar>
              <w:top w:w="57" w:type="dxa"/>
            </w:tcMar>
          </w:tcPr>
          <w:p w14:paraId="60B50D15" w14:textId="77777777" w:rsidR="003F24B1" w:rsidRPr="00A970C5" w:rsidRDefault="003F24B1" w:rsidP="00986700">
            <w:pPr>
              <w:rPr>
                <w:rFonts w:eastAsia="Times New Roman" w:cs="Arial"/>
                <w:sz w:val="16"/>
                <w:szCs w:val="16"/>
                <w:lang w:eastAsia="en-US"/>
              </w:rPr>
            </w:pPr>
          </w:p>
        </w:tc>
      </w:tr>
      <w:tr w:rsidR="00A970C5" w:rsidRPr="00A970C5" w14:paraId="2CFA383F" w14:textId="77777777" w:rsidTr="003F24B1">
        <w:trPr>
          <w:cantSplit/>
        </w:trPr>
        <w:tc>
          <w:tcPr>
            <w:tcW w:w="2392" w:type="dxa"/>
            <w:shd w:val="clear" w:color="000000" w:fill="FFFFFF"/>
            <w:tcMar>
              <w:top w:w="57" w:type="dxa"/>
            </w:tcMar>
            <w:vAlign w:val="bottom"/>
          </w:tcPr>
          <w:p w14:paraId="1FD8739B" w14:textId="77777777" w:rsidR="003F24B1" w:rsidRPr="00A970C5" w:rsidRDefault="003F24B1" w:rsidP="00986700">
            <w:pPr>
              <w:jc w:val="right"/>
              <w:rPr>
                <w:rFonts w:eastAsia="Times New Roman" w:cs="Arial"/>
                <w:sz w:val="16"/>
                <w:szCs w:val="16"/>
                <w:lang w:eastAsia="en-US"/>
              </w:rPr>
            </w:pPr>
          </w:p>
        </w:tc>
        <w:tc>
          <w:tcPr>
            <w:tcW w:w="2393" w:type="dxa"/>
            <w:shd w:val="clear" w:color="000000" w:fill="FFFFFF"/>
            <w:tcMar>
              <w:top w:w="57" w:type="dxa"/>
            </w:tcMar>
          </w:tcPr>
          <w:p w14:paraId="4DD7D11B" w14:textId="77777777" w:rsidR="003F24B1" w:rsidRPr="00A970C5" w:rsidRDefault="003F24B1" w:rsidP="00986700">
            <w:pPr>
              <w:rPr>
                <w:rFonts w:eastAsia="Times New Roman" w:cs="Arial"/>
                <w:sz w:val="16"/>
                <w:szCs w:val="16"/>
                <w:lang w:eastAsia="en-US"/>
              </w:rPr>
            </w:pPr>
          </w:p>
        </w:tc>
        <w:tc>
          <w:tcPr>
            <w:tcW w:w="2393" w:type="dxa"/>
            <w:shd w:val="clear" w:color="000000" w:fill="FFFFFF"/>
            <w:tcMar>
              <w:top w:w="57" w:type="dxa"/>
            </w:tcMar>
          </w:tcPr>
          <w:p w14:paraId="475CE940" w14:textId="77777777"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Page d’accueil de la classification de Vienne : </w:t>
            </w:r>
            <w:r w:rsidRPr="00A970C5">
              <w:rPr>
                <w:rFonts w:eastAsia="Times New Roman" w:cs="Arial"/>
                <w:sz w:val="16"/>
                <w:szCs w:val="16"/>
                <w:lang w:eastAsia="en-US"/>
              </w:rPr>
              <w:br/>
              <w:t>36 902 visites (6,0%) dont 19 078 (41,2%) en provenance de pays en développement</w:t>
            </w:r>
          </w:p>
          <w:p w14:paraId="3E14E09B" w14:textId="77777777" w:rsidR="003F24B1" w:rsidRPr="00A970C5" w:rsidRDefault="003F24B1" w:rsidP="00986700">
            <w:pPr>
              <w:rPr>
                <w:rFonts w:eastAsia="Times New Roman" w:cs="Arial"/>
                <w:sz w:val="16"/>
                <w:szCs w:val="16"/>
                <w:lang w:eastAsia="en-US"/>
              </w:rPr>
            </w:pPr>
          </w:p>
          <w:p w14:paraId="18CD1448" w14:textId="64C02F78"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Publication de la classification de Vienne :</w:t>
            </w:r>
            <w:r w:rsidRPr="00A970C5">
              <w:rPr>
                <w:rFonts w:eastAsia="Times New Roman" w:cs="Arial"/>
                <w:sz w:val="16"/>
                <w:szCs w:val="16"/>
                <w:lang w:eastAsia="en-US"/>
              </w:rPr>
              <w:br/>
              <w:t xml:space="preserve">À déterminer </w:t>
            </w:r>
          </w:p>
          <w:p w14:paraId="3F992C45" w14:textId="77777777" w:rsidR="003F24B1" w:rsidRPr="00A970C5" w:rsidRDefault="003F24B1" w:rsidP="00986700">
            <w:pPr>
              <w:rPr>
                <w:rFonts w:eastAsia="Times New Roman" w:cs="Arial"/>
                <w:sz w:val="16"/>
                <w:szCs w:val="16"/>
                <w:lang w:eastAsia="en-US"/>
              </w:rPr>
            </w:pPr>
          </w:p>
          <w:p w14:paraId="6B7DE3CE" w14:textId="0E8FD98A" w:rsidR="003F24B1" w:rsidRPr="00A970C5" w:rsidRDefault="003F24B1" w:rsidP="00986700">
            <w:pPr>
              <w:rPr>
                <w:rFonts w:eastAsia="Times New Roman" w:cs="Arial"/>
                <w:sz w:val="16"/>
                <w:szCs w:val="16"/>
                <w:lang w:eastAsia="en-US"/>
              </w:rPr>
            </w:pPr>
            <w:r w:rsidRPr="00A970C5">
              <w:rPr>
                <w:rFonts w:eastAsia="Times New Roman" w:cs="Arial"/>
                <w:sz w:val="16"/>
                <w:szCs w:val="16"/>
                <w:lang w:eastAsia="en-US"/>
              </w:rPr>
              <w:t xml:space="preserve">Normes de l’OMPI (Manuel) : </w:t>
            </w:r>
            <w:r w:rsidRPr="00A970C5">
              <w:rPr>
                <w:rFonts w:eastAsia="Times New Roman" w:cs="Arial"/>
                <w:sz w:val="16"/>
                <w:szCs w:val="16"/>
                <w:lang w:eastAsia="en-US"/>
              </w:rPr>
              <w:br/>
              <w:t>70 115 visites dont 28 467 en provenance de pays en développement</w:t>
            </w:r>
            <w:r w:rsidRPr="00A970C5">
              <w:rPr>
                <w:rFonts w:eastAsia="Times New Roman" w:cs="Arial"/>
                <w:sz w:val="16"/>
                <w:szCs w:val="16"/>
                <w:lang w:eastAsia="en-US"/>
              </w:rPr>
              <w:br/>
              <w:t>(fin 2016)</w:t>
            </w:r>
          </w:p>
        </w:tc>
        <w:tc>
          <w:tcPr>
            <w:tcW w:w="2393" w:type="dxa"/>
            <w:shd w:val="clear" w:color="000000" w:fill="FFFFFF"/>
            <w:tcMar>
              <w:top w:w="57" w:type="dxa"/>
            </w:tcMar>
          </w:tcPr>
          <w:p w14:paraId="57993E5C" w14:textId="77777777" w:rsidR="003F24B1" w:rsidRPr="00A970C5" w:rsidRDefault="003F24B1" w:rsidP="00986700">
            <w:pPr>
              <w:rPr>
                <w:rFonts w:eastAsia="Times New Roman" w:cs="Arial"/>
                <w:sz w:val="16"/>
                <w:szCs w:val="16"/>
                <w:lang w:eastAsia="en-US"/>
              </w:rPr>
            </w:pPr>
          </w:p>
        </w:tc>
      </w:tr>
    </w:tbl>
    <w:p w14:paraId="164CA726" w14:textId="77777777" w:rsidR="003F24B1" w:rsidRPr="00A970C5" w:rsidRDefault="003F24B1"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4062C5E9" w14:textId="77777777" w:rsidTr="001A722F">
        <w:trPr>
          <w:cantSplit/>
        </w:trPr>
        <w:tc>
          <w:tcPr>
            <w:tcW w:w="9571" w:type="dxa"/>
            <w:shd w:val="clear" w:color="auto" w:fill="C6D9F1" w:themeFill="text2" w:themeFillTint="33"/>
            <w:vAlign w:val="center"/>
          </w:tcPr>
          <w:p w14:paraId="38376677" w14:textId="77777777" w:rsidR="00277197" w:rsidRPr="00821D15" w:rsidRDefault="00277197" w:rsidP="00986700">
            <w:pPr>
              <w:jc w:val="center"/>
              <w:rPr>
                <w:rFonts w:cs="Arial"/>
                <w:b/>
                <w:szCs w:val="20"/>
              </w:rPr>
            </w:pPr>
            <w:r w:rsidRPr="00821D15">
              <w:rPr>
                <w:rFonts w:cs="Arial"/>
                <w:b/>
                <w:szCs w:val="20"/>
              </w:rPr>
              <w:t>Ressources allouées au programme 12</w:t>
            </w:r>
          </w:p>
        </w:tc>
      </w:tr>
    </w:tbl>
    <w:p w14:paraId="284F5DF4" w14:textId="77777777" w:rsidR="00277197" w:rsidRPr="00821D15" w:rsidRDefault="00277197" w:rsidP="00986700">
      <w:pPr>
        <w:rPr>
          <w:rFonts w:cs="Arial"/>
          <w:szCs w:val="20"/>
        </w:rPr>
      </w:pPr>
    </w:p>
    <w:p w14:paraId="07D4191C" w14:textId="77777777" w:rsidR="00277197" w:rsidRPr="00821D15" w:rsidRDefault="00277197" w:rsidP="00616FD3">
      <w:pPr>
        <w:pStyle w:val="ListParagraph"/>
        <w:numPr>
          <w:ilvl w:val="0"/>
          <w:numId w:val="74"/>
        </w:numPr>
        <w:ind w:left="0" w:firstLine="0"/>
        <w:jc w:val="both"/>
        <w:rPr>
          <w:rFonts w:cs="Arial"/>
          <w:szCs w:val="20"/>
        </w:rPr>
      </w:pPr>
      <w:r w:rsidRPr="00821D15">
        <w:rPr>
          <w:rFonts w:cs="Arial"/>
          <w:szCs w:val="20"/>
        </w:rPr>
        <w:t>On peut observer une augmentation de 2,1% des ressources globales allouées au programme en 2018</w:t>
      </w:r>
      <w:r w:rsidRPr="00821D15">
        <w:rPr>
          <w:rFonts w:cs="Arial"/>
          <w:szCs w:val="20"/>
        </w:rPr>
        <w:noBreakHyphen/>
        <w:t>2019 par rapport au budget approuvé pour 2016</w:t>
      </w:r>
      <w:r w:rsidRPr="00821D15">
        <w:rPr>
          <w:rFonts w:cs="Arial"/>
          <w:szCs w:val="20"/>
        </w:rPr>
        <w:noBreakHyphen/>
        <w:t>2017.</w:t>
      </w:r>
    </w:p>
    <w:p w14:paraId="6ED3F4E0" w14:textId="77777777" w:rsidR="00277197" w:rsidRPr="00821D15" w:rsidRDefault="00277197" w:rsidP="00986700">
      <w:pPr>
        <w:rPr>
          <w:rFonts w:cs="Arial"/>
          <w:szCs w:val="20"/>
        </w:rPr>
      </w:pPr>
    </w:p>
    <w:p w14:paraId="54662DEF" w14:textId="77777777" w:rsidR="00277197" w:rsidRPr="00821D15" w:rsidRDefault="00277197" w:rsidP="00616FD3">
      <w:pPr>
        <w:pStyle w:val="ListParagraph"/>
        <w:numPr>
          <w:ilvl w:val="0"/>
          <w:numId w:val="74"/>
        </w:numPr>
        <w:ind w:left="0" w:firstLine="0"/>
        <w:jc w:val="both"/>
        <w:rPr>
          <w:rFonts w:cs="Arial"/>
          <w:szCs w:val="20"/>
        </w:rPr>
      </w:pPr>
      <w:r w:rsidRPr="00821D15">
        <w:rPr>
          <w:rFonts w:cs="Arial"/>
          <w:szCs w:val="20"/>
        </w:rPr>
        <w:t>L’augmentation des dépenses autres que les dépenses de personnel résulte d’une provision supplémentaire pour l’élaboration d’un outil informatique destiné à la mise en œuvre de la norme ST.26 de l’OMPI.</w:t>
      </w:r>
    </w:p>
    <w:p w14:paraId="6EFD0DB3" w14:textId="77777777" w:rsidR="00277197" w:rsidRPr="00821D15" w:rsidRDefault="00277197" w:rsidP="00986700">
      <w:pPr>
        <w:rPr>
          <w:rFonts w:cs="Arial"/>
          <w:szCs w:val="20"/>
        </w:rPr>
      </w:pPr>
    </w:p>
    <w:p w14:paraId="7D039119" w14:textId="77777777" w:rsidR="00277197" w:rsidRPr="00821D15" w:rsidRDefault="00277197" w:rsidP="00616FD3">
      <w:pPr>
        <w:pStyle w:val="ListParagraph"/>
        <w:numPr>
          <w:ilvl w:val="0"/>
          <w:numId w:val="74"/>
        </w:numPr>
        <w:ind w:left="0" w:firstLine="0"/>
        <w:jc w:val="both"/>
        <w:rPr>
          <w:rFonts w:cs="Arial"/>
          <w:szCs w:val="20"/>
        </w:rPr>
      </w:pPr>
      <w:r w:rsidRPr="00821D15">
        <w:rPr>
          <w:rFonts w:cs="Arial"/>
          <w:szCs w:val="20"/>
        </w:rPr>
        <w:t>La diminution des dépenses de personnel résulte de la diminution du personnel de soutien, partiellement compensée par la professionnalisation d’un fonctionnaire chargé de la publication des normes de l’OMPI (reclassification d’un poste).</w:t>
      </w:r>
    </w:p>
    <w:p w14:paraId="15B5239D" w14:textId="77777777" w:rsidR="003F24B1" w:rsidRPr="00A970C5" w:rsidRDefault="003F24B1" w:rsidP="00986700">
      <w:pPr>
        <w:jc w:val="both"/>
        <w:rPr>
          <w:rFonts w:cs="Arial"/>
          <w:szCs w:val="20"/>
        </w:rPr>
      </w:pPr>
    </w:p>
    <w:p w14:paraId="4C52B8B8" w14:textId="4055377D"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12 : </w:t>
      </w:r>
      <w:r w:rsidRPr="00674550">
        <w:rPr>
          <w:rFonts w:eastAsia="Times New Roman" w:cs="Arial"/>
          <w:b/>
          <w:szCs w:val="20"/>
          <w:lang w:eastAsia="en-US"/>
        </w:rPr>
        <w:t>Ressources par résultat</w:t>
      </w:r>
    </w:p>
    <w:p w14:paraId="1C85492E"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BC8C39A" w14:textId="77777777" w:rsidR="00717231" w:rsidRDefault="00717231" w:rsidP="00986700">
      <w:pPr>
        <w:keepNext/>
      </w:pPr>
    </w:p>
    <w:p w14:paraId="300497D4" w14:textId="37E40621" w:rsidR="00717231" w:rsidRDefault="00717231" w:rsidP="00986700">
      <w:pPr>
        <w:jc w:val="center"/>
      </w:pPr>
      <w:r w:rsidRPr="00717231">
        <w:rPr>
          <w:noProof/>
          <w:lang w:val="en-US" w:eastAsia="en-US"/>
        </w:rPr>
        <w:drawing>
          <wp:inline distT="0" distB="0" distL="0" distR="0" wp14:anchorId="24CBEF77" wp14:editId="1325BCC2">
            <wp:extent cx="5400000" cy="1369014"/>
            <wp:effectExtent l="0" t="0" r="0" b="317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70DFC6CA" w14:textId="77777777" w:rsidR="00B55ECC" w:rsidRDefault="00B55ECC" w:rsidP="00986700"/>
    <w:p w14:paraId="25CA644E" w14:textId="5BF8719A" w:rsidR="008778B5"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12</w:t>
      </w:r>
      <w:r w:rsidRPr="00B55ECC">
        <w:rPr>
          <w:rFonts w:asciiTheme="minorBidi" w:eastAsia="Times New Roman" w:hAnsiTheme="minorBidi"/>
          <w:b/>
          <w:sz w:val="18"/>
          <w:szCs w:val="18"/>
          <w:lang w:eastAsia="en-US"/>
        </w:rPr>
        <w:t xml:space="preserve"> : Ressources </w:t>
      </w:r>
      <w:r w:rsidR="008778B5" w:rsidRPr="00B55ECC">
        <w:rPr>
          <w:rFonts w:asciiTheme="minorBidi" w:eastAsia="Times New Roman" w:hAnsiTheme="minorBidi"/>
          <w:b/>
          <w:sz w:val="18"/>
          <w:szCs w:val="18"/>
          <w:lang w:eastAsia="en-US"/>
        </w:rPr>
        <w:t xml:space="preserve">par </w:t>
      </w:r>
      <w:r w:rsidR="0027684D">
        <w:rPr>
          <w:rFonts w:asciiTheme="minorBidi" w:eastAsia="Times New Roman" w:hAnsiTheme="minorBidi"/>
          <w:b/>
          <w:sz w:val="18"/>
          <w:szCs w:val="18"/>
          <w:lang w:eastAsia="en-US"/>
        </w:rPr>
        <w:t>objet</w:t>
      </w:r>
      <w:r w:rsidR="008778B5" w:rsidRPr="00B55ECC">
        <w:rPr>
          <w:rFonts w:asciiTheme="minorBidi" w:eastAsia="Times New Roman" w:hAnsiTheme="minorBidi"/>
          <w:b/>
          <w:sz w:val="18"/>
          <w:szCs w:val="18"/>
          <w:lang w:eastAsia="en-US"/>
        </w:rPr>
        <w:t xml:space="preserve"> de dépense</w:t>
      </w:r>
    </w:p>
    <w:p w14:paraId="6076C0CD" w14:textId="77777777" w:rsidR="008778B5" w:rsidRDefault="008778B5"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46CF68B7" w14:textId="77777777" w:rsidR="008778B5" w:rsidRDefault="008778B5" w:rsidP="00986700">
      <w:pPr>
        <w:keepNext/>
        <w:rPr>
          <w:lang w:eastAsia="en-US"/>
        </w:rPr>
      </w:pPr>
    </w:p>
    <w:p w14:paraId="2A1079E2" w14:textId="2940E0D2" w:rsidR="00B55ECC" w:rsidRDefault="008778B5" w:rsidP="00986700">
      <w:pPr>
        <w:jc w:val="center"/>
        <w:rPr>
          <w:lang w:eastAsia="en-US"/>
        </w:rPr>
      </w:pPr>
      <w:r w:rsidRPr="008778B5">
        <w:rPr>
          <w:noProof/>
          <w:lang w:val="en-US" w:eastAsia="en-US"/>
        </w:rPr>
        <w:drawing>
          <wp:inline distT="0" distB="0" distL="0" distR="0" wp14:anchorId="052DEBB9" wp14:editId="1FF1B324">
            <wp:extent cx="5400000" cy="6031770"/>
            <wp:effectExtent l="0" t="0" r="0" b="762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5520A3CC" w14:textId="77777777" w:rsidR="00B55ECC" w:rsidRPr="00E16214" w:rsidRDefault="00B55ECC" w:rsidP="00986700">
      <w:pPr>
        <w:rPr>
          <w:lang w:eastAsia="en-US"/>
        </w:rPr>
      </w:pPr>
    </w:p>
    <w:p w14:paraId="0282FB62" w14:textId="75F2A0E9" w:rsidR="003F24B1" w:rsidRDefault="003F24B1" w:rsidP="00986700">
      <w:pPr>
        <w:rPr>
          <w:rFonts w:eastAsia="SimSun" w:cs="Arial"/>
          <w:b/>
          <w:bCs/>
          <w:caps/>
          <w:kern w:val="32"/>
          <w:sz w:val="22"/>
          <w:szCs w:val="32"/>
          <w:lang w:eastAsia="en-US"/>
        </w:rPr>
      </w:pPr>
      <w:r>
        <w:br w:type="page"/>
      </w:r>
    </w:p>
    <w:p w14:paraId="7370E0F0" w14:textId="62F4E2AA" w:rsidR="005723BD" w:rsidRPr="005723BD" w:rsidRDefault="005723BD" w:rsidP="00986700">
      <w:pPr>
        <w:pStyle w:val="Heading2"/>
      </w:pPr>
      <w:bookmarkStart w:id="54" w:name="_Toc482979493"/>
      <w:r w:rsidRPr="005723BD">
        <w:lastRenderedPageBreak/>
        <w:t>Programme 13</w:t>
      </w:r>
      <w:r w:rsidRPr="005723BD">
        <w:tab/>
        <w:t>Service des bases de données mondiales</w:t>
      </w:r>
      <w:bookmarkEnd w:id="54"/>
    </w:p>
    <w:p w14:paraId="4C724BC7" w14:textId="77777777" w:rsidR="005723BD" w:rsidRPr="00220D5A" w:rsidRDefault="005723BD" w:rsidP="00986700">
      <w:pPr>
        <w:pStyle w:val="StyleHeading3ComplexItalic"/>
        <w:rPr>
          <w:rStyle w:val="StyleStyleHeading3ComplexItalicLatin12ptChar"/>
          <w:rFonts w:eastAsia="SimSun"/>
          <w:szCs w:val="20"/>
          <w:lang w:val="fr-CH"/>
        </w:rPr>
      </w:pPr>
    </w:p>
    <w:p w14:paraId="57D1DD0B" w14:textId="77777777" w:rsidR="005723BD" w:rsidRPr="00220D5A" w:rsidRDefault="005723BD" w:rsidP="00986700">
      <w:pPr>
        <w:tabs>
          <w:tab w:val="left" w:pos="1701"/>
        </w:tabs>
        <w:rPr>
          <w:rFonts w:cs="Arial"/>
          <w:bCs/>
          <w:iCs/>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5723BD" w:rsidRPr="00F27A62" w14:paraId="60E6811F" w14:textId="77777777" w:rsidTr="00CB2022">
        <w:trPr>
          <w:cantSplit/>
        </w:trPr>
        <w:tc>
          <w:tcPr>
            <w:tcW w:w="9287" w:type="dxa"/>
            <w:shd w:val="clear" w:color="auto" w:fill="C6D9F1" w:themeFill="text2" w:themeFillTint="33"/>
            <w:vAlign w:val="center"/>
          </w:tcPr>
          <w:p w14:paraId="2919E157" w14:textId="77777777" w:rsidR="005723BD" w:rsidRPr="00220D5A" w:rsidRDefault="005723BD" w:rsidP="00986700">
            <w:pPr>
              <w:keepNext/>
              <w:keepLines/>
              <w:jc w:val="center"/>
              <w:rPr>
                <w:rFonts w:eastAsia="Times New Roman" w:cs="Arial"/>
                <w:b/>
                <w:bCs/>
                <w:szCs w:val="20"/>
                <w:lang w:val="fr-CH" w:eastAsia="en-US"/>
              </w:rPr>
            </w:pPr>
            <w:r w:rsidRPr="00220D5A">
              <w:rPr>
                <w:rFonts w:eastAsia="Times New Roman" w:cs="Arial"/>
                <w:b/>
                <w:bCs/>
                <w:szCs w:val="20"/>
                <w:lang w:val="fr-CH" w:eastAsia="en-US"/>
              </w:rPr>
              <w:t>Stratégies de mise en œuvre</w:t>
            </w:r>
          </w:p>
        </w:tc>
      </w:tr>
    </w:tbl>
    <w:p w14:paraId="05F47D26" w14:textId="39F26C7D" w:rsidR="005723BD" w:rsidRPr="00220D5A" w:rsidRDefault="005723BD" w:rsidP="00986700">
      <w:pPr>
        <w:keepNext/>
        <w:keepLines/>
        <w:jc w:val="both"/>
        <w:rPr>
          <w:rFonts w:eastAsia="Times New Roman" w:cs="Arial"/>
          <w:bCs/>
          <w:szCs w:val="20"/>
          <w:lang w:val="fr-CH" w:eastAsia="en-US"/>
        </w:rPr>
      </w:pPr>
    </w:p>
    <w:p w14:paraId="0F71CA16" w14:textId="479776C2" w:rsidR="005723BD" w:rsidRDefault="002F0934" w:rsidP="00986700">
      <w:pPr>
        <w:pStyle w:val="ListParagraph"/>
        <w:numPr>
          <w:ilvl w:val="0"/>
          <w:numId w:val="4"/>
        </w:numPr>
        <w:jc w:val="both"/>
        <w:rPr>
          <w:rFonts w:eastAsia="Times New Roman" w:cs="Arial"/>
          <w:bCs/>
          <w:szCs w:val="20"/>
          <w:lang w:val="fr-CH" w:eastAsia="en-US"/>
        </w:rPr>
      </w:pPr>
      <w:r>
        <w:rPr>
          <w:rFonts w:eastAsia="Times New Roman" w:cs="Arial"/>
          <w:bCs/>
          <w:szCs w:val="20"/>
          <w:lang w:val="fr-CH" w:eastAsia="en-US"/>
        </w:rPr>
        <w:t>Étendre</w:t>
      </w:r>
      <w:r w:rsidRPr="00CD4718">
        <w:rPr>
          <w:rFonts w:eastAsia="Times New Roman" w:cs="Arial"/>
          <w:bCs/>
          <w:szCs w:val="20"/>
          <w:lang w:val="fr-CH" w:eastAsia="en-US"/>
        </w:rPr>
        <w:t xml:space="preserve"> </w:t>
      </w:r>
      <w:r w:rsidR="005723BD" w:rsidRPr="00CD4718">
        <w:rPr>
          <w:rFonts w:eastAsia="Times New Roman" w:cs="Arial"/>
          <w:bCs/>
          <w:szCs w:val="20"/>
          <w:lang w:val="fr-CH" w:eastAsia="en-US"/>
        </w:rPr>
        <w:t>la portée géographique des bases de données mondiales de l</w:t>
      </w:r>
      <w:r w:rsidR="005723BD">
        <w:rPr>
          <w:rFonts w:eastAsia="Times New Roman" w:cs="Arial"/>
          <w:bCs/>
          <w:szCs w:val="20"/>
          <w:lang w:val="fr-CH" w:eastAsia="en-US"/>
        </w:rPr>
        <w:t>’</w:t>
      </w:r>
      <w:r w:rsidR="005723BD" w:rsidRPr="00CD4718">
        <w:rPr>
          <w:rFonts w:eastAsia="Times New Roman" w:cs="Arial"/>
          <w:bCs/>
          <w:szCs w:val="20"/>
          <w:lang w:val="fr-CH" w:eastAsia="en-US"/>
        </w:rPr>
        <w:t xml:space="preserve">OMPI </w:t>
      </w:r>
      <w:r w:rsidR="005723BD">
        <w:rPr>
          <w:rFonts w:eastAsia="Times New Roman" w:cs="Arial"/>
          <w:bCs/>
          <w:szCs w:val="20"/>
          <w:lang w:val="fr-CH" w:eastAsia="en-US"/>
        </w:rPr>
        <w:t>en enrichissant les collections nationales ainsi qu’en augmentant la qualité des données et la rapidité des actualisations</w:t>
      </w:r>
      <w:r w:rsidR="005723BD" w:rsidRPr="00CD4718">
        <w:rPr>
          <w:rFonts w:eastAsia="Times New Roman" w:cs="Arial"/>
          <w:bCs/>
          <w:szCs w:val="20"/>
          <w:lang w:val="fr-CH" w:eastAsia="en-US"/>
        </w:rPr>
        <w:t>;</w:t>
      </w:r>
    </w:p>
    <w:p w14:paraId="1B627913" w14:textId="77777777" w:rsidR="005723BD" w:rsidRPr="00CD4718" w:rsidRDefault="005723BD" w:rsidP="00986700">
      <w:pPr>
        <w:rPr>
          <w:lang w:val="fr-CH" w:eastAsia="en-US"/>
        </w:rPr>
      </w:pPr>
    </w:p>
    <w:p w14:paraId="2BCB8188" w14:textId="6EB9C023" w:rsidR="005723BD" w:rsidRDefault="002F0934" w:rsidP="00986700">
      <w:pPr>
        <w:pStyle w:val="ListParagraph"/>
        <w:numPr>
          <w:ilvl w:val="0"/>
          <w:numId w:val="4"/>
        </w:numPr>
        <w:jc w:val="both"/>
        <w:rPr>
          <w:rFonts w:cs="Arial"/>
          <w:szCs w:val="20"/>
          <w:lang w:val="fr-CH"/>
        </w:rPr>
      </w:pPr>
      <w:r>
        <w:rPr>
          <w:rFonts w:cs="Arial"/>
          <w:szCs w:val="20"/>
          <w:lang w:val="fr-CH"/>
        </w:rPr>
        <w:t>P</w:t>
      </w:r>
      <w:r w:rsidRPr="00B76C26">
        <w:rPr>
          <w:rFonts w:cs="Arial"/>
          <w:szCs w:val="20"/>
          <w:lang w:val="fr-CH"/>
        </w:rPr>
        <w:t xml:space="preserve">erfectionner </w:t>
      </w:r>
      <w:r w:rsidR="005723BD" w:rsidRPr="00B76C26">
        <w:rPr>
          <w:rFonts w:cs="Arial"/>
          <w:szCs w:val="20"/>
          <w:lang w:val="fr-CH"/>
        </w:rPr>
        <w:t>les outils de recherche en améliorant notamment l</w:t>
      </w:r>
      <w:r w:rsidR="005723BD">
        <w:rPr>
          <w:rFonts w:cs="Arial"/>
          <w:szCs w:val="20"/>
          <w:lang w:val="fr-CH"/>
        </w:rPr>
        <w:t>’</w:t>
      </w:r>
      <w:r w:rsidR="005723BD" w:rsidRPr="00B76C26">
        <w:rPr>
          <w:rFonts w:cs="Arial"/>
          <w:szCs w:val="20"/>
          <w:lang w:val="fr-CH"/>
        </w:rPr>
        <w:t>outil WIPO Translate à l</w:t>
      </w:r>
      <w:r w:rsidR="005723BD">
        <w:rPr>
          <w:rFonts w:cs="Arial"/>
          <w:szCs w:val="20"/>
          <w:lang w:val="fr-CH"/>
        </w:rPr>
        <w:t>’</w:t>
      </w:r>
      <w:r w:rsidR="005723BD" w:rsidRPr="00B76C26">
        <w:rPr>
          <w:rFonts w:cs="Arial"/>
          <w:szCs w:val="20"/>
          <w:lang w:val="fr-CH"/>
        </w:rPr>
        <w:t>aide d</w:t>
      </w:r>
      <w:r w:rsidR="005723BD">
        <w:rPr>
          <w:rFonts w:cs="Arial"/>
          <w:szCs w:val="20"/>
          <w:lang w:val="fr-CH"/>
        </w:rPr>
        <w:t>’</w:t>
      </w:r>
      <w:r w:rsidR="005723BD" w:rsidRPr="00B76C26">
        <w:rPr>
          <w:rFonts w:cs="Arial"/>
          <w:szCs w:val="20"/>
          <w:lang w:val="fr-CH"/>
        </w:rPr>
        <w:t xml:space="preserve">une technologie de traduction automatique neuronale, </w:t>
      </w:r>
      <w:r w:rsidR="005723BD">
        <w:rPr>
          <w:rFonts w:cs="Arial"/>
          <w:szCs w:val="20"/>
          <w:lang w:val="fr-CH"/>
        </w:rPr>
        <w:t xml:space="preserve">en mettant au point </w:t>
      </w:r>
      <w:r w:rsidR="005723BD" w:rsidRPr="00B76C26">
        <w:rPr>
          <w:rFonts w:cs="Arial"/>
          <w:szCs w:val="20"/>
          <w:lang w:val="fr-CH"/>
        </w:rPr>
        <w:t>le système de recherche d</w:t>
      </w:r>
      <w:r w:rsidR="005723BD">
        <w:rPr>
          <w:rFonts w:cs="Arial"/>
          <w:szCs w:val="20"/>
          <w:lang w:val="fr-CH"/>
        </w:rPr>
        <w:t>’</w:t>
      </w:r>
      <w:r w:rsidR="005723BD" w:rsidRPr="00B76C26">
        <w:rPr>
          <w:rFonts w:cs="Arial"/>
          <w:szCs w:val="20"/>
          <w:lang w:val="fr-CH"/>
        </w:rPr>
        <w:t>images par le contenu pour des marques d</w:t>
      </w:r>
      <w:r w:rsidR="005723BD">
        <w:rPr>
          <w:rFonts w:cs="Arial"/>
          <w:szCs w:val="20"/>
          <w:lang w:val="fr-CH"/>
        </w:rPr>
        <w:t>’</w:t>
      </w:r>
      <w:r w:rsidR="005723BD" w:rsidRPr="00B76C26">
        <w:rPr>
          <w:rFonts w:cs="Arial"/>
          <w:szCs w:val="20"/>
          <w:lang w:val="fr-CH"/>
        </w:rPr>
        <w:t xml:space="preserve">aspect similaire </w:t>
      </w:r>
      <w:r w:rsidR="005723BD">
        <w:rPr>
          <w:rFonts w:cs="Arial"/>
          <w:szCs w:val="20"/>
          <w:lang w:val="fr-CH"/>
        </w:rPr>
        <w:t>et en étudiant la possibilité de rechercher</w:t>
      </w:r>
      <w:r w:rsidR="005723BD" w:rsidRPr="00B76C26">
        <w:rPr>
          <w:rFonts w:cs="Arial"/>
          <w:szCs w:val="20"/>
          <w:lang w:val="fr-CH"/>
        </w:rPr>
        <w:t xml:space="preserve"> </w:t>
      </w:r>
      <w:r w:rsidR="005723BD">
        <w:rPr>
          <w:rFonts w:cs="Arial"/>
          <w:szCs w:val="20"/>
          <w:lang w:val="fr-CH"/>
        </w:rPr>
        <w:t>des unités de travail complexes</w:t>
      </w:r>
      <w:r w:rsidR="005723BD" w:rsidRPr="00B76C26">
        <w:rPr>
          <w:rFonts w:cs="Arial"/>
          <w:szCs w:val="20"/>
          <w:lang w:val="fr-CH"/>
        </w:rPr>
        <w:t xml:space="preserve"> </w:t>
      </w:r>
      <w:r w:rsidR="005723BD">
        <w:rPr>
          <w:rFonts w:cs="Arial"/>
          <w:szCs w:val="20"/>
          <w:lang w:val="fr-CH"/>
        </w:rPr>
        <w:t>dans les textes de brevet disponibles dans</w:t>
      </w:r>
      <w:r w:rsidR="005723BD" w:rsidRPr="00B76C26">
        <w:rPr>
          <w:rFonts w:cs="Arial"/>
          <w:szCs w:val="20"/>
          <w:lang w:val="fr-CH"/>
        </w:rPr>
        <w:t xml:space="preserve"> PATENTSCOPE </w:t>
      </w:r>
      <w:r w:rsidR="005723BD">
        <w:rPr>
          <w:rFonts w:cs="Arial"/>
          <w:szCs w:val="20"/>
          <w:lang w:val="fr-CH"/>
        </w:rPr>
        <w:t>à l’aide de la recherche</w:t>
      </w:r>
      <w:r w:rsidR="005723BD" w:rsidRPr="00B76C26">
        <w:rPr>
          <w:rFonts w:cs="Arial"/>
          <w:szCs w:val="20"/>
          <w:lang w:val="fr-CH"/>
        </w:rPr>
        <w:t xml:space="preserve"> </w:t>
      </w:r>
      <w:r w:rsidR="005723BD">
        <w:rPr>
          <w:rFonts w:cs="Arial"/>
          <w:szCs w:val="20"/>
          <w:lang w:val="fr-CH"/>
        </w:rPr>
        <w:t>par structure chimique</w:t>
      </w:r>
      <w:r w:rsidR="005723BD" w:rsidRPr="00B76C26">
        <w:rPr>
          <w:rFonts w:cs="Arial"/>
          <w:szCs w:val="20"/>
          <w:lang w:val="fr-CH"/>
        </w:rPr>
        <w:t xml:space="preserve"> </w:t>
      </w:r>
      <w:r w:rsidR="005723BD">
        <w:rPr>
          <w:rFonts w:cs="Arial"/>
          <w:szCs w:val="20"/>
          <w:lang w:val="fr-CH"/>
        </w:rPr>
        <w:t>et de la recherche par gène et par séquence</w:t>
      </w:r>
      <w:r w:rsidR="005723BD" w:rsidRPr="00B76C26">
        <w:rPr>
          <w:rFonts w:cs="Arial"/>
          <w:szCs w:val="20"/>
          <w:lang w:val="fr-CH"/>
        </w:rPr>
        <w:t>;</w:t>
      </w:r>
    </w:p>
    <w:p w14:paraId="3934F7A7" w14:textId="77777777" w:rsidR="005723BD" w:rsidRPr="00B76C26" w:rsidRDefault="005723BD" w:rsidP="00986700">
      <w:pPr>
        <w:ind w:left="567" w:hanging="567"/>
        <w:jc w:val="both"/>
        <w:rPr>
          <w:rFonts w:eastAsia="Times New Roman" w:cs="Arial"/>
          <w:bCs/>
          <w:szCs w:val="20"/>
          <w:lang w:val="fr-CH" w:eastAsia="en-US"/>
        </w:rPr>
      </w:pPr>
    </w:p>
    <w:p w14:paraId="400D92D1" w14:textId="5C36591C" w:rsidR="005723BD" w:rsidRDefault="002F0934" w:rsidP="00986700">
      <w:pPr>
        <w:pStyle w:val="ListParagraph"/>
        <w:numPr>
          <w:ilvl w:val="0"/>
          <w:numId w:val="4"/>
        </w:numPr>
        <w:jc w:val="both"/>
        <w:rPr>
          <w:rFonts w:eastAsia="Times New Roman" w:cs="Arial"/>
          <w:bCs/>
          <w:szCs w:val="20"/>
          <w:lang w:val="fr-CH" w:eastAsia="en-US"/>
        </w:rPr>
      </w:pPr>
      <w:r>
        <w:rPr>
          <w:rFonts w:eastAsia="Times New Roman" w:cs="Arial"/>
          <w:bCs/>
          <w:szCs w:val="20"/>
          <w:lang w:val="fr-CH" w:eastAsia="en-US"/>
        </w:rPr>
        <w:t>Convertir</w:t>
      </w:r>
      <w:r w:rsidRPr="000D5A42">
        <w:rPr>
          <w:rFonts w:eastAsia="Times New Roman" w:cs="Arial"/>
          <w:bCs/>
          <w:szCs w:val="20"/>
          <w:lang w:val="fr-CH" w:eastAsia="en-US"/>
        </w:rPr>
        <w:t xml:space="preserve"> </w:t>
      </w:r>
      <w:r w:rsidR="005723BD" w:rsidRPr="000D5A42">
        <w:rPr>
          <w:rFonts w:eastAsia="Times New Roman" w:cs="Arial"/>
          <w:bCs/>
          <w:szCs w:val="20"/>
          <w:lang w:val="fr-CH" w:eastAsia="en-US"/>
        </w:rPr>
        <w:t xml:space="preserve">les collections nationales </w:t>
      </w:r>
      <w:r w:rsidR="005723BD">
        <w:rPr>
          <w:rFonts w:eastAsia="Times New Roman" w:cs="Arial"/>
          <w:bCs/>
          <w:szCs w:val="20"/>
          <w:lang w:val="fr-CH" w:eastAsia="en-US"/>
        </w:rPr>
        <w:t xml:space="preserve">de données sur les brevets </w:t>
      </w:r>
      <w:r w:rsidR="005723BD" w:rsidRPr="000D5A42">
        <w:rPr>
          <w:rFonts w:eastAsia="Times New Roman" w:cs="Arial"/>
          <w:bCs/>
          <w:szCs w:val="20"/>
          <w:lang w:val="fr-CH" w:eastAsia="en-US"/>
        </w:rPr>
        <w:t xml:space="preserve">en texte intégral </w:t>
      </w:r>
      <w:r w:rsidR="005723BD">
        <w:rPr>
          <w:rFonts w:eastAsia="Times New Roman" w:cs="Arial"/>
          <w:bCs/>
          <w:szCs w:val="20"/>
          <w:lang w:val="fr-CH" w:eastAsia="en-US"/>
        </w:rPr>
        <w:t>grâce aux mécanismes de conversion du logiciel</w:t>
      </w:r>
      <w:r w:rsidR="005723BD" w:rsidRPr="000D5A42">
        <w:rPr>
          <w:rFonts w:eastAsia="Times New Roman" w:cs="Arial"/>
          <w:bCs/>
          <w:szCs w:val="20"/>
          <w:lang w:val="fr-CH" w:eastAsia="en-US"/>
        </w:rPr>
        <w:t xml:space="preserve"> de reconnaissance optique des caractères (</w:t>
      </w:r>
      <w:r w:rsidR="005723BD">
        <w:rPr>
          <w:rFonts w:eastAsia="Times New Roman" w:cs="Arial"/>
          <w:bCs/>
          <w:szCs w:val="20"/>
          <w:lang w:val="fr-CH" w:eastAsia="en-US"/>
        </w:rPr>
        <w:t>ROC</w:t>
      </w:r>
      <w:r w:rsidR="005723BD" w:rsidRPr="000D5A42">
        <w:rPr>
          <w:rFonts w:eastAsia="Times New Roman" w:cs="Arial"/>
          <w:bCs/>
          <w:szCs w:val="20"/>
          <w:lang w:val="fr-CH" w:eastAsia="en-US"/>
        </w:rPr>
        <w:t>)</w:t>
      </w:r>
      <w:r w:rsidR="005723BD">
        <w:rPr>
          <w:rFonts w:eastAsia="Times New Roman" w:cs="Arial"/>
          <w:bCs/>
          <w:szCs w:val="20"/>
          <w:lang w:val="fr-CH" w:eastAsia="en-US"/>
        </w:rPr>
        <w:t xml:space="preserve"> de l’OMPI</w:t>
      </w:r>
      <w:r w:rsidR="005723BD" w:rsidRPr="000D5A42">
        <w:rPr>
          <w:rFonts w:eastAsia="Times New Roman" w:cs="Arial"/>
          <w:bCs/>
          <w:szCs w:val="20"/>
          <w:lang w:val="fr-CH" w:eastAsia="en-US"/>
        </w:rPr>
        <w:t xml:space="preserve">, </w:t>
      </w:r>
      <w:r w:rsidR="005723BD">
        <w:rPr>
          <w:rFonts w:eastAsia="Times New Roman" w:cs="Arial"/>
          <w:bCs/>
          <w:szCs w:val="20"/>
          <w:lang w:val="fr-CH" w:eastAsia="en-US"/>
        </w:rPr>
        <w:t>en encourageant notamment les offices de brevets participants qui ne publient pas encore les demandes de brevet en texte intégral (format XML) à évaluer et à utiliser l’outil ROC de l’OMPI</w:t>
      </w:r>
      <w:r w:rsidR="005723BD" w:rsidRPr="000D5A42">
        <w:rPr>
          <w:rFonts w:eastAsia="Times New Roman" w:cs="Arial"/>
          <w:bCs/>
          <w:szCs w:val="20"/>
          <w:lang w:val="fr-CH" w:eastAsia="en-US"/>
        </w:rPr>
        <w:t xml:space="preserve"> </w:t>
      </w:r>
      <w:r w:rsidR="005723BD">
        <w:rPr>
          <w:rFonts w:eastAsia="Times New Roman" w:cs="Arial"/>
          <w:bCs/>
          <w:szCs w:val="20"/>
          <w:lang w:val="fr-CH" w:eastAsia="en-US"/>
        </w:rPr>
        <w:t>afin de garantir la qualité à la source et la conversion d’un fichier en texte intégral</w:t>
      </w:r>
      <w:r w:rsidR="005723BD" w:rsidRPr="000D5A42">
        <w:rPr>
          <w:rFonts w:eastAsia="Times New Roman" w:cs="Arial"/>
          <w:bCs/>
          <w:szCs w:val="20"/>
          <w:lang w:val="fr-CH" w:eastAsia="en-US"/>
        </w:rPr>
        <w:t>;</w:t>
      </w:r>
    </w:p>
    <w:p w14:paraId="63C62AE6" w14:textId="01F522E9" w:rsidR="005723BD" w:rsidRPr="000D5A42" w:rsidRDefault="00CB2022" w:rsidP="00986700">
      <w:pPr>
        <w:rPr>
          <w:rFonts w:eastAsia="Times New Roman" w:cs="Arial"/>
          <w:szCs w:val="20"/>
          <w:lang w:val="fr-CH" w:eastAsia="en-US"/>
        </w:rPr>
      </w:pPr>
      <w:r w:rsidRPr="00CB2022">
        <w:rPr>
          <w:noProof/>
          <w:lang w:val="en-US" w:eastAsia="en-US"/>
        </w:rPr>
        <w:drawing>
          <wp:anchor distT="0" distB="0" distL="114300" distR="114300" simplePos="0" relativeHeight="251671552" behindDoc="1" locked="0" layoutInCell="1" allowOverlap="1" wp14:anchorId="2814B191" wp14:editId="01A2F465">
            <wp:simplePos x="0" y="0"/>
            <wp:positionH relativeFrom="column">
              <wp:posOffset>4641850</wp:posOffset>
            </wp:positionH>
            <wp:positionV relativeFrom="paragraph">
              <wp:posOffset>92075</wp:posOffset>
            </wp:positionV>
            <wp:extent cx="1310005" cy="1310005"/>
            <wp:effectExtent l="0" t="0" r="4445" b="4445"/>
            <wp:wrapTight wrapText="bothSides">
              <wp:wrapPolygon edited="0">
                <wp:start x="7853" y="0"/>
                <wp:lineTo x="5026" y="1256"/>
                <wp:lineTo x="1256" y="4083"/>
                <wp:lineTo x="0" y="9737"/>
                <wp:lineTo x="0" y="16333"/>
                <wp:lineTo x="5340" y="20103"/>
                <wp:lineTo x="7539" y="21359"/>
                <wp:lineTo x="14135" y="21359"/>
                <wp:lineTo x="16962" y="20103"/>
                <wp:lineTo x="21045" y="15391"/>
                <wp:lineTo x="21359" y="12564"/>
                <wp:lineTo x="21359" y="7224"/>
                <wp:lineTo x="20731" y="4397"/>
                <wp:lineTo x="16019" y="628"/>
                <wp:lineTo x="13821" y="0"/>
                <wp:lineTo x="7853" y="0"/>
              </wp:wrapPolygon>
            </wp:wrapTight>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8A4A1" w14:textId="141B9A24" w:rsidR="005723BD" w:rsidRDefault="002F0934" w:rsidP="00986700">
      <w:pPr>
        <w:pStyle w:val="ListParagraph"/>
        <w:numPr>
          <w:ilvl w:val="0"/>
          <w:numId w:val="4"/>
        </w:numPr>
        <w:jc w:val="both"/>
        <w:rPr>
          <w:rFonts w:eastAsia="Times New Roman" w:cs="Arial"/>
          <w:bCs/>
          <w:szCs w:val="20"/>
          <w:lang w:val="fr-CH" w:eastAsia="en-US"/>
        </w:rPr>
      </w:pPr>
      <w:r w:rsidRPr="00494F68">
        <w:rPr>
          <w:rFonts w:eastAsia="Times New Roman" w:cs="Arial"/>
          <w:bCs/>
          <w:szCs w:val="20"/>
          <w:lang w:val="fr-CH" w:eastAsia="en-US"/>
        </w:rPr>
        <w:t xml:space="preserve">Mettre </w:t>
      </w:r>
      <w:r w:rsidR="005723BD" w:rsidRPr="00494F68">
        <w:rPr>
          <w:rFonts w:eastAsia="Times New Roman" w:cs="Arial"/>
          <w:bCs/>
          <w:szCs w:val="20"/>
          <w:lang w:val="fr-CH" w:eastAsia="en-US"/>
        </w:rPr>
        <w:t>à disposition du public les information</w:t>
      </w:r>
      <w:r w:rsidR="005723BD">
        <w:rPr>
          <w:rFonts w:eastAsia="Times New Roman" w:cs="Arial"/>
          <w:bCs/>
          <w:szCs w:val="20"/>
          <w:lang w:val="fr-CH" w:eastAsia="en-US"/>
        </w:rPr>
        <w:t>s conte</w:t>
      </w:r>
      <w:r w:rsidR="005723BD" w:rsidRPr="00494F68">
        <w:rPr>
          <w:rFonts w:eastAsia="Times New Roman" w:cs="Arial"/>
          <w:bCs/>
          <w:szCs w:val="20"/>
          <w:lang w:val="fr-CH" w:eastAsia="en-US"/>
        </w:rPr>
        <w:t>nues dans les dossiers</w:t>
      </w:r>
      <w:r w:rsidR="005723BD">
        <w:rPr>
          <w:rFonts w:eastAsia="Times New Roman" w:cs="Arial"/>
          <w:bCs/>
          <w:szCs w:val="20"/>
          <w:lang w:val="fr-CH" w:eastAsia="en-US"/>
        </w:rPr>
        <w:t xml:space="preserve"> à l’aide de liens accédant aux dossiers dans WIPO CASE</w:t>
      </w:r>
      <w:r w:rsidR="005723BD" w:rsidRPr="00494F68">
        <w:rPr>
          <w:rFonts w:eastAsia="Times New Roman" w:cs="Arial"/>
          <w:bCs/>
          <w:szCs w:val="20"/>
          <w:lang w:val="fr-CH" w:eastAsia="en-US"/>
        </w:rPr>
        <w:t xml:space="preserve"> </w:t>
      </w:r>
      <w:r w:rsidR="005723BD">
        <w:rPr>
          <w:rFonts w:eastAsia="Times New Roman" w:cs="Arial"/>
          <w:bCs/>
          <w:szCs w:val="20"/>
          <w:lang w:val="fr-CH" w:eastAsia="en-US"/>
        </w:rPr>
        <w:t xml:space="preserve">ainsi qu’à d’autres systèmes de gestion des dossiers aux niveaux national, </w:t>
      </w:r>
      <w:r w:rsidR="005723BD" w:rsidRPr="00494F68">
        <w:rPr>
          <w:rFonts w:eastAsia="Times New Roman" w:cs="Arial"/>
          <w:bCs/>
          <w:szCs w:val="20"/>
          <w:lang w:val="fr-CH" w:eastAsia="en-US"/>
        </w:rPr>
        <w:t>régional</w:t>
      </w:r>
      <w:r w:rsidR="005723BD">
        <w:rPr>
          <w:rFonts w:eastAsia="Times New Roman" w:cs="Arial"/>
          <w:bCs/>
          <w:szCs w:val="20"/>
          <w:lang w:val="fr-CH" w:eastAsia="en-US"/>
        </w:rPr>
        <w:t xml:space="preserve"> et mondial</w:t>
      </w:r>
      <w:r w:rsidR="005723BD" w:rsidRPr="00494F68">
        <w:rPr>
          <w:rFonts w:eastAsia="Times New Roman" w:cs="Arial"/>
          <w:bCs/>
          <w:szCs w:val="20"/>
          <w:lang w:val="fr-CH" w:eastAsia="en-US"/>
        </w:rPr>
        <w:t>;</w:t>
      </w:r>
    </w:p>
    <w:p w14:paraId="7D807D9D" w14:textId="77777777" w:rsidR="005723BD" w:rsidRPr="00494F68" w:rsidRDefault="005723BD" w:rsidP="00986700">
      <w:pPr>
        <w:rPr>
          <w:lang w:val="fr-CH" w:eastAsia="en-US"/>
        </w:rPr>
      </w:pPr>
    </w:p>
    <w:p w14:paraId="455FFB07" w14:textId="6334CCDF" w:rsidR="005723BD" w:rsidRDefault="002F0934" w:rsidP="00986700">
      <w:pPr>
        <w:pStyle w:val="ListParagraph"/>
        <w:numPr>
          <w:ilvl w:val="0"/>
          <w:numId w:val="4"/>
        </w:numPr>
        <w:jc w:val="both"/>
        <w:rPr>
          <w:rFonts w:eastAsia="Times New Roman" w:cs="Arial"/>
          <w:bCs/>
          <w:szCs w:val="20"/>
          <w:lang w:val="fr-CH" w:eastAsia="en-US"/>
        </w:rPr>
      </w:pPr>
      <w:r w:rsidRPr="002C6B60">
        <w:rPr>
          <w:rFonts w:eastAsia="Times New Roman" w:cs="Arial"/>
          <w:bCs/>
          <w:szCs w:val="20"/>
          <w:lang w:val="fr-CH" w:eastAsia="en-US"/>
        </w:rPr>
        <w:t xml:space="preserve">Étudier </w:t>
      </w:r>
      <w:r w:rsidR="005723BD" w:rsidRPr="002C6B60">
        <w:rPr>
          <w:rFonts w:eastAsia="Times New Roman" w:cs="Arial"/>
          <w:bCs/>
          <w:szCs w:val="20"/>
          <w:lang w:val="fr-CH" w:eastAsia="en-US"/>
        </w:rPr>
        <w:t>la possibilité d</w:t>
      </w:r>
      <w:r w:rsidR="005723BD">
        <w:rPr>
          <w:rFonts w:eastAsia="Times New Roman" w:cs="Arial"/>
          <w:bCs/>
          <w:szCs w:val="20"/>
          <w:lang w:val="fr-CH" w:eastAsia="en-US"/>
        </w:rPr>
        <w:t>’</w:t>
      </w:r>
      <w:r w:rsidR="005723BD" w:rsidRPr="002C6B60">
        <w:rPr>
          <w:rFonts w:eastAsia="Times New Roman" w:cs="Arial"/>
          <w:bCs/>
          <w:szCs w:val="20"/>
          <w:lang w:val="fr-CH" w:eastAsia="en-US"/>
        </w:rPr>
        <w:t>indexer la littérature scientifique</w:t>
      </w:r>
      <w:r w:rsidR="005723BD">
        <w:rPr>
          <w:rFonts w:eastAsia="Times New Roman" w:cs="Arial"/>
          <w:bCs/>
          <w:szCs w:val="20"/>
          <w:lang w:val="fr-CH" w:eastAsia="en-US"/>
        </w:rPr>
        <w:t xml:space="preserve"> (non</w:t>
      </w:r>
      <w:r w:rsidR="00B441CA">
        <w:rPr>
          <w:rFonts w:eastAsia="Times New Roman" w:cs="Arial"/>
          <w:bCs/>
          <w:szCs w:val="20"/>
          <w:lang w:val="fr-CH" w:eastAsia="en-US"/>
        </w:rPr>
        <w:noBreakHyphen/>
      </w:r>
      <w:r w:rsidR="005723BD">
        <w:rPr>
          <w:rFonts w:eastAsia="Times New Roman" w:cs="Arial"/>
          <w:bCs/>
          <w:szCs w:val="20"/>
          <w:lang w:val="fr-CH" w:eastAsia="en-US"/>
        </w:rPr>
        <w:t>brevet)</w:t>
      </w:r>
      <w:r w:rsidR="005723BD" w:rsidRPr="002C6B60">
        <w:rPr>
          <w:rFonts w:eastAsia="Times New Roman" w:cs="Arial"/>
          <w:bCs/>
          <w:szCs w:val="20"/>
          <w:lang w:val="fr-CH" w:eastAsia="en-US"/>
        </w:rPr>
        <w:t xml:space="preserve"> en libre </w:t>
      </w:r>
      <w:r w:rsidR="005723BD">
        <w:rPr>
          <w:rFonts w:eastAsia="Times New Roman" w:cs="Arial"/>
          <w:bCs/>
          <w:szCs w:val="20"/>
          <w:lang w:val="fr-CH" w:eastAsia="en-US"/>
        </w:rPr>
        <w:t xml:space="preserve">accès en vue de mettre au point une nouvelle extension de </w:t>
      </w:r>
      <w:r w:rsidR="005723BD" w:rsidRPr="002C6B60">
        <w:rPr>
          <w:rFonts w:eastAsia="Times New Roman" w:cs="Arial"/>
          <w:bCs/>
          <w:szCs w:val="20"/>
          <w:lang w:val="fr-CH" w:eastAsia="en-US"/>
        </w:rPr>
        <w:t xml:space="preserve">PATENTSCOPE </w:t>
      </w:r>
      <w:r w:rsidR="005723BD">
        <w:rPr>
          <w:rFonts w:eastAsia="Times New Roman" w:cs="Arial"/>
          <w:bCs/>
          <w:szCs w:val="20"/>
          <w:lang w:val="fr-CH" w:eastAsia="en-US"/>
        </w:rPr>
        <w:t>qui facilite les recherches sur l’état de la technique dans la littérature non</w:t>
      </w:r>
      <w:r w:rsidR="00B441CA">
        <w:rPr>
          <w:rFonts w:eastAsia="Times New Roman" w:cs="Arial"/>
          <w:bCs/>
          <w:szCs w:val="20"/>
          <w:lang w:val="fr-CH" w:eastAsia="en-US"/>
        </w:rPr>
        <w:noBreakHyphen/>
      </w:r>
      <w:r w:rsidR="005723BD">
        <w:rPr>
          <w:rFonts w:eastAsia="Times New Roman" w:cs="Arial"/>
          <w:bCs/>
          <w:szCs w:val="20"/>
          <w:lang w:val="fr-CH" w:eastAsia="en-US"/>
        </w:rPr>
        <w:t>brevet</w:t>
      </w:r>
      <w:r w:rsidR="005723BD" w:rsidRPr="002C6B60">
        <w:rPr>
          <w:rFonts w:eastAsia="Times New Roman" w:cs="Arial"/>
          <w:bCs/>
          <w:szCs w:val="20"/>
          <w:lang w:val="fr-CH" w:eastAsia="en-US"/>
        </w:rPr>
        <w:t>;</w:t>
      </w:r>
    </w:p>
    <w:p w14:paraId="0E2E134A" w14:textId="77777777" w:rsidR="005723BD" w:rsidRPr="002C6B60" w:rsidRDefault="005723BD" w:rsidP="00986700">
      <w:pPr>
        <w:rPr>
          <w:lang w:val="fr-CH" w:eastAsia="en-US"/>
        </w:rPr>
      </w:pPr>
    </w:p>
    <w:p w14:paraId="18A6A5E6" w14:textId="296511C7" w:rsidR="005723BD" w:rsidRDefault="002F0934" w:rsidP="00986700">
      <w:pPr>
        <w:pStyle w:val="ListParagraph"/>
        <w:numPr>
          <w:ilvl w:val="0"/>
          <w:numId w:val="4"/>
        </w:numPr>
        <w:jc w:val="both"/>
        <w:rPr>
          <w:rFonts w:eastAsia="Times New Roman" w:cs="Arial"/>
          <w:bCs/>
          <w:szCs w:val="20"/>
          <w:lang w:val="fr-CH" w:eastAsia="en-US"/>
        </w:rPr>
      </w:pPr>
      <w:r w:rsidRPr="002C6B60">
        <w:rPr>
          <w:rFonts w:eastAsia="Times New Roman" w:cs="Arial"/>
          <w:bCs/>
          <w:szCs w:val="20"/>
          <w:lang w:val="fr-CH" w:eastAsia="en-US"/>
        </w:rPr>
        <w:t xml:space="preserve">Promouvoir </w:t>
      </w:r>
      <w:r w:rsidR="005723BD" w:rsidRPr="002C6B60">
        <w:rPr>
          <w:rFonts w:eastAsia="Times New Roman" w:cs="Arial"/>
          <w:bCs/>
          <w:szCs w:val="20"/>
          <w:lang w:val="fr-CH" w:eastAsia="en-US"/>
        </w:rPr>
        <w:t>la base de données mondiale sur les marques de l</w:t>
      </w:r>
      <w:r w:rsidR="005723BD">
        <w:rPr>
          <w:rFonts w:eastAsia="Times New Roman" w:cs="Arial"/>
          <w:bCs/>
          <w:szCs w:val="20"/>
          <w:lang w:val="fr-CH" w:eastAsia="en-US"/>
        </w:rPr>
        <w:t>’</w:t>
      </w:r>
      <w:r w:rsidR="005723BD" w:rsidRPr="002C6B60">
        <w:rPr>
          <w:rFonts w:eastAsia="Times New Roman" w:cs="Arial"/>
          <w:bCs/>
          <w:szCs w:val="20"/>
          <w:lang w:val="fr-CH" w:eastAsia="en-US"/>
        </w:rPr>
        <w:t xml:space="preserve">OMPI </w:t>
      </w:r>
      <w:r w:rsidR="005723BD">
        <w:rPr>
          <w:rFonts w:eastAsia="Times New Roman" w:cs="Arial"/>
          <w:bCs/>
          <w:szCs w:val="20"/>
          <w:lang w:val="fr-CH" w:eastAsia="en-US"/>
        </w:rPr>
        <w:t>en tant que</w:t>
      </w:r>
      <w:r w:rsidR="005723BD" w:rsidRPr="002C6B60">
        <w:rPr>
          <w:rFonts w:eastAsia="Times New Roman" w:cs="Arial"/>
          <w:bCs/>
          <w:szCs w:val="20"/>
          <w:lang w:val="fr-CH" w:eastAsia="en-US"/>
        </w:rPr>
        <w:t xml:space="preserve"> source </w:t>
      </w:r>
      <w:r w:rsidR="005723BD">
        <w:rPr>
          <w:rFonts w:eastAsia="Times New Roman" w:cs="Arial"/>
          <w:bCs/>
          <w:szCs w:val="20"/>
          <w:lang w:val="fr-CH" w:eastAsia="en-US"/>
        </w:rPr>
        <w:t>d’informations économiques et commerciales</w:t>
      </w:r>
      <w:r w:rsidR="005723BD" w:rsidRPr="002C6B60">
        <w:rPr>
          <w:rFonts w:eastAsia="Times New Roman" w:cs="Arial"/>
          <w:bCs/>
          <w:szCs w:val="20"/>
          <w:lang w:val="fr-CH" w:eastAsia="en-US"/>
        </w:rPr>
        <w:t xml:space="preserve"> </w:t>
      </w:r>
      <w:r w:rsidR="005723BD">
        <w:rPr>
          <w:rFonts w:eastAsia="Times New Roman" w:cs="Arial"/>
          <w:bCs/>
          <w:szCs w:val="20"/>
          <w:lang w:val="fr-CH" w:eastAsia="en-US"/>
        </w:rPr>
        <w:t>par la fourniture des données concernant les demandes internationales d’enregistrement effectuées auprès de l’OMPI</w:t>
      </w:r>
      <w:r w:rsidR="005723BD" w:rsidRPr="002C6B60">
        <w:rPr>
          <w:rFonts w:eastAsia="Times New Roman" w:cs="Arial"/>
          <w:bCs/>
          <w:szCs w:val="20"/>
          <w:lang w:val="fr-CH" w:eastAsia="en-US"/>
        </w:rPr>
        <w:t xml:space="preserve">, </w:t>
      </w:r>
      <w:r w:rsidR="005723BD">
        <w:rPr>
          <w:rFonts w:eastAsia="Times New Roman" w:cs="Arial"/>
          <w:bCs/>
          <w:szCs w:val="20"/>
          <w:lang w:val="fr-CH" w:eastAsia="en-US"/>
        </w:rPr>
        <w:t xml:space="preserve">les collections </w:t>
      </w:r>
      <w:r w:rsidR="005723BD" w:rsidRPr="002C6B60">
        <w:rPr>
          <w:rFonts w:eastAsia="Times New Roman" w:cs="Arial"/>
          <w:bCs/>
          <w:szCs w:val="20"/>
          <w:lang w:val="fr-CH" w:eastAsia="en-US"/>
        </w:rPr>
        <w:t>national</w:t>
      </w:r>
      <w:r w:rsidR="005723BD">
        <w:rPr>
          <w:rFonts w:eastAsia="Times New Roman" w:cs="Arial"/>
          <w:bCs/>
          <w:szCs w:val="20"/>
          <w:lang w:val="fr-CH" w:eastAsia="en-US"/>
        </w:rPr>
        <w:t>es</w:t>
      </w:r>
      <w:r w:rsidR="005723BD" w:rsidRPr="002C6B60">
        <w:rPr>
          <w:rFonts w:eastAsia="Times New Roman" w:cs="Arial"/>
          <w:bCs/>
          <w:szCs w:val="20"/>
          <w:lang w:val="fr-CH" w:eastAsia="en-US"/>
        </w:rPr>
        <w:t xml:space="preserve"> </w:t>
      </w:r>
      <w:r w:rsidR="005723BD">
        <w:rPr>
          <w:rFonts w:eastAsia="Times New Roman" w:cs="Arial"/>
          <w:bCs/>
          <w:szCs w:val="20"/>
          <w:lang w:val="fr-CH" w:eastAsia="en-US"/>
        </w:rPr>
        <w:t>et ré</w:t>
      </w:r>
      <w:r w:rsidR="005723BD" w:rsidRPr="002C6B60">
        <w:rPr>
          <w:rFonts w:eastAsia="Times New Roman" w:cs="Arial"/>
          <w:bCs/>
          <w:szCs w:val="20"/>
          <w:lang w:val="fr-CH" w:eastAsia="en-US"/>
        </w:rPr>
        <w:t>gional</w:t>
      </w:r>
      <w:r w:rsidR="005723BD">
        <w:rPr>
          <w:rFonts w:eastAsia="Times New Roman" w:cs="Arial"/>
          <w:bCs/>
          <w:szCs w:val="20"/>
          <w:lang w:val="fr-CH" w:eastAsia="en-US"/>
        </w:rPr>
        <w:t>es</w:t>
      </w:r>
      <w:r w:rsidR="005723BD" w:rsidRPr="002C6B60">
        <w:rPr>
          <w:rFonts w:eastAsia="Times New Roman" w:cs="Arial"/>
          <w:bCs/>
          <w:szCs w:val="20"/>
          <w:lang w:val="fr-CH" w:eastAsia="en-US"/>
        </w:rPr>
        <w:t xml:space="preserve"> </w:t>
      </w:r>
      <w:r w:rsidR="005723BD">
        <w:rPr>
          <w:rFonts w:eastAsia="Times New Roman" w:cs="Arial"/>
          <w:bCs/>
          <w:szCs w:val="20"/>
          <w:lang w:val="fr-CH" w:eastAsia="en-US"/>
        </w:rPr>
        <w:t xml:space="preserve">sur les marques et les </w:t>
      </w:r>
      <w:r w:rsidR="005723BD" w:rsidRPr="002C6B60">
        <w:rPr>
          <w:rFonts w:eastAsia="Times New Roman" w:cs="Arial"/>
          <w:bCs/>
          <w:szCs w:val="20"/>
          <w:lang w:val="fr-CH" w:eastAsia="en-US"/>
        </w:rPr>
        <w:t>emblèm</w:t>
      </w:r>
      <w:r w:rsidR="005723BD">
        <w:rPr>
          <w:rFonts w:eastAsia="Times New Roman" w:cs="Arial"/>
          <w:bCs/>
          <w:szCs w:val="20"/>
          <w:lang w:val="fr-CH" w:eastAsia="en-US"/>
        </w:rPr>
        <w:t>e</w:t>
      </w:r>
      <w:r w:rsidR="005723BD" w:rsidRPr="002C6B60">
        <w:rPr>
          <w:rFonts w:eastAsia="Times New Roman" w:cs="Arial"/>
          <w:bCs/>
          <w:szCs w:val="20"/>
          <w:lang w:val="fr-CH" w:eastAsia="en-US"/>
        </w:rPr>
        <w:t xml:space="preserve">s </w:t>
      </w:r>
      <w:r w:rsidR="005723BD">
        <w:rPr>
          <w:rFonts w:eastAsia="Times New Roman" w:cs="Arial"/>
          <w:bCs/>
          <w:szCs w:val="20"/>
          <w:lang w:val="fr-CH" w:eastAsia="en-US"/>
        </w:rPr>
        <w:t>protégés en vertu de l’article </w:t>
      </w:r>
      <w:r w:rsidR="005723BD" w:rsidRPr="002C6B60">
        <w:rPr>
          <w:rFonts w:eastAsia="Times New Roman" w:cs="Arial"/>
          <w:bCs/>
          <w:szCs w:val="20"/>
          <w:lang w:val="fr-CH" w:eastAsia="en-US"/>
        </w:rPr>
        <w:t>6</w:t>
      </w:r>
      <w:r w:rsidR="005723BD" w:rsidRPr="00371259">
        <w:rPr>
          <w:rFonts w:eastAsia="Times New Roman" w:cs="Arial"/>
          <w:bCs/>
          <w:i/>
          <w:szCs w:val="20"/>
          <w:lang w:val="fr-CH" w:eastAsia="en-US"/>
        </w:rPr>
        <w:t>ter</w:t>
      </w:r>
      <w:r w:rsidR="005723BD" w:rsidRPr="007B5EE4">
        <w:rPr>
          <w:rFonts w:eastAsia="Times New Roman" w:cs="Arial"/>
          <w:bCs/>
          <w:szCs w:val="20"/>
          <w:lang w:val="fr-CH" w:eastAsia="en-US"/>
        </w:rPr>
        <w:t xml:space="preserve"> de</w:t>
      </w:r>
      <w:r w:rsidR="005723BD">
        <w:rPr>
          <w:rFonts w:eastAsia="Times New Roman" w:cs="Arial"/>
          <w:bCs/>
          <w:szCs w:val="20"/>
          <w:lang w:val="fr-CH" w:eastAsia="en-US"/>
        </w:rPr>
        <w:t xml:space="preserve"> la Convention de Paris</w:t>
      </w:r>
      <w:r w:rsidR="005723BD" w:rsidRPr="002C6B60">
        <w:rPr>
          <w:rFonts w:eastAsia="Times New Roman" w:cs="Arial"/>
          <w:bCs/>
          <w:szCs w:val="20"/>
          <w:lang w:val="fr-CH" w:eastAsia="en-US"/>
        </w:rPr>
        <w:t>;</w:t>
      </w:r>
    </w:p>
    <w:p w14:paraId="4C371BE1" w14:textId="77777777" w:rsidR="005723BD" w:rsidRPr="002C6B60" w:rsidRDefault="005723BD" w:rsidP="00986700">
      <w:pPr>
        <w:ind w:left="567" w:hanging="567"/>
        <w:jc w:val="both"/>
        <w:rPr>
          <w:rFonts w:eastAsia="Times New Roman" w:cs="Arial"/>
          <w:bCs/>
          <w:szCs w:val="20"/>
          <w:lang w:val="fr-CH" w:eastAsia="en-US"/>
        </w:rPr>
      </w:pPr>
    </w:p>
    <w:p w14:paraId="793570D5" w14:textId="276A8BE8" w:rsidR="005723BD" w:rsidRDefault="002F0934" w:rsidP="00986700">
      <w:pPr>
        <w:pStyle w:val="ListParagraph"/>
        <w:numPr>
          <w:ilvl w:val="0"/>
          <w:numId w:val="4"/>
        </w:numPr>
        <w:jc w:val="both"/>
        <w:rPr>
          <w:rFonts w:eastAsia="Times New Roman" w:cs="Arial"/>
          <w:bCs/>
          <w:szCs w:val="20"/>
          <w:lang w:val="fr-CH" w:eastAsia="en-US"/>
        </w:rPr>
      </w:pPr>
      <w:r w:rsidRPr="00371259">
        <w:rPr>
          <w:rFonts w:eastAsia="Times New Roman" w:cs="Arial"/>
          <w:bCs/>
          <w:szCs w:val="20"/>
          <w:lang w:val="fr-CH" w:eastAsia="en-US"/>
        </w:rPr>
        <w:t xml:space="preserve">Continuer </w:t>
      </w:r>
      <w:r w:rsidR="005723BD" w:rsidRPr="00371259">
        <w:rPr>
          <w:rFonts w:eastAsia="Times New Roman" w:cs="Arial"/>
          <w:bCs/>
          <w:szCs w:val="20"/>
          <w:lang w:val="fr-CH" w:eastAsia="en-US"/>
        </w:rPr>
        <w:t>d</w:t>
      </w:r>
      <w:r w:rsidR="005723BD">
        <w:rPr>
          <w:rFonts w:eastAsia="Times New Roman" w:cs="Arial"/>
          <w:bCs/>
          <w:szCs w:val="20"/>
          <w:lang w:val="fr-CH" w:eastAsia="en-US"/>
        </w:rPr>
        <w:t>e mettre au point</w:t>
      </w:r>
      <w:r w:rsidR="005723BD" w:rsidRPr="00371259">
        <w:rPr>
          <w:rFonts w:eastAsia="Times New Roman" w:cs="Arial"/>
          <w:bCs/>
          <w:szCs w:val="20"/>
          <w:lang w:val="fr-CH" w:eastAsia="en-US"/>
        </w:rPr>
        <w:t xml:space="preserve"> la base de données mondiale sur les dessins et modèles couvrant les enregistrement</w:t>
      </w:r>
      <w:r w:rsidR="005723BD">
        <w:rPr>
          <w:rFonts w:eastAsia="Times New Roman" w:cs="Arial"/>
          <w:bCs/>
          <w:szCs w:val="20"/>
          <w:lang w:val="fr-CH" w:eastAsia="en-US"/>
        </w:rPr>
        <w:t xml:space="preserve">s </w:t>
      </w:r>
      <w:r w:rsidR="005723BD" w:rsidRPr="00371259">
        <w:rPr>
          <w:rFonts w:eastAsia="Times New Roman" w:cs="Arial"/>
          <w:bCs/>
          <w:szCs w:val="20"/>
          <w:lang w:val="fr-CH" w:eastAsia="en-US"/>
        </w:rPr>
        <w:t>internationaux et les collections nationales et régionales de données relatives aux dessins et modèles</w:t>
      </w:r>
      <w:r w:rsidR="005723BD">
        <w:rPr>
          <w:rFonts w:eastAsia="Times New Roman" w:cs="Arial"/>
          <w:bCs/>
          <w:szCs w:val="20"/>
          <w:lang w:val="fr-CH" w:eastAsia="en-US"/>
        </w:rPr>
        <w:t xml:space="preserve"> en étudiant notamment la possibil</w:t>
      </w:r>
      <w:r w:rsidR="005723BD" w:rsidRPr="00371259">
        <w:rPr>
          <w:rFonts w:eastAsia="Times New Roman" w:cs="Arial"/>
          <w:bCs/>
          <w:szCs w:val="20"/>
          <w:lang w:val="fr-CH" w:eastAsia="en-US"/>
        </w:rPr>
        <w:t>i</w:t>
      </w:r>
      <w:r w:rsidR="005723BD">
        <w:rPr>
          <w:rFonts w:eastAsia="Times New Roman" w:cs="Arial"/>
          <w:bCs/>
          <w:szCs w:val="20"/>
          <w:lang w:val="fr-CH" w:eastAsia="en-US"/>
        </w:rPr>
        <w:t>té de télécharger les données d’image</w:t>
      </w:r>
      <w:r w:rsidR="005723BD" w:rsidRPr="00371259">
        <w:rPr>
          <w:rFonts w:eastAsia="Times New Roman" w:cs="Arial"/>
          <w:bCs/>
          <w:szCs w:val="20"/>
          <w:lang w:val="fr-CH" w:eastAsia="en-US"/>
        </w:rPr>
        <w:t xml:space="preserve"> </w:t>
      </w:r>
      <w:r w:rsidR="005723BD">
        <w:rPr>
          <w:rFonts w:eastAsia="Times New Roman" w:cs="Arial"/>
          <w:bCs/>
          <w:szCs w:val="20"/>
          <w:lang w:val="fr-CH" w:eastAsia="en-US"/>
        </w:rPr>
        <w:t xml:space="preserve">dans des </w:t>
      </w:r>
      <w:r w:rsidR="005723BD" w:rsidRPr="00371259">
        <w:rPr>
          <w:rFonts w:eastAsia="Times New Roman" w:cs="Arial"/>
          <w:bCs/>
          <w:szCs w:val="20"/>
          <w:lang w:val="fr-CH" w:eastAsia="en-US"/>
        </w:rPr>
        <w:t>formats différent</w:t>
      </w:r>
      <w:r w:rsidR="005723BD">
        <w:rPr>
          <w:rFonts w:eastAsia="Times New Roman" w:cs="Arial"/>
          <w:bCs/>
          <w:szCs w:val="20"/>
          <w:lang w:val="fr-CH" w:eastAsia="en-US"/>
        </w:rPr>
        <w:t>s</w:t>
      </w:r>
      <w:r w:rsidR="005723BD" w:rsidRPr="00371259">
        <w:rPr>
          <w:rFonts w:eastAsia="Times New Roman" w:cs="Arial"/>
          <w:bCs/>
          <w:szCs w:val="20"/>
          <w:lang w:val="fr-CH" w:eastAsia="en-US"/>
        </w:rPr>
        <w:t xml:space="preserve"> </w:t>
      </w:r>
      <w:r w:rsidR="005723BD">
        <w:rPr>
          <w:rFonts w:eastAsia="Times New Roman" w:cs="Arial"/>
          <w:bCs/>
          <w:szCs w:val="20"/>
          <w:lang w:val="fr-CH" w:eastAsia="en-US"/>
        </w:rPr>
        <w:t>ainsi que la mise en place d’un système efficace de recherche de la similarité des dessins et modèles enregistrés en deux </w:t>
      </w:r>
      <w:r w:rsidR="005723BD" w:rsidRPr="00371259">
        <w:rPr>
          <w:rFonts w:eastAsia="Times New Roman" w:cs="Arial"/>
          <w:bCs/>
          <w:szCs w:val="20"/>
          <w:lang w:val="fr-CH" w:eastAsia="en-US"/>
        </w:rPr>
        <w:t>dimensions (</w:t>
      </w:r>
      <w:r w:rsidR="005723BD">
        <w:rPr>
          <w:rFonts w:eastAsia="Times New Roman" w:cs="Arial"/>
          <w:bCs/>
          <w:szCs w:val="20"/>
          <w:lang w:val="fr-CH" w:eastAsia="en-US"/>
        </w:rPr>
        <w:t>classe 32 de la c</w:t>
      </w:r>
      <w:r w:rsidR="005723BD" w:rsidRPr="00371259">
        <w:rPr>
          <w:rFonts w:eastAsia="Times New Roman" w:cs="Arial"/>
          <w:bCs/>
          <w:szCs w:val="20"/>
          <w:lang w:val="fr-CH" w:eastAsia="en-US"/>
        </w:rPr>
        <w:t>lass</w:t>
      </w:r>
      <w:r w:rsidR="005723BD">
        <w:rPr>
          <w:rFonts w:eastAsia="Times New Roman" w:cs="Arial"/>
          <w:bCs/>
          <w:szCs w:val="20"/>
          <w:lang w:val="fr-CH" w:eastAsia="en-US"/>
        </w:rPr>
        <w:t>ification de</w:t>
      </w:r>
      <w:r w:rsidR="005723BD" w:rsidRPr="00371259">
        <w:rPr>
          <w:rFonts w:eastAsia="Times New Roman" w:cs="Arial"/>
          <w:bCs/>
          <w:szCs w:val="20"/>
          <w:lang w:val="fr-CH" w:eastAsia="en-US"/>
        </w:rPr>
        <w:t xml:space="preserve"> Locarno);</w:t>
      </w:r>
    </w:p>
    <w:p w14:paraId="1236A360" w14:textId="77777777" w:rsidR="005723BD" w:rsidRPr="00371259" w:rsidRDefault="005723BD" w:rsidP="00986700">
      <w:pPr>
        <w:ind w:left="567" w:hanging="567"/>
        <w:jc w:val="both"/>
        <w:rPr>
          <w:rFonts w:eastAsia="Times New Roman" w:cs="Arial"/>
          <w:bCs/>
          <w:szCs w:val="20"/>
          <w:lang w:val="fr-CH" w:eastAsia="en-US"/>
        </w:rPr>
      </w:pPr>
    </w:p>
    <w:p w14:paraId="5526676D" w14:textId="57CB3CF9" w:rsidR="005723BD" w:rsidRDefault="002F0934" w:rsidP="00986700">
      <w:pPr>
        <w:pStyle w:val="ListParagraph"/>
        <w:keepNext/>
        <w:keepLines/>
        <w:numPr>
          <w:ilvl w:val="0"/>
          <w:numId w:val="4"/>
        </w:numPr>
        <w:jc w:val="both"/>
        <w:rPr>
          <w:rFonts w:eastAsia="Times New Roman" w:cs="Arial"/>
          <w:bCs/>
          <w:szCs w:val="20"/>
          <w:lang w:val="fr-CH" w:eastAsia="en-US"/>
        </w:rPr>
      </w:pPr>
      <w:r w:rsidRPr="00FB42E7">
        <w:rPr>
          <w:rFonts w:eastAsia="Times New Roman" w:cs="Arial"/>
          <w:bCs/>
          <w:szCs w:val="20"/>
          <w:lang w:val="fr-CH" w:eastAsia="en-US"/>
        </w:rPr>
        <w:t xml:space="preserve">Accroître </w:t>
      </w:r>
      <w:r w:rsidR="005723BD" w:rsidRPr="00FB42E7">
        <w:rPr>
          <w:rFonts w:eastAsia="Times New Roman" w:cs="Arial"/>
          <w:bCs/>
          <w:szCs w:val="20"/>
          <w:lang w:val="fr-CH" w:eastAsia="en-US"/>
        </w:rPr>
        <w:t xml:space="preserve">la couverture géographique de WIPO Lex </w:t>
      </w:r>
      <w:r w:rsidR="005723BD">
        <w:rPr>
          <w:rFonts w:eastAsia="Times New Roman" w:cs="Arial"/>
          <w:bCs/>
          <w:szCs w:val="20"/>
          <w:lang w:val="fr-CH" w:eastAsia="en-US"/>
        </w:rPr>
        <w:t xml:space="preserve">en y ajoutant les lois et traités relatifs à la propriété intellectuelle et améliorer le </w:t>
      </w:r>
      <w:r w:rsidR="005723BD" w:rsidRPr="00FB42E7">
        <w:rPr>
          <w:rFonts w:eastAsia="Times New Roman" w:cs="Arial"/>
          <w:bCs/>
          <w:szCs w:val="20"/>
          <w:lang w:val="fr-CH" w:eastAsia="en-US"/>
        </w:rPr>
        <w:t>systèm</w:t>
      </w:r>
      <w:r w:rsidR="005723BD">
        <w:rPr>
          <w:rFonts w:eastAsia="Times New Roman" w:cs="Arial"/>
          <w:bCs/>
          <w:szCs w:val="20"/>
          <w:lang w:val="fr-CH" w:eastAsia="en-US"/>
        </w:rPr>
        <w:t>e</w:t>
      </w:r>
      <w:r w:rsidR="005723BD" w:rsidRPr="00FB42E7">
        <w:rPr>
          <w:rFonts w:eastAsia="Times New Roman" w:cs="Arial"/>
          <w:bCs/>
          <w:szCs w:val="20"/>
          <w:lang w:val="fr-CH" w:eastAsia="en-US"/>
        </w:rPr>
        <w:t xml:space="preserve"> </w:t>
      </w:r>
      <w:r w:rsidR="005723BD">
        <w:rPr>
          <w:rFonts w:eastAsia="Times New Roman" w:cs="Arial"/>
          <w:bCs/>
          <w:szCs w:val="20"/>
          <w:lang w:val="fr-CH" w:eastAsia="en-US"/>
        </w:rPr>
        <w:t>aux niveaux des fonctions de recherche et de l’interface utilisateurs</w:t>
      </w:r>
      <w:r w:rsidR="005723BD" w:rsidRPr="00FB42E7">
        <w:rPr>
          <w:rFonts w:eastAsia="Times New Roman" w:cs="Arial"/>
          <w:bCs/>
          <w:szCs w:val="20"/>
          <w:lang w:val="fr-CH" w:eastAsia="en-US"/>
        </w:rPr>
        <w:t>.</w:t>
      </w:r>
    </w:p>
    <w:p w14:paraId="3D5A9A5D" w14:textId="77777777" w:rsidR="005723BD" w:rsidRPr="00FB42E7" w:rsidRDefault="005723BD" w:rsidP="00986700">
      <w:pPr>
        <w:jc w:val="both"/>
        <w:rPr>
          <w:rFonts w:eastAsia="Times New Roman" w:cs="Arial"/>
          <w:bCs/>
          <w:szCs w:val="20"/>
          <w:lang w:val="fr-CH" w:eastAsia="en-US"/>
        </w:rPr>
      </w:pPr>
    </w:p>
    <w:p w14:paraId="57E0AC7D" w14:textId="77777777" w:rsidR="005723BD" w:rsidRPr="00FB42E7" w:rsidRDefault="005723BD"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5723BD" w:rsidRPr="00F27A62" w14:paraId="2ACE9CC5" w14:textId="77777777" w:rsidTr="005723BD">
        <w:trPr>
          <w:cantSplit/>
        </w:trPr>
        <w:tc>
          <w:tcPr>
            <w:tcW w:w="9571" w:type="dxa"/>
            <w:shd w:val="clear" w:color="auto" w:fill="C6D9F1" w:themeFill="text2" w:themeFillTint="33"/>
            <w:vAlign w:val="center"/>
          </w:tcPr>
          <w:p w14:paraId="589D6F95" w14:textId="26A5C3F2" w:rsidR="005723BD" w:rsidRPr="00220D5A" w:rsidRDefault="005723BD" w:rsidP="000B1950">
            <w:pPr>
              <w:keepNext/>
              <w:keepLines/>
              <w:jc w:val="center"/>
              <w:rPr>
                <w:rFonts w:eastAsia="Times New Roman" w:cs="Arial"/>
                <w:b/>
                <w:bCs/>
                <w:szCs w:val="20"/>
                <w:lang w:val="fr-CH" w:eastAsia="en-US"/>
              </w:rPr>
            </w:pPr>
            <w:r w:rsidRPr="00220D5A">
              <w:rPr>
                <w:rFonts w:cs="Arial"/>
                <w:b/>
                <w:szCs w:val="20"/>
                <w:lang w:val="fr-CH"/>
              </w:rPr>
              <w:lastRenderedPageBreak/>
              <w:t xml:space="preserve">Collaboration interprogrammes </w:t>
            </w:r>
          </w:p>
        </w:tc>
      </w:tr>
    </w:tbl>
    <w:p w14:paraId="5360EBC9" w14:textId="77777777" w:rsidR="005723BD" w:rsidRPr="00220D5A" w:rsidRDefault="005723BD" w:rsidP="00AF390D">
      <w:pPr>
        <w:keepNext/>
        <w:jc w:val="both"/>
        <w:rPr>
          <w:rFonts w:cs="Arial"/>
          <w:szCs w:val="20"/>
          <w:lang w:val="fr-CH"/>
        </w:rPr>
      </w:pPr>
    </w:p>
    <w:p w14:paraId="48425D07" w14:textId="57164A79" w:rsidR="005723BD" w:rsidRPr="00220D5A" w:rsidRDefault="00AF390D" w:rsidP="00AF390D">
      <w:pPr>
        <w:jc w:val="center"/>
        <w:rPr>
          <w:rFonts w:cs="Arial"/>
          <w:szCs w:val="20"/>
          <w:lang w:val="fr-CH"/>
        </w:rPr>
      </w:pPr>
      <w:r w:rsidRPr="00AF390D">
        <w:rPr>
          <w:noProof/>
          <w:lang w:val="en-US" w:eastAsia="en-US"/>
        </w:rPr>
        <w:drawing>
          <wp:inline distT="0" distB="0" distL="0" distR="0" wp14:anchorId="7442F648" wp14:editId="691F0CCE">
            <wp:extent cx="3246015" cy="3600000"/>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46015" cy="3600000"/>
                    </a:xfrm>
                    <a:prstGeom prst="rect">
                      <a:avLst/>
                    </a:prstGeom>
                    <a:noFill/>
                    <a:ln>
                      <a:noFill/>
                    </a:ln>
                  </pic:spPr>
                </pic:pic>
              </a:graphicData>
            </a:graphic>
          </wp:inline>
        </w:drawing>
      </w:r>
    </w:p>
    <w:p w14:paraId="1EE77F11" w14:textId="77777777" w:rsidR="005723BD" w:rsidRPr="00220D5A" w:rsidRDefault="005723BD"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4638"/>
        <w:gridCol w:w="4649"/>
      </w:tblGrid>
      <w:tr w:rsidR="005723BD" w:rsidRPr="00CB1ACB" w14:paraId="1264E439" w14:textId="77777777" w:rsidTr="005723BD">
        <w:trPr>
          <w:cantSplit/>
        </w:trPr>
        <w:tc>
          <w:tcPr>
            <w:tcW w:w="4785" w:type="dxa"/>
            <w:shd w:val="clear" w:color="auto" w:fill="C6D9F1" w:themeFill="text2" w:themeFillTint="33"/>
            <w:tcMar>
              <w:top w:w="57" w:type="dxa"/>
            </w:tcMar>
            <w:vAlign w:val="center"/>
          </w:tcPr>
          <w:p w14:paraId="320270E4" w14:textId="77777777" w:rsidR="005723BD" w:rsidRPr="00CB1ACB" w:rsidRDefault="005723BD" w:rsidP="00986700">
            <w:pPr>
              <w:keepNext/>
              <w:keepLines/>
              <w:jc w:val="center"/>
              <w:rPr>
                <w:rFonts w:cs="Arial"/>
                <w:b/>
                <w:bCs/>
                <w:sz w:val="18"/>
                <w:szCs w:val="18"/>
              </w:rPr>
            </w:pPr>
            <w:r>
              <w:rPr>
                <w:rFonts w:cs="Arial"/>
                <w:b/>
                <w:bCs/>
                <w:sz w:val="18"/>
                <w:szCs w:val="18"/>
              </w:rPr>
              <w:t>Risques</w:t>
            </w:r>
          </w:p>
        </w:tc>
        <w:tc>
          <w:tcPr>
            <w:tcW w:w="4786" w:type="dxa"/>
            <w:shd w:val="clear" w:color="auto" w:fill="C6D9F1" w:themeFill="text2" w:themeFillTint="33"/>
            <w:tcMar>
              <w:top w:w="57" w:type="dxa"/>
            </w:tcMar>
            <w:vAlign w:val="center"/>
          </w:tcPr>
          <w:p w14:paraId="22B199C5" w14:textId="77777777" w:rsidR="005723BD" w:rsidRPr="00CB1ACB" w:rsidRDefault="005723BD" w:rsidP="00986700">
            <w:pPr>
              <w:keepNext/>
              <w:keepLines/>
              <w:jc w:val="center"/>
              <w:rPr>
                <w:rFonts w:cs="Arial"/>
                <w:b/>
                <w:bCs/>
                <w:sz w:val="18"/>
                <w:szCs w:val="18"/>
              </w:rPr>
            </w:pPr>
            <w:r w:rsidRPr="00CB1ACB">
              <w:rPr>
                <w:rFonts w:cs="Arial"/>
                <w:b/>
                <w:bCs/>
                <w:sz w:val="18"/>
                <w:szCs w:val="18"/>
              </w:rPr>
              <w:t>M</w:t>
            </w:r>
            <w:r>
              <w:rPr>
                <w:rFonts w:cs="Arial"/>
                <w:b/>
                <w:bCs/>
                <w:sz w:val="18"/>
                <w:szCs w:val="18"/>
              </w:rPr>
              <w:t>esures d’atténuation</w:t>
            </w:r>
          </w:p>
        </w:tc>
      </w:tr>
      <w:tr w:rsidR="005723BD" w:rsidRPr="00F27A62" w14:paraId="1A6B95D6" w14:textId="77777777" w:rsidTr="005723BD">
        <w:trPr>
          <w:cantSplit/>
        </w:trPr>
        <w:tc>
          <w:tcPr>
            <w:tcW w:w="4785" w:type="dxa"/>
            <w:shd w:val="clear" w:color="auto" w:fill="auto"/>
            <w:tcMar>
              <w:top w:w="57" w:type="dxa"/>
              <w:bottom w:w="57" w:type="dxa"/>
            </w:tcMar>
          </w:tcPr>
          <w:p w14:paraId="43942763" w14:textId="77777777" w:rsidR="005723BD" w:rsidRPr="007622A2" w:rsidRDefault="005723BD" w:rsidP="00986700">
            <w:pPr>
              <w:keepNext/>
              <w:keepLines/>
              <w:rPr>
                <w:rFonts w:cs="Arial"/>
                <w:sz w:val="12"/>
                <w:szCs w:val="16"/>
                <w:lang w:val="fr-CH"/>
              </w:rPr>
            </w:pPr>
            <w:r w:rsidRPr="007622A2">
              <w:rPr>
                <w:rFonts w:cs="Arial"/>
                <w:color w:val="000000"/>
                <w:sz w:val="16"/>
                <w:lang w:val="fr-CH"/>
              </w:rPr>
              <w:t>Perte d</w:t>
            </w:r>
            <w:r>
              <w:rPr>
                <w:rFonts w:cs="Arial"/>
                <w:color w:val="000000"/>
                <w:sz w:val="16"/>
                <w:lang w:val="fr-CH"/>
              </w:rPr>
              <w:t>’</w:t>
            </w:r>
            <w:r w:rsidRPr="007622A2">
              <w:rPr>
                <w:rFonts w:cs="Arial"/>
                <w:color w:val="000000"/>
                <w:sz w:val="16"/>
                <w:lang w:val="fr-CH"/>
              </w:rPr>
              <w:t xml:space="preserve">accès aux bases de données mondiales suite </w:t>
            </w:r>
            <w:r>
              <w:rPr>
                <w:rFonts w:cs="Arial"/>
                <w:color w:val="000000"/>
                <w:sz w:val="16"/>
                <w:lang w:val="fr-CH"/>
              </w:rPr>
              <w:t xml:space="preserve">à une perturbation du service </w:t>
            </w:r>
            <w:r w:rsidRPr="007622A2">
              <w:rPr>
                <w:rFonts w:cs="Arial"/>
                <w:color w:val="000000"/>
                <w:sz w:val="16"/>
                <w:lang w:val="fr-CH"/>
              </w:rPr>
              <w:t>Internet localisé ou à une panne technique au siège de Genève.</w:t>
            </w:r>
          </w:p>
        </w:tc>
        <w:tc>
          <w:tcPr>
            <w:tcW w:w="4786" w:type="dxa"/>
            <w:shd w:val="clear" w:color="auto" w:fill="auto"/>
            <w:tcMar>
              <w:top w:w="57" w:type="dxa"/>
              <w:bottom w:w="57" w:type="dxa"/>
            </w:tcMar>
          </w:tcPr>
          <w:p w14:paraId="25B7E226" w14:textId="77777777" w:rsidR="005723BD" w:rsidRPr="007622A2" w:rsidRDefault="005723BD" w:rsidP="00986700">
            <w:pPr>
              <w:keepNext/>
              <w:keepLines/>
              <w:rPr>
                <w:rFonts w:cs="Arial"/>
                <w:sz w:val="12"/>
                <w:szCs w:val="16"/>
                <w:lang w:val="fr-CH"/>
              </w:rPr>
            </w:pPr>
            <w:r w:rsidRPr="007622A2">
              <w:rPr>
                <w:rFonts w:cs="Arial"/>
                <w:color w:val="000000"/>
                <w:sz w:val="16"/>
                <w:lang w:val="fr-CH"/>
              </w:rPr>
              <w:t>Il sera possible de dupliquer le service et d</w:t>
            </w:r>
            <w:r>
              <w:rPr>
                <w:rFonts w:cs="Arial"/>
                <w:color w:val="000000"/>
                <w:sz w:val="16"/>
                <w:lang w:val="fr-CH"/>
              </w:rPr>
              <w:t>’</w:t>
            </w:r>
            <w:r w:rsidRPr="007622A2">
              <w:rPr>
                <w:rFonts w:cs="Arial"/>
                <w:color w:val="000000"/>
                <w:sz w:val="16"/>
                <w:lang w:val="fr-CH"/>
              </w:rPr>
              <w:t xml:space="preserve">accroître la diversité géographique en installant des serveurs miroirs </w:t>
            </w:r>
            <w:r>
              <w:rPr>
                <w:rFonts w:cs="Arial"/>
                <w:color w:val="000000"/>
                <w:sz w:val="16"/>
                <w:lang w:val="fr-CH"/>
              </w:rPr>
              <w:t>à distance</w:t>
            </w:r>
            <w:r w:rsidRPr="007622A2">
              <w:rPr>
                <w:rFonts w:cs="Arial"/>
                <w:color w:val="000000"/>
                <w:sz w:val="16"/>
                <w:lang w:val="fr-CH"/>
              </w:rPr>
              <w:t xml:space="preserve"> afin de fournir aux utilisateurs des services plus efficaces et de maintenir l</w:t>
            </w:r>
            <w:r>
              <w:rPr>
                <w:rFonts w:cs="Arial"/>
                <w:color w:val="000000"/>
                <w:sz w:val="16"/>
                <w:lang w:val="fr-CH"/>
              </w:rPr>
              <w:t>’</w:t>
            </w:r>
            <w:r w:rsidRPr="007622A2">
              <w:rPr>
                <w:rFonts w:cs="Arial"/>
                <w:color w:val="000000"/>
                <w:sz w:val="16"/>
                <w:lang w:val="fr-CH"/>
              </w:rPr>
              <w:t>accès aux données en cas de perturbation technique localisée au siège de Genève.</w:t>
            </w:r>
          </w:p>
        </w:tc>
      </w:tr>
    </w:tbl>
    <w:p w14:paraId="2C5FF7E7" w14:textId="77777777" w:rsidR="005723BD" w:rsidRPr="007622A2" w:rsidRDefault="005723BD" w:rsidP="00986700">
      <w:pPr>
        <w:jc w:val="both"/>
        <w:rPr>
          <w:rFonts w:cs="Arial"/>
          <w:szCs w:val="20"/>
          <w:lang w:val="fr-CH"/>
        </w:rPr>
      </w:pPr>
    </w:p>
    <w:p w14:paraId="78B6257E" w14:textId="77777777" w:rsidR="005723BD" w:rsidRPr="007622A2" w:rsidRDefault="005723BD" w:rsidP="00986700">
      <w:pPr>
        <w:jc w:val="both"/>
        <w:rPr>
          <w:rFonts w:cs="Arial"/>
          <w:szCs w:val="20"/>
          <w:lang w:val="fr-CH"/>
        </w:rPr>
      </w:pPr>
    </w:p>
    <w:tbl>
      <w:tblPr>
        <w:tblW w:w="5000" w:type="pct"/>
        <w:tblCellMar>
          <w:top w:w="57" w:type="dxa"/>
          <w:bottom w:w="57" w:type="dxa"/>
        </w:tblCellMar>
        <w:tblLook w:val="04A0" w:firstRow="1" w:lastRow="0" w:firstColumn="1" w:lastColumn="0" w:noHBand="0" w:noVBand="1"/>
      </w:tblPr>
      <w:tblGrid>
        <w:gridCol w:w="2310"/>
        <w:gridCol w:w="2321"/>
        <w:gridCol w:w="2328"/>
        <w:gridCol w:w="2328"/>
      </w:tblGrid>
      <w:tr w:rsidR="005723BD" w:rsidRPr="001E46B4" w14:paraId="1009E243" w14:textId="77777777" w:rsidTr="005723BD">
        <w:trPr>
          <w:cantSplit/>
          <w:tblHeader/>
        </w:trPr>
        <w:tc>
          <w:tcPr>
            <w:tcW w:w="2392" w:type="dxa"/>
            <w:shd w:val="clear" w:color="000000" w:fill="C5D9F1"/>
            <w:tcMar>
              <w:top w:w="57" w:type="dxa"/>
            </w:tcMar>
            <w:vAlign w:val="center"/>
            <w:hideMark/>
          </w:tcPr>
          <w:p w14:paraId="7EC94509" w14:textId="77777777" w:rsidR="005723BD" w:rsidRPr="001E46B4" w:rsidRDefault="005723BD" w:rsidP="00986700">
            <w:pPr>
              <w:jc w:val="center"/>
              <w:rPr>
                <w:rFonts w:eastAsia="Times New Roman" w:cs="Arial"/>
                <w:b/>
                <w:bCs/>
                <w:color w:val="000000"/>
                <w:sz w:val="18"/>
                <w:szCs w:val="18"/>
                <w:lang w:eastAsia="en-US"/>
              </w:rPr>
            </w:pPr>
            <w:r w:rsidRPr="001E46B4">
              <w:rPr>
                <w:rFonts w:eastAsia="Times New Roman" w:cs="Arial"/>
                <w:b/>
                <w:bCs/>
                <w:color w:val="000000"/>
                <w:sz w:val="18"/>
                <w:szCs w:val="18"/>
                <w:lang w:eastAsia="en-US"/>
              </w:rPr>
              <w:t>R</w:t>
            </w:r>
            <w:r>
              <w:rPr>
                <w:rFonts w:eastAsia="Times New Roman" w:cs="Arial"/>
                <w:b/>
                <w:bCs/>
                <w:color w:val="000000"/>
                <w:sz w:val="18"/>
                <w:szCs w:val="18"/>
                <w:lang w:eastAsia="en-US"/>
              </w:rPr>
              <w:t>é</w:t>
            </w:r>
            <w:r w:rsidRPr="001E46B4">
              <w:rPr>
                <w:rFonts w:eastAsia="Times New Roman" w:cs="Arial"/>
                <w:b/>
                <w:bCs/>
                <w:color w:val="000000"/>
                <w:sz w:val="18"/>
                <w:szCs w:val="18"/>
                <w:lang w:eastAsia="en-US"/>
              </w:rPr>
              <w:t>sult</w:t>
            </w:r>
            <w:r>
              <w:rPr>
                <w:rFonts w:eastAsia="Times New Roman" w:cs="Arial"/>
                <w:b/>
                <w:bCs/>
                <w:color w:val="000000"/>
                <w:sz w:val="18"/>
                <w:szCs w:val="18"/>
                <w:lang w:eastAsia="en-US"/>
              </w:rPr>
              <w:t>at escompté</w:t>
            </w:r>
            <w:r w:rsidRPr="001E46B4">
              <w:rPr>
                <w:rFonts w:eastAsia="Times New Roman" w:cs="Arial"/>
                <w:b/>
                <w:bCs/>
                <w:color w:val="000000"/>
                <w:sz w:val="18"/>
                <w:szCs w:val="18"/>
                <w:lang w:eastAsia="en-US"/>
              </w:rPr>
              <w:t xml:space="preserve"> </w:t>
            </w:r>
          </w:p>
        </w:tc>
        <w:tc>
          <w:tcPr>
            <w:tcW w:w="2393" w:type="dxa"/>
            <w:shd w:val="clear" w:color="000000" w:fill="C5D9F1"/>
            <w:tcMar>
              <w:top w:w="57" w:type="dxa"/>
            </w:tcMar>
            <w:vAlign w:val="center"/>
            <w:hideMark/>
          </w:tcPr>
          <w:p w14:paraId="0A6A6AA0" w14:textId="77777777" w:rsidR="005723BD" w:rsidRPr="001E46B4" w:rsidRDefault="005723BD" w:rsidP="00986700">
            <w:pPr>
              <w:jc w:val="center"/>
              <w:rPr>
                <w:rFonts w:eastAsia="Times New Roman" w:cs="Arial"/>
                <w:b/>
                <w:bCs/>
                <w:color w:val="000000"/>
                <w:sz w:val="18"/>
                <w:szCs w:val="18"/>
                <w:lang w:eastAsia="en-US"/>
              </w:rPr>
            </w:pPr>
            <w:r>
              <w:rPr>
                <w:rFonts w:eastAsia="Times New Roman" w:cs="Arial"/>
                <w:b/>
                <w:bCs/>
                <w:color w:val="000000"/>
                <w:sz w:val="18"/>
                <w:szCs w:val="18"/>
                <w:lang w:eastAsia="en-US"/>
              </w:rPr>
              <w:t>Indicateur</w:t>
            </w:r>
            <w:r w:rsidRPr="001E46B4">
              <w:rPr>
                <w:rFonts w:eastAsia="Times New Roman" w:cs="Arial"/>
                <w:b/>
                <w:bCs/>
                <w:color w:val="000000"/>
                <w:sz w:val="18"/>
                <w:szCs w:val="18"/>
                <w:lang w:eastAsia="en-US"/>
              </w:rPr>
              <w:t>s</w:t>
            </w:r>
            <w:r>
              <w:rPr>
                <w:rFonts w:eastAsia="Times New Roman" w:cs="Arial"/>
                <w:b/>
                <w:bCs/>
                <w:color w:val="000000"/>
                <w:sz w:val="18"/>
                <w:szCs w:val="18"/>
                <w:lang w:eastAsia="en-US"/>
              </w:rPr>
              <w:t xml:space="preserve"> d’exécution</w:t>
            </w:r>
          </w:p>
        </w:tc>
        <w:tc>
          <w:tcPr>
            <w:tcW w:w="2393" w:type="dxa"/>
            <w:shd w:val="clear" w:color="000000" w:fill="C5D9F1"/>
            <w:tcMar>
              <w:top w:w="57" w:type="dxa"/>
            </w:tcMar>
            <w:vAlign w:val="center"/>
            <w:hideMark/>
          </w:tcPr>
          <w:p w14:paraId="2F893572" w14:textId="77777777" w:rsidR="005723BD" w:rsidRPr="001E46B4" w:rsidRDefault="005723BD" w:rsidP="00986700">
            <w:pPr>
              <w:jc w:val="center"/>
              <w:rPr>
                <w:rFonts w:eastAsia="Times New Roman" w:cs="Arial"/>
                <w:b/>
                <w:bCs/>
                <w:color w:val="000000"/>
                <w:sz w:val="18"/>
                <w:szCs w:val="18"/>
                <w:lang w:eastAsia="en-US"/>
              </w:rPr>
            </w:pPr>
            <w:r>
              <w:rPr>
                <w:rFonts w:eastAsia="Times New Roman" w:cs="Arial"/>
                <w:b/>
                <w:bCs/>
                <w:color w:val="000000"/>
                <w:sz w:val="18"/>
                <w:szCs w:val="18"/>
                <w:lang w:eastAsia="en-US"/>
              </w:rPr>
              <w:t>Niveaux de référence</w:t>
            </w:r>
          </w:p>
        </w:tc>
        <w:tc>
          <w:tcPr>
            <w:tcW w:w="2393" w:type="dxa"/>
            <w:shd w:val="clear" w:color="000000" w:fill="C5D9F1"/>
            <w:tcMar>
              <w:top w:w="57" w:type="dxa"/>
            </w:tcMar>
            <w:vAlign w:val="center"/>
            <w:hideMark/>
          </w:tcPr>
          <w:p w14:paraId="3DD42E88" w14:textId="77777777" w:rsidR="005723BD" w:rsidRPr="001E46B4" w:rsidRDefault="005723BD" w:rsidP="00986700">
            <w:pPr>
              <w:jc w:val="center"/>
              <w:rPr>
                <w:rFonts w:eastAsia="Times New Roman" w:cs="Arial"/>
                <w:b/>
                <w:bCs/>
                <w:color w:val="000000"/>
                <w:sz w:val="18"/>
                <w:szCs w:val="18"/>
                <w:lang w:eastAsia="en-US"/>
              </w:rPr>
            </w:pPr>
            <w:r>
              <w:rPr>
                <w:rFonts w:eastAsia="Times New Roman" w:cs="Arial"/>
                <w:b/>
                <w:bCs/>
                <w:color w:val="000000"/>
                <w:sz w:val="18"/>
                <w:szCs w:val="18"/>
                <w:lang w:eastAsia="en-US"/>
              </w:rPr>
              <w:t>Objectifs visés</w:t>
            </w:r>
          </w:p>
        </w:tc>
      </w:tr>
      <w:tr w:rsidR="005723BD" w:rsidRPr="00120BD7" w14:paraId="4E745007" w14:textId="77777777" w:rsidTr="005723BD">
        <w:trPr>
          <w:cantSplit/>
        </w:trPr>
        <w:tc>
          <w:tcPr>
            <w:tcW w:w="2392" w:type="dxa"/>
            <w:shd w:val="clear" w:color="000000" w:fill="FFFFFF"/>
            <w:tcMar>
              <w:top w:w="57" w:type="dxa"/>
            </w:tcMar>
            <w:hideMark/>
          </w:tcPr>
          <w:p w14:paraId="6639E96C" w14:textId="4F79D3B6" w:rsidR="005723BD" w:rsidRPr="00090F7D" w:rsidRDefault="005723BD" w:rsidP="00986700">
            <w:pPr>
              <w:rPr>
                <w:rFonts w:eastAsia="Times New Roman" w:cs="Arial"/>
                <w:color w:val="000000"/>
                <w:sz w:val="16"/>
                <w:szCs w:val="16"/>
                <w:lang w:val="fr-CH" w:eastAsia="en-US"/>
              </w:rPr>
            </w:pPr>
            <w:r w:rsidRPr="00F27A62">
              <w:rPr>
                <w:rFonts w:eastAsia="Times New Roman" w:cs="Arial"/>
                <w:color w:val="000000"/>
                <w:sz w:val="16"/>
                <w:szCs w:val="16"/>
                <w:lang w:val="fr-CH" w:eastAsia="en-US"/>
              </w:rPr>
              <w:t xml:space="preserve">IV.2 </w:t>
            </w:r>
            <w:r w:rsidRPr="00090F7D">
              <w:rPr>
                <w:rFonts w:eastAsia="Times New Roman" w:cs="Arial"/>
                <w:color w:val="000000"/>
                <w:sz w:val="16"/>
                <w:szCs w:val="16"/>
                <w:lang w:val="fr-CH" w:eastAsia="en-US"/>
              </w:rPr>
              <w:t>Amélioration de l</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 xml:space="preserve">accessibilité et de </w:t>
            </w:r>
            <w:r>
              <w:rPr>
                <w:rFonts w:eastAsia="Times New Roman" w:cs="Arial"/>
                <w:color w:val="000000"/>
                <w:sz w:val="16"/>
                <w:szCs w:val="16"/>
                <w:lang w:val="fr-CH" w:eastAsia="en-US"/>
              </w:rPr>
              <w:t>l’</w:t>
            </w:r>
            <w:r w:rsidRPr="00090F7D">
              <w:rPr>
                <w:rFonts w:eastAsia="Times New Roman" w:cs="Arial"/>
                <w:color w:val="000000"/>
                <w:sz w:val="16"/>
                <w:szCs w:val="16"/>
                <w:lang w:val="fr-CH" w:eastAsia="en-US"/>
              </w:rPr>
              <w:t>utilisation de l</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information en matière de propriété intellectuelle par les institutions compétentes et le public afin de promouvoir l</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 xml:space="preserve">innovation et la créativité </w:t>
            </w:r>
          </w:p>
        </w:tc>
        <w:tc>
          <w:tcPr>
            <w:tcW w:w="2393" w:type="dxa"/>
            <w:shd w:val="clear" w:color="000000" w:fill="FFFFFF"/>
            <w:tcMar>
              <w:top w:w="57" w:type="dxa"/>
            </w:tcMar>
            <w:hideMark/>
          </w:tcPr>
          <w:p w14:paraId="4C4F814C" w14:textId="77777777" w:rsidR="005723BD" w:rsidRDefault="005723BD" w:rsidP="00986700">
            <w:pPr>
              <w:rPr>
                <w:rFonts w:eastAsia="Times New Roman" w:cs="Arial"/>
                <w:color w:val="000000"/>
                <w:sz w:val="16"/>
                <w:szCs w:val="16"/>
                <w:lang w:val="fr-CH" w:eastAsia="en-US"/>
              </w:rPr>
            </w:pPr>
            <w:r w:rsidRPr="00090F7D">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utilisateurs uniques ayant effectué une recherch</w:t>
            </w:r>
            <w:r>
              <w:rPr>
                <w:rFonts w:eastAsia="Times New Roman" w:cs="Arial"/>
                <w:color w:val="000000"/>
                <w:sz w:val="16"/>
                <w:szCs w:val="16"/>
                <w:lang w:val="fr-CH" w:eastAsia="en-US"/>
              </w:rPr>
              <w:t>e en matière</w:t>
            </w:r>
            <w:r w:rsidRPr="00090F7D">
              <w:rPr>
                <w:rFonts w:eastAsia="Times New Roman" w:cs="Arial"/>
                <w:color w:val="000000"/>
                <w:sz w:val="16"/>
                <w:szCs w:val="16"/>
                <w:lang w:val="fr-CH" w:eastAsia="en-US"/>
              </w:rPr>
              <w:t xml:space="preserve"> de brevet</w:t>
            </w:r>
            <w:r>
              <w:rPr>
                <w:rFonts w:eastAsia="Times New Roman" w:cs="Arial"/>
                <w:color w:val="000000"/>
                <w:sz w:val="16"/>
                <w:szCs w:val="16"/>
                <w:lang w:val="fr-CH" w:eastAsia="en-US"/>
              </w:rPr>
              <w:t>s</w:t>
            </w:r>
            <w:r w:rsidRPr="00090F7D">
              <w:rPr>
                <w:rFonts w:eastAsia="Times New Roman" w:cs="Arial"/>
                <w:color w:val="000000"/>
                <w:sz w:val="16"/>
                <w:szCs w:val="16"/>
                <w:lang w:val="fr-CH" w:eastAsia="en-US"/>
              </w:rPr>
              <w:t xml:space="preserve"> par trimest</w:t>
            </w:r>
            <w:r>
              <w:rPr>
                <w:rFonts w:eastAsia="Times New Roman" w:cs="Arial"/>
                <w:color w:val="000000"/>
                <w:sz w:val="16"/>
                <w:szCs w:val="16"/>
                <w:lang w:val="fr-CH" w:eastAsia="en-US"/>
              </w:rPr>
              <w:t xml:space="preserve">re </w:t>
            </w:r>
            <w:r w:rsidRPr="00090F7D">
              <w:rPr>
                <w:rFonts w:eastAsia="Times New Roman" w:cs="Arial"/>
                <w:color w:val="000000"/>
                <w:sz w:val="16"/>
                <w:szCs w:val="16"/>
                <w:lang w:val="fr-CH" w:eastAsia="en-US"/>
              </w:rPr>
              <w:t>dans</w:t>
            </w:r>
            <w:r>
              <w:rPr>
                <w:rFonts w:eastAsia="Times New Roman" w:cs="Arial"/>
                <w:color w:val="000000"/>
                <w:sz w:val="16"/>
                <w:szCs w:val="16"/>
                <w:lang w:val="fr-CH" w:eastAsia="en-US"/>
              </w:rPr>
              <w:t xml:space="preserve"> PATENTSCOPE</w:t>
            </w:r>
          </w:p>
          <w:p w14:paraId="69F3A4CE" w14:textId="77777777" w:rsidR="005723BD" w:rsidRDefault="005723BD" w:rsidP="00986700">
            <w:pPr>
              <w:rPr>
                <w:rFonts w:eastAsia="Times New Roman" w:cs="Arial"/>
                <w:color w:val="000000"/>
                <w:sz w:val="16"/>
                <w:szCs w:val="16"/>
                <w:lang w:val="fr-CH" w:eastAsia="en-US"/>
              </w:rPr>
            </w:pPr>
          </w:p>
          <w:p w14:paraId="56BCC034" w14:textId="212029E3" w:rsidR="005723BD" w:rsidRPr="00090F7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Nombre d’utilisateurs par trimestre des bases de données mondiales</w:t>
            </w:r>
            <w:r w:rsidRPr="00090F7D">
              <w:rPr>
                <w:rFonts w:eastAsia="Times New Roman" w:cs="Arial"/>
                <w:color w:val="000000"/>
                <w:sz w:val="16"/>
                <w:szCs w:val="16"/>
                <w:lang w:val="fr-CH" w:eastAsia="en-US"/>
              </w:rPr>
              <w:t xml:space="preserve"> </w:t>
            </w:r>
          </w:p>
        </w:tc>
        <w:tc>
          <w:tcPr>
            <w:tcW w:w="2393" w:type="dxa"/>
            <w:shd w:val="clear" w:color="000000" w:fill="FFFFFF"/>
            <w:tcMar>
              <w:top w:w="57" w:type="dxa"/>
            </w:tcMar>
            <w:hideMark/>
          </w:tcPr>
          <w:p w14:paraId="68A9219D" w14:textId="77777777" w:rsidR="005723B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 xml:space="preserve">Recherches dans </w:t>
            </w:r>
            <w:r w:rsidRPr="00120BD7">
              <w:rPr>
                <w:rFonts w:eastAsia="Times New Roman" w:cs="Arial"/>
                <w:color w:val="000000"/>
                <w:sz w:val="16"/>
                <w:szCs w:val="16"/>
                <w:lang w:val="fr-CH" w:eastAsia="en-US"/>
              </w:rPr>
              <w:t>PATENTSCOPE</w:t>
            </w:r>
            <w:r>
              <w:rPr>
                <w:rFonts w:eastAsia="Times New Roman" w:cs="Arial"/>
                <w:color w:val="000000"/>
                <w:sz w:val="16"/>
                <w:szCs w:val="16"/>
                <w:lang w:val="fr-CH" w:eastAsia="en-US"/>
              </w:rPr>
              <w:t> :</w:t>
            </w:r>
            <w:r w:rsidRPr="00120BD7">
              <w:rPr>
                <w:rFonts w:eastAsia="Times New Roman" w:cs="Arial"/>
                <w:color w:val="000000"/>
                <w:sz w:val="16"/>
                <w:szCs w:val="16"/>
                <w:lang w:val="fr-CH" w:eastAsia="en-US"/>
              </w:rPr>
              <w:t xml:space="preserve"> 246 516</w:t>
            </w:r>
          </w:p>
          <w:p w14:paraId="0AF4BC33" w14:textId="77777777" w:rsidR="005723BD" w:rsidRDefault="005723BD" w:rsidP="00986700">
            <w:pPr>
              <w:rPr>
                <w:rFonts w:eastAsia="Times New Roman" w:cs="Arial"/>
                <w:color w:val="000000"/>
                <w:sz w:val="16"/>
                <w:szCs w:val="16"/>
                <w:lang w:val="fr-CH" w:eastAsia="en-US"/>
              </w:rPr>
            </w:pPr>
          </w:p>
          <w:p w14:paraId="22268148" w14:textId="3B7B7999" w:rsidR="005723BD" w:rsidRPr="00120BD7" w:rsidRDefault="005723BD" w:rsidP="00986700">
            <w:pPr>
              <w:rPr>
                <w:rFonts w:eastAsia="Times New Roman" w:cs="Arial"/>
                <w:color w:val="000000"/>
                <w:sz w:val="16"/>
                <w:szCs w:val="16"/>
                <w:lang w:val="fr-CH" w:eastAsia="en-US"/>
              </w:rPr>
            </w:pPr>
          </w:p>
          <w:p w14:paraId="04D8FC01" w14:textId="77777777" w:rsidR="005723BD" w:rsidRDefault="005723BD" w:rsidP="00986700">
            <w:pPr>
              <w:rPr>
                <w:rFonts w:eastAsia="Times New Roman" w:cs="Arial"/>
                <w:color w:val="000000"/>
                <w:sz w:val="16"/>
                <w:szCs w:val="16"/>
                <w:lang w:val="fr-CH" w:eastAsia="en-US"/>
              </w:rPr>
            </w:pPr>
          </w:p>
          <w:p w14:paraId="67E76D4F" w14:textId="77777777" w:rsidR="00286CAF" w:rsidRDefault="00286CAF" w:rsidP="00986700">
            <w:pPr>
              <w:rPr>
                <w:rFonts w:eastAsia="Times New Roman" w:cs="Arial"/>
                <w:color w:val="000000"/>
                <w:sz w:val="16"/>
                <w:szCs w:val="16"/>
                <w:lang w:val="fr-CH" w:eastAsia="en-US"/>
              </w:rPr>
            </w:pPr>
          </w:p>
          <w:p w14:paraId="598F10C3" w14:textId="77777777" w:rsidR="005723B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Base de données mondiale sur les marques (GBD) :</w:t>
            </w:r>
            <w:r w:rsidRPr="00120BD7">
              <w:rPr>
                <w:rFonts w:eastAsia="Times New Roman" w:cs="Arial"/>
                <w:color w:val="000000"/>
                <w:sz w:val="16"/>
                <w:szCs w:val="16"/>
                <w:lang w:val="fr-CH" w:eastAsia="en-US"/>
              </w:rPr>
              <w:t xml:space="preserve"> 119 208</w:t>
            </w:r>
          </w:p>
          <w:p w14:paraId="19AEEE55" w14:textId="77777777" w:rsidR="005723B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Base de données mondiale sur les dessins et modèles (GDD) :</w:t>
            </w:r>
            <w:r w:rsidRPr="00120BD7">
              <w:rPr>
                <w:rFonts w:eastAsia="Times New Roman" w:cs="Arial"/>
                <w:color w:val="000000"/>
                <w:sz w:val="16"/>
                <w:szCs w:val="16"/>
                <w:lang w:val="fr-CH" w:eastAsia="en-US"/>
              </w:rPr>
              <w:t xml:space="preserve"> 16 868</w:t>
            </w:r>
          </w:p>
          <w:p w14:paraId="3A3A5A55" w14:textId="6082EC45" w:rsidR="005723BD" w:rsidRPr="00120BD7" w:rsidRDefault="005723BD" w:rsidP="00986700">
            <w:pPr>
              <w:rPr>
                <w:rFonts w:eastAsia="Times New Roman" w:cs="Arial"/>
                <w:color w:val="000000"/>
                <w:sz w:val="16"/>
                <w:szCs w:val="16"/>
                <w:lang w:val="fr-CH" w:eastAsia="en-US"/>
              </w:rPr>
            </w:pPr>
            <w:r w:rsidRPr="00120BD7">
              <w:rPr>
                <w:rFonts w:eastAsia="Times New Roman" w:cs="Arial"/>
                <w:color w:val="000000"/>
                <w:sz w:val="16"/>
                <w:szCs w:val="16"/>
                <w:lang w:val="fr-CH" w:eastAsia="en-US"/>
              </w:rPr>
              <w:t>(dernier trimestre de</w:t>
            </w:r>
            <w:r>
              <w:rPr>
                <w:rFonts w:eastAsia="Times New Roman" w:cs="Arial"/>
                <w:color w:val="000000"/>
                <w:sz w:val="16"/>
                <w:szCs w:val="16"/>
                <w:lang w:val="fr-CH" w:eastAsia="en-US"/>
              </w:rPr>
              <w:t> </w:t>
            </w:r>
            <w:r w:rsidRPr="00120BD7">
              <w:rPr>
                <w:rFonts w:eastAsia="Times New Roman" w:cs="Arial"/>
                <w:color w:val="000000"/>
                <w:sz w:val="16"/>
                <w:szCs w:val="16"/>
                <w:lang w:val="fr-CH" w:eastAsia="en-US"/>
              </w:rPr>
              <w:t>2016)</w:t>
            </w:r>
          </w:p>
        </w:tc>
        <w:tc>
          <w:tcPr>
            <w:tcW w:w="2393" w:type="dxa"/>
            <w:shd w:val="clear" w:color="000000" w:fill="FFFFFF"/>
            <w:tcMar>
              <w:top w:w="57" w:type="dxa"/>
            </w:tcMar>
            <w:hideMark/>
          </w:tcPr>
          <w:p w14:paraId="1D65B2F5" w14:textId="77777777" w:rsidR="005723B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 xml:space="preserve">Recherches dans </w:t>
            </w:r>
            <w:r w:rsidRPr="00120BD7">
              <w:rPr>
                <w:rFonts w:eastAsia="Times New Roman" w:cs="Arial"/>
                <w:color w:val="000000"/>
                <w:sz w:val="16"/>
                <w:szCs w:val="16"/>
                <w:lang w:val="fr-CH" w:eastAsia="en-US"/>
              </w:rPr>
              <w:t>PATENTSCOPE</w:t>
            </w:r>
            <w:r>
              <w:rPr>
                <w:rFonts w:eastAsia="Times New Roman" w:cs="Arial"/>
                <w:color w:val="000000"/>
                <w:sz w:val="16"/>
                <w:szCs w:val="16"/>
                <w:lang w:val="fr-CH" w:eastAsia="en-US"/>
              </w:rPr>
              <w:t> :</w:t>
            </w:r>
            <w:r w:rsidRPr="00120BD7">
              <w:rPr>
                <w:rFonts w:eastAsia="Times New Roman" w:cs="Arial"/>
                <w:color w:val="000000"/>
                <w:sz w:val="16"/>
                <w:szCs w:val="16"/>
                <w:lang w:val="fr-CH" w:eastAsia="en-US"/>
              </w:rPr>
              <w:t xml:space="preserve"> +5% (annuel)</w:t>
            </w:r>
          </w:p>
          <w:p w14:paraId="48650C1D" w14:textId="77777777" w:rsidR="005723BD" w:rsidRDefault="005723BD" w:rsidP="00986700">
            <w:pPr>
              <w:rPr>
                <w:rFonts w:eastAsia="Times New Roman" w:cs="Arial"/>
                <w:color w:val="000000"/>
                <w:sz w:val="16"/>
                <w:szCs w:val="16"/>
                <w:lang w:val="fr-CH" w:eastAsia="en-US"/>
              </w:rPr>
            </w:pPr>
          </w:p>
          <w:p w14:paraId="6BA84B0A" w14:textId="618F0FFB" w:rsidR="005723BD" w:rsidRPr="00120BD7" w:rsidRDefault="005723BD" w:rsidP="00986700">
            <w:pPr>
              <w:rPr>
                <w:rFonts w:eastAsia="Times New Roman" w:cs="Arial"/>
                <w:color w:val="000000"/>
                <w:sz w:val="16"/>
                <w:szCs w:val="16"/>
                <w:lang w:val="fr-CH" w:eastAsia="en-US"/>
              </w:rPr>
            </w:pPr>
          </w:p>
          <w:p w14:paraId="6576EDD6" w14:textId="77777777" w:rsidR="005723BD" w:rsidRDefault="005723BD" w:rsidP="00986700">
            <w:pPr>
              <w:rPr>
                <w:rFonts w:eastAsia="Times New Roman" w:cs="Arial"/>
                <w:color w:val="000000"/>
                <w:sz w:val="16"/>
                <w:szCs w:val="16"/>
                <w:lang w:val="fr-CH" w:eastAsia="en-US"/>
              </w:rPr>
            </w:pPr>
          </w:p>
          <w:p w14:paraId="707E907D" w14:textId="77777777" w:rsidR="005723BD" w:rsidRDefault="005723BD" w:rsidP="00986700">
            <w:pPr>
              <w:rPr>
                <w:rFonts w:eastAsia="Times New Roman" w:cs="Arial"/>
                <w:color w:val="000000"/>
                <w:sz w:val="16"/>
                <w:szCs w:val="16"/>
                <w:lang w:val="fr-CH" w:eastAsia="en-US"/>
              </w:rPr>
            </w:pPr>
            <w:r w:rsidRPr="00120BD7">
              <w:rPr>
                <w:rFonts w:eastAsia="Times New Roman" w:cs="Arial"/>
                <w:color w:val="000000"/>
                <w:sz w:val="16"/>
                <w:szCs w:val="16"/>
                <w:lang w:val="fr-CH" w:eastAsia="en-US"/>
              </w:rPr>
              <w:t>GBD</w:t>
            </w:r>
            <w:r>
              <w:rPr>
                <w:rFonts w:eastAsia="Times New Roman" w:cs="Arial"/>
                <w:color w:val="000000"/>
                <w:sz w:val="16"/>
                <w:szCs w:val="16"/>
                <w:lang w:val="fr-CH" w:eastAsia="en-US"/>
              </w:rPr>
              <w:t> </w:t>
            </w:r>
            <w:r w:rsidRPr="00120BD7">
              <w:rPr>
                <w:rFonts w:eastAsia="Times New Roman" w:cs="Arial"/>
                <w:color w:val="000000"/>
                <w:sz w:val="16"/>
                <w:szCs w:val="16"/>
                <w:lang w:val="fr-CH" w:eastAsia="en-US"/>
              </w:rPr>
              <w:t>: +5% (annuel)</w:t>
            </w:r>
          </w:p>
          <w:p w14:paraId="3253A882" w14:textId="1E8F09FA" w:rsidR="005723BD" w:rsidRPr="00120BD7" w:rsidRDefault="005723BD" w:rsidP="00986700">
            <w:pPr>
              <w:rPr>
                <w:rFonts w:eastAsia="Times New Roman" w:cs="Arial"/>
                <w:color w:val="000000"/>
                <w:sz w:val="16"/>
                <w:szCs w:val="16"/>
                <w:lang w:val="fr-CH" w:eastAsia="en-US"/>
              </w:rPr>
            </w:pPr>
            <w:r w:rsidRPr="00120BD7">
              <w:rPr>
                <w:rFonts w:eastAsia="Times New Roman" w:cs="Arial"/>
                <w:color w:val="000000"/>
                <w:sz w:val="16"/>
                <w:szCs w:val="16"/>
                <w:lang w:val="fr-CH" w:eastAsia="en-US"/>
              </w:rPr>
              <w:t>GDD</w:t>
            </w:r>
            <w:r>
              <w:rPr>
                <w:rFonts w:eastAsia="Times New Roman" w:cs="Arial"/>
                <w:color w:val="000000"/>
                <w:sz w:val="16"/>
                <w:szCs w:val="16"/>
                <w:lang w:val="fr-CH" w:eastAsia="en-US"/>
              </w:rPr>
              <w:t> </w:t>
            </w:r>
            <w:r w:rsidRPr="00120BD7">
              <w:rPr>
                <w:rFonts w:eastAsia="Times New Roman" w:cs="Arial"/>
                <w:color w:val="000000"/>
                <w:sz w:val="16"/>
                <w:szCs w:val="16"/>
                <w:lang w:val="fr-CH" w:eastAsia="en-US"/>
              </w:rPr>
              <w:t>: +5% (annu</w:t>
            </w:r>
            <w:r>
              <w:rPr>
                <w:rFonts w:eastAsia="Times New Roman" w:cs="Arial"/>
                <w:color w:val="000000"/>
                <w:sz w:val="16"/>
                <w:szCs w:val="16"/>
                <w:lang w:val="fr-CH" w:eastAsia="en-US"/>
              </w:rPr>
              <w:t>e</w:t>
            </w:r>
            <w:r w:rsidRPr="00120BD7">
              <w:rPr>
                <w:rFonts w:eastAsia="Times New Roman" w:cs="Arial"/>
                <w:color w:val="000000"/>
                <w:sz w:val="16"/>
                <w:szCs w:val="16"/>
                <w:lang w:val="fr-CH" w:eastAsia="en-US"/>
              </w:rPr>
              <w:t>l)</w:t>
            </w:r>
          </w:p>
        </w:tc>
      </w:tr>
      <w:tr w:rsidR="005723BD" w:rsidRPr="001E46B4" w14:paraId="507B2006" w14:textId="77777777" w:rsidTr="005723BD">
        <w:trPr>
          <w:cantSplit/>
        </w:trPr>
        <w:tc>
          <w:tcPr>
            <w:tcW w:w="2392" w:type="dxa"/>
            <w:shd w:val="clear" w:color="000000" w:fill="FFFFFF"/>
            <w:tcMar>
              <w:top w:w="57" w:type="dxa"/>
            </w:tcMar>
            <w:vAlign w:val="bottom"/>
            <w:hideMark/>
          </w:tcPr>
          <w:p w14:paraId="5F2EFD59" w14:textId="77777777" w:rsidR="005723BD" w:rsidRPr="00120BD7" w:rsidRDefault="005723BD" w:rsidP="00986700">
            <w:pPr>
              <w:jc w:val="right"/>
              <w:rPr>
                <w:rFonts w:eastAsia="Times New Roman" w:cs="Arial"/>
                <w:color w:val="000000"/>
                <w:sz w:val="16"/>
                <w:szCs w:val="16"/>
                <w:lang w:val="fr-CH" w:eastAsia="en-US"/>
              </w:rPr>
            </w:pPr>
            <w:r w:rsidRPr="00120BD7">
              <w:rPr>
                <w:rFonts w:eastAsia="Times New Roman" w:cs="Arial"/>
                <w:color w:val="000000"/>
                <w:sz w:val="16"/>
                <w:szCs w:val="16"/>
                <w:lang w:val="fr-CH" w:eastAsia="en-US"/>
              </w:rPr>
              <w:t> </w:t>
            </w:r>
          </w:p>
        </w:tc>
        <w:tc>
          <w:tcPr>
            <w:tcW w:w="2393" w:type="dxa"/>
            <w:shd w:val="clear" w:color="000000" w:fill="FFFFFF"/>
            <w:tcMar>
              <w:top w:w="57" w:type="dxa"/>
            </w:tcMar>
            <w:hideMark/>
          </w:tcPr>
          <w:p w14:paraId="28BA333F" w14:textId="77777777" w:rsidR="005723BD" w:rsidRPr="00090F7D"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N</w:t>
            </w:r>
            <w:r w:rsidRPr="00090F7D">
              <w:rPr>
                <w:rFonts w:eastAsia="Times New Roman" w:cs="Arial"/>
                <w:color w:val="000000"/>
                <w:sz w:val="16"/>
                <w:szCs w:val="16"/>
                <w:lang w:val="fr-CH" w:eastAsia="en-US"/>
              </w:rPr>
              <w:t>ombre de combinaisons linguistiques disponibles pour la traduction des descriptions et des revendication</w:t>
            </w:r>
            <w:r>
              <w:rPr>
                <w:rFonts w:eastAsia="Times New Roman" w:cs="Arial"/>
                <w:color w:val="000000"/>
                <w:sz w:val="16"/>
                <w:szCs w:val="16"/>
                <w:lang w:val="fr-CH" w:eastAsia="en-US"/>
              </w:rPr>
              <w:t>s</w:t>
            </w:r>
          </w:p>
        </w:tc>
        <w:tc>
          <w:tcPr>
            <w:tcW w:w="2393" w:type="dxa"/>
            <w:shd w:val="clear" w:color="000000" w:fill="FFFFFF"/>
            <w:tcMar>
              <w:top w:w="57" w:type="dxa"/>
            </w:tcMar>
            <w:hideMark/>
          </w:tcPr>
          <w:p w14:paraId="5AD2492F" w14:textId="77777777" w:rsidR="005723BD" w:rsidRDefault="005723BD" w:rsidP="00986700">
            <w:pPr>
              <w:rPr>
                <w:rFonts w:eastAsia="Times New Roman" w:cs="Arial"/>
                <w:color w:val="000000"/>
                <w:sz w:val="16"/>
                <w:szCs w:val="16"/>
                <w:lang w:val="fr-CH" w:eastAsia="en-US"/>
              </w:rPr>
            </w:pPr>
            <w:r w:rsidRPr="00D119C8">
              <w:rPr>
                <w:rFonts w:eastAsia="Times New Roman" w:cs="Arial"/>
                <w:color w:val="000000"/>
                <w:sz w:val="16"/>
                <w:szCs w:val="16"/>
                <w:lang w:val="fr-CH" w:eastAsia="en-US"/>
              </w:rPr>
              <w:t>4 (février</w:t>
            </w:r>
            <w:r>
              <w:rPr>
                <w:rFonts w:eastAsia="Times New Roman" w:cs="Arial"/>
                <w:color w:val="000000"/>
                <w:sz w:val="16"/>
                <w:szCs w:val="16"/>
                <w:lang w:val="fr-CH" w:eastAsia="en-US"/>
              </w:rPr>
              <w:t> </w:t>
            </w:r>
            <w:r w:rsidRPr="00D119C8">
              <w:rPr>
                <w:rFonts w:eastAsia="Times New Roman" w:cs="Arial"/>
                <w:color w:val="000000"/>
                <w:sz w:val="16"/>
                <w:szCs w:val="16"/>
                <w:lang w:val="fr-CH" w:eastAsia="en-US"/>
              </w:rPr>
              <w:t>2017)</w:t>
            </w:r>
          </w:p>
          <w:p w14:paraId="0A4CD1A8" w14:textId="4279EEFD" w:rsidR="005723BD" w:rsidRPr="00D119C8" w:rsidRDefault="005723BD" w:rsidP="00986700">
            <w:pPr>
              <w:rPr>
                <w:rFonts w:eastAsia="Times New Roman" w:cs="Arial"/>
                <w:color w:val="000000"/>
                <w:sz w:val="16"/>
                <w:szCs w:val="16"/>
                <w:lang w:val="fr-CH" w:eastAsia="en-US"/>
              </w:rPr>
            </w:pPr>
            <w:r w:rsidRPr="00D119C8">
              <w:rPr>
                <w:rFonts w:eastAsia="Times New Roman" w:cs="Arial"/>
                <w:color w:val="000000"/>
                <w:sz w:val="16"/>
                <w:szCs w:val="16"/>
                <w:lang w:val="fr-CH" w:eastAsia="en-US"/>
              </w:rPr>
              <w:t>(chiffre cumulatif)</w:t>
            </w:r>
          </w:p>
        </w:tc>
        <w:tc>
          <w:tcPr>
            <w:tcW w:w="2393" w:type="dxa"/>
            <w:shd w:val="clear" w:color="000000" w:fill="FFFFFF"/>
            <w:tcMar>
              <w:top w:w="57" w:type="dxa"/>
            </w:tcMar>
            <w:hideMark/>
          </w:tcPr>
          <w:p w14:paraId="4013BE5F" w14:textId="77777777" w:rsidR="005723BD" w:rsidRPr="001E46B4"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Six</w:t>
            </w:r>
            <w:r w:rsidRPr="001E46B4">
              <w:rPr>
                <w:rFonts w:eastAsia="Times New Roman" w:cs="Arial"/>
                <w:color w:val="000000"/>
                <w:sz w:val="16"/>
                <w:szCs w:val="16"/>
                <w:lang w:eastAsia="en-US"/>
              </w:rPr>
              <w:t xml:space="preserve"> (</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r>
      <w:tr w:rsidR="005723BD" w:rsidRPr="001E46B4" w14:paraId="42E8FA9D" w14:textId="77777777" w:rsidTr="005723BD">
        <w:trPr>
          <w:cantSplit/>
        </w:trPr>
        <w:tc>
          <w:tcPr>
            <w:tcW w:w="2392" w:type="dxa"/>
            <w:shd w:val="clear" w:color="000000" w:fill="FFFFFF"/>
            <w:tcMar>
              <w:top w:w="57" w:type="dxa"/>
            </w:tcMar>
            <w:vAlign w:val="bottom"/>
            <w:hideMark/>
          </w:tcPr>
          <w:p w14:paraId="1E885408" w14:textId="77777777" w:rsidR="005723BD" w:rsidRPr="001E46B4" w:rsidRDefault="005723BD" w:rsidP="00986700">
            <w:pPr>
              <w:jc w:val="right"/>
              <w:rPr>
                <w:rFonts w:eastAsia="Times New Roman" w:cs="Arial"/>
                <w:color w:val="000000"/>
                <w:sz w:val="16"/>
                <w:szCs w:val="16"/>
                <w:lang w:eastAsia="en-US"/>
              </w:rPr>
            </w:pPr>
            <w:r w:rsidRPr="001E46B4">
              <w:rPr>
                <w:rFonts w:eastAsia="Times New Roman" w:cs="Arial"/>
                <w:color w:val="000000"/>
                <w:sz w:val="16"/>
                <w:szCs w:val="16"/>
                <w:lang w:eastAsia="en-US"/>
              </w:rPr>
              <w:t> </w:t>
            </w:r>
          </w:p>
        </w:tc>
        <w:tc>
          <w:tcPr>
            <w:tcW w:w="2393" w:type="dxa"/>
            <w:shd w:val="clear" w:color="000000" w:fill="FFFFFF"/>
            <w:tcMar>
              <w:top w:w="57" w:type="dxa"/>
            </w:tcMar>
            <w:hideMark/>
          </w:tcPr>
          <w:p w14:paraId="6F0C862E" w14:textId="77777777" w:rsidR="005723BD" w:rsidRPr="00505BF7"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Temps</w:t>
            </w:r>
            <w:r w:rsidRPr="00505BF7">
              <w:rPr>
                <w:rFonts w:eastAsia="Times New Roman" w:cs="Arial"/>
                <w:color w:val="000000"/>
                <w:sz w:val="16"/>
                <w:szCs w:val="16"/>
                <w:lang w:val="fr-CH" w:eastAsia="en-US"/>
              </w:rPr>
              <w:t xml:space="preserve"> de téléchargement des données </w:t>
            </w:r>
          </w:p>
        </w:tc>
        <w:tc>
          <w:tcPr>
            <w:tcW w:w="2393" w:type="dxa"/>
            <w:shd w:val="clear" w:color="000000" w:fill="FFFFFF"/>
            <w:tcMar>
              <w:top w:w="57" w:type="dxa"/>
            </w:tcMar>
            <w:hideMark/>
          </w:tcPr>
          <w:p w14:paraId="4E84734B" w14:textId="77777777" w:rsidR="005723BD" w:rsidRPr="001E46B4"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5,</w:t>
            </w:r>
            <w:r w:rsidRPr="001E46B4">
              <w:rPr>
                <w:rFonts w:eastAsia="Times New Roman" w:cs="Arial"/>
                <w:color w:val="000000"/>
                <w:sz w:val="16"/>
                <w:szCs w:val="16"/>
                <w:lang w:eastAsia="en-US"/>
              </w:rPr>
              <w:t xml:space="preserve">6 </w:t>
            </w:r>
            <w:r>
              <w:rPr>
                <w:rFonts w:eastAsia="Times New Roman" w:cs="Arial"/>
                <w:color w:val="000000"/>
                <w:sz w:val="16"/>
                <w:szCs w:val="16"/>
                <w:lang w:eastAsia="en-US"/>
              </w:rPr>
              <w:t>jour</w:t>
            </w:r>
            <w:r w:rsidRPr="001E46B4">
              <w:rPr>
                <w:rFonts w:eastAsia="Times New Roman" w:cs="Arial"/>
                <w:color w:val="000000"/>
                <w:sz w:val="16"/>
                <w:szCs w:val="16"/>
                <w:lang w:eastAsia="en-US"/>
              </w:rPr>
              <w:t>s (2016)</w:t>
            </w:r>
          </w:p>
        </w:tc>
        <w:tc>
          <w:tcPr>
            <w:tcW w:w="2393" w:type="dxa"/>
            <w:shd w:val="clear" w:color="000000" w:fill="FFFFFF"/>
            <w:tcMar>
              <w:top w:w="57" w:type="dxa"/>
            </w:tcMar>
            <w:hideMark/>
          </w:tcPr>
          <w:p w14:paraId="4A47E354" w14:textId="77777777"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 xml:space="preserve">21 </w:t>
            </w:r>
            <w:r>
              <w:rPr>
                <w:rFonts w:eastAsia="Times New Roman" w:cs="Arial"/>
                <w:color w:val="000000"/>
                <w:sz w:val="16"/>
                <w:szCs w:val="16"/>
                <w:lang w:eastAsia="en-US"/>
              </w:rPr>
              <w:t>jour</w:t>
            </w:r>
            <w:r w:rsidRPr="001E46B4">
              <w:rPr>
                <w:rFonts w:eastAsia="Times New Roman" w:cs="Arial"/>
                <w:color w:val="000000"/>
                <w:sz w:val="16"/>
                <w:szCs w:val="16"/>
                <w:lang w:eastAsia="en-US"/>
              </w:rPr>
              <w:t>s</w:t>
            </w:r>
          </w:p>
        </w:tc>
      </w:tr>
      <w:tr w:rsidR="005723BD" w:rsidRPr="009D1F00" w14:paraId="62642334" w14:textId="77777777" w:rsidTr="005723BD">
        <w:trPr>
          <w:cantSplit/>
        </w:trPr>
        <w:tc>
          <w:tcPr>
            <w:tcW w:w="2392" w:type="dxa"/>
            <w:shd w:val="clear" w:color="000000" w:fill="FFFFFF"/>
            <w:tcMar>
              <w:top w:w="57" w:type="dxa"/>
            </w:tcMar>
            <w:vAlign w:val="bottom"/>
            <w:hideMark/>
          </w:tcPr>
          <w:p w14:paraId="7EE31E7D" w14:textId="77777777" w:rsidR="005723BD" w:rsidRPr="001E46B4" w:rsidRDefault="005723BD" w:rsidP="00986700">
            <w:pPr>
              <w:jc w:val="right"/>
              <w:rPr>
                <w:rFonts w:eastAsia="Times New Roman" w:cs="Arial"/>
                <w:color w:val="000000"/>
                <w:sz w:val="16"/>
                <w:szCs w:val="16"/>
                <w:lang w:eastAsia="en-US"/>
              </w:rPr>
            </w:pPr>
            <w:r w:rsidRPr="001E46B4">
              <w:rPr>
                <w:rFonts w:eastAsia="Times New Roman" w:cs="Arial"/>
                <w:color w:val="000000"/>
                <w:sz w:val="16"/>
                <w:szCs w:val="16"/>
                <w:lang w:eastAsia="en-US"/>
              </w:rPr>
              <w:t> </w:t>
            </w:r>
          </w:p>
        </w:tc>
        <w:tc>
          <w:tcPr>
            <w:tcW w:w="2393" w:type="dxa"/>
            <w:shd w:val="clear" w:color="000000" w:fill="FFFFFF"/>
            <w:tcMar>
              <w:top w:w="57" w:type="dxa"/>
            </w:tcMar>
            <w:hideMark/>
          </w:tcPr>
          <w:p w14:paraId="6A15B039" w14:textId="77777777" w:rsidR="005723BD" w:rsidRPr="00120BD7" w:rsidRDefault="005723BD" w:rsidP="00986700">
            <w:pPr>
              <w:rPr>
                <w:rFonts w:eastAsia="Times New Roman" w:cs="Arial"/>
                <w:color w:val="000000"/>
                <w:sz w:val="16"/>
                <w:szCs w:val="16"/>
                <w:lang w:val="fr-CH" w:eastAsia="en-US"/>
              </w:rPr>
            </w:pPr>
            <w:r w:rsidRPr="00120BD7">
              <w:rPr>
                <w:rFonts w:eastAsia="Times New Roman" w:cs="Arial"/>
                <w:color w:val="000000"/>
                <w:sz w:val="16"/>
                <w:szCs w:val="16"/>
                <w:lang w:val="fr-CH" w:eastAsia="en-US"/>
              </w:rPr>
              <w:t xml:space="preserve">Nombre </w:t>
            </w:r>
            <w:r>
              <w:rPr>
                <w:rFonts w:eastAsia="Times New Roman" w:cs="Arial"/>
                <w:color w:val="000000"/>
                <w:sz w:val="16"/>
                <w:szCs w:val="16"/>
                <w:lang w:val="fr-CH" w:eastAsia="en-US"/>
              </w:rPr>
              <w:t>d’utilisateurs ayant téléchargé des</w:t>
            </w:r>
            <w:r w:rsidRPr="00120BD7">
              <w:rPr>
                <w:rFonts w:eastAsia="Times New Roman" w:cs="Arial"/>
                <w:color w:val="000000"/>
                <w:sz w:val="16"/>
                <w:szCs w:val="16"/>
                <w:lang w:val="fr-CH" w:eastAsia="en-US"/>
              </w:rPr>
              <w:t xml:space="preserve"> services</w:t>
            </w:r>
          </w:p>
        </w:tc>
        <w:tc>
          <w:tcPr>
            <w:tcW w:w="2393" w:type="dxa"/>
            <w:shd w:val="clear" w:color="000000" w:fill="FFFFFF"/>
            <w:tcMar>
              <w:top w:w="57" w:type="dxa"/>
            </w:tcMar>
            <w:hideMark/>
          </w:tcPr>
          <w:p w14:paraId="5D165C7D" w14:textId="45E307E5" w:rsidR="005723BD" w:rsidRPr="009D1F00" w:rsidRDefault="00286CAF" w:rsidP="00286CAF">
            <w:pPr>
              <w:rPr>
                <w:rFonts w:eastAsia="Times New Roman" w:cs="Arial"/>
                <w:color w:val="000000"/>
                <w:sz w:val="16"/>
                <w:szCs w:val="16"/>
                <w:lang w:val="fr-CH" w:eastAsia="en-US"/>
              </w:rPr>
            </w:pPr>
            <w:r>
              <w:rPr>
                <w:rFonts w:eastAsia="Times New Roman" w:cs="Arial"/>
                <w:color w:val="000000"/>
                <w:sz w:val="16"/>
                <w:szCs w:val="16"/>
                <w:lang w:val="fr-CH" w:eastAsia="en-US"/>
              </w:rPr>
              <w:t>À déterminer</w:t>
            </w:r>
          </w:p>
        </w:tc>
        <w:tc>
          <w:tcPr>
            <w:tcW w:w="2393" w:type="dxa"/>
            <w:shd w:val="clear" w:color="000000" w:fill="FFFFFF"/>
            <w:tcMar>
              <w:top w:w="57" w:type="dxa"/>
            </w:tcMar>
            <w:hideMark/>
          </w:tcPr>
          <w:p w14:paraId="3DE702D3" w14:textId="7E43B290" w:rsidR="005723BD" w:rsidRPr="009D1F00" w:rsidRDefault="00286CAF" w:rsidP="00286CAF">
            <w:pPr>
              <w:rPr>
                <w:rFonts w:eastAsia="Times New Roman" w:cs="Arial"/>
                <w:color w:val="000000"/>
                <w:sz w:val="16"/>
                <w:szCs w:val="16"/>
                <w:lang w:val="fr-CH" w:eastAsia="en-US"/>
              </w:rPr>
            </w:pPr>
            <w:r>
              <w:rPr>
                <w:rFonts w:eastAsia="Times New Roman" w:cs="Arial"/>
                <w:color w:val="000000"/>
                <w:sz w:val="16"/>
                <w:szCs w:val="16"/>
                <w:lang w:val="fr-CH" w:eastAsia="en-US"/>
              </w:rPr>
              <w:t>À déterminer</w:t>
            </w:r>
          </w:p>
        </w:tc>
      </w:tr>
      <w:tr w:rsidR="005723BD" w:rsidRPr="001E46B4" w14:paraId="2759EAD1" w14:textId="77777777" w:rsidTr="005723BD">
        <w:trPr>
          <w:cantSplit/>
        </w:trPr>
        <w:tc>
          <w:tcPr>
            <w:tcW w:w="2392" w:type="dxa"/>
            <w:shd w:val="clear" w:color="000000" w:fill="FFFFFF"/>
            <w:tcMar>
              <w:top w:w="57" w:type="dxa"/>
            </w:tcMar>
            <w:vAlign w:val="bottom"/>
            <w:hideMark/>
          </w:tcPr>
          <w:p w14:paraId="36A777D4" w14:textId="77777777" w:rsidR="005723BD" w:rsidRPr="009D1F00" w:rsidRDefault="005723BD" w:rsidP="00986700">
            <w:pPr>
              <w:jc w:val="right"/>
              <w:rPr>
                <w:rFonts w:eastAsia="Times New Roman" w:cs="Arial"/>
                <w:color w:val="000000"/>
                <w:sz w:val="16"/>
                <w:szCs w:val="16"/>
                <w:lang w:val="fr-CH" w:eastAsia="en-US"/>
              </w:rPr>
            </w:pPr>
            <w:r w:rsidRPr="009D1F00">
              <w:rPr>
                <w:rFonts w:eastAsia="Times New Roman" w:cs="Arial"/>
                <w:color w:val="000000"/>
                <w:sz w:val="16"/>
                <w:szCs w:val="16"/>
                <w:lang w:val="fr-CH" w:eastAsia="en-US"/>
              </w:rPr>
              <w:t> </w:t>
            </w:r>
          </w:p>
        </w:tc>
        <w:tc>
          <w:tcPr>
            <w:tcW w:w="2393" w:type="dxa"/>
            <w:shd w:val="clear" w:color="000000" w:fill="FFFFFF"/>
            <w:tcMar>
              <w:top w:w="57" w:type="dxa"/>
            </w:tcMar>
            <w:hideMark/>
          </w:tcPr>
          <w:p w14:paraId="51ACD61C" w14:textId="77777777" w:rsidR="005723BD" w:rsidRPr="00090F7D" w:rsidRDefault="005723BD" w:rsidP="00986700">
            <w:pPr>
              <w:rPr>
                <w:rFonts w:eastAsia="Times New Roman" w:cs="Arial"/>
                <w:color w:val="000000"/>
                <w:sz w:val="16"/>
                <w:szCs w:val="16"/>
                <w:lang w:val="fr-CH" w:eastAsia="en-US"/>
              </w:rPr>
            </w:pPr>
            <w:r w:rsidRPr="00090F7D">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utilisateurs de</w:t>
            </w:r>
            <w:r>
              <w:rPr>
                <w:rFonts w:eastAsia="Times New Roman" w:cs="Arial"/>
                <w:color w:val="000000"/>
                <w:sz w:val="16"/>
                <w:szCs w:val="16"/>
                <w:lang w:val="fr-CH" w:eastAsia="en-US"/>
              </w:rPr>
              <w:t xml:space="preserve"> WIPO Lex</w:t>
            </w:r>
          </w:p>
        </w:tc>
        <w:tc>
          <w:tcPr>
            <w:tcW w:w="2393" w:type="dxa"/>
            <w:shd w:val="clear" w:color="000000" w:fill="FFFFFF"/>
            <w:tcMar>
              <w:top w:w="57" w:type="dxa"/>
            </w:tcMar>
            <w:hideMark/>
          </w:tcPr>
          <w:p w14:paraId="6C6FDA19"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2 </w:t>
            </w:r>
            <w:r w:rsidRPr="001E46B4">
              <w:rPr>
                <w:rFonts w:eastAsia="Times New Roman" w:cs="Arial"/>
                <w:color w:val="000000"/>
                <w:sz w:val="16"/>
                <w:szCs w:val="16"/>
                <w:lang w:eastAsia="en-US"/>
              </w:rPr>
              <w:t>044</w:t>
            </w:r>
            <w:r>
              <w:rPr>
                <w:rFonts w:eastAsia="Times New Roman" w:cs="Arial"/>
                <w:color w:val="000000"/>
                <w:sz w:val="16"/>
                <w:szCs w:val="16"/>
                <w:lang w:eastAsia="en-US"/>
              </w:rPr>
              <w:t> 648 (2016)</w:t>
            </w:r>
          </w:p>
          <w:p w14:paraId="6E9EBEB2" w14:textId="504E71C8" w:rsidR="005723BD" w:rsidRPr="001E46B4"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5B069A4A" w14:textId="77777777"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Pr>
                <w:rFonts w:eastAsia="Times New Roman" w:cs="Arial"/>
                <w:color w:val="000000"/>
                <w:sz w:val="16"/>
                <w:szCs w:val="16"/>
                <w:lang w:eastAsia="en-US"/>
              </w:rPr>
              <w:t>5% (annue</w:t>
            </w:r>
            <w:r w:rsidRPr="001E46B4">
              <w:rPr>
                <w:rFonts w:eastAsia="Times New Roman" w:cs="Arial"/>
                <w:color w:val="000000"/>
                <w:sz w:val="16"/>
                <w:szCs w:val="16"/>
                <w:lang w:eastAsia="en-US"/>
              </w:rPr>
              <w:t>l)</w:t>
            </w:r>
          </w:p>
        </w:tc>
      </w:tr>
      <w:tr w:rsidR="005723BD" w:rsidRPr="001E46B4" w14:paraId="6BF4F02B" w14:textId="77777777" w:rsidTr="005723BD">
        <w:trPr>
          <w:cantSplit/>
        </w:trPr>
        <w:tc>
          <w:tcPr>
            <w:tcW w:w="2392" w:type="dxa"/>
            <w:shd w:val="clear" w:color="000000" w:fill="FFFFFF"/>
            <w:tcMar>
              <w:top w:w="57" w:type="dxa"/>
            </w:tcMar>
            <w:hideMark/>
          </w:tcPr>
          <w:p w14:paraId="3F9216E9" w14:textId="3250B0BA" w:rsidR="005723BD" w:rsidRPr="002E57D6" w:rsidRDefault="005723BD" w:rsidP="00986700">
            <w:pPr>
              <w:rPr>
                <w:rFonts w:eastAsia="Times New Roman" w:cs="Arial"/>
                <w:color w:val="000000"/>
                <w:sz w:val="16"/>
                <w:szCs w:val="16"/>
                <w:lang w:val="fr-CH" w:eastAsia="en-US"/>
              </w:rPr>
            </w:pPr>
            <w:r w:rsidRPr="00F27A62">
              <w:rPr>
                <w:rFonts w:eastAsia="Times New Roman" w:cs="Arial"/>
                <w:color w:val="000000"/>
                <w:sz w:val="16"/>
                <w:szCs w:val="16"/>
                <w:lang w:val="fr-CH" w:eastAsia="en-US"/>
              </w:rPr>
              <w:lastRenderedPageBreak/>
              <w:t xml:space="preserve">IV.3 </w:t>
            </w:r>
            <w:r w:rsidRPr="002E57D6">
              <w:rPr>
                <w:rFonts w:eastAsia="Times New Roman" w:cs="Arial"/>
                <w:color w:val="000000"/>
                <w:sz w:val="16"/>
                <w:szCs w:val="16"/>
                <w:lang w:val="fr-CH" w:eastAsia="en-US"/>
              </w:rPr>
              <w:t>Élargissement de la portée géographique du contenu et de l</w:t>
            </w:r>
            <w:r>
              <w:rPr>
                <w:rFonts w:eastAsia="Times New Roman" w:cs="Arial"/>
                <w:color w:val="000000"/>
                <w:sz w:val="16"/>
                <w:szCs w:val="16"/>
                <w:lang w:val="fr-CH" w:eastAsia="en-US"/>
              </w:rPr>
              <w:t>’</w:t>
            </w:r>
            <w:r w:rsidRPr="002E57D6">
              <w:rPr>
                <w:rFonts w:eastAsia="Times New Roman" w:cs="Arial"/>
                <w:color w:val="000000"/>
                <w:sz w:val="16"/>
                <w:szCs w:val="16"/>
                <w:lang w:val="fr-CH" w:eastAsia="en-US"/>
              </w:rPr>
              <w:t>utilisation des bases de données mondiales de l</w:t>
            </w:r>
            <w:r>
              <w:rPr>
                <w:rFonts w:eastAsia="Times New Roman" w:cs="Arial"/>
                <w:color w:val="000000"/>
                <w:sz w:val="16"/>
                <w:szCs w:val="16"/>
                <w:lang w:val="fr-CH" w:eastAsia="en-US"/>
              </w:rPr>
              <w:t>’</w:t>
            </w:r>
            <w:r w:rsidRPr="002E57D6">
              <w:rPr>
                <w:rFonts w:eastAsia="Times New Roman" w:cs="Arial"/>
                <w:color w:val="000000"/>
                <w:sz w:val="16"/>
                <w:szCs w:val="16"/>
                <w:lang w:val="fr-CH" w:eastAsia="en-US"/>
              </w:rPr>
              <w:t xml:space="preserve">OMPI en matière de propriété intellectuelle </w:t>
            </w:r>
          </w:p>
        </w:tc>
        <w:tc>
          <w:tcPr>
            <w:tcW w:w="2393" w:type="dxa"/>
            <w:shd w:val="clear" w:color="000000" w:fill="FFFFFF"/>
            <w:tcMar>
              <w:top w:w="57" w:type="dxa"/>
            </w:tcMar>
            <w:hideMark/>
          </w:tcPr>
          <w:p w14:paraId="6285D151" w14:textId="77777777" w:rsidR="005723BD" w:rsidRPr="00090F7D" w:rsidRDefault="005723BD" w:rsidP="00986700">
            <w:pPr>
              <w:rPr>
                <w:rFonts w:eastAsia="Times New Roman" w:cs="Arial"/>
                <w:color w:val="000000"/>
                <w:sz w:val="16"/>
                <w:szCs w:val="16"/>
                <w:lang w:val="fr-CH" w:eastAsia="en-US"/>
              </w:rPr>
            </w:pPr>
            <w:r w:rsidRPr="00090F7D">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090F7D">
              <w:rPr>
                <w:rFonts w:eastAsia="Times New Roman" w:cs="Arial"/>
                <w:color w:val="000000"/>
                <w:sz w:val="16"/>
                <w:szCs w:val="16"/>
                <w:lang w:val="fr-CH" w:eastAsia="en-US"/>
              </w:rPr>
              <w:t>entrées figurant dans PATENTSCOPE</w:t>
            </w:r>
          </w:p>
        </w:tc>
        <w:tc>
          <w:tcPr>
            <w:tcW w:w="2393" w:type="dxa"/>
            <w:shd w:val="clear" w:color="000000" w:fill="FFFFFF"/>
            <w:tcMar>
              <w:top w:w="57" w:type="dxa"/>
            </w:tcMar>
            <w:hideMark/>
          </w:tcPr>
          <w:p w14:paraId="489F0276"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58 220 000 (février </w:t>
            </w:r>
            <w:r w:rsidRPr="001E46B4">
              <w:rPr>
                <w:rFonts w:eastAsia="Times New Roman" w:cs="Arial"/>
                <w:color w:val="000000"/>
                <w:sz w:val="16"/>
                <w:szCs w:val="16"/>
                <w:lang w:eastAsia="en-US"/>
              </w:rPr>
              <w:t>2017)</w:t>
            </w:r>
          </w:p>
          <w:p w14:paraId="42BC071D" w14:textId="1A0EE61F"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4269B296" w14:textId="77777777" w:rsidR="005723BD" w:rsidRPr="001E46B4"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+10% (annue</w:t>
            </w:r>
            <w:r w:rsidRPr="001E46B4">
              <w:rPr>
                <w:rFonts w:eastAsia="Times New Roman" w:cs="Arial"/>
                <w:color w:val="000000"/>
                <w:sz w:val="16"/>
                <w:szCs w:val="16"/>
                <w:lang w:eastAsia="en-US"/>
              </w:rPr>
              <w:t>l)</w:t>
            </w:r>
          </w:p>
        </w:tc>
      </w:tr>
      <w:tr w:rsidR="005723BD" w:rsidRPr="001E46B4" w14:paraId="3C84C095" w14:textId="77777777" w:rsidTr="005723BD">
        <w:trPr>
          <w:cantSplit/>
        </w:trPr>
        <w:tc>
          <w:tcPr>
            <w:tcW w:w="2392" w:type="dxa"/>
            <w:shd w:val="clear" w:color="000000" w:fill="FFFFFF"/>
            <w:tcMar>
              <w:top w:w="57" w:type="dxa"/>
            </w:tcMar>
            <w:vAlign w:val="bottom"/>
            <w:hideMark/>
          </w:tcPr>
          <w:p w14:paraId="2EAE8CFF" w14:textId="77777777" w:rsidR="005723BD" w:rsidRPr="001E46B4" w:rsidRDefault="005723BD" w:rsidP="00986700">
            <w:pPr>
              <w:jc w:val="right"/>
              <w:rPr>
                <w:rFonts w:eastAsia="Times New Roman" w:cs="Arial"/>
                <w:color w:val="000000"/>
                <w:sz w:val="16"/>
                <w:szCs w:val="16"/>
                <w:lang w:eastAsia="en-US"/>
              </w:rPr>
            </w:pPr>
            <w:r w:rsidRPr="001E46B4">
              <w:rPr>
                <w:rFonts w:eastAsia="Times New Roman" w:cs="Arial"/>
                <w:color w:val="000000"/>
                <w:sz w:val="16"/>
                <w:szCs w:val="16"/>
                <w:lang w:eastAsia="en-US"/>
              </w:rPr>
              <w:t> </w:t>
            </w:r>
          </w:p>
        </w:tc>
        <w:tc>
          <w:tcPr>
            <w:tcW w:w="2393" w:type="dxa"/>
            <w:shd w:val="clear" w:color="000000" w:fill="FFFFFF"/>
            <w:tcMar>
              <w:top w:w="57" w:type="dxa"/>
            </w:tcMar>
            <w:hideMark/>
          </w:tcPr>
          <w:p w14:paraId="7963D159" w14:textId="77777777" w:rsidR="005723BD" w:rsidRPr="00D119C8" w:rsidRDefault="005723BD" w:rsidP="00986700">
            <w:pPr>
              <w:rPr>
                <w:rFonts w:eastAsia="Times New Roman" w:cs="Arial"/>
                <w:color w:val="000000"/>
                <w:sz w:val="16"/>
                <w:szCs w:val="16"/>
                <w:lang w:val="fr-CH" w:eastAsia="en-US"/>
              </w:rPr>
            </w:pPr>
            <w:r w:rsidRPr="00D119C8">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D119C8">
              <w:rPr>
                <w:rFonts w:eastAsia="Times New Roman" w:cs="Arial"/>
                <w:color w:val="000000"/>
                <w:sz w:val="16"/>
                <w:szCs w:val="16"/>
                <w:lang w:val="fr-CH" w:eastAsia="en-US"/>
              </w:rPr>
              <w:t>entrées figurant dans la base de données mondiale</w:t>
            </w:r>
            <w:r>
              <w:rPr>
                <w:rFonts w:eastAsia="Times New Roman" w:cs="Arial"/>
                <w:color w:val="000000"/>
                <w:sz w:val="16"/>
                <w:szCs w:val="16"/>
                <w:lang w:val="fr-CH" w:eastAsia="en-US"/>
              </w:rPr>
              <w:t xml:space="preserve"> sur les marques</w:t>
            </w:r>
          </w:p>
        </w:tc>
        <w:tc>
          <w:tcPr>
            <w:tcW w:w="2393" w:type="dxa"/>
            <w:shd w:val="clear" w:color="000000" w:fill="FFFFFF"/>
            <w:tcMar>
              <w:top w:w="57" w:type="dxa"/>
            </w:tcMar>
            <w:hideMark/>
          </w:tcPr>
          <w:p w14:paraId="64B94BD0"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27 950 </w:t>
            </w:r>
            <w:r w:rsidRPr="001E46B4">
              <w:rPr>
                <w:rFonts w:eastAsia="Times New Roman" w:cs="Arial"/>
                <w:color w:val="000000"/>
                <w:sz w:val="16"/>
                <w:szCs w:val="16"/>
                <w:lang w:eastAsia="en-US"/>
              </w:rPr>
              <w:t>000 (</w:t>
            </w:r>
            <w:r>
              <w:rPr>
                <w:rFonts w:eastAsia="Times New Roman" w:cs="Arial"/>
                <w:color w:val="000000"/>
                <w:sz w:val="16"/>
                <w:szCs w:val="16"/>
                <w:lang w:eastAsia="en-US"/>
              </w:rPr>
              <w:t>février </w:t>
            </w:r>
            <w:r w:rsidRPr="001E46B4">
              <w:rPr>
                <w:rFonts w:eastAsia="Times New Roman" w:cs="Arial"/>
                <w:color w:val="000000"/>
                <w:sz w:val="16"/>
                <w:szCs w:val="16"/>
                <w:lang w:eastAsia="en-US"/>
              </w:rPr>
              <w:t>2017)</w:t>
            </w:r>
          </w:p>
          <w:p w14:paraId="056344D0" w14:textId="172E427C"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4C538E3E" w14:textId="77777777"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+5% (annu</w:t>
            </w:r>
            <w:r>
              <w:rPr>
                <w:rFonts w:eastAsia="Times New Roman" w:cs="Arial"/>
                <w:color w:val="000000"/>
                <w:sz w:val="16"/>
                <w:szCs w:val="16"/>
                <w:lang w:eastAsia="en-US"/>
              </w:rPr>
              <w:t>e</w:t>
            </w:r>
            <w:r w:rsidRPr="001E46B4">
              <w:rPr>
                <w:rFonts w:eastAsia="Times New Roman" w:cs="Arial"/>
                <w:color w:val="000000"/>
                <w:sz w:val="16"/>
                <w:szCs w:val="16"/>
                <w:lang w:eastAsia="en-US"/>
              </w:rPr>
              <w:t>l)</w:t>
            </w:r>
          </w:p>
        </w:tc>
      </w:tr>
      <w:tr w:rsidR="005723BD" w:rsidRPr="001E46B4" w14:paraId="1E795A36" w14:textId="77777777" w:rsidTr="005723BD">
        <w:trPr>
          <w:cantSplit/>
        </w:trPr>
        <w:tc>
          <w:tcPr>
            <w:tcW w:w="2392" w:type="dxa"/>
            <w:shd w:val="clear" w:color="000000" w:fill="FFFFFF"/>
            <w:tcMar>
              <w:top w:w="57" w:type="dxa"/>
            </w:tcMar>
            <w:vAlign w:val="bottom"/>
            <w:hideMark/>
          </w:tcPr>
          <w:p w14:paraId="4BDCE8B9" w14:textId="77777777" w:rsidR="005723BD" w:rsidRPr="001E46B4" w:rsidRDefault="005723BD" w:rsidP="00986700">
            <w:pPr>
              <w:jc w:val="right"/>
              <w:rPr>
                <w:rFonts w:eastAsia="Times New Roman" w:cs="Arial"/>
                <w:color w:val="000000"/>
                <w:sz w:val="16"/>
                <w:szCs w:val="16"/>
                <w:lang w:eastAsia="en-US"/>
              </w:rPr>
            </w:pPr>
            <w:r w:rsidRPr="001E46B4">
              <w:rPr>
                <w:rFonts w:eastAsia="Times New Roman" w:cs="Arial"/>
                <w:color w:val="000000"/>
                <w:sz w:val="16"/>
                <w:szCs w:val="16"/>
                <w:lang w:eastAsia="en-US"/>
              </w:rPr>
              <w:t> </w:t>
            </w:r>
          </w:p>
        </w:tc>
        <w:tc>
          <w:tcPr>
            <w:tcW w:w="2393" w:type="dxa"/>
            <w:shd w:val="clear" w:color="000000" w:fill="FFFFFF"/>
            <w:tcMar>
              <w:top w:w="57" w:type="dxa"/>
            </w:tcMar>
            <w:hideMark/>
          </w:tcPr>
          <w:p w14:paraId="74D8DDD1"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505BF7">
              <w:rPr>
                <w:rFonts w:eastAsia="Times New Roman" w:cs="Arial"/>
                <w:color w:val="000000"/>
                <w:sz w:val="16"/>
                <w:szCs w:val="16"/>
                <w:lang w:val="fr-CH" w:eastAsia="en-US"/>
              </w:rPr>
              <w:t>entrées figurant dans la base de données mondiale sur les dessins et modèles</w:t>
            </w:r>
          </w:p>
        </w:tc>
        <w:tc>
          <w:tcPr>
            <w:tcW w:w="2393" w:type="dxa"/>
            <w:shd w:val="clear" w:color="000000" w:fill="FFFFFF"/>
            <w:tcMar>
              <w:top w:w="57" w:type="dxa"/>
            </w:tcMar>
            <w:hideMark/>
          </w:tcPr>
          <w:p w14:paraId="5B7C0087"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1 </w:t>
            </w:r>
            <w:r w:rsidRPr="001E46B4">
              <w:rPr>
                <w:rFonts w:eastAsia="Times New Roman" w:cs="Arial"/>
                <w:color w:val="000000"/>
                <w:sz w:val="16"/>
                <w:szCs w:val="16"/>
                <w:lang w:eastAsia="en-US"/>
              </w:rPr>
              <w:t>700</w:t>
            </w:r>
            <w:r>
              <w:rPr>
                <w:rFonts w:eastAsia="Times New Roman" w:cs="Arial"/>
                <w:color w:val="000000"/>
                <w:sz w:val="16"/>
                <w:szCs w:val="16"/>
                <w:lang w:eastAsia="en-US"/>
              </w:rPr>
              <w:t> </w:t>
            </w:r>
            <w:r w:rsidRPr="001E46B4">
              <w:rPr>
                <w:rFonts w:eastAsia="Times New Roman" w:cs="Arial"/>
                <w:color w:val="000000"/>
                <w:sz w:val="16"/>
                <w:szCs w:val="16"/>
                <w:lang w:eastAsia="en-US"/>
              </w:rPr>
              <w:t>000 (</w:t>
            </w:r>
            <w:r>
              <w:rPr>
                <w:rFonts w:eastAsia="Times New Roman" w:cs="Arial"/>
                <w:color w:val="000000"/>
                <w:sz w:val="16"/>
                <w:szCs w:val="16"/>
                <w:lang w:eastAsia="en-US"/>
              </w:rPr>
              <w:t>février </w:t>
            </w:r>
            <w:r w:rsidRPr="001E46B4">
              <w:rPr>
                <w:rFonts w:eastAsia="Times New Roman" w:cs="Arial"/>
                <w:color w:val="000000"/>
                <w:sz w:val="16"/>
                <w:szCs w:val="16"/>
                <w:lang w:eastAsia="en-US"/>
              </w:rPr>
              <w:t>2017)</w:t>
            </w:r>
          </w:p>
          <w:p w14:paraId="3EC2883F" w14:textId="339E5051"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47F1B353" w14:textId="77777777" w:rsidR="005723BD" w:rsidRPr="001E46B4"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+5% (annue</w:t>
            </w:r>
            <w:r w:rsidRPr="001E46B4">
              <w:rPr>
                <w:rFonts w:eastAsia="Times New Roman" w:cs="Arial"/>
                <w:color w:val="000000"/>
                <w:sz w:val="16"/>
                <w:szCs w:val="16"/>
                <w:lang w:eastAsia="en-US"/>
              </w:rPr>
              <w:t>l)</w:t>
            </w:r>
          </w:p>
        </w:tc>
      </w:tr>
      <w:tr w:rsidR="005723BD" w:rsidRPr="00F27A62" w14:paraId="7EEC9DA4" w14:textId="77777777" w:rsidTr="005723BD">
        <w:trPr>
          <w:cantSplit/>
        </w:trPr>
        <w:tc>
          <w:tcPr>
            <w:tcW w:w="2392" w:type="dxa"/>
            <w:shd w:val="clear" w:color="000000" w:fill="FFFFFF"/>
            <w:tcMar>
              <w:top w:w="57" w:type="dxa"/>
            </w:tcMar>
            <w:vAlign w:val="bottom"/>
            <w:hideMark/>
          </w:tcPr>
          <w:p w14:paraId="3086820A" w14:textId="77777777" w:rsidR="005723BD" w:rsidRPr="001E46B4" w:rsidRDefault="005723BD" w:rsidP="00986700">
            <w:pPr>
              <w:jc w:val="right"/>
              <w:rPr>
                <w:rFonts w:eastAsia="Times New Roman" w:cs="Arial"/>
                <w:color w:val="000000"/>
                <w:sz w:val="16"/>
                <w:szCs w:val="16"/>
                <w:lang w:eastAsia="en-US"/>
              </w:rPr>
            </w:pPr>
            <w:r w:rsidRPr="001E46B4">
              <w:rPr>
                <w:rFonts w:eastAsia="Times New Roman" w:cs="Arial"/>
                <w:color w:val="000000"/>
                <w:sz w:val="16"/>
                <w:szCs w:val="16"/>
                <w:lang w:eastAsia="en-US"/>
              </w:rPr>
              <w:t> </w:t>
            </w:r>
          </w:p>
        </w:tc>
        <w:tc>
          <w:tcPr>
            <w:tcW w:w="2393" w:type="dxa"/>
            <w:shd w:val="clear" w:color="000000" w:fill="FFFFFF"/>
            <w:tcMar>
              <w:top w:w="57" w:type="dxa"/>
            </w:tcMar>
            <w:hideMark/>
          </w:tcPr>
          <w:p w14:paraId="33378ADB"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Nombre de collections nationales dans PATENTSCOPE</w:t>
            </w:r>
          </w:p>
        </w:tc>
        <w:tc>
          <w:tcPr>
            <w:tcW w:w="2393" w:type="dxa"/>
            <w:shd w:val="clear" w:color="000000" w:fill="FFFFFF"/>
            <w:tcMar>
              <w:top w:w="57" w:type="dxa"/>
            </w:tcMar>
            <w:hideMark/>
          </w:tcPr>
          <w:p w14:paraId="3EFFD9DA" w14:textId="77777777" w:rsidR="005723BD"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43 (</w:t>
            </w:r>
            <w:r>
              <w:rPr>
                <w:rFonts w:eastAsia="Times New Roman" w:cs="Arial"/>
                <w:color w:val="000000"/>
                <w:sz w:val="16"/>
                <w:szCs w:val="16"/>
                <w:lang w:eastAsia="en-US"/>
              </w:rPr>
              <w:t>février </w:t>
            </w:r>
            <w:r w:rsidRPr="001E46B4">
              <w:rPr>
                <w:rFonts w:eastAsia="Times New Roman" w:cs="Arial"/>
                <w:color w:val="000000"/>
                <w:sz w:val="16"/>
                <w:szCs w:val="16"/>
                <w:lang w:eastAsia="en-US"/>
              </w:rPr>
              <w:t>2017)</w:t>
            </w:r>
          </w:p>
          <w:p w14:paraId="74D6C980" w14:textId="3F2D115C"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6EFD1A73"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50 (</w:t>
            </w:r>
            <w:r w:rsidRPr="00D119C8">
              <w:rPr>
                <w:rFonts w:eastAsia="Times New Roman" w:cs="Arial"/>
                <w:color w:val="000000"/>
                <w:sz w:val="16"/>
                <w:szCs w:val="16"/>
                <w:lang w:val="fr-CH" w:eastAsia="en-US"/>
              </w:rPr>
              <w:t xml:space="preserve">chiffre cumulatif </w:t>
            </w:r>
            <w:r>
              <w:rPr>
                <w:rFonts w:eastAsia="Times New Roman" w:cs="Arial"/>
                <w:color w:val="000000"/>
                <w:sz w:val="16"/>
                <w:szCs w:val="16"/>
                <w:lang w:val="fr-CH" w:eastAsia="en-US"/>
              </w:rPr>
              <w:t>pour</w:t>
            </w:r>
            <w:r w:rsidRPr="00D119C8">
              <w:rPr>
                <w:rFonts w:eastAsia="Times New Roman" w:cs="Arial"/>
                <w:color w:val="000000"/>
                <w:sz w:val="16"/>
                <w:szCs w:val="16"/>
                <w:lang w:val="fr-CH" w:eastAsia="en-US"/>
              </w:rPr>
              <w:t xml:space="preserve"> l</w:t>
            </w:r>
            <w:r>
              <w:rPr>
                <w:rFonts w:eastAsia="Times New Roman" w:cs="Arial"/>
                <w:color w:val="000000"/>
                <w:sz w:val="16"/>
                <w:szCs w:val="16"/>
                <w:lang w:val="fr-CH" w:eastAsia="en-US"/>
              </w:rPr>
              <w:t>’</w:t>
            </w:r>
            <w:r w:rsidRPr="00D119C8">
              <w:rPr>
                <w:rFonts w:eastAsia="Times New Roman" w:cs="Arial"/>
                <w:color w:val="000000"/>
                <w:sz w:val="16"/>
                <w:szCs w:val="16"/>
                <w:lang w:val="fr-CH" w:eastAsia="en-US"/>
              </w:rPr>
              <w:t>exercice biennal</w:t>
            </w:r>
            <w:r w:rsidRPr="00505BF7">
              <w:rPr>
                <w:rFonts w:eastAsia="Times New Roman" w:cs="Arial"/>
                <w:color w:val="000000"/>
                <w:sz w:val="16"/>
                <w:szCs w:val="16"/>
                <w:lang w:val="fr-CH" w:eastAsia="en-US"/>
              </w:rPr>
              <w:t>)</w:t>
            </w:r>
          </w:p>
        </w:tc>
      </w:tr>
      <w:tr w:rsidR="005723BD" w:rsidRPr="00F27A62" w14:paraId="0CAF8859" w14:textId="77777777" w:rsidTr="005723BD">
        <w:trPr>
          <w:cantSplit/>
        </w:trPr>
        <w:tc>
          <w:tcPr>
            <w:tcW w:w="2392" w:type="dxa"/>
            <w:shd w:val="clear" w:color="000000" w:fill="FFFFFF"/>
            <w:tcMar>
              <w:top w:w="57" w:type="dxa"/>
            </w:tcMar>
            <w:vAlign w:val="bottom"/>
            <w:hideMark/>
          </w:tcPr>
          <w:p w14:paraId="5668A41F" w14:textId="77777777" w:rsidR="005723BD" w:rsidRPr="00505BF7" w:rsidRDefault="005723BD" w:rsidP="00986700">
            <w:pPr>
              <w:jc w:val="right"/>
              <w:rPr>
                <w:rFonts w:eastAsia="Times New Roman" w:cs="Arial"/>
                <w:color w:val="000000"/>
                <w:sz w:val="16"/>
                <w:szCs w:val="16"/>
                <w:lang w:val="fr-CH" w:eastAsia="en-US"/>
              </w:rPr>
            </w:pPr>
            <w:r w:rsidRPr="00505BF7">
              <w:rPr>
                <w:rFonts w:eastAsia="Times New Roman" w:cs="Arial"/>
                <w:color w:val="000000"/>
                <w:sz w:val="16"/>
                <w:szCs w:val="16"/>
                <w:lang w:val="fr-CH" w:eastAsia="en-US"/>
              </w:rPr>
              <w:t> </w:t>
            </w:r>
          </w:p>
        </w:tc>
        <w:tc>
          <w:tcPr>
            <w:tcW w:w="2393" w:type="dxa"/>
            <w:shd w:val="clear" w:color="000000" w:fill="FFFFFF"/>
            <w:tcMar>
              <w:top w:w="57" w:type="dxa"/>
            </w:tcMar>
            <w:hideMark/>
          </w:tcPr>
          <w:p w14:paraId="076D29BC"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Nombre de collections nationales dans la base de données mondiale</w:t>
            </w:r>
            <w:r>
              <w:rPr>
                <w:rFonts w:eastAsia="Times New Roman" w:cs="Arial"/>
                <w:color w:val="000000"/>
                <w:sz w:val="16"/>
                <w:szCs w:val="16"/>
                <w:lang w:val="fr-CH" w:eastAsia="en-US"/>
              </w:rPr>
              <w:t xml:space="preserve"> sur les marques</w:t>
            </w:r>
          </w:p>
        </w:tc>
        <w:tc>
          <w:tcPr>
            <w:tcW w:w="2393" w:type="dxa"/>
            <w:shd w:val="clear" w:color="000000" w:fill="FFFFFF"/>
            <w:tcMar>
              <w:top w:w="57" w:type="dxa"/>
            </w:tcMar>
            <w:hideMark/>
          </w:tcPr>
          <w:p w14:paraId="7DA27A7B"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35 (février </w:t>
            </w:r>
            <w:r w:rsidRPr="001E46B4">
              <w:rPr>
                <w:rFonts w:eastAsia="Times New Roman" w:cs="Arial"/>
                <w:color w:val="000000"/>
                <w:sz w:val="16"/>
                <w:szCs w:val="16"/>
                <w:lang w:eastAsia="en-US"/>
              </w:rPr>
              <w:t>2017)</w:t>
            </w:r>
          </w:p>
          <w:p w14:paraId="01E6B711" w14:textId="78555B74"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w:t>
            </w:r>
            <w:r w:rsidRPr="00D119C8">
              <w:rPr>
                <w:rFonts w:eastAsia="Times New Roman" w:cs="Arial"/>
                <w:color w:val="000000"/>
                <w:sz w:val="16"/>
                <w:szCs w:val="16"/>
                <w:lang w:val="fr-CH" w:eastAsia="en-US"/>
              </w:rPr>
              <w:t>chiffre cumulatif</w:t>
            </w:r>
            <w:r w:rsidRPr="001E46B4">
              <w:rPr>
                <w:rFonts w:eastAsia="Times New Roman" w:cs="Arial"/>
                <w:color w:val="000000"/>
                <w:sz w:val="16"/>
                <w:szCs w:val="16"/>
                <w:lang w:eastAsia="en-US"/>
              </w:rPr>
              <w:t>)</w:t>
            </w:r>
          </w:p>
        </w:tc>
        <w:tc>
          <w:tcPr>
            <w:tcW w:w="2393" w:type="dxa"/>
            <w:shd w:val="clear" w:color="000000" w:fill="FFFFFF"/>
            <w:tcMar>
              <w:top w:w="57" w:type="dxa"/>
            </w:tcMar>
            <w:hideMark/>
          </w:tcPr>
          <w:p w14:paraId="0B09A946"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40 (</w:t>
            </w:r>
            <w:r w:rsidRPr="00D119C8">
              <w:rPr>
                <w:rFonts w:eastAsia="Times New Roman" w:cs="Arial"/>
                <w:color w:val="000000"/>
                <w:sz w:val="16"/>
                <w:szCs w:val="16"/>
                <w:lang w:val="fr-CH" w:eastAsia="en-US"/>
              </w:rPr>
              <w:t xml:space="preserve">chiffre cumulatif </w:t>
            </w:r>
            <w:r>
              <w:rPr>
                <w:rFonts w:eastAsia="Times New Roman" w:cs="Arial"/>
                <w:color w:val="000000"/>
                <w:sz w:val="16"/>
                <w:szCs w:val="16"/>
                <w:lang w:val="fr-CH" w:eastAsia="en-US"/>
              </w:rPr>
              <w:t>pour</w:t>
            </w:r>
            <w:r w:rsidRPr="00D119C8">
              <w:rPr>
                <w:rFonts w:eastAsia="Times New Roman" w:cs="Arial"/>
                <w:color w:val="000000"/>
                <w:sz w:val="16"/>
                <w:szCs w:val="16"/>
                <w:lang w:val="fr-CH" w:eastAsia="en-US"/>
              </w:rPr>
              <w:t xml:space="preserve"> l</w:t>
            </w:r>
            <w:r>
              <w:rPr>
                <w:rFonts w:eastAsia="Times New Roman" w:cs="Arial"/>
                <w:color w:val="000000"/>
                <w:sz w:val="16"/>
                <w:szCs w:val="16"/>
                <w:lang w:val="fr-CH" w:eastAsia="en-US"/>
              </w:rPr>
              <w:t>’</w:t>
            </w:r>
            <w:r w:rsidRPr="00D119C8">
              <w:rPr>
                <w:rFonts w:eastAsia="Times New Roman" w:cs="Arial"/>
                <w:color w:val="000000"/>
                <w:sz w:val="16"/>
                <w:szCs w:val="16"/>
                <w:lang w:val="fr-CH" w:eastAsia="en-US"/>
              </w:rPr>
              <w:t>exercice biennal</w:t>
            </w:r>
            <w:r w:rsidRPr="00505BF7">
              <w:rPr>
                <w:rFonts w:eastAsia="Times New Roman" w:cs="Arial"/>
                <w:color w:val="000000"/>
                <w:sz w:val="16"/>
                <w:szCs w:val="16"/>
                <w:lang w:val="fr-CH" w:eastAsia="en-US"/>
              </w:rPr>
              <w:t>)</w:t>
            </w:r>
          </w:p>
        </w:tc>
      </w:tr>
      <w:tr w:rsidR="005723BD" w:rsidRPr="00F27A62" w14:paraId="4939C751" w14:textId="77777777" w:rsidTr="005723BD">
        <w:trPr>
          <w:cantSplit/>
        </w:trPr>
        <w:tc>
          <w:tcPr>
            <w:tcW w:w="2392" w:type="dxa"/>
            <w:shd w:val="clear" w:color="000000" w:fill="FFFFFF"/>
            <w:tcMar>
              <w:top w:w="57" w:type="dxa"/>
            </w:tcMar>
            <w:hideMark/>
          </w:tcPr>
          <w:p w14:paraId="450E855B" w14:textId="67ECEFB6" w:rsidR="005723BD" w:rsidRPr="002E57D6" w:rsidRDefault="005723BD" w:rsidP="00986700">
            <w:pPr>
              <w:rPr>
                <w:rFonts w:eastAsia="Times New Roman" w:cs="Arial"/>
                <w:color w:val="000000"/>
                <w:sz w:val="16"/>
                <w:szCs w:val="16"/>
                <w:lang w:val="fr-CH" w:eastAsia="en-US"/>
              </w:rPr>
            </w:pPr>
            <w:r w:rsidRPr="00F27A62">
              <w:rPr>
                <w:rFonts w:eastAsia="Times New Roman" w:cs="Arial"/>
                <w:color w:val="000000"/>
                <w:sz w:val="16"/>
                <w:szCs w:val="16"/>
                <w:lang w:val="fr-CH" w:eastAsia="en-US"/>
              </w:rPr>
              <w:t xml:space="preserve">IV.4 </w:t>
            </w:r>
            <w:r w:rsidRPr="002E57D6">
              <w:rPr>
                <w:rFonts w:eastAsia="Times New Roman" w:cs="Arial"/>
                <w:color w:val="000000"/>
                <w:sz w:val="16"/>
                <w:szCs w:val="16"/>
                <w:lang w:val="fr-CH" w:eastAsia="en-US"/>
              </w:rPr>
              <w:t>Amélioration de l</w:t>
            </w:r>
            <w:r>
              <w:rPr>
                <w:rFonts w:eastAsia="Times New Roman" w:cs="Arial"/>
                <w:color w:val="000000"/>
                <w:sz w:val="16"/>
                <w:szCs w:val="16"/>
                <w:lang w:val="fr-CH" w:eastAsia="en-US"/>
              </w:rPr>
              <w:t>’</w:t>
            </w:r>
            <w:r w:rsidRPr="002E57D6">
              <w:rPr>
                <w:rFonts w:eastAsia="Times New Roman" w:cs="Arial"/>
                <w:color w:val="000000"/>
                <w:sz w:val="16"/>
                <w:szCs w:val="16"/>
                <w:lang w:val="fr-CH" w:eastAsia="en-US"/>
              </w:rPr>
              <w:t>infrastructure technique et du savoir pour les offices de propriété intellectuelle et les autres institutions de propriété intellectuelle, leur permettant de fournir à leurs parties prenantes des services améliorés (moins chers, plus rapides</w:t>
            </w:r>
            <w:r>
              <w:rPr>
                <w:rFonts w:eastAsia="Times New Roman" w:cs="Arial"/>
                <w:color w:val="000000"/>
                <w:sz w:val="16"/>
                <w:szCs w:val="16"/>
                <w:lang w:val="fr-CH" w:eastAsia="en-US"/>
              </w:rPr>
              <w:t xml:space="preserve"> et</w:t>
            </w:r>
            <w:r w:rsidRPr="002E57D6">
              <w:rPr>
                <w:rFonts w:eastAsia="Times New Roman" w:cs="Arial"/>
                <w:color w:val="000000"/>
                <w:sz w:val="16"/>
                <w:szCs w:val="16"/>
                <w:lang w:val="fr-CH" w:eastAsia="en-US"/>
              </w:rPr>
              <w:t xml:space="preserve"> de meilleure qualité) et d</w:t>
            </w:r>
            <w:r>
              <w:rPr>
                <w:rFonts w:eastAsia="Times New Roman" w:cs="Arial"/>
                <w:color w:val="000000"/>
                <w:sz w:val="16"/>
                <w:szCs w:val="16"/>
                <w:lang w:val="fr-CH" w:eastAsia="en-US"/>
              </w:rPr>
              <w:t>’</w:t>
            </w:r>
            <w:r w:rsidRPr="002E57D6">
              <w:rPr>
                <w:rFonts w:eastAsia="Times New Roman" w:cs="Arial"/>
                <w:color w:val="000000"/>
                <w:sz w:val="16"/>
                <w:szCs w:val="16"/>
                <w:lang w:val="fr-CH" w:eastAsia="en-US"/>
              </w:rPr>
              <w:t>obtenir un meilleur résultat pour ce qui concerne l</w:t>
            </w:r>
            <w:r>
              <w:rPr>
                <w:rFonts w:eastAsia="Times New Roman" w:cs="Arial"/>
                <w:color w:val="000000"/>
                <w:sz w:val="16"/>
                <w:szCs w:val="16"/>
                <w:lang w:val="fr-CH" w:eastAsia="en-US"/>
              </w:rPr>
              <w:t>’</w:t>
            </w:r>
            <w:r w:rsidRPr="002E57D6">
              <w:rPr>
                <w:rFonts w:eastAsia="Times New Roman" w:cs="Arial"/>
                <w:color w:val="000000"/>
                <w:sz w:val="16"/>
                <w:szCs w:val="16"/>
                <w:lang w:val="fr-CH" w:eastAsia="en-US"/>
              </w:rPr>
              <w:t>administration de la propriété intellectuelle</w:t>
            </w:r>
          </w:p>
        </w:tc>
        <w:tc>
          <w:tcPr>
            <w:tcW w:w="2393" w:type="dxa"/>
            <w:shd w:val="clear" w:color="000000" w:fill="FFFFFF"/>
            <w:tcMar>
              <w:top w:w="57" w:type="dxa"/>
            </w:tcMar>
            <w:hideMark/>
          </w:tcPr>
          <w:p w14:paraId="591EC622" w14:textId="77777777" w:rsidR="005723BD" w:rsidRPr="00505BF7" w:rsidRDefault="005723BD" w:rsidP="00986700">
            <w:pPr>
              <w:rPr>
                <w:rFonts w:eastAsia="Times New Roman" w:cs="Arial"/>
                <w:color w:val="000000"/>
                <w:sz w:val="16"/>
                <w:szCs w:val="16"/>
                <w:lang w:val="fr-CH" w:eastAsia="en-US"/>
              </w:rPr>
            </w:pPr>
            <w:r w:rsidRPr="00505BF7">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505BF7">
              <w:rPr>
                <w:rFonts w:eastAsia="Times New Roman" w:cs="Arial"/>
                <w:color w:val="000000"/>
                <w:sz w:val="16"/>
                <w:szCs w:val="16"/>
                <w:lang w:val="fr-CH" w:eastAsia="en-US"/>
              </w:rPr>
              <w:t>offices nationaux ayant numérisé leur collection de brevet</w:t>
            </w:r>
            <w:r>
              <w:rPr>
                <w:rFonts w:eastAsia="Times New Roman" w:cs="Arial"/>
                <w:color w:val="000000"/>
                <w:sz w:val="16"/>
                <w:szCs w:val="16"/>
                <w:lang w:val="fr-CH" w:eastAsia="en-US"/>
              </w:rPr>
              <w:t>s</w:t>
            </w:r>
          </w:p>
        </w:tc>
        <w:tc>
          <w:tcPr>
            <w:tcW w:w="2393" w:type="dxa"/>
            <w:shd w:val="clear" w:color="000000" w:fill="FFFFFF"/>
            <w:tcMar>
              <w:top w:w="57" w:type="dxa"/>
            </w:tcMar>
            <w:hideMark/>
          </w:tcPr>
          <w:p w14:paraId="0CA3E3A4" w14:textId="77777777" w:rsidR="005723BD" w:rsidRPr="001E46B4" w:rsidRDefault="005723BD" w:rsidP="00986700">
            <w:pPr>
              <w:rPr>
                <w:rFonts w:eastAsia="Times New Roman" w:cs="Arial"/>
                <w:color w:val="000000"/>
                <w:sz w:val="16"/>
                <w:szCs w:val="16"/>
                <w:lang w:eastAsia="en-US"/>
              </w:rPr>
            </w:pPr>
            <w:r w:rsidRPr="001E46B4">
              <w:rPr>
                <w:rFonts w:eastAsia="Times New Roman" w:cs="Arial"/>
                <w:color w:val="000000"/>
                <w:sz w:val="16"/>
                <w:szCs w:val="16"/>
                <w:lang w:eastAsia="en-US"/>
              </w:rPr>
              <w:t>0 (</w:t>
            </w:r>
            <w:r>
              <w:rPr>
                <w:rFonts w:eastAsia="Times New Roman" w:cs="Arial"/>
                <w:color w:val="000000"/>
                <w:sz w:val="16"/>
                <w:szCs w:val="16"/>
                <w:lang w:eastAsia="en-US"/>
              </w:rPr>
              <w:t>à la fin de </w:t>
            </w:r>
            <w:r w:rsidRPr="001E46B4">
              <w:rPr>
                <w:rFonts w:eastAsia="Times New Roman" w:cs="Arial"/>
                <w:color w:val="000000"/>
                <w:sz w:val="16"/>
                <w:szCs w:val="16"/>
                <w:lang w:eastAsia="en-US"/>
              </w:rPr>
              <w:t>2016)</w:t>
            </w:r>
          </w:p>
        </w:tc>
        <w:tc>
          <w:tcPr>
            <w:tcW w:w="2393" w:type="dxa"/>
            <w:shd w:val="clear" w:color="000000" w:fill="FFFFFF"/>
            <w:tcMar>
              <w:top w:w="57" w:type="dxa"/>
            </w:tcMar>
            <w:hideMark/>
          </w:tcPr>
          <w:p w14:paraId="0660C387" w14:textId="77777777" w:rsidR="005723BD" w:rsidRPr="00D119C8" w:rsidRDefault="005723BD" w:rsidP="00986700">
            <w:pPr>
              <w:rPr>
                <w:rFonts w:eastAsia="Times New Roman" w:cs="Arial"/>
                <w:color w:val="000000"/>
                <w:sz w:val="16"/>
                <w:szCs w:val="16"/>
                <w:lang w:val="fr-CH" w:eastAsia="en-US"/>
              </w:rPr>
            </w:pPr>
            <w:r>
              <w:rPr>
                <w:rFonts w:eastAsia="Times New Roman" w:cs="Arial"/>
                <w:color w:val="000000"/>
                <w:sz w:val="16"/>
                <w:szCs w:val="16"/>
                <w:lang w:val="fr-CH" w:eastAsia="en-US"/>
              </w:rPr>
              <w:t>5</w:t>
            </w:r>
            <w:r w:rsidRPr="00D119C8">
              <w:rPr>
                <w:rFonts w:eastAsia="Times New Roman" w:cs="Arial"/>
                <w:color w:val="000000"/>
                <w:sz w:val="16"/>
                <w:szCs w:val="16"/>
                <w:lang w:val="fr-CH" w:eastAsia="en-US"/>
              </w:rPr>
              <w:t xml:space="preserve"> (chiffre cumulatif </w:t>
            </w:r>
            <w:r>
              <w:rPr>
                <w:rFonts w:eastAsia="Times New Roman" w:cs="Arial"/>
                <w:color w:val="000000"/>
                <w:sz w:val="16"/>
                <w:szCs w:val="16"/>
                <w:lang w:val="fr-CH" w:eastAsia="en-US"/>
              </w:rPr>
              <w:t>pour</w:t>
            </w:r>
            <w:r w:rsidRPr="00D119C8">
              <w:rPr>
                <w:rFonts w:eastAsia="Times New Roman" w:cs="Arial"/>
                <w:color w:val="000000"/>
                <w:sz w:val="16"/>
                <w:szCs w:val="16"/>
                <w:lang w:val="fr-CH" w:eastAsia="en-US"/>
              </w:rPr>
              <w:t xml:space="preserve"> l</w:t>
            </w:r>
            <w:r>
              <w:rPr>
                <w:rFonts w:eastAsia="Times New Roman" w:cs="Arial"/>
                <w:color w:val="000000"/>
                <w:sz w:val="16"/>
                <w:szCs w:val="16"/>
                <w:lang w:val="fr-CH" w:eastAsia="en-US"/>
              </w:rPr>
              <w:t>’</w:t>
            </w:r>
            <w:r w:rsidRPr="00D119C8">
              <w:rPr>
                <w:rFonts w:eastAsia="Times New Roman" w:cs="Arial"/>
                <w:color w:val="000000"/>
                <w:sz w:val="16"/>
                <w:szCs w:val="16"/>
                <w:lang w:val="fr-CH" w:eastAsia="en-US"/>
              </w:rPr>
              <w:t>exercice biennal)</w:t>
            </w:r>
          </w:p>
        </w:tc>
      </w:tr>
    </w:tbl>
    <w:p w14:paraId="48A04DE2" w14:textId="77777777" w:rsidR="005723BD" w:rsidRPr="00D119C8" w:rsidRDefault="005723BD"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61B5ACD9" w14:textId="77777777" w:rsidTr="001A722F">
        <w:trPr>
          <w:cantSplit/>
        </w:trPr>
        <w:tc>
          <w:tcPr>
            <w:tcW w:w="9571" w:type="dxa"/>
            <w:shd w:val="clear" w:color="auto" w:fill="C6D9F1" w:themeFill="text2" w:themeFillTint="33"/>
            <w:vAlign w:val="center"/>
          </w:tcPr>
          <w:p w14:paraId="649921E1" w14:textId="77777777" w:rsidR="00277197" w:rsidRPr="00821D15" w:rsidRDefault="00277197" w:rsidP="00986700">
            <w:pPr>
              <w:jc w:val="center"/>
              <w:rPr>
                <w:rFonts w:cs="Arial"/>
                <w:b/>
                <w:szCs w:val="20"/>
              </w:rPr>
            </w:pPr>
            <w:r w:rsidRPr="00821D15">
              <w:rPr>
                <w:rFonts w:cs="Arial"/>
                <w:b/>
                <w:szCs w:val="20"/>
              </w:rPr>
              <w:t>Ressources allouées au programme 13</w:t>
            </w:r>
          </w:p>
        </w:tc>
      </w:tr>
    </w:tbl>
    <w:p w14:paraId="11B4F832" w14:textId="77777777" w:rsidR="00277197" w:rsidRPr="00821D15" w:rsidRDefault="00277197" w:rsidP="00986700">
      <w:pPr>
        <w:rPr>
          <w:rFonts w:cs="Arial"/>
          <w:szCs w:val="20"/>
        </w:rPr>
      </w:pPr>
    </w:p>
    <w:p w14:paraId="66A25733" w14:textId="77777777" w:rsidR="00277197" w:rsidRPr="00821D15" w:rsidRDefault="00277197" w:rsidP="00616FD3">
      <w:pPr>
        <w:pStyle w:val="ListParagraph"/>
        <w:numPr>
          <w:ilvl w:val="0"/>
          <w:numId w:val="75"/>
        </w:numPr>
        <w:ind w:left="0" w:firstLine="0"/>
        <w:contextualSpacing w:val="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53,5% par rapport au budget approuvé pour 2016</w:t>
      </w:r>
      <w:r w:rsidRPr="00821D15">
        <w:rPr>
          <w:rFonts w:cs="Arial"/>
          <w:szCs w:val="20"/>
        </w:rPr>
        <w:noBreakHyphen/>
        <w:t>2017.</w:t>
      </w:r>
    </w:p>
    <w:p w14:paraId="7CF832D7" w14:textId="77777777" w:rsidR="00277197" w:rsidRPr="00821D15" w:rsidRDefault="00277197" w:rsidP="00986700">
      <w:pPr>
        <w:rPr>
          <w:rFonts w:cs="Arial"/>
          <w:szCs w:val="20"/>
        </w:rPr>
      </w:pPr>
    </w:p>
    <w:p w14:paraId="58C350D9" w14:textId="77777777" w:rsidR="00277197" w:rsidRPr="00821D15" w:rsidRDefault="00277197" w:rsidP="00616FD3">
      <w:pPr>
        <w:pStyle w:val="ListParagraph"/>
        <w:numPr>
          <w:ilvl w:val="0"/>
          <w:numId w:val="75"/>
        </w:numPr>
        <w:ind w:left="0" w:firstLine="0"/>
        <w:contextualSpacing w:val="0"/>
        <w:jc w:val="both"/>
        <w:rPr>
          <w:rFonts w:cs="Arial"/>
          <w:szCs w:val="20"/>
        </w:rPr>
      </w:pPr>
      <w:r w:rsidRPr="00821D15">
        <w:rPr>
          <w:rFonts w:cs="Arial"/>
          <w:szCs w:val="20"/>
        </w:rPr>
        <w:t>Cette augmentation est principalement due i) à l’augmentation des coûts de développement et de fonctionnement des bases de données mondiales de l’OMPI résultant de l’élargissement de la couverture géographique du système et de l’augmentation du nombre de langues (dépenses de personnel et dépenses autres que les dépenses de personnel), ii) aux investissements nécessaires pour maintenir la compétitivité des bases de données mondiales de l’OMPI par le développement de nouvelles fonctions pour la recherche de données sur la propriété intellectuelle, permettant notamment d’effectuer une recherche par nom de composé chimique ou dans la littérature non</w:t>
      </w:r>
      <w:r w:rsidRPr="00821D15">
        <w:rPr>
          <w:rFonts w:cs="Arial"/>
          <w:szCs w:val="20"/>
        </w:rPr>
        <w:noBreakHyphen/>
        <w:t>brevet, et par l’amélioration de la technologie de traduction automatique neuronale utilisée dans WIPO Translate (dépenses autres que les dépenses de personnel), et iii) au transfert de WIPOLex du programme 21 (direction générale) au cours de l’exercice biennal 2016</w:t>
      </w:r>
      <w:r w:rsidRPr="00821D15">
        <w:rPr>
          <w:rFonts w:cs="Arial"/>
          <w:szCs w:val="20"/>
        </w:rPr>
        <w:noBreakHyphen/>
        <w:t>2017 (dépenses de personnel et dépenses autres que les dépenses de personnel).  Il est rendu compte de ces augmentations sous les résultats escomptés IV.2 (amélioration de l’accessibilité et de l’utilisation de l’information en matière de propriété intellectuelle) et IV.3 (élargissement de la portée géographique des bases de données mondiales).</w:t>
      </w:r>
    </w:p>
    <w:p w14:paraId="58018081" w14:textId="77777777" w:rsidR="00277197" w:rsidRPr="00821D15" w:rsidRDefault="00277197" w:rsidP="00986700">
      <w:pPr>
        <w:rPr>
          <w:rFonts w:cs="Arial"/>
          <w:szCs w:val="20"/>
        </w:rPr>
      </w:pPr>
    </w:p>
    <w:p w14:paraId="4CABAF60" w14:textId="77777777" w:rsidR="00277197" w:rsidRPr="00821D15" w:rsidRDefault="00277197" w:rsidP="00616FD3">
      <w:pPr>
        <w:pStyle w:val="ListParagraph"/>
        <w:numPr>
          <w:ilvl w:val="0"/>
          <w:numId w:val="75"/>
        </w:numPr>
        <w:ind w:left="0" w:firstLine="0"/>
        <w:jc w:val="both"/>
        <w:rPr>
          <w:rFonts w:cs="Arial"/>
          <w:szCs w:val="20"/>
        </w:rPr>
      </w:pPr>
      <w:r w:rsidRPr="00821D15">
        <w:rPr>
          <w:rFonts w:cs="Arial"/>
          <w:szCs w:val="20"/>
        </w:rPr>
        <w:t>Il est rendu compte des ressources liées aux processus de conversion dans la reconnaissance optique des caractères (ROC) de l’OMPI sous le résultat escompté IV.4 (amélioration de l’infrastructure technique et du savoir).</w:t>
      </w:r>
    </w:p>
    <w:p w14:paraId="203E7EB8" w14:textId="77777777" w:rsidR="00674550" w:rsidRDefault="00674550" w:rsidP="00986700"/>
    <w:p w14:paraId="18901730" w14:textId="3916BD67" w:rsidR="00674550" w:rsidRPr="00674550" w:rsidRDefault="00674550" w:rsidP="00637026">
      <w:pPr>
        <w:keepNext/>
        <w:keepLines/>
        <w:jc w:val="center"/>
        <w:rPr>
          <w:rFonts w:eastAsia="Times New Roman" w:cs="Arial"/>
          <w:b/>
          <w:szCs w:val="20"/>
          <w:lang w:eastAsia="en-US"/>
        </w:rPr>
      </w:pPr>
      <w:r>
        <w:rPr>
          <w:rFonts w:eastAsia="Times New Roman" w:cs="Arial"/>
          <w:b/>
          <w:szCs w:val="20"/>
          <w:lang w:eastAsia="en-US"/>
        </w:rPr>
        <w:lastRenderedPageBreak/>
        <w:t xml:space="preserve">Programme 13 : </w:t>
      </w:r>
      <w:r w:rsidRPr="00674550">
        <w:rPr>
          <w:rFonts w:eastAsia="Times New Roman" w:cs="Arial"/>
          <w:b/>
          <w:szCs w:val="20"/>
          <w:lang w:eastAsia="en-US"/>
        </w:rPr>
        <w:t>Ressources par résultat</w:t>
      </w:r>
    </w:p>
    <w:p w14:paraId="6AD644B5" w14:textId="77777777" w:rsidR="00674550" w:rsidRPr="00674550" w:rsidRDefault="00674550" w:rsidP="00AC3B37">
      <w:pPr>
        <w:keepNext/>
        <w:keepLines/>
        <w:spacing w:after="120"/>
        <w:jc w:val="center"/>
        <w:rPr>
          <w:rFonts w:eastAsia="Times New Roman" w:cs="Arial"/>
          <w:i/>
          <w:iCs/>
          <w:szCs w:val="20"/>
          <w:lang w:eastAsia="en-US"/>
        </w:rPr>
      </w:pPr>
      <w:r w:rsidRPr="00674550">
        <w:rPr>
          <w:rFonts w:eastAsia="Times New Roman" w:cs="Arial"/>
          <w:i/>
          <w:iCs/>
          <w:szCs w:val="20"/>
          <w:lang w:eastAsia="en-US"/>
        </w:rPr>
        <w:t>(en milliers de francs suisses)</w:t>
      </w:r>
    </w:p>
    <w:p w14:paraId="4AA63B64" w14:textId="09332654" w:rsidR="00717231" w:rsidRDefault="00717231" w:rsidP="00986700">
      <w:pPr>
        <w:jc w:val="center"/>
      </w:pPr>
      <w:r w:rsidRPr="00717231">
        <w:rPr>
          <w:noProof/>
          <w:lang w:val="en-US" w:eastAsia="en-US"/>
        </w:rPr>
        <w:drawing>
          <wp:inline distT="0" distB="0" distL="0" distR="0" wp14:anchorId="6CFD108B" wp14:editId="0DF5FEA9">
            <wp:extent cx="5040000" cy="2419718"/>
            <wp:effectExtent l="0" t="0" r="825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0000" cy="2419718"/>
                    </a:xfrm>
                    <a:prstGeom prst="rect">
                      <a:avLst/>
                    </a:prstGeom>
                    <a:noFill/>
                    <a:ln>
                      <a:noFill/>
                    </a:ln>
                  </pic:spPr>
                </pic:pic>
              </a:graphicData>
            </a:graphic>
          </wp:inline>
        </w:drawing>
      </w:r>
    </w:p>
    <w:p w14:paraId="0177B1F4" w14:textId="77777777" w:rsidR="0027684D" w:rsidRPr="00B55ECC" w:rsidRDefault="00B55ECC" w:rsidP="00AC3B37">
      <w:pPr>
        <w:keepNext/>
        <w:keepLines/>
        <w:spacing w:before="160"/>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13</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229A03CB" w14:textId="67F28906" w:rsidR="008778B5" w:rsidRDefault="0027684D" w:rsidP="00AC3B37">
      <w:pPr>
        <w:keepNext/>
        <w:keepLines/>
        <w:spacing w:after="120"/>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730D0CEF" w14:textId="24465DF1" w:rsidR="0060494B" w:rsidRPr="00AC3B37" w:rsidRDefault="008778B5" w:rsidP="00AC3B37">
      <w:pPr>
        <w:jc w:val="center"/>
        <w:rPr>
          <w:lang w:eastAsia="en-US"/>
        </w:rPr>
      </w:pPr>
      <w:r w:rsidRPr="008778B5">
        <w:rPr>
          <w:noProof/>
          <w:lang w:val="en-US" w:eastAsia="en-US"/>
        </w:rPr>
        <w:drawing>
          <wp:inline distT="0" distB="0" distL="0" distR="0" wp14:anchorId="0E12FD87" wp14:editId="2DCD544F">
            <wp:extent cx="5220000" cy="583071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20000" cy="5830710"/>
                    </a:xfrm>
                    <a:prstGeom prst="rect">
                      <a:avLst/>
                    </a:prstGeom>
                    <a:noFill/>
                    <a:ln>
                      <a:noFill/>
                    </a:ln>
                  </pic:spPr>
                </pic:pic>
              </a:graphicData>
            </a:graphic>
          </wp:inline>
        </w:drawing>
      </w:r>
      <w:r w:rsidR="0060494B">
        <w:br w:type="page"/>
      </w:r>
    </w:p>
    <w:p w14:paraId="48D8C0AD" w14:textId="6817C5D3" w:rsidR="005723BD" w:rsidRPr="005723BD" w:rsidRDefault="005723BD" w:rsidP="00986700">
      <w:pPr>
        <w:pStyle w:val="Heading2"/>
      </w:pPr>
      <w:bookmarkStart w:id="55" w:name="_Toc482979494"/>
      <w:r w:rsidRPr="005723BD">
        <w:lastRenderedPageBreak/>
        <w:t>Programme 14</w:t>
      </w:r>
      <w:r w:rsidRPr="005723BD">
        <w:tab/>
        <w:t>Services d’accès à l’information et aux savoirs</w:t>
      </w:r>
      <w:bookmarkEnd w:id="55"/>
    </w:p>
    <w:p w14:paraId="3E648411" w14:textId="77777777" w:rsidR="005723BD" w:rsidRPr="00857B3B" w:rsidRDefault="005723BD" w:rsidP="00986700">
      <w:pPr>
        <w:pStyle w:val="StyleHeading3ComplexItalic"/>
        <w:rPr>
          <w:rStyle w:val="StyleStyleHeading3ComplexItalicLatin12ptChar"/>
          <w:rFonts w:eastAsia="SimSun"/>
          <w:szCs w:val="20"/>
          <w:lang w:val="fr-CH"/>
        </w:rPr>
      </w:pPr>
    </w:p>
    <w:p w14:paraId="312B4423" w14:textId="77777777" w:rsidR="005723BD" w:rsidRPr="00857B3B" w:rsidRDefault="005723BD" w:rsidP="00986700">
      <w:pPr>
        <w:tabs>
          <w:tab w:val="left" w:pos="1701"/>
        </w:tabs>
        <w:ind w:left="1701" w:hanging="1701"/>
        <w:rPr>
          <w:rFonts w:cs="Arial"/>
          <w:bCs/>
          <w:iCs/>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5723BD" w:rsidRPr="00F0151A" w14:paraId="66FE65F0" w14:textId="77777777" w:rsidTr="00CB2022">
        <w:trPr>
          <w:cantSplit/>
        </w:trPr>
        <w:tc>
          <w:tcPr>
            <w:tcW w:w="9287" w:type="dxa"/>
            <w:shd w:val="clear" w:color="auto" w:fill="C6D9F1" w:themeFill="text2" w:themeFillTint="33"/>
            <w:vAlign w:val="center"/>
          </w:tcPr>
          <w:p w14:paraId="63E1C2E3" w14:textId="77777777" w:rsidR="005723BD" w:rsidRPr="00857B3B" w:rsidRDefault="005723BD" w:rsidP="00986700">
            <w:pPr>
              <w:keepNext/>
              <w:keepLines/>
              <w:jc w:val="center"/>
              <w:rPr>
                <w:rFonts w:eastAsia="Times New Roman" w:cs="Arial"/>
                <w:b/>
                <w:bCs/>
                <w:szCs w:val="20"/>
                <w:lang w:val="fr-CH" w:eastAsia="en-US"/>
              </w:rPr>
            </w:pPr>
            <w:r w:rsidRPr="00857B3B">
              <w:rPr>
                <w:rFonts w:eastAsia="Times New Roman" w:cs="Arial"/>
                <w:b/>
                <w:bCs/>
                <w:szCs w:val="20"/>
                <w:lang w:val="fr-CH" w:eastAsia="en-US"/>
              </w:rPr>
              <w:t>Stratégies de mise en œuvre</w:t>
            </w:r>
          </w:p>
        </w:tc>
      </w:tr>
    </w:tbl>
    <w:p w14:paraId="4899A278" w14:textId="1307D1C7" w:rsidR="005723BD" w:rsidRPr="00857B3B" w:rsidRDefault="005723BD" w:rsidP="00986700">
      <w:pPr>
        <w:jc w:val="both"/>
        <w:rPr>
          <w:rFonts w:cs="Arial"/>
          <w:szCs w:val="20"/>
          <w:lang w:val="fr-CH"/>
        </w:rPr>
      </w:pPr>
    </w:p>
    <w:p w14:paraId="48FAC037" w14:textId="77777777" w:rsidR="005723BD" w:rsidRDefault="005723BD" w:rsidP="00616FD3">
      <w:pPr>
        <w:pStyle w:val="ListParagraph"/>
        <w:numPr>
          <w:ilvl w:val="0"/>
          <w:numId w:val="17"/>
        </w:numPr>
        <w:ind w:left="567" w:hanging="567"/>
        <w:jc w:val="both"/>
        <w:rPr>
          <w:rFonts w:cs="Arial"/>
          <w:szCs w:val="20"/>
          <w:lang w:val="fr-CH"/>
        </w:rPr>
      </w:pPr>
      <w:r>
        <w:rPr>
          <w:rFonts w:cs="Arial"/>
          <w:szCs w:val="20"/>
          <w:lang w:val="fr-CH"/>
        </w:rPr>
        <w:t>A</w:t>
      </w:r>
      <w:r w:rsidRPr="00BC290E">
        <w:rPr>
          <w:rFonts w:cs="Arial"/>
          <w:szCs w:val="20"/>
          <w:lang w:val="fr-CH"/>
        </w:rPr>
        <w:t>ider le</w:t>
      </w:r>
      <w:r>
        <w:rPr>
          <w:rFonts w:cs="Arial"/>
          <w:szCs w:val="20"/>
          <w:lang w:val="fr-CH"/>
        </w:rPr>
        <w:t>s</w:t>
      </w:r>
      <w:r w:rsidRPr="00BC290E">
        <w:rPr>
          <w:rFonts w:cs="Arial"/>
          <w:szCs w:val="20"/>
          <w:lang w:val="fr-CH"/>
        </w:rPr>
        <w:t xml:space="preserve"> centres d</w:t>
      </w:r>
      <w:r>
        <w:rPr>
          <w:rFonts w:cs="Arial"/>
          <w:szCs w:val="20"/>
          <w:lang w:val="fr-CH"/>
        </w:rPr>
        <w:t>’</w:t>
      </w:r>
      <w:r w:rsidRPr="00BC290E">
        <w:rPr>
          <w:rFonts w:cs="Arial"/>
          <w:szCs w:val="20"/>
          <w:lang w:val="fr-CH"/>
        </w:rPr>
        <w:t>appui à la technologie et à l</w:t>
      </w:r>
      <w:r>
        <w:rPr>
          <w:rFonts w:cs="Arial"/>
          <w:szCs w:val="20"/>
          <w:lang w:val="fr-CH"/>
        </w:rPr>
        <w:t>’</w:t>
      </w:r>
      <w:r w:rsidRPr="00BC290E">
        <w:rPr>
          <w:rFonts w:cs="Arial"/>
          <w:szCs w:val="20"/>
          <w:lang w:val="fr-CH"/>
        </w:rPr>
        <w:t xml:space="preserve">innovation (CATI) </w:t>
      </w:r>
      <w:r>
        <w:rPr>
          <w:rFonts w:cs="Arial"/>
          <w:szCs w:val="20"/>
          <w:lang w:val="fr-CH"/>
        </w:rPr>
        <w:t>à devenir des points d’accès institutionnels efficaces et pérennes</w:t>
      </w:r>
      <w:r w:rsidRPr="00BC290E">
        <w:rPr>
          <w:rFonts w:cs="Arial"/>
          <w:szCs w:val="20"/>
          <w:lang w:val="fr-CH"/>
        </w:rPr>
        <w:t xml:space="preserve"> </w:t>
      </w:r>
      <w:r>
        <w:rPr>
          <w:rFonts w:cs="Arial"/>
          <w:szCs w:val="20"/>
          <w:lang w:val="fr-CH"/>
        </w:rPr>
        <w:t>qui offrent des services d’information technologique de qualité</w:t>
      </w:r>
      <w:r w:rsidRPr="00BC290E">
        <w:rPr>
          <w:rFonts w:cs="Arial"/>
          <w:szCs w:val="20"/>
          <w:lang w:val="fr-CH"/>
        </w:rPr>
        <w:t xml:space="preserve"> </w:t>
      </w:r>
      <w:r>
        <w:rPr>
          <w:rFonts w:cs="Arial"/>
          <w:szCs w:val="20"/>
          <w:lang w:val="fr-CH"/>
        </w:rPr>
        <w:t>par la fourniture de matériel</w:t>
      </w:r>
      <w:r w:rsidRPr="00BC290E">
        <w:rPr>
          <w:rFonts w:cs="Arial"/>
          <w:szCs w:val="20"/>
          <w:lang w:val="fr-CH"/>
        </w:rPr>
        <w:t xml:space="preserve"> </w:t>
      </w:r>
      <w:r>
        <w:rPr>
          <w:rFonts w:cs="Arial"/>
          <w:szCs w:val="20"/>
          <w:lang w:val="fr-CH"/>
        </w:rPr>
        <w:t>d’apprentissage</w:t>
      </w:r>
      <w:r w:rsidRPr="00BC290E">
        <w:rPr>
          <w:rFonts w:cs="Arial"/>
          <w:szCs w:val="20"/>
          <w:lang w:val="fr-CH"/>
        </w:rPr>
        <w:t>,</w:t>
      </w:r>
      <w:r>
        <w:rPr>
          <w:rFonts w:cs="Arial"/>
          <w:szCs w:val="20"/>
          <w:lang w:val="fr-CH"/>
        </w:rPr>
        <w:t xml:space="preserve"> d’outils dédiés au</w:t>
      </w:r>
      <w:r w:rsidRPr="00BC290E">
        <w:rPr>
          <w:rFonts w:cs="Arial"/>
          <w:szCs w:val="20"/>
          <w:lang w:val="fr-CH"/>
        </w:rPr>
        <w:t xml:space="preserve"> service</w:t>
      </w:r>
      <w:r>
        <w:rPr>
          <w:rFonts w:cs="Arial"/>
          <w:szCs w:val="20"/>
          <w:lang w:val="fr-CH"/>
        </w:rPr>
        <w:t xml:space="preserve"> d’assistance</w:t>
      </w:r>
      <w:r w:rsidRPr="00BC290E">
        <w:rPr>
          <w:rFonts w:cs="Arial"/>
          <w:szCs w:val="20"/>
          <w:lang w:val="fr-CH"/>
        </w:rPr>
        <w:t>,</w:t>
      </w:r>
      <w:r>
        <w:rPr>
          <w:rFonts w:cs="Arial"/>
          <w:szCs w:val="20"/>
          <w:lang w:val="fr-CH"/>
        </w:rPr>
        <w:t xml:space="preserve"> de</w:t>
      </w:r>
      <w:r w:rsidRPr="00BC290E">
        <w:rPr>
          <w:rFonts w:cs="Arial"/>
          <w:szCs w:val="20"/>
          <w:lang w:val="fr-CH"/>
        </w:rPr>
        <w:t xml:space="preserve"> plat</w:t>
      </w:r>
      <w:r>
        <w:rPr>
          <w:rFonts w:cs="Arial"/>
          <w:szCs w:val="20"/>
          <w:lang w:val="fr-CH"/>
        </w:rPr>
        <w:t>e</w:t>
      </w:r>
      <w:r w:rsidRPr="00BC290E">
        <w:rPr>
          <w:rFonts w:cs="Arial"/>
          <w:szCs w:val="20"/>
          <w:lang w:val="fr-CH"/>
        </w:rPr>
        <w:t>form</w:t>
      </w:r>
      <w:r>
        <w:rPr>
          <w:rFonts w:cs="Arial"/>
          <w:szCs w:val="20"/>
          <w:lang w:val="fr-CH"/>
        </w:rPr>
        <w:t>e</w:t>
      </w:r>
      <w:r w:rsidRPr="00BC290E">
        <w:rPr>
          <w:rFonts w:cs="Arial"/>
          <w:szCs w:val="20"/>
          <w:lang w:val="fr-CH"/>
        </w:rPr>
        <w:t xml:space="preserve">s, </w:t>
      </w:r>
      <w:r>
        <w:rPr>
          <w:rFonts w:cs="Arial"/>
          <w:szCs w:val="20"/>
          <w:lang w:val="fr-CH"/>
        </w:rPr>
        <w:t xml:space="preserve">de </w:t>
      </w:r>
      <w:r w:rsidRPr="00BC290E">
        <w:rPr>
          <w:rFonts w:cs="Arial"/>
          <w:szCs w:val="20"/>
          <w:lang w:val="fr-CH"/>
        </w:rPr>
        <w:t>porta</w:t>
      </w:r>
      <w:r>
        <w:rPr>
          <w:rFonts w:cs="Arial"/>
          <w:szCs w:val="20"/>
          <w:lang w:val="fr-CH"/>
        </w:rPr>
        <w:t>i</w:t>
      </w:r>
      <w:r w:rsidRPr="00BC290E">
        <w:rPr>
          <w:rFonts w:cs="Arial"/>
          <w:szCs w:val="20"/>
          <w:lang w:val="fr-CH"/>
        </w:rPr>
        <w:t>ls, etc.;</w:t>
      </w:r>
    </w:p>
    <w:p w14:paraId="56ACEA07" w14:textId="77777777" w:rsidR="005723BD" w:rsidRPr="00BC290E" w:rsidRDefault="005723BD" w:rsidP="00986700">
      <w:pPr>
        <w:ind w:left="567" w:hanging="567"/>
        <w:jc w:val="both"/>
        <w:rPr>
          <w:rFonts w:cs="Arial"/>
          <w:szCs w:val="20"/>
          <w:lang w:val="fr-CH"/>
        </w:rPr>
      </w:pPr>
    </w:p>
    <w:p w14:paraId="429AE589" w14:textId="30652580" w:rsidR="005723BD" w:rsidRDefault="002F0934" w:rsidP="00616FD3">
      <w:pPr>
        <w:pStyle w:val="ListParagraph"/>
        <w:numPr>
          <w:ilvl w:val="0"/>
          <w:numId w:val="17"/>
        </w:numPr>
        <w:ind w:left="567" w:hanging="567"/>
        <w:jc w:val="both"/>
        <w:rPr>
          <w:rFonts w:cs="Arial"/>
          <w:szCs w:val="20"/>
          <w:lang w:val="fr-CH"/>
        </w:rPr>
      </w:pPr>
      <w:r w:rsidRPr="002F3C7E">
        <w:rPr>
          <w:rFonts w:cs="Arial"/>
          <w:szCs w:val="20"/>
          <w:lang w:val="fr-CH"/>
        </w:rPr>
        <w:t xml:space="preserve">Soutenir </w:t>
      </w:r>
      <w:r w:rsidR="005723BD" w:rsidRPr="002F3C7E">
        <w:rPr>
          <w:rFonts w:cs="Arial"/>
          <w:szCs w:val="20"/>
          <w:lang w:val="fr-CH"/>
        </w:rPr>
        <w:t>l</w:t>
      </w:r>
      <w:r w:rsidR="005723BD">
        <w:rPr>
          <w:rFonts w:cs="Arial"/>
          <w:szCs w:val="20"/>
          <w:lang w:val="fr-CH"/>
        </w:rPr>
        <w:t>’</w:t>
      </w:r>
      <w:r w:rsidR="005723BD" w:rsidRPr="002F3C7E">
        <w:rPr>
          <w:rFonts w:cs="Arial"/>
          <w:szCs w:val="20"/>
          <w:lang w:val="fr-CH"/>
        </w:rPr>
        <w:t>innovation au niveau local par la promotion et l</w:t>
      </w:r>
      <w:r w:rsidR="005723BD">
        <w:rPr>
          <w:rFonts w:cs="Arial"/>
          <w:szCs w:val="20"/>
          <w:lang w:val="fr-CH"/>
        </w:rPr>
        <w:t>’</w:t>
      </w:r>
      <w:r w:rsidR="005723BD" w:rsidRPr="002F3C7E">
        <w:rPr>
          <w:rFonts w:cs="Arial"/>
          <w:szCs w:val="20"/>
          <w:lang w:val="fr-CH"/>
        </w:rPr>
        <w:t>épanoui</w:t>
      </w:r>
      <w:r w:rsidR="005723BD">
        <w:rPr>
          <w:rFonts w:cs="Arial"/>
          <w:szCs w:val="20"/>
          <w:lang w:val="fr-CH"/>
        </w:rPr>
        <w:t>ss</w:t>
      </w:r>
      <w:r w:rsidR="005723BD" w:rsidRPr="002F3C7E">
        <w:rPr>
          <w:rFonts w:cs="Arial"/>
          <w:szCs w:val="20"/>
          <w:lang w:val="fr-CH"/>
        </w:rPr>
        <w:t>ement des capacités</w:t>
      </w:r>
      <w:r w:rsidR="005723BD" w:rsidRPr="009F7D81">
        <w:rPr>
          <w:rFonts w:cs="Arial"/>
          <w:szCs w:val="20"/>
          <w:lang w:val="fr-CH"/>
        </w:rPr>
        <w:t xml:space="preserve"> des CAT</w:t>
      </w:r>
      <w:r w:rsidR="005723BD" w:rsidRPr="002F3C7E">
        <w:rPr>
          <w:rFonts w:cs="Arial"/>
          <w:szCs w:val="20"/>
          <w:lang w:val="fr-CH"/>
        </w:rPr>
        <w:t xml:space="preserve">I </w:t>
      </w:r>
      <w:r w:rsidR="005723BD">
        <w:rPr>
          <w:rFonts w:cs="Arial"/>
          <w:szCs w:val="20"/>
          <w:lang w:val="fr-CH"/>
        </w:rPr>
        <w:t>en vue d’utiliser</w:t>
      </w:r>
      <w:r w:rsidR="005723BD" w:rsidRPr="002F3C7E">
        <w:rPr>
          <w:rFonts w:cs="Arial"/>
          <w:szCs w:val="20"/>
          <w:lang w:val="fr-CH"/>
        </w:rPr>
        <w:t xml:space="preserve"> </w:t>
      </w:r>
      <w:r w:rsidR="005723BD">
        <w:rPr>
          <w:rFonts w:cs="Arial"/>
          <w:szCs w:val="20"/>
          <w:lang w:val="fr-CH"/>
        </w:rPr>
        <w:t>efficacement et gratuitement les bases de données de brevets</w:t>
      </w:r>
      <w:r w:rsidR="005723BD" w:rsidRPr="002F3C7E">
        <w:rPr>
          <w:rFonts w:cs="Arial"/>
          <w:szCs w:val="20"/>
          <w:lang w:val="fr-CH"/>
        </w:rPr>
        <w:t xml:space="preserve"> </w:t>
      </w:r>
      <w:r w:rsidR="005723BD">
        <w:rPr>
          <w:rFonts w:cs="Arial"/>
          <w:szCs w:val="20"/>
          <w:lang w:val="fr-CH"/>
        </w:rPr>
        <w:t>telles que PATENTSCOPE, ainsi que la littérature scientifique et technique libre dans les pays en développement, les pays les moins avancés et les pays en transition</w:t>
      </w:r>
      <w:r w:rsidR="005723BD" w:rsidRPr="002F3C7E">
        <w:rPr>
          <w:rFonts w:cs="Arial"/>
          <w:szCs w:val="20"/>
          <w:lang w:val="fr-CH"/>
        </w:rPr>
        <w:t>;</w:t>
      </w:r>
    </w:p>
    <w:p w14:paraId="4B648E30" w14:textId="2E0772B2" w:rsidR="005723BD" w:rsidRPr="002F3C7E" w:rsidRDefault="00CB2022" w:rsidP="00986700">
      <w:pPr>
        <w:ind w:left="567" w:hanging="567"/>
        <w:jc w:val="both"/>
        <w:rPr>
          <w:rFonts w:cs="Arial"/>
          <w:szCs w:val="20"/>
          <w:lang w:val="fr-CH"/>
        </w:rPr>
      </w:pPr>
      <w:r w:rsidRPr="00CB2022">
        <w:rPr>
          <w:noProof/>
          <w:lang w:val="en-US" w:eastAsia="en-US"/>
        </w:rPr>
        <w:drawing>
          <wp:anchor distT="0" distB="0" distL="114300" distR="114300" simplePos="0" relativeHeight="251672576" behindDoc="1" locked="0" layoutInCell="1" allowOverlap="1" wp14:anchorId="596B4AD0" wp14:editId="6EC7E15D">
            <wp:simplePos x="0" y="0"/>
            <wp:positionH relativeFrom="column">
              <wp:posOffset>4431665</wp:posOffset>
            </wp:positionH>
            <wp:positionV relativeFrom="paragraph">
              <wp:posOffset>325120</wp:posOffset>
            </wp:positionV>
            <wp:extent cx="1490345" cy="2415540"/>
            <wp:effectExtent l="0" t="0" r="0" b="3810"/>
            <wp:wrapTight wrapText="bothSides">
              <wp:wrapPolygon edited="0">
                <wp:start x="10768" y="0"/>
                <wp:lineTo x="9111" y="341"/>
                <wp:lineTo x="5246" y="2215"/>
                <wp:lineTo x="4970" y="4770"/>
                <wp:lineTo x="5522" y="5451"/>
                <wp:lineTo x="8007" y="5451"/>
                <wp:lineTo x="3865" y="6473"/>
                <wp:lineTo x="828" y="7666"/>
                <wp:lineTo x="0" y="9369"/>
                <wp:lineTo x="0" y="11924"/>
                <wp:lineTo x="1104" y="13628"/>
                <wp:lineTo x="1104" y="15331"/>
                <wp:lineTo x="8007" y="16353"/>
                <wp:lineTo x="5798" y="16524"/>
                <wp:lineTo x="4694" y="16694"/>
                <wp:lineTo x="5522" y="19590"/>
                <wp:lineTo x="10216" y="21464"/>
                <wp:lineTo x="11320" y="21464"/>
                <wp:lineTo x="14909" y="21464"/>
                <wp:lineTo x="16290" y="21464"/>
                <wp:lineTo x="20707" y="19590"/>
                <wp:lineTo x="20983" y="19079"/>
                <wp:lineTo x="21259" y="17205"/>
                <wp:lineTo x="21259" y="15502"/>
                <wp:lineTo x="20983" y="14991"/>
                <wp:lineTo x="19879" y="13457"/>
                <wp:lineTo x="12700" y="10902"/>
                <wp:lineTo x="19327" y="8177"/>
                <wp:lineTo x="21259" y="5792"/>
                <wp:lineTo x="21259" y="3237"/>
                <wp:lineTo x="20983" y="2215"/>
                <wp:lineTo x="17118" y="170"/>
                <wp:lineTo x="15461" y="0"/>
                <wp:lineTo x="10768" y="0"/>
              </wp:wrapPolygon>
            </wp:wrapTight>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90345"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FA3F9" w14:textId="7176DF90" w:rsidR="005723BD" w:rsidRDefault="002F0934" w:rsidP="00616FD3">
      <w:pPr>
        <w:pStyle w:val="ListParagraph"/>
        <w:numPr>
          <w:ilvl w:val="0"/>
          <w:numId w:val="17"/>
        </w:numPr>
        <w:ind w:left="567" w:hanging="567"/>
        <w:jc w:val="both"/>
        <w:rPr>
          <w:rFonts w:cs="Arial"/>
          <w:szCs w:val="20"/>
          <w:lang w:val="fr-CH"/>
        </w:rPr>
      </w:pPr>
      <w:r w:rsidRPr="000A0959">
        <w:rPr>
          <w:rFonts w:cs="Arial"/>
          <w:szCs w:val="20"/>
          <w:lang w:val="fr-CH"/>
        </w:rPr>
        <w:t xml:space="preserve">Promouvoir </w:t>
      </w:r>
      <w:r w:rsidR="005723BD" w:rsidRPr="000A0959">
        <w:rPr>
          <w:rFonts w:cs="Arial"/>
          <w:szCs w:val="20"/>
          <w:lang w:val="fr-CH"/>
        </w:rPr>
        <w:t>et faciliter l</w:t>
      </w:r>
      <w:r w:rsidR="005723BD">
        <w:rPr>
          <w:rFonts w:cs="Arial"/>
          <w:szCs w:val="20"/>
          <w:lang w:val="fr-CH"/>
        </w:rPr>
        <w:t>’</w:t>
      </w:r>
      <w:r w:rsidR="005723BD" w:rsidRPr="000A0959">
        <w:rPr>
          <w:rFonts w:cs="Arial"/>
          <w:szCs w:val="20"/>
          <w:lang w:val="fr-CH"/>
        </w:rPr>
        <w:t xml:space="preserve">accès des utilisateurs aux bases de données commerciales sur les brevets et aux bases de données scientifiques et techniques payantes </w:t>
      </w:r>
      <w:r w:rsidR="005723BD">
        <w:rPr>
          <w:rFonts w:cs="Arial"/>
          <w:szCs w:val="20"/>
          <w:lang w:val="fr-CH"/>
        </w:rPr>
        <w:t>à l’aide des programmes de partenariat</w:t>
      </w:r>
      <w:r w:rsidR="005723BD" w:rsidRPr="000A0959">
        <w:rPr>
          <w:rFonts w:cs="Arial"/>
          <w:szCs w:val="20"/>
          <w:lang w:val="fr-CH"/>
        </w:rPr>
        <w:t xml:space="preserve"> </w:t>
      </w:r>
      <w:r w:rsidR="005723BD">
        <w:rPr>
          <w:rFonts w:cs="Arial"/>
          <w:szCs w:val="20"/>
          <w:lang w:val="fr-CH"/>
        </w:rPr>
        <w:t>public</w:t>
      </w:r>
      <w:r w:rsidR="00B441CA">
        <w:rPr>
          <w:rFonts w:cs="Arial"/>
          <w:szCs w:val="20"/>
          <w:lang w:val="fr-CH"/>
        </w:rPr>
        <w:noBreakHyphen/>
      </w:r>
      <w:r w:rsidR="005723BD">
        <w:rPr>
          <w:rFonts w:cs="Arial"/>
          <w:szCs w:val="20"/>
          <w:lang w:val="fr-CH"/>
        </w:rPr>
        <w:t>privé</w:t>
      </w:r>
      <w:r w:rsidR="005723BD" w:rsidRPr="000A0959">
        <w:rPr>
          <w:rFonts w:cs="Arial"/>
          <w:szCs w:val="20"/>
          <w:lang w:val="fr-CH"/>
        </w:rPr>
        <w:t xml:space="preserve"> </w:t>
      </w:r>
      <w:r w:rsidR="005723BD">
        <w:rPr>
          <w:rFonts w:cs="Arial"/>
          <w:szCs w:val="20"/>
          <w:lang w:val="fr-CH"/>
        </w:rPr>
        <w:t>d’a</w:t>
      </w:r>
      <w:r w:rsidR="005723BD" w:rsidRPr="00030959">
        <w:rPr>
          <w:rFonts w:cs="Arial"/>
          <w:szCs w:val="20"/>
          <w:lang w:val="fr-CH"/>
        </w:rPr>
        <w:t>ccès à l</w:t>
      </w:r>
      <w:r w:rsidR="005723BD">
        <w:rPr>
          <w:rFonts w:cs="Arial"/>
          <w:szCs w:val="20"/>
          <w:lang w:val="fr-CH"/>
        </w:rPr>
        <w:t>’</w:t>
      </w:r>
      <w:r w:rsidR="005723BD" w:rsidRPr="00030959">
        <w:rPr>
          <w:rFonts w:cs="Arial"/>
          <w:szCs w:val="20"/>
          <w:lang w:val="fr-CH"/>
        </w:rPr>
        <w:t>information spéciali</w:t>
      </w:r>
      <w:r w:rsidR="005723BD">
        <w:rPr>
          <w:rFonts w:cs="Arial"/>
          <w:szCs w:val="20"/>
          <w:lang w:val="fr-CH"/>
        </w:rPr>
        <w:t>sée en matière de brevets (ASPI)</w:t>
      </w:r>
      <w:r w:rsidR="005723BD" w:rsidRPr="000A0959">
        <w:rPr>
          <w:rFonts w:cs="Arial"/>
          <w:szCs w:val="20"/>
          <w:lang w:val="fr-CH"/>
        </w:rPr>
        <w:t xml:space="preserve"> </w:t>
      </w:r>
      <w:r w:rsidR="005723BD">
        <w:rPr>
          <w:rFonts w:cs="Arial"/>
          <w:szCs w:val="20"/>
          <w:lang w:val="fr-CH"/>
        </w:rPr>
        <w:t>et d’a</w:t>
      </w:r>
      <w:r w:rsidR="005723BD" w:rsidRPr="00030959">
        <w:rPr>
          <w:rFonts w:cs="Arial"/>
          <w:szCs w:val="20"/>
          <w:lang w:val="fr-CH"/>
        </w:rPr>
        <w:t>ccès à la recherche pour le développement et l</w:t>
      </w:r>
      <w:r w:rsidR="005723BD">
        <w:rPr>
          <w:rFonts w:cs="Arial"/>
          <w:szCs w:val="20"/>
          <w:lang w:val="fr-CH"/>
        </w:rPr>
        <w:t>’</w:t>
      </w:r>
      <w:r w:rsidR="005723BD" w:rsidRPr="00030959">
        <w:rPr>
          <w:rFonts w:cs="Arial"/>
          <w:szCs w:val="20"/>
          <w:lang w:val="fr-CH"/>
        </w:rPr>
        <w:t>innovation</w:t>
      </w:r>
      <w:r w:rsidR="005723BD">
        <w:rPr>
          <w:rFonts w:cs="Arial"/>
          <w:szCs w:val="20"/>
          <w:lang w:val="fr-CH"/>
        </w:rPr>
        <w:t xml:space="preserve"> (ARDI)</w:t>
      </w:r>
      <w:r w:rsidR="005723BD" w:rsidRPr="00030959">
        <w:rPr>
          <w:rFonts w:cs="Arial"/>
          <w:szCs w:val="20"/>
          <w:lang w:val="fr-CH"/>
        </w:rPr>
        <w:t xml:space="preserve"> </w:t>
      </w:r>
      <w:r w:rsidR="005723BD">
        <w:rPr>
          <w:rFonts w:cs="Arial"/>
          <w:szCs w:val="20"/>
          <w:lang w:val="fr-CH"/>
        </w:rPr>
        <w:t>dans les pays en développement, les pays les moins avancés et les pays en transition bénéficiaires</w:t>
      </w:r>
      <w:r w:rsidR="005723BD" w:rsidRPr="000A0959">
        <w:rPr>
          <w:rFonts w:cs="Arial"/>
          <w:szCs w:val="20"/>
          <w:lang w:val="fr-CH"/>
        </w:rPr>
        <w:t>;</w:t>
      </w:r>
    </w:p>
    <w:p w14:paraId="4C326DCF" w14:textId="77777777" w:rsidR="005723BD" w:rsidRPr="000A0959" w:rsidRDefault="005723BD" w:rsidP="00986700">
      <w:pPr>
        <w:ind w:left="567" w:hanging="567"/>
        <w:jc w:val="both"/>
        <w:rPr>
          <w:rFonts w:cs="Arial"/>
          <w:szCs w:val="20"/>
          <w:lang w:val="fr-CH"/>
        </w:rPr>
      </w:pPr>
    </w:p>
    <w:p w14:paraId="45AB7CAF" w14:textId="6A864E51" w:rsidR="005723BD" w:rsidRDefault="002F0934" w:rsidP="00616FD3">
      <w:pPr>
        <w:pStyle w:val="ListParagraph"/>
        <w:numPr>
          <w:ilvl w:val="0"/>
          <w:numId w:val="17"/>
        </w:numPr>
        <w:ind w:left="567" w:hanging="567"/>
        <w:jc w:val="both"/>
        <w:rPr>
          <w:rFonts w:cs="Arial"/>
          <w:szCs w:val="20"/>
          <w:lang w:val="fr-CH"/>
        </w:rPr>
      </w:pPr>
      <w:r w:rsidRPr="00030959">
        <w:rPr>
          <w:rFonts w:cs="Arial"/>
          <w:szCs w:val="20"/>
          <w:lang w:val="fr-CH"/>
        </w:rPr>
        <w:t xml:space="preserve">Accroître </w:t>
      </w:r>
      <w:r w:rsidR="005723BD" w:rsidRPr="00030959">
        <w:rPr>
          <w:rFonts w:cs="Arial"/>
          <w:szCs w:val="20"/>
          <w:lang w:val="fr-CH"/>
        </w:rPr>
        <w:t xml:space="preserve">la viabilité à long terme des réseaux de CATI en encourageant le partage des connaissances </w:t>
      </w:r>
      <w:r w:rsidR="005723BD">
        <w:rPr>
          <w:rFonts w:cs="Arial"/>
          <w:szCs w:val="20"/>
          <w:lang w:val="fr-CH"/>
        </w:rPr>
        <w:t>grâce aux</w:t>
      </w:r>
      <w:r w:rsidR="005723BD" w:rsidRPr="00030959">
        <w:rPr>
          <w:rFonts w:cs="Arial"/>
          <w:szCs w:val="20"/>
          <w:lang w:val="fr-CH"/>
        </w:rPr>
        <w:t xml:space="preserve"> réseaux </w:t>
      </w:r>
      <w:r w:rsidR="005723BD">
        <w:rPr>
          <w:rFonts w:cs="Arial"/>
          <w:szCs w:val="20"/>
          <w:lang w:val="fr-CH"/>
        </w:rPr>
        <w:t>administrés efficacement aux niveaux national, ré</w:t>
      </w:r>
      <w:r w:rsidR="005723BD" w:rsidRPr="00030959">
        <w:rPr>
          <w:rFonts w:cs="Arial"/>
          <w:szCs w:val="20"/>
          <w:lang w:val="fr-CH"/>
        </w:rPr>
        <w:t>gional</w:t>
      </w:r>
      <w:r w:rsidR="005723BD">
        <w:rPr>
          <w:rFonts w:cs="Arial"/>
          <w:szCs w:val="20"/>
          <w:lang w:val="fr-CH"/>
        </w:rPr>
        <w:t xml:space="preserve"> ainsi que de manière virtuelle</w:t>
      </w:r>
      <w:r w:rsidR="005723BD" w:rsidRPr="00030959">
        <w:rPr>
          <w:rFonts w:cs="Arial"/>
          <w:szCs w:val="20"/>
          <w:lang w:val="fr-CH"/>
        </w:rPr>
        <w:t xml:space="preserve"> (</w:t>
      </w:r>
      <w:r w:rsidR="005723BD">
        <w:rPr>
          <w:rFonts w:cs="Arial"/>
          <w:szCs w:val="20"/>
          <w:lang w:val="fr-CH"/>
        </w:rPr>
        <w:t xml:space="preserve">plateforme </w:t>
      </w:r>
      <w:r w:rsidR="005723BD" w:rsidRPr="00030959">
        <w:rPr>
          <w:rFonts w:cs="Arial"/>
          <w:szCs w:val="20"/>
          <w:lang w:val="fr-CH"/>
        </w:rPr>
        <w:t xml:space="preserve">eTISC) </w:t>
      </w:r>
      <w:r w:rsidR="005723BD">
        <w:rPr>
          <w:rFonts w:cs="Arial"/>
          <w:szCs w:val="20"/>
          <w:lang w:val="fr-CH"/>
        </w:rPr>
        <w:t>et par la promotion de l’échange et de la diffusion des rapports sur les projets nationaux et des expériences réussies en la matière</w:t>
      </w:r>
      <w:r w:rsidR="005723BD" w:rsidRPr="00030959">
        <w:rPr>
          <w:rFonts w:cs="Arial"/>
          <w:szCs w:val="20"/>
          <w:lang w:val="fr-CH"/>
        </w:rPr>
        <w:t>;</w:t>
      </w:r>
    </w:p>
    <w:p w14:paraId="5EDB2149" w14:textId="77777777" w:rsidR="005723BD" w:rsidRPr="00030959" w:rsidRDefault="005723BD" w:rsidP="00986700">
      <w:pPr>
        <w:ind w:left="567" w:hanging="567"/>
        <w:jc w:val="both"/>
        <w:rPr>
          <w:rFonts w:cs="Arial"/>
          <w:szCs w:val="20"/>
          <w:lang w:val="fr-CH"/>
        </w:rPr>
      </w:pPr>
    </w:p>
    <w:p w14:paraId="1798D3F3" w14:textId="297F5E50" w:rsidR="005723BD" w:rsidRDefault="002F0934" w:rsidP="00616FD3">
      <w:pPr>
        <w:pStyle w:val="ListParagraph"/>
        <w:numPr>
          <w:ilvl w:val="0"/>
          <w:numId w:val="17"/>
        </w:numPr>
        <w:ind w:left="567" w:hanging="567"/>
        <w:jc w:val="both"/>
        <w:rPr>
          <w:rFonts w:cs="Arial"/>
          <w:szCs w:val="20"/>
          <w:lang w:val="fr-CH"/>
        </w:rPr>
      </w:pPr>
      <w:r w:rsidRPr="00511447">
        <w:rPr>
          <w:rFonts w:cs="Arial"/>
          <w:szCs w:val="20"/>
          <w:lang w:val="fr-CH"/>
        </w:rPr>
        <w:t xml:space="preserve">Soutenir </w:t>
      </w:r>
      <w:r w:rsidR="005723BD" w:rsidRPr="00511447">
        <w:rPr>
          <w:rFonts w:cs="Arial"/>
          <w:szCs w:val="20"/>
          <w:lang w:val="fr-CH"/>
        </w:rPr>
        <w:t>la fourniture de services à valeur ajoutée et améliorés tels que, d</w:t>
      </w:r>
      <w:r w:rsidR="005723BD">
        <w:rPr>
          <w:rFonts w:cs="Arial"/>
          <w:szCs w:val="20"/>
          <w:lang w:val="fr-CH"/>
        </w:rPr>
        <w:t>’</w:t>
      </w:r>
      <w:r w:rsidR="005723BD" w:rsidRPr="00511447">
        <w:rPr>
          <w:rFonts w:cs="Arial"/>
          <w:szCs w:val="20"/>
          <w:lang w:val="fr-CH"/>
        </w:rPr>
        <w:t>une part, l</w:t>
      </w:r>
      <w:r w:rsidR="005723BD">
        <w:rPr>
          <w:rFonts w:cs="Arial"/>
          <w:szCs w:val="20"/>
          <w:lang w:val="fr-CH"/>
        </w:rPr>
        <w:t>’</w:t>
      </w:r>
      <w:r w:rsidR="005723BD" w:rsidRPr="00511447">
        <w:rPr>
          <w:rFonts w:cs="Arial"/>
          <w:szCs w:val="20"/>
          <w:lang w:val="fr-CH"/>
        </w:rPr>
        <w:t xml:space="preserve">analyse des brevets, qui </w:t>
      </w:r>
      <w:r w:rsidR="005723BD">
        <w:rPr>
          <w:rFonts w:cs="Arial"/>
          <w:szCs w:val="20"/>
          <w:lang w:val="fr-CH"/>
        </w:rPr>
        <w:t>permet de rédiger</w:t>
      </w:r>
      <w:r w:rsidR="005723BD" w:rsidRPr="00511447">
        <w:rPr>
          <w:rFonts w:cs="Arial"/>
          <w:szCs w:val="20"/>
          <w:lang w:val="fr-CH"/>
        </w:rPr>
        <w:t xml:space="preserve"> des rapports panoramiques sur les brevets</w:t>
      </w:r>
      <w:r w:rsidR="005723BD">
        <w:rPr>
          <w:rFonts w:cs="Arial"/>
          <w:szCs w:val="20"/>
          <w:lang w:val="fr-CH"/>
        </w:rPr>
        <w:t xml:space="preserve"> et des rapports de recherche sur l’état de la technique</w:t>
      </w:r>
      <w:r w:rsidR="005723BD" w:rsidRPr="00511447">
        <w:rPr>
          <w:rFonts w:cs="Arial"/>
          <w:szCs w:val="20"/>
          <w:lang w:val="fr-CH"/>
        </w:rPr>
        <w:t xml:space="preserve">, </w:t>
      </w:r>
      <w:r w:rsidR="005723BD">
        <w:rPr>
          <w:rFonts w:cs="Arial"/>
          <w:szCs w:val="20"/>
          <w:lang w:val="fr-CH"/>
        </w:rPr>
        <w:t xml:space="preserve">et, d’autre part, la mise en place des services </w:t>
      </w:r>
      <w:r w:rsidR="005723BD" w:rsidRPr="00511447">
        <w:rPr>
          <w:rFonts w:cs="Arial"/>
          <w:szCs w:val="20"/>
          <w:lang w:val="fr-CH"/>
        </w:rPr>
        <w:t>“TISC Clinic”</w:t>
      </w:r>
      <w:r w:rsidR="005723BD">
        <w:rPr>
          <w:rFonts w:cs="Arial"/>
          <w:szCs w:val="20"/>
          <w:lang w:val="fr-CH"/>
        </w:rPr>
        <w:t>,</w:t>
      </w:r>
      <w:r w:rsidR="005723BD" w:rsidRPr="00511447">
        <w:rPr>
          <w:rFonts w:cs="Arial"/>
          <w:szCs w:val="20"/>
          <w:lang w:val="fr-CH"/>
        </w:rPr>
        <w:t xml:space="preserve"> </w:t>
      </w:r>
      <w:r w:rsidR="005723BD">
        <w:rPr>
          <w:rFonts w:cs="Arial"/>
          <w:szCs w:val="20"/>
          <w:lang w:val="fr-CH"/>
        </w:rPr>
        <w:t>qui comprennent le programme d’aide aux inventeurs et des services de conseils sur la gestion et</w:t>
      </w:r>
      <w:r w:rsidR="005723BD" w:rsidRPr="00C4171D">
        <w:rPr>
          <w:rFonts w:cs="Arial"/>
          <w:szCs w:val="20"/>
          <w:lang w:val="fr-CH"/>
        </w:rPr>
        <w:t xml:space="preserve"> la commercialisation des actifs de propriété intellectuelle </w:t>
      </w:r>
      <w:r w:rsidR="005723BD">
        <w:rPr>
          <w:rFonts w:cs="Arial"/>
          <w:szCs w:val="20"/>
          <w:lang w:val="fr-CH"/>
        </w:rPr>
        <w:t>et des services relatifs au règlement des litiges</w:t>
      </w:r>
      <w:r w:rsidR="005723BD" w:rsidRPr="00511447">
        <w:rPr>
          <w:rFonts w:cs="Arial"/>
          <w:szCs w:val="20"/>
          <w:lang w:val="fr-CH"/>
        </w:rPr>
        <w:t>;</w:t>
      </w:r>
    </w:p>
    <w:p w14:paraId="5D07D05E" w14:textId="77777777" w:rsidR="005723BD" w:rsidRPr="00511447" w:rsidRDefault="005723BD" w:rsidP="00986700">
      <w:pPr>
        <w:ind w:left="567" w:hanging="567"/>
        <w:jc w:val="both"/>
        <w:rPr>
          <w:rFonts w:cs="Arial"/>
          <w:szCs w:val="20"/>
          <w:lang w:val="fr-CH"/>
        </w:rPr>
      </w:pPr>
    </w:p>
    <w:p w14:paraId="0FD17DBE" w14:textId="6F3702CD" w:rsidR="005723BD" w:rsidRPr="001963F9" w:rsidRDefault="002F0934" w:rsidP="00616FD3">
      <w:pPr>
        <w:pStyle w:val="ListParagraph"/>
        <w:numPr>
          <w:ilvl w:val="0"/>
          <w:numId w:val="17"/>
        </w:numPr>
        <w:ind w:left="567" w:hanging="567"/>
        <w:jc w:val="both"/>
        <w:rPr>
          <w:rFonts w:cs="Arial"/>
          <w:szCs w:val="20"/>
          <w:lang w:val="fr-CH"/>
        </w:rPr>
      </w:pPr>
      <w:r>
        <w:rPr>
          <w:rFonts w:cs="Arial"/>
          <w:szCs w:val="20"/>
          <w:lang w:val="fr-CH"/>
        </w:rPr>
        <w:t>Achever</w:t>
      </w:r>
      <w:r w:rsidRPr="001963F9">
        <w:rPr>
          <w:rFonts w:cs="Arial"/>
          <w:szCs w:val="20"/>
          <w:lang w:val="fr-CH"/>
        </w:rPr>
        <w:t xml:space="preserve"> </w:t>
      </w:r>
      <w:r w:rsidR="005723BD" w:rsidRPr="001963F9">
        <w:rPr>
          <w:rFonts w:cs="Arial"/>
          <w:szCs w:val="20"/>
          <w:lang w:val="fr-CH"/>
        </w:rPr>
        <w:t>la mise en œuvre du</w:t>
      </w:r>
      <w:r w:rsidR="005723BD">
        <w:rPr>
          <w:rFonts w:cs="Arial"/>
          <w:szCs w:val="20"/>
          <w:lang w:val="fr-CH"/>
        </w:rPr>
        <w:t xml:space="preserve"> projet</w:t>
      </w:r>
      <w:r w:rsidR="005723BD" w:rsidRPr="001963F9">
        <w:rPr>
          <w:rFonts w:cs="Arial"/>
          <w:szCs w:val="20"/>
          <w:lang w:val="fr-CH"/>
        </w:rPr>
        <w:t xml:space="preserve"> relevant du Plan d</w:t>
      </w:r>
      <w:r w:rsidR="005723BD">
        <w:rPr>
          <w:rFonts w:cs="Arial"/>
          <w:szCs w:val="20"/>
          <w:lang w:val="fr-CH"/>
        </w:rPr>
        <w:t>’</w:t>
      </w:r>
      <w:r w:rsidR="005723BD" w:rsidRPr="001963F9">
        <w:rPr>
          <w:rFonts w:cs="Arial"/>
          <w:szCs w:val="20"/>
          <w:lang w:val="fr-CH"/>
        </w:rPr>
        <w:t>action pour le développement relatif</w:t>
      </w:r>
      <w:r w:rsidR="005723BD">
        <w:rPr>
          <w:rFonts w:cs="Arial"/>
          <w:szCs w:val="20"/>
          <w:lang w:val="fr-CH"/>
        </w:rPr>
        <w:t xml:space="preserve"> à</w:t>
      </w:r>
      <w:r w:rsidR="005723BD" w:rsidRPr="001963F9">
        <w:rPr>
          <w:rFonts w:cs="Arial"/>
          <w:szCs w:val="20"/>
          <w:lang w:val="fr-CH"/>
        </w:rPr>
        <w:t xml:space="preserve"> </w:t>
      </w:r>
      <w:r w:rsidR="005723BD" w:rsidRPr="00511447">
        <w:rPr>
          <w:rFonts w:cs="Arial"/>
          <w:szCs w:val="20"/>
          <w:lang w:val="fr-CH"/>
        </w:rPr>
        <w:t>“</w:t>
      </w:r>
      <w:r w:rsidR="005723BD" w:rsidRPr="001963F9">
        <w:rPr>
          <w:rFonts w:cs="Arial"/>
          <w:szCs w:val="20"/>
          <w:lang w:val="fr-CH"/>
        </w:rPr>
        <w:t>l</w:t>
      </w:r>
      <w:r w:rsidR="005723BD">
        <w:rPr>
          <w:rFonts w:cs="Arial"/>
          <w:szCs w:val="20"/>
          <w:lang w:val="fr-CH"/>
        </w:rPr>
        <w:t>’</w:t>
      </w:r>
      <w:r w:rsidR="005723BD" w:rsidRPr="001963F9">
        <w:rPr>
          <w:rFonts w:cs="Arial"/>
          <w:szCs w:val="20"/>
          <w:lang w:val="fr-CH"/>
        </w:rPr>
        <w:t>utilisation de l</w:t>
      </w:r>
      <w:r w:rsidR="005723BD">
        <w:rPr>
          <w:rFonts w:cs="Arial"/>
          <w:szCs w:val="20"/>
          <w:lang w:val="fr-CH"/>
        </w:rPr>
        <w:t>’</w:t>
      </w:r>
      <w:r w:rsidR="005723BD" w:rsidRPr="001963F9">
        <w:rPr>
          <w:rFonts w:cs="Arial"/>
          <w:szCs w:val="20"/>
          <w:lang w:val="fr-CH"/>
        </w:rPr>
        <w:t xml:space="preserve">information figurant dans le domaine public aux fins du développement économique”, </w:t>
      </w:r>
      <w:r w:rsidR="005723BD">
        <w:rPr>
          <w:rFonts w:cs="Arial"/>
          <w:szCs w:val="20"/>
          <w:lang w:val="fr-CH"/>
        </w:rPr>
        <w:t>en outre, par l’utilisation de guides pratiques, du portail d’enregistrement des brevets et de supports de formation, ainsi qu’en assurant le transfert des connaissances aux réseaux de CATI et le renforcement des capacités à l’aide des services</w:t>
      </w:r>
      <w:r w:rsidR="005723BD" w:rsidRPr="001963F9">
        <w:rPr>
          <w:rFonts w:cs="Arial"/>
          <w:szCs w:val="20"/>
          <w:lang w:val="fr-CH"/>
        </w:rPr>
        <w:t xml:space="preserve"> </w:t>
      </w:r>
      <w:r w:rsidR="005723BD">
        <w:rPr>
          <w:rFonts w:cs="Arial"/>
          <w:szCs w:val="20"/>
          <w:lang w:val="fr-CH"/>
        </w:rPr>
        <w:t>d’</w:t>
      </w:r>
      <w:r w:rsidR="005723BD" w:rsidRPr="001963F9">
        <w:rPr>
          <w:rFonts w:cs="Arial"/>
          <w:szCs w:val="20"/>
          <w:lang w:val="fr-CH"/>
        </w:rPr>
        <w:t>information</w:t>
      </w:r>
      <w:r w:rsidR="005723BD">
        <w:rPr>
          <w:rFonts w:cs="Arial"/>
          <w:szCs w:val="20"/>
          <w:lang w:val="fr-CH"/>
        </w:rPr>
        <w:t>s relatifs au domaine public</w:t>
      </w:r>
      <w:r w:rsidR="005723BD" w:rsidRPr="001963F9">
        <w:rPr>
          <w:rFonts w:cs="Arial"/>
          <w:szCs w:val="20"/>
          <w:lang w:val="fr-CH"/>
        </w:rPr>
        <w:t>;</w:t>
      </w:r>
    </w:p>
    <w:p w14:paraId="72D1A276" w14:textId="77777777" w:rsidR="005723BD" w:rsidRPr="001963F9" w:rsidRDefault="005723BD" w:rsidP="00986700">
      <w:pPr>
        <w:ind w:left="567" w:hanging="567"/>
        <w:jc w:val="both"/>
        <w:rPr>
          <w:rFonts w:cs="Arial"/>
          <w:szCs w:val="20"/>
          <w:lang w:val="fr-CH"/>
        </w:rPr>
      </w:pPr>
    </w:p>
    <w:p w14:paraId="6F526ACC" w14:textId="60CFED60" w:rsidR="005723BD" w:rsidRPr="00F21FDF" w:rsidRDefault="002F0934" w:rsidP="00616FD3">
      <w:pPr>
        <w:pStyle w:val="ListParagraph"/>
        <w:numPr>
          <w:ilvl w:val="0"/>
          <w:numId w:val="17"/>
        </w:numPr>
        <w:ind w:left="567" w:hanging="567"/>
        <w:jc w:val="both"/>
        <w:rPr>
          <w:rFonts w:cs="Arial"/>
          <w:szCs w:val="20"/>
          <w:lang w:val="fr-CH"/>
        </w:rPr>
      </w:pPr>
      <w:r w:rsidRPr="00F21FDF">
        <w:rPr>
          <w:rFonts w:cs="Arial"/>
          <w:szCs w:val="20"/>
          <w:lang w:val="fr-CH"/>
        </w:rPr>
        <w:t xml:space="preserve">Mettre </w:t>
      </w:r>
      <w:r w:rsidR="005723BD" w:rsidRPr="00F21FDF">
        <w:rPr>
          <w:rFonts w:cs="Arial"/>
          <w:szCs w:val="20"/>
          <w:lang w:val="fr-CH"/>
        </w:rPr>
        <w:t>en œuvre le projet relevant du Plan d</w:t>
      </w:r>
      <w:r w:rsidR="005723BD">
        <w:rPr>
          <w:rFonts w:cs="Arial"/>
          <w:szCs w:val="20"/>
          <w:lang w:val="fr-CH"/>
        </w:rPr>
        <w:t>’</w:t>
      </w:r>
      <w:r w:rsidR="005723BD" w:rsidRPr="00F21FDF">
        <w:rPr>
          <w:rFonts w:cs="Arial"/>
          <w:szCs w:val="20"/>
          <w:lang w:val="fr-CH"/>
        </w:rPr>
        <w:t xml:space="preserve">action pour le développement </w:t>
      </w:r>
      <w:r w:rsidR="005723BD">
        <w:rPr>
          <w:rFonts w:cs="Arial"/>
          <w:szCs w:val="20"/>
          <w:lang w:val="fr-CH"/>
        </w:rPr>
        <w:t xml:space="preserve">intitulé : </w:t>
      </w:r>
      <w:r w:rsidR="005723BD" w:rsidRPr="00F21FDF">
        <w:rPr>
          <w:rFonts w:cs="Arial"/>
          <w:szCs w:val="20"/>
          <w:lang w:val="fr-CH"/>
        </w:rPr>
        <w:t>“</w:t>
      </w:r>
      <w:r w:rsidR="005723BD">
        <w:rPr>
          <w:rFonts w:cs="Arial"/>
          <w:szCs w:val="20"/>
          <w:lang w:val="fr-CH"/>
        </w:rPr>
        <w:t>g</w:t>
      </w:r>
      <w:r w:rsidR="005723BD" w:rsidRPr="00F21FDF">
        <w:rPr>
          <w:rFonts w:cs="Arial"/>
          <w:szCs w:val="20"/>
          <w:lang w:val="fr-CH"/>
        </w:rPr>
        <w:t>estion de la propriété intellectuelle et transfert de technologie</w:t>
      </w:r>
      <w:r w:rsidR="005723BD">
        <w:rPr>
          <w:rFonts w:cs="Arial"/>
          <w:szCs w:val="20"/>
          <w:lang w:val="fr-CH"/>
        </w:rPr>
        <w:t> :</w:t>
      </w:r>
      <w:r w:rsidR="005723BD" w:rsidRPr="00F21FDF">
        <w:rPr>
          <w:rFonts w:cs="Arial"/>
          <w:szCs w:val="20"/>
          <w:lang w:val="fr-CH"/>
        </w:rPr>
        <w:t xml:space="preserve"> promouvoir l</w:t>
      </w:r>
      <w:r w:rsidR="005723BD">
        <w:rPr>
          <w:rFonts w:cs="Arial"/>
          <w:szCs w:val="20"/>
          <w:lang w:val="fr-CH"/>
        </w:rPr>
        <w:t>’</w:t>
      </w:r>
      <w:r w:rsidR="005723BD" w:rsidRPr="00F21FDF">
        <w:rPr>
          <w:rFonts w:cs="Arial"/>
          <w:szCs w:val="20"/>
          <w:lang w:val="fr-CH"/>
        </w:rPr>
        <w:t>utilisation efficace de la propriété intellectuelle dans les pays en développement”</w:t>
      </w:r>
      <w:r w:rsidR="005723BD" w:rsidRPr="00B20F1B">
        <w:rPr>
          <w:rStyle w:val="FootnoteReference"/>
          <w:rFonts w:eastAsia="Times New Roman" w:cs="Arial"/>
          <w:bCs/>
          <w:szCs w:val="20"/>
          <w:lang w:eastAsia="en-US"/>
        </w:rPr>
        <w:footnoteReference w:id="34"/>
      </w:r>
      <w:r w:rsidR="005723BD" w:rsidRPr="00F21FDF">
        <w:rPr>
          <w:rFonts w:cs="Arial"/>
          <w:szCs w:val="20"/>
          <w:lang w:val="fr-CH"/>
        </w:rPr>
        <w:t>.</w:t>
      </w:r>
    </w:p>
    <w:p w14:paraId="47D7FD89" w14:textId="77777777" w:rsidR="005723BD" w:rsidRPr="00F21FDF" w:rsidRDefault="005723BD" w:rsidP="00986700">
      <w:pPr>
        <w:jc w:val="both"/>
        <w:rPr>
          <w:rFonts w:cs="Arial"/>
          <w:szCs w:val="20"/>
          <w:lang w:val="fr-CH"/>
        </w:rPr>
      </w:pPr>
    </w:p>
    <w:p w14:paraId="44263A20" w14:textId="77777777" w:rsidR="005723BD" w:rsidRPr="00F21FDF" w:rsidRDefault="005723BD"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5723BD" w:rsidRPr="00F0151A" w14:paraId="0E35A40B" w14:textId="77777777" w:rsidTr="005723BD">
        <w:trPr>
          <w:cantSplit/>
        </w:trPr>
        <w:tc>
          <w:tcPr>
            <w:tcW w:w="9571" w:type="dxa"/>
            <w:shd w:val="clear" w:color="auto" w:fill="C6D9F1" w:themeFill="text2" w:themeFillTint="33"/>
            <w:vAlign w:val="center"/>
          </w:tcPr>
          <w:p w14:paraId="0EDB4D6A" w14:textId="165B8FA1" w:rsidR="005723BD" w:rsidRPr="00857B3B" w:rsidRDefault="005723BD" w:rsidP="000B1950">
            <w:pPr>
              <w:keepNext/>
              <w:keepLines/>
              <w:jc w:val="center"/>
              <w:rPr>
                <w:rFonts w:eastAsia="Times New Roman" w:cs="Arial"/>
                <w:b/>
                <w:bCs/>
                <w:szCs w:val="20"/>
                <w:lang w:val="fr-CH" w:eastAsia="en-US"/>
              </w:rPr>
            </w:pPr>
            <w:r w:rsidRPr="00857B3B">
              <w:rPr>
                <w:rFonts w:cs="Arial"/>
                <w:b/>
                <w:szCs w:val="20"/>
                <w:lang w:val="fr-CH"/>
              </w:rPr>
              <w:lastRenderedPageBreak/>
              <w:t xml:space="preserve">Collaboration interprogrammes </w:t>
            </w:r>
          </w:p>
        </w:tc>
      </w:tr>
    </w:tbl>
    <w:p w14:paraId="3AE2E6E1" w14:textId="77777777" w:rsidR="005723BD" w:rsidRPr="00857B3B" w:rsidRDefault="005723BD" w:rsidP="00590DB9">
      <w:pPr>
        <w:keepNext/>
        <w:jc w:val="both"/>
        <w:rPr>
          <w:rFonts w:cs="Arial"/>
          <w:szCs w:val="20"/>
          <w:lang w:val="fr-CH"/>
        </w:rPr>
      </w:pPr>
    </w:p>
    <w:p w14:paraId="2DC01803" w14:textId="0264D94D" w:rsidR="005723BD" w:rsidRPr="00857B3B" w:rsidRDefault="00590DB9" w:rsidP="00590DB9">
      <w:pPr>
        <w:jc w:val="center"/>
        <w:rPr>
          <w:rFonts w:cs="Arial"/>
          <w:szCs w:val="20"/>
          <w:lang w:val="fr-CH"/>
        </w:rPr>
      </w:pPr>
      <w:r w:rsidRPr="00590DB9">
        <w:rPr>
          <w:noProof/>
          <w:lang w:val="en-US" w:eastAsia="en-US"/>
        </w:rPr>
        <w:drawing>
          <wp:inline distT="0" distB="0" distL="0" distR="0" wp14:anchorId="6D4A77AE" wp14:editId="4A047B86">
            <wp:extent cx="3516059" cy="3600000"/>
            <wp:effectExtent l="0" t="0" r="8255"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16059" cy="3600000"/>
                    </a:xfrm>
                    <a:prstGeom prst="rect">
                      <a:avLst/>
                    </a:prstGeom>
                    <a:noFill/>
                    <a:ln>
                      <a:noFill/>
                    </a:ln>
                  </pic:spPr>
                </pic:pic>
              </a:graphicData>
            </a:graphic>
          </wp:inline>
        </w:drawing>
      </w:r>
    </w:p>
    <w:p w14:paraId="0AA1D520" w14:textId="77777777" w:rsidR="005723BD" w:rsidRPr="00857B3B" w:rsidRDefault="005723BD"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4642"/>
        <w:gridCol w:w="4645"/>
      </w:tblGrid>
      <w:tr w:rsidR="005723BD" w:rsidRPr="00634B11" w14:paraId="49A97B78" w14:textId="77777777" w:rsidTr="005723BD">
        <w:trPr>
          <w:cantSplit/>
        </w:trPr>
        <w:tc>
          <w:tcPr>
            <w:tcW w:w="4785" w:type="dxa"/>
            <w:shd w:val="clear" w:color="auto" w:fill="C6D9F1" w:themeFill="text2" w:themeFillTint="33"/>
            <w:tcMar>
              <w:top w:w="57" w:type="dxa"/>
            </w:tcMar>
            <w:vAlign w:val="center"/>
          </w:tcPr>
          <w:p w14:paraId="7D79D502" w14:textId="77777777" w:rsidR="005723BD" w:rsidRPr="00297FE1" w:rsidRDefault="005723BD" w:rsidP="00986700">
            <w:pPr>
              <w:keepNext/>
              <w:keepLines/>
              <w:jc w:val="center"/>
              <w:rPr>
                <w:rFonts w:eastAsia="Times New Roman" w:cs="Arial"/>
                <w:b/>
                <w:bCs/>
                <w:sz w:val="18"/>
                <w:szCs w:val="18"/>
                <w:lang w:eastAsia="en-US"/>
              </w:rPr>
            </w:pPr>
            <w:r>
              <w:rPr>
                <w:rFonts w:eastAsia="Times New Roman" w:cs="Arial"/>
                <w:b/>
                <w:bCs/>
                <w:sz w:val="18"/>
                <w:szCs w:val="18"/>
                <w:lang w:eastAsia="en-US"/>
              </w:rPr>
              <w:t>Risques</w:t>
            </w:r>
          </w:p>
        </w:tc>
        <w:tc>
          <w:tcPr>
            <w:tcW w:w="4786" w:type="dxa"/>
            <w:shd w:val="clear" w:color="auto" w:fill="C6D9F1" w:themeFill="text2" w:themeFillTint="33"/>
            <w:tcMar>
              <w:top w:w="57" w:type="dxa"/>
            </w:tcMar>
            <w:vAlign w:val="center"/>
          </w:tcPr>
          <w:p w14:paraId="45EDAA42" w14:textId="77777777" w:rsidR="005723BD" w:rsidRPr="00297FE1" w:rsidRDefault="005723BD" w:rsidP="00986700">
            <w:pPr>
              <w:keepNext/>
              <w:keepLines/>
              <w:jc w:val="center"/>
              <w:rPr>
                <w:rFonts w:eastAsia="Times New Roman" w:cs="Arial"/>
                <w:b/>
                <w:bCs/>
                <w:sz w:val="18"/>
                <w:szCs w:val="18"/>
                <w:lang w:eastAsia="en-US"/>
              </w:rPr>
            </w:pPr>
            <w:r>
              <w:rPr>
                <w:rFonts w:eastAsia="Times New Roman" w:cs="Arial"/>
                <w:b/>
                <w:bCs/>
                <w:sz w:val="18"/>
                <w:szCs w:val="18"/>
                <w:lang w:eastAsia="en-US"/>
              </w:rPr>
              <w:t>Mesures d’atténuation</w:t>
            </w:r>
          </w:p>
        </w:tc>
      </w:tr>
      <w:tr w:rsidR="005723BD" w:rsidRPr="00F0151A" w14:paraId="1850D6ED" w14:textId="77777777" w:rsidTr="005723BD">
        <w:trPr>
          <w:cantSplit/>
        </w:trPr>
        <w:tc>
          <w:tcPr>
            <w:tcW w:w="4785" w:type="dxa"/>
            <w:shd w:val="clear" w:color="auto" w:fill="auto"/>
            <w:tcMar>
              <w:top w:w="57" w:type="dxa"/>
              <w:bottom w:w="57" w:type="dxa"/>
            </w:tcMar>
          </w:tcPr>
          <w:p w14:paraId="05F28E1A" w14:textId="77777777" w:rsidR="005723BD" w:rsidRPr="00977E78" w:rsidRDefault="005723BD" w:rsidP="00986700">
            <w:pPr>
              <w:keepNext/>
              <w:keepLines/>
              <w:rPr>
                <w:rFonts w:eastAsia="Times New Roman" w:cs="Arial"/>
                <w:sz w:val="16"/>
                <w:szCs w:val="16"/>
                <w:lang w:val="fr-CH" w:eastAsia="en-US"/>
              </w:rPr>
            </w:pPr>
            <w:r w:rsidRPr="00977E78">
              <w:rPr>
                <w:rFonts w:eastAsia="Times New Roman" w:cs="Arial"/>
                <w:color w:val="000000"/>
                <w:sz w:val="16"/>
                <w:szCs w:val="20"/>
                <w:lang w:val="fr-CH"/>
              </w:rPr>
              <w:t>Incapacité pour le pays hôte à assurer et à préserver le fonctionnement autonome des réseaux de</w:t>
            </w:r>
            <w:r>
              <w:rPr>
                <w:rFonts w:eastAsia="Times New Roman" w:cs="Arial"/>
                <w:color w:val="000000"/>
                <w:sz w:val="16"/>
                <w:szCs w:val="20"/>
                <w:lang w:val="fr-CH"/>
              </w:rPr>
              <w:t xml:space="preserve"> CATI,</w:t>
            </w:r>
            <w:r w:rsidRPr="00977E78">
              <w:rPr>
                <w:rFonts w:eastAsia="Times New Roman" w:cs="Arial"/>
                <w:color w:val="000000"/>
                <w:sz w:val="16"/>
                <w:szCs w:val="20"/>
                <w:lang w:val="fr-CH"/>
              </w:rPr>
              <w:t xml:space="preserve"> ce qui pourrait entraîner la fermeture de certains de ces centres.</w:t>
            </w:r>
          </w:p>
        </w:tc>
        <w:tc>
          <w:tcPr>
            <w:tcW w:w="4786" w:type="dxa"/>
            <w:shd w:val="clear" w:color="auto" w:fill="auto"/>
            <w:tcMar>
              <w:top w:w="57" w:type="dxa"/>
              <w:bottom w:w="57" w:type="dxa"/>
            </w:tcMar>
          </w:tcPr>
          <w:p w14:paraId="45423750" w14:textId="77777777" w:rsidR="005723BD" w:rsidRPr="00977E78" w:rsidRDefault="005723BD" w:rsidP="00986700">
            <w:pPr>
              <w:keepNext/>
              <w:keepLines/>
              <w:rPr>
                <w:rFonts w:eastAsia="Times New Roman" w:cs="Arial"/>
                <w:sz w:val="16"/>
                <w:szCs w:val="16"/>
                <w:lang w:val="fr-CH" w:eastAsia="en-US"/>
              </w:rPr>
            </w:pPr>
            <w:r w:rsidRPr="00977E78">
              <w:rPr>
                <w:rFonts w:eastAsia="Times New Roman" w:cs="Arial"/>
                <w:color w:val="000000"/>
                <w:sz w:val="16"/>
                <w:szCs w:val="20"/>
                <w:lang w:val="fr-CH"/>
              </w:rPr>
              <w:t>Soutien de l</w:t>
            </w:r>
            <w:r>
              <w:rPr>
                <w:rFonts w:eastAsia="Times New Roman" w:cs="Arial"/>
                <w:color w:val="000000"/>
                <w:sz w:val="16"/>
                <w:szCs w:val="20"/>
                <w:lang w:val="fr-CH"/>
              </w:rPr>
              <w:t>’</w:t>
            </w:r>
            <w:r w:rsidRPr="00977E78">
              <w:rPr>
                <w:rFonts w:eastAsia="Times New Roman" w:cs="Arial"/>
                <w:color w:val="000000"/>
                <w:sz w:val="16"/>
                <w:szCs w:val="20"/>
                <w:lang w:val="fr-CH"/>
              </w:rPr>
              <w:t xml:space="preserve">OMPI en matière de planification, de </w:t>
            </w:r>
            <w:r>
              <w:rPr>
                <w:rFonts w:eastAsia="Times New Roman" w:cs="Arial"/>
                <w:color w:val="000000"/>
                <w:sz w:val="16"/>
                <w:szCs w:val="20"/>
                <w:lang w:val="fr-CH"/>
              </w:rPr>
              <w:t>suivi et d’évaluation officiels du projet national</w:t>
            </w:r>
            <w:r w:rsidRPr="00977E78">
              <w:rPr>
                <w:rFonts w:eastAsia="Times New Roman" w:cs="Arial"/>
                <w:color w:val="000000"/>
                <w:sz w:val="16"/>
                <w:szCs w:val="20"/>
                <w:lang w:val="fr-CH"/>
              </w:rPr>
              <w:t xml:space="preserve"> </w:t>
            </w:r>
            <w:r>
              <w:rPr>
                <w:rFonts w:eastAsia="Times New Roman" w:cs="Arial"/>
                <w:color w:val="000000"/>
                <w:sz w:val="16"/>
                <w:szCs w:val="20"/>
                <w:lang w:val="fr-CH"/>
              </w:rPr>
              <w:t>conformément au document de projet</w:t>
            </w:r>
            <w:r w:rsidRPr="00977E78">
              <w:rPr>
                <w:rFonts w:eastAsia="Times New Roman" w:cs="Arial"/>
                <w:color w:val="000000"/>
                <w:sz w:val="16"/>
                <w:szCs w:val="20"/>
                <w:lang w:val="fr-CH"/>
              </w:rPr>
              <w:t xml:space="preserve"> </w:t>
            </w:r>
            <w:r>
              <w:rPr>
                <w:rFonts w:eastAsia="Times New Roman" w:cs="Arial"/>
                <w:color w:val="000000"/>
                <w:sz w:val="16"/>
                <w:szCs w:val="20"/>
                <w:lang w:val="fr-CH"/>
              </w:rPr>
              <w:t>national du centre</w:t>
            </w:r>
            <w:r w:rsidRPr="00977E78">
              <w:rPr>
                <w:rFonts w:eastAsia="Times New Roman" w:cs="Arial"/>
                <w:color w:val="000000"/>
                <w:sz w:val="16"/>
                <w:szCs w:val="20"/>
                <w:lang w:val="fr-CH"/>
              </w:rPr>
              <w:t>.</w:t>
            </w:r>
          </w:p>
        </w:tc>
      </w:tr>
    </w:tbl>
    <w:p w14:paraId="7051F3EC" w14:textId="77777777" w:rsidR="005723BD" w:rsidRPr="00977E78" w:rsidRDefault="005723BD" w:rsidP="00986700">
      <w:pPr>
        <w:jc w:val="both"/>
        <w:rPr>
          <w:rFonts w:cs="Arial"/>
          <w:szCs w:val="20"/>
          <w:lang w:val="fr-CH"/>
        </w:rPr>
      </w:pPr>
    </w:p>
    <w:p w14:paraId="13079CEC" w14:textId="77777777" w:rsidR="005723BD" w:rsidRPr="00977E78" w:rsidRDefault="005723BD" w:rsidP="00986700">
      <w:pPr>
        <w:autoSpaceDE w:val="0"/>
        <w:autoSpaceDN w:val="0"/>
        <w:rPr>
          <w:rFonts w:cs="Arial"/>
          <w:lang w:val="fr-CH"/>
        </w:rPr>
      </w:pPr>
    </w:p>
    <w:tbl>
      <w:tblPr>
        <w:tblW w:w="5000" w:type="pct"/>
        <w:tblCellMar>
          <w:top w:w="57" w:type="dxa"/>
          <w:bottom w:w="57" w:type="dxa"/>
        </w:tblCellMar>
        <w:tblLook w:val="04A0" w:firstRow="1" w:lastRow="0" w:firstColumn="1" w:lastColumn="0" w:noHBand="0" w:noVBand="1"/>
      </w:tblPr>
      <w:tblGrid>
        <w:gridCol w:w="2317"/>
        <w:gridCol w:w="2321"/>
        <w:gridCol w:w="2312"/>
        <w:gridCol w:w="2337"/>
      </w:tblGrid>
      <w:tr w:rsidR="005723BD" w:rsidRPr="00B20F1B" w14:paraId="60F1F034" w14:textId="77777777" w:rsidTr="00590DB9">
        <w:trPr>
          <w:cantSplit/>
          <w:tblHeader/>
        </w:trPr>
        <w:tc>
          <w:tcPr>
            <w:tcW w:w="2392" w:type="dxa"/>
            <w:shd w:val="clear" w:color="000000" w:fill="C5D9F1"/>
            <w:tcMar>
              <w:top w:w="57" w:type="dxa"/>
            </w:tcMar>
            <w:vAlign w:val="center"/>
            <w:hideMark/>
          </w:tcPr>
          <w:p w14:paraId="261BCAB3" w14:textId="77777777" w:rsidR="005723BD" w:rsidRPr="00B20F1B" w:rsidRDefault="005723BD" w:rsidP="00986700">
            <w:pPr>
              <w:keepNext/>
              <w:keepLines/>
              <w:jc w:val="center"/>
              <w:rPr>
                <w:rFonts w:eastAsia="Times New Roman" w:cs="Arial"/>
                <w:b/>
                <w:bCs/>
                <w:color w:val="000000"/>
                <w:sz w:val="18"/>
                <w:szCs w:val="18"/>
                <w:lang w:eastAsia="en-US"/>
              </w:rPr>
            </w:pPr>
            <w:r w:rsidRPr="00B20F1B">
              <w:rPr>
                <w:rFonts w:eastAsia="Times New Roman" w:cs="Arial"/>
                <w:b/>
                <w:bCs/>
                <w:color w:val="000000"/>
                <w:sz w:val="18"/>
                <w:szCs w:val="18"/>
                <w:lang w:eastAsia="en-US"/>
              </w:rPr>
              <w:t>R</w:t>
            </w:r>
            <w:r>
              <w:rPr>
                <w:rFonts w:eastAsia="Times New Roman" w:cs="Arial"/>
                <w:b/>
                <w:bCs/>
                <w:color w:val="000000"/>
                <w:sz w:val="18"/>
                <w:szCs w:val="18"/>
                <w:lang w:eastAsia="en-US"/>
              </w:rPr>
              <w:t>é</w:t>
            </w:r>
            <w:r w:rsidRPr="00B20F1B">
              <w:rPr>
                <w:rFonts w:eastAsia="Times New Roman" w:cs="Arial"/>
                <w:b/>
                <w:bCs/>
                <w:color w:val="000000"/>
                <w:sz w:val="18"/>
                <w:szCs w:val="18"/>
                <w:lang w:eastAsia="en-US"/>
              </w:rPr>
              <w:t>sult</w:t>
            </w:r>
            <w:r>
              <w:rPr>
                <w:rFonts w:eastAsia="Times New Roman" w:cs="Arial"/>
                <w:b/>
                <w:bCs/>
                <w:color w:val="000000"/>
                <w:sz w:val="18"/>
                <w:szCs w:val="18"/>
                <w:lang w:eastAsia="en-US"/>
              </w:rPr>
              <w:t>at escompté</w:t>
            </w:r>
            <w:r w:rsidRPr="00B20F1B">
              <w:rPr>
                <w:rFonts w:eastAsia="Times New Roman" w:cs="Arial"/>
                <w:b/>
                <w:bCs/>
                <w:color w:val="000000"/>
                <w:sz w:val="18"/>
                <w:szCs w:val="18"/>
                <w:lang w:eastAsia="en-US"/>
              </w:rPr>
              <w:t xml:space="preserve"> </w:t>
            </w:r>
          </w:p>
        </w:tc>
        <w:tc>
          <w:tcPr>
            <w:tcW w:w="2393" w:type="dxa"/>
            <w:shd w:val="clear" w:color="000000" w:fill="C5D9F1"/>
            <w:tcMar>
              <w:top w:w="57" w:type="dxa"/>
            </w:tcMar>
            <w:vAlign w:val="center"/>
            <w:hideMark/>
          </w:tcPr>
          <w:p w14:paraId="133BFB03" w14:textId="77777777" w:rsidR="005723BD" w:rsidRPr="00B20F1B" w:rsidRDefault="005723BD"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I</w:t>
            </w:r>
            <w:r w:rsidRPr="00B20F1B">
              <w:rPr>
                <w:rFonts w:eastAsia="Times New Roman" w:cs="Arial"/>
                <w:b/>
                <w:bCs/>
                <w:color w:val="000000"/>
                <w:sz w:val="18"/>
                <w:szCs w:val="18"/>
                <w:lang w:eastAsia="en-US"/>
              </w:rPr>
              <w:t>ndicat</w:t>
            </w:r>
            <w:r>
              <w:rPr>
                <w:rFonts w:eastAsia="Times New Roman" w:cs="Arial"/>
                <w:b/>
                <w:bCs/>
                <w:color w:val="000000"/>
                <w:sz w:val="18"/>
                <w:szCs w:val="18"/>
                <w:lang w:eastAsia="en-US"/>
              </w:rPr>
              <w:t>eu</w:t>
            </w:r>
            <w:r w:rsidRPr="00B20F1B">
              <w:rPr>
                <w:rFonts w:eastAsia="Times New Roman" w:cs="Arial"/>
                <w:b/>
                <w:bCs/>
                <w:color w:val="000000"/>
                <w:sz w:val="18"/>
                <w:szCs w:val="18"/>
                <w:lang w:eastAsia="en-US"/>
              </w:rPr>
              <w:t>rs</w:t>
            </w:r>
            <w:r>
              <w:rPr>
                <w:rFonts w:eastAsia="Times New Roman" w:cs="Arial"/>
                <w:b/>
                <w:bCs/>
                <w:color w:val="000000"/>
                <w:sz w:val="18"/>
                <w:szCs w:val="18"/>
                <w:lang w:eastAsia="en-US"/>
              </w:rPr>
              <w:t xml:space="preserve"> d’exécution</w:t>
            </w:r>
          </w:p>
        </w:tc>
        <w:tc>
          <w:tcPr>
            <w:tcW w:w="2393" w:type="dxa"/>
            <w:shd w:val="clear" w:color="000000" w:fill="C5D9F1"/>
            <w:tcMar>
              <w:top w:w="57" w:type="dxa"/>
            </w:tcMar>
            <w:vAlign w:val="center"/>
            <w:hideMark/>
          </w:tcPr>
          <w:p w14:paraId="7F196E97" w14:textId="77777777" w:rsidR="005723BD" w:rsidRPr="00B20F1B" w:rsidRDefault="005723BD"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Niveaux de référence</w:t>
            </w:r>
          </w:p>
        </w:tc>
        <w:tc>
          <w:tcPr>
            <w:tcW w:w="2393" w:type="dxa"/>
            <w:shd w:val="clear" w:color="000000" w:fill="C5D9F1"/>
            <w:tcMar>
              <w:top w:w="57" w:type="dxa"/>
            </w:tcMar>
            <w:vAlign w:val="center"/>
            <w:hideMark/>
          </w:tcPr>
          <w:p w14:paraId="0DB48228" w14:textId="77777777" w:rsidR="005723BD" w:rsidRPr="00B20F1B" w:rsidRDefault="005723BD" w:rsidP="00986700">
            <w:pPr>
              <w:keepNext/>
              <w:keepLines/>
              <w:jc w:val="center"/>
              <w:rPr>
                <w:rFonts w:eastAsia="Times New Roman" w:cs="Arial"/>
                <w:b/>
                <w:bCs/>
                <w:color w:val="000000"/>
                <w:sz w:val="18"/>
                <w:szCs w:val="18"/>
                <w:lang w:eastAsia="en-US"/>
              </w:rPr>
            </w:pPr>
            <w:r>
              <w:rPr>
                <w:rFonts w:eastAsia="Times New Roman" w:cs="Arial"/>
                <w:b/>
                <w:bCs/>
                <w:color w:val="000000"/>
                <w:sz w:val="18"/>
                <w:szCs w:val="18"/>
                <w:lang w:eastAsia="en-US"/>
              </w:rPr>
              <w:t>Objectifs visé</w:t>
            </w:r>
            <w:r w:rsidRPr="00B20F1B">
              <w:rPr>
                <w:rFonts w:eastAsia="Times New Roman" w:cs="Arial"/>
                <w:b/>
                <w:bCs/>
                <w:color w:val="000000"/>
                <w:sz w:val="18"/>
                <w:szCs w:val="18"/>
                <w:lang w:eastAsia="en-US"/>
              </w:rPr>
              <w:t>s</w:t>
            </w:r>
          </w:p>
        </w:tc>
      </w:tr>
      <w:tr w:rsidR="005723BD" w:rsidRPr="00F0151A" w14:paraId="085F8D9F" w14:textId="77777777" w:rsidTr="00590DB9">
        <w:tc>
          <w:tcPr>
            <w:tcW w:w="2392" w:type="dxa"/>
            <w:shd w:val="clear" w:color="000000" w:fill="FFFFFF"/>
            <w:tcMar>
              <w:top w:w="57" w:type="dxa"/>
            </w:tcMar>
            <w:hideMark/>
          </w:tcPr>
          <w:p w14:paraId="3C98D328" w14:textId="77777777" w:rsidR="005723BD" w:rsidRPr="006C2FB8" w:rsidRDefault="005723BD" w:rsidP="00590DB9">
            <w:pPr>
              <w:rPr>
                <w:rFonts w:eastAsia="Times New Roman" w:cs="Arial"/>
                <w:color w:val="000000"/>
                <w:sz w:val="16"/>
                <w:szCs w:val="16"/>
                <w:lang w:val="fr-CH" w:eastAsia="en-US"/>
              </w:rPr>
            </w:pPr>
            <w:r w:rsidRPr="006C2FB8">
              <w:rPr>
                <w:rFonts w:eastAsia="Times New Roman" w:cs="Arial"/>
                <w:color w:val="000000"/>
                <w:sz w:val="16"/>
                <w:szCs w:val="16"/>
                <w:lang w:val="fr-CH" w:eastAsia="en-US"/>
              </w:rPr>
              <w:t>IV.2 Amélioration de l</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accessibilité et de l</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utilisation de l</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information en matière de propriété intellectuelle par les institutions compétentes et le public afin de promouvoir l</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innovation et la créativité</w:t>
            </w:r>
          </w:p>
        </w:tc>
        <w:tc>
          <w:tcPr>
            <w:tcW w:w="2393" w:type="dxa"/>
            <w:shd w:val="clear" w:color="000000" w:fill="FFFFFF"/>
            <w:tcMar>
              <w:top w:w="57" w:type="dxa"/>
            </w:tcMar>
            <w:hideMark/>
          </w:tcPr>
          <w:p w14:paraId="4DE97E52" w14:textId="77777777" w:rsidR="005723BD" w:rsidRPr="006C2FB8" w:rsidRDefault="005723BD" w:rsidP="00590DB9">
            <w:pPr>
              <w:rPr>
                <w:rFonts w:eastAsia="Times New Roman" w:cs="Arial"/>
                <w:color w:val="000000"/>
                <w:sz w:val="16"/>
                <w:szCs w:val="16"/>
                <w:lang w:val="fr-CH" w:eastAsia="en-US"/>
              </w:rPr>
            </w:pPr>
            <w:r w:rsidRPr="006C2FB8">
              <w:rPr>
                <w:rFonts w:eastAsia="Times New Roman" w:cs="Arial"/>
                <w:color w:val="000000"/>
                <w:sz w:val="16"/>
                <w:szCs w:val="16"/>
                <w:lang w:val="fr-CH" w:eastAsia="en-US"/>
              </w:rPr>
              <w:t>Nombre de réseaux nationaux</w:t>
            </w:r>
            <w:r>
              <w:rPr>
                <w:rFonts w:eastAsia="Times New Roman" w:cs="Arial"/>
                <w:color w:val="000000"/>
                <w:sz w:val="16"/>
                <w:szCs w:val="16"/>
                <w:lang w:val="fr-CH" w:eastAsia="en-US"/>
              </w:rPr>
              <w:t xml:space="preserve"> de CATI</w:t>
            </w:r>
            <w:r w:rsidRPr="006C2FB8">
              <w:rPr>
                <w:rFonts w:eastAsia="Times New Roman" w:cs="Arial"/>
                <w:color w:val="000000"/>
                <w:sz w:val="16"/>
                <w:szCs w:val="16"/>
                <w:lang w:val="fr-CH" w:eastAsia="en-US"/>
              </w:rPr>
              <w:t xml:space="preserve"> </w:t>
            </w:r>
            <w:r>
              <w:rPr>
                <w:rFonts w:eastAsia="Times New Roman" w:cs="Arial"/>
                <w:color w:val="000000"/>
                <w:sz w:val="16"/>
                <w:szCs w:val="16"/>
                <w:lang w:val="fr-CH" w:eastAsia="en-US"/>
              </w:rPr>
              <w:t>pérennes</w:t>
            </w:r>
            <w:r w:rsidRPr="00B20F1B">
              <w:rPr>
                <w:rFonts w:cs="Arial"/>
                <w:sz w:val="16"/>
                <w:szCs w:val="16"/>
                <w:vertAlign w:val="superscript"/>
              </w:rPr>
              <w:footnoteReference w:id="35"/>
            </w:r>
          </w:p>
        </w:tc>
        <w:tc>
          <w:tcPr>
            <w:tcW w:w="2393" w:type="dxa"/>
            <w:shd w:val="clear" w:color="000000" w:fill="FFFFFF"/>
            <w:tcMar>
              <w:top w:w="57" w:type="dxa"/>
            </w:tcMar>
            <w:hideMark/>
          </w:tcPr>
          <w:p w14:paraId="3E46D993" w14:textId="77777777" w:rsidR="005723BD" w:rsidRDefault="005723BD" w:rsidP="00590DB9">
            <w:pPr>
              <w:rPr>
                <w:rFonts w:eastAsia="Times New Roman" w:cs="Arial"/>
                <w:color w:val="000000"/>
                <w:sz w:val="16"/>
                <w:szCs w:val="16"/>
                <w:lang w:val="fr-CH" w:eastAsia="en-US"/>
              </w:rPr>
            </w:pPr>
            <w:r w:rsidRPr="002E47D0">
              <w:rPr>
                <w:rFonts w:eastAsia="Times New Roman" w:cs="Arial"/>
                <w:color w:val="000000"/>
                <w:sz w:val="16"/>
                <w:szCs w:val="16"/>
                <w:lang w:val="fr-CH" w:eastAsia="en-US"/>
              </w:rPr>
              <w:t>28 réseaux nationaux pérennes (cumul à la fin de</w:t>
            </w:r>
            <w:r>
              <w:rPr>
                <w:rFonts w:eastAsia="Times New Roman" w:cs="Arial"/>
                <w:color w:val="000000"/>
                <w:sz w:val="16"/>
                <w:szCs w:val="16"/>
                <w:lang w:val="fr-CH" w:eastAsia="en-US"/>
              </w:rPr>
              <w:t> </w:t>
            </w:r>
            <w:r w:rsidRPr="002E47D0">
              <w:rPr>
                <w:rFonts w:eastAsia="Times New Roman" w:cs="Arial"/>
                <w:color w:val="000000"/>
                <w:sz w:val="16"/>
                <w:szCs w:val="16"/>
                <w:lang w:val="fr-CH" w:eastAsia="en-US"/>
              </w:rPr>
              <w:t>2016)</w:t>
            </w:r>
          </w:p>
          <w:p w14:paraId="3EC69CA7" w14:textId="77777777" w:rsidR="005723BD" w:rsidRDefault="005723BD" w:rsidP="00590DB9">
            <w:pPr>
              <w:rPr>
                <w:rFonts w:eastAsia="Times New Roman" w:cs="Arial"/>
                <w:color w:val="000000"/>
                <w:sz w:val="16"/>
                <w:szCs w:val="16"/>
                <w:lang w:val="fr-CH" w:eastAsia="en-US"/>
              </w:rPr>
            </w:pPr>
          </w:p>
          <w:p w14:paraId="666A46F5"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Degré</w:t>
            </w:r>
            <w:r w:rsidRPr="002E47D0">
              <w:rPr>
                <w:rFonts w:eastAsia="Times New Roman" w:cs="Arial"/>
                <w:color w:val="000000"/>
                <w:sz w:val="16"/>
                <w:szCs w:val="16"/>
                <w:lang w:val="fr-CH" w:eastAsia="en-US"/>
              </w:rPr>
              <w:t xml:space="preserve"> de maturité</w:t>
            </w:r>
            <w:r>
              <w:rPr>
                <w:rFonts w:eastAsia="Times New Roman" w:cs="Arial"/>
                <w:color w:val="000000"/>
                <w:sz w:val="16"/>
                <w:szCs w:val="16"/>
                <w:lang w:val="fr-CH" w:eastAsia="en-US"/>
              </w:rPr>
              <w:t xml:space="preserve"> 1 :</w:t>
            </w:r>
          </w:p>
          <w:p w14:paraId="72D83D2E" w14:textId="77777777" w:rsidR="005723BD" w:rsidRDefault="005723BD" w:rsidP="00590DB9">
            <w:pPr>
              <w:rPr>
                <w:rFonts w:eastAsia="Times New Roman" w:cs="Arial"/>
                <w:color w:val="000000"/>
                <w:sz w:val="16"/>
                <w:szCs w:val="16"/>
                <w:lang w:val="fr-CH" w:eastAsia="en-US"/>
              </w:rPr>
            </w:pPr>
            <w:r w:rsidRPr="002E47D0">
              <w:rPr>
                <w:rFonts w:eastAsia="Times New Roman" w:cs="Arial"/>
                <w:color w:val="000000"/>
                <w:sz w:val="16"/>
                <w:szCs w:val="16"/>
                <w:lang w:val="fr-CH" w:eastAsia="en-US"/>
              </w:rPr>
              <w:t>pays africains (3</w:t>
            </w:r>
            <w:r>
              <w:rPr>
                <w:rFonts w:eastAsia="Times New Roman" w:cs="Arial"/>
                <w:color w:val="000000"/>
                <w:sz w:val="16"/>
                <w:szCs w:val="16"/>
                <w:lang w:val="fr-CH" w:eastAsia="en-US"/>
              </w:rPr>
              <w:t>, dont 1 des pays les moins avancés</w:t>
            </w:r>
            <w:r w:rsidRPr="002E47D0">
              <w:rPr>
                <w:rFonts w:eastAsia="Times New Roman" w:cs="Arial"/>
                <w:color w:val="000000"/>
                <w:sz w:val="16"/>
                <w:szCs w:val="16"/>
                <w:lang w:val="fr-CH" w:eastAsia="en-US"/>
              </w:rPr>
              <w:t>)</w:t>
            </w:r>
          </w:p>
          <w:p w14:paraId="34CB6CF4" w14:textId="77777777" w:rsidR="005723BD" w:rsidRDefault="005723BD" w:rsidP="00590DB9">
            <w:pPr>
              <w:rPr>
                <w:rFonts w:eastAsia="Times New Roman" w:cs="Arial"/>
                <w:color w:val="000000"/>
                <w:sz w:val="16"/>
                <w:szCs w:val="16"/>
                <w:lang w:val="fr-CH" w:eastAsia="en-US"/>
              </w:rPr>
            </w:pPr>
            <w:r w:rsidRPr="006C2FB8">
              <w:rPr>
                <w:rFonts w:eastAsia="Times New Roman" w:cs="Arial"/>
                <w:color w:val="000000"/>
                <w:sz w:val="16"/>
                <w:szCs w:val="16"/>
                <w:lang w:val="fr-CH" w:eastAsia="en-US"/>
              </w:rPr>
              <w:t>pays d</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Asie et du Pacifique</w:t>
            </w:r>
            <w:r w:rsidRPr="002E47D0">
              <w:rPr>
                <w:rFonts w:eastAsia="Times New Roman" w:cs="Arial"/>
                <w:color w:val="000000"/>
                <w:sz w:val="16"/>
                <w:szCs w:val="16"/>
                <w:lang w:val="fr-CH" w:eastAsia="en-US"/>
              </w:rPr>
              <w:t xml:space="preserve"> (2)</w:t>
            </w:r>
          </w:p>
          <w:p w14:paraId="07C9D3CA"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d’Amérique l</w:t>
            </w:r>
            <w:r w:rsidRPr="006C2FB8">
              <w:rPr>
                <w:rFonts w:eastAsia="Times New Roman" w:cs="Arial"/>
                <w:color w:val="000000"/>
                <w:sz w:val="16"/>
                <w:szCs w:val="16"/>
                <w:lang w:val="fr-CH" w:eastAsia="en-US"/>
              </w:rPr>
              <w:t>atin</w:t>
            </w:r>
            <w:r>
              <w:rPr>
                <w:rFonts w:eastAsia="Times New Roman" w:cs="Arial"/>
                <w:color w:val="000000"/>
                <w:sz w:val="16"/>
                <w:szCs w:val="16"/>
                <w:lang w:val="fr-CH" w:eastAsia="en-US"/>
              </w:rPr>
              <w:t>e et des Caraïbes (2)</w:t>
            </w:r>
          </w:p>
          <w:p w14:paraId="68B76B7C"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(7 au t</w:t>
            </w:r>
            <w:r w:rsidRPr="002E47D0">
              <w:rPr>
                <w:rFonts w:eastAsia="Times New Roman" w:cs="Arial"/>
                <w:color w:val="000000"/>
                <w:sz w:val="16"/>
                <w:szCs w:val="16"/>
                <w:lang w:val="fr-CH" w:eastAsia="en-US"/>
              </w:rPr>
              <w:t>otal)</w:t>
            </w:r>
          </w:p>
          <w:p w14:paraId="19BE6ECF" w14:textId="77777777" w:rsidR="005723BD" w:rsidRDefault="005723BD" w:rsidP="00590DB9">
            <w:pPr>
              <w:rPr>
                <w:rFonts w:eastAsia="Times New Roman" w:cs="Arial"/>
                <w:color w:val="000000"/>
                <w:sz w:val="16"/>
                <w:szCs w:val="16"/>
                <w:lang w:val="fr-CH" w:eastAsia="en-US"/>
              </w:rPr>
            </w:pPr>
          </w:p>
          <w:p w14:paraId="57D66BB9"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Degré</w:t>
            </w:r>
            <w:r w:rsidRPr="002E47D0">
              <w:rPr>
                <w:rFonts w:eastAsia="Times New Roman" w:cs="Arial"/>
                <w:color w:val="000000"/>
                <w:sz w:val="16"/>
                <w:szCs w:val="16"/>
                <w:lang w:val="fr-CH" w:eastAsia="en-US"/>
              </w:rPr>
              <w:t xml:space="preserve"> de maturité </w:t>
            </w:r>
            <w:r>
              <w:rPr>
                <w:rFonts w:eastAsia="Times New Roman" w:cs="Arial"/>
                <w:color w:val="000000"/>
                <w:sz w:val="16"/>
                <w:szCs w:val="16"/>
                <w:lang w:val="fr-CH" w:eastAsia="en-US"/>
              </w:rPr>
              <w:t>2 :</w:t>
            </w:r>
          </w:p>
          <w:p w14:paraId="1BE51AC5"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africains</w:t>
            </w:r>
            <w:r w:rsidRPr="002E47D0">
              <w:rPr>
                <w:rFonts w:eastAsia="Times New Roman" w:cs="Arial"/>
                <w:color w:val="000000"/>
                <w:sz w:val="16"/>
                <w:szCs w:val="16"/>
                <w:lang w:val="fr-CH" w:eastAsia="en-US"/>
              </w:rPr>
              <w:t xml:space="preserve"> (8</w:t>
            </w:r>
            <w:r>
              <w:rPr>
                <w:rFonts w:eastAsia="Times New Roman" w:cs="Arial"/>
                <w:color w:val="000000"/>
                <w:sz w:val="16"/>
                <w:szCs w:val="16"/>
                <w:lang w:val="fr-CH" w:eastAsia="en-US"/>
              </w:rPr>
              <w:t>, dont</w:t>
            </w:r>
            <w:r w:rsidRPr="002E47D0">
              <w:rPr>
                <w:rFonts w:eastAsia="Times New Roman" w:cs="Arial"/>
                <w:color w:val="000000"/>
                <w:sz w:val="16"/>
                <w:szCs w:val="16"/>
                <w:lang w:val="fr-CH" w:eastAsia="en-US"/>
              </w:rPr>
              <w:t xml:space="preserve"> 6</w:t>
            </w:r>
            <w:r>
              <w:rPr>
                <w:rFonts w:eastAsia="Times New Roman" w:cs="Arial"/>
                <w:color w:val="000000"/>
                <w:sz w:val="16"/>
                <w:szCs w:val="16"/>
                <w:lang w:val="fr-CH" w:eastAsia="en-US"/>
              </w:rPr>
              <w:t xml:space="preserve"> des pays les moins avancés)</w:t>
            </w:r>
          </w:p>
          <w:p w14:paraId="312D7CCE"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a</w:t>
            </w:r>
            <w:r w:rsidRPr="002E47D0">
              <w:rPr>
                <w:rFonts w:eastAsia="Times New Roman" w:cs="Arial"/>
                <w:color w:val="000000"/>
                <w:sz w:val="16"/>
                <w:szCs w:val="16"/>
                <w:lang w:val="fr-CH" w:eastAsia="en-US"/>
              </w:rPr>
              <w:t>rab</w:t>
            </w:r>
            <w:r>
              <w:rPr>
                <w:rFonts w:eastAsia="Times New Roman" w:cs="Arial"/>
                <w:color w:val="000000"/>
                <w:sz w:val="16"/>
                <w:szCs w:val="16"/>
                <w:lang w:val="fr-CH" w:eastAsia="en-US"/>
              </w:rPr>
              <w:t>es</w:t>
            </w:r>
            <w:r w:rsidRPr="002E47D0">
              <w:rPr>
                <w:rFonts w:eastAsia="Times New Roman" w:cs="Arial"/>
                <w:color w:val="000000"/>
                <w:sz w:val="16"/>
                <w:szCs w:val="16"/>
                <w:lang w:val="fr-CH" w:eastAsia="en-US"/>
              </w:rPr>
              <w:t xml:space="preserve"> (1)</w:t>
            </w:r>
          </w:p>
          <w:p w14:paraId="29C0D35F" w14:textId="77777777" w:rsidR="005723BD" w:rsidRDefault="005723BD" w:rsidP="00590DB9">
            <w:pPr>
              <w:rPr>
                <w:rFonts w:eastAsia="Times New Roman" w:cs="Arial"/>
                <w:color w:val="000000"/>
                <w:sz w:val="16"/>
                <w:szCs w:val="16"/>
                <w:lang w:val="fr-CH" w:eastAsia="en-US"/>
              </w:rPr>
            </w:pPr>
            <w:r w:rsidRPr="006C2FB8">
              <w:rPr>
                <w:rFonts w:eastAsia="Times New Roman" w:cs="Arial"/>
                <w:color w:val="000000"/>
                <w:sz w:val="16"/>
                <w:szCs w:val="16"/>
                <w:lang w:val="fr-CH" w:eastAsia="en-US"/>
              </w:rPr>
              <w:t>pays d</w:t>
            </w:r>
            <w:r>
              <w:rPr>
                <w:rFonts w:eastAsia="Times New Roman" w:cs="Arial"/>
                <w:color w:val="000000"/>
                <w:sz w:val="16"/>
                <w:szCs w:val="16"/>
                <w:lang w:val="fr-CH" w:eastAsia="en-US"/>
              </w:rPr>
              <w:t>’</w:t>
            </w:r>
            <w:r w:rsidRPr="006C2FB8">
              <w:rPr>
                <w:rFonts w:eastAsia="Times New Roman" w:cs="Arial"/>
                <w:color w:val="000000"/>
                <w:sz w:val="16"/>
                <w:szCs w:val="16"/>
                <w:lang w:val="fr-CH" w:eastAsia="en-US"/>
              </w:rPr>
              <w:t>Asie et du Pacifique</w:t>
            </w:r>
            <w:r>
              <w:rPr>
                <w:rFonts w:eastAsia="Times New Roman" w:cs="Arial"/>
                <w:color w:val="000000"/>
                <w:sz w:val="16"/>
                <w:szCs w:val="16"/>
                <w:lang w:val="fr-CH" w:eastAsia="en-US"/>
              </w:rPr>
              <w:t xml:space="preserve"> </w:t>
            </w:r>
            <w:r w:rsidRPr="002E47D0">
              <w:rPr>
                <w:rFonts w:eastAsia="Times New Roman" w:cs="Arial"/>
                <w:color w:val="000000"/>
                <w:sz w:val="16"/>
                <w:szCs w:val="16"/>
                <w:lang w:val="fr-CH" w:eastAsia="en-US"/>
              </w:rPr>
              <w:lastRenderedPageBreak/>
              <w:t>(2)</w:t>
            </w:r>
          </w:p>
          <w:p w14:paraId="0634A77B"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d’Amérique l</w:t>
            </w:r>
            <w:r w:rsidRPr="006C2FB8">
              <w:rPr>
                <w:rFonts w:eastAsia="Times New Roman" w:cs="Arial"/>
                <w:color w:val="000000"/>
                <w:sz w:val="16"/>
                <w:szCs w:val="16"/>
                <w:lang w:val="fr-CH" w:eastAsia="en-US"/>
              </w:rPr>
              <w:t>atin</w:t>
            </w:r>
            <w:r>
              <w:rPr>
                <w:rFonts w:eastAsia="Times New Roman" w:cs="Arial"/>
                <w:color w:val="000000"/>
                <w:sz w:val="16"/>
                <w:szCs w:val="16"/>
                <w:lang w:val="fr-CH" w:eastAsia="en-US"/>
              </w:rPr>
              <w:t>e et des Caraïbes</w:t>
            </w:r>
            <w:r w:rsidRPr="002E47D0">
              <w:rPr>
                <w:rFonts w:eastAsia="Times New Roman" w:cs="Arial"/>
                <w:color w:val="000000"/>
                <w:sz w:val="16"/>
                <w:szCs w:val="16"/>
                <w:lang w:val="fr-CH" w:eastAsia="en-US"/>
              </w:rPr>
              <w:t xml:space="preserve"> (4)</w:t>
            </w:r>
          </w:p>
          <w:p w14:paraId="6BC5B2ED" w14:textId="77777777" w:rsidR="005723BD" w:rsidRDefault="005723BD" w:rsidP="00590DB9">
            <w:pPr>
              <w:rPr>
                <w:rFonts w:eastAsia="Times New Roman" w:cs="Arial"/>
                <w:color w:val="000000"/>
                <w:sz w:val="16"/>
                <w:szCs w:val="16"/>
                <w:lang w:val="fr-CH" w:eastAsia="en-US"/>
              </w:rPr>
            </w:pPr>
            <w:r w:rsidRPr="002E47D0">
              <w:rPr>
                <w:rFonts w:eastAsia="Times New Roman" w:cs="Arial"/>
                <w:color w:val="000000"/>
                <w:sz w:val="16"/>
                <w:szCs w:val="16"/>
                <w:lang w:val="fr-CH" w:eastAsia="en-US"/>
              </w:rPr>
              <w:t xml:space="preserve">(15 </w:t>
            </w:r>
            <w:r>
              <w:rPr>
                <w:rFonts w:eastAsia="Times New Roman" w:cs="Arial"/>
                <w:color w:val="000000"/>
                <w:sz w:val="16"/>
                <w:szCs w:val="16"/>
                <w:lang w:val="fr-CH" w:eastAsia="en-US"/>
              </w:rPr>
              <w:t>au to</w:t>
            </w:r>
            <w:r w:rsidRPr="002E47D0">
              <w:rPr>
                <w:rFonts w:eastAsia="Times New Roman" w:cs="Arial"/>
                <w:color w:val="000000"/>
                <w:sz w:val="16"/>
                <w:szCs w:val="16"/>
                <w:lang w:val="fr-CH" w:eastAsia="en-US"/>
              </w:rPr>
              <w:t>tal)</w:t>
            </w:r>
          </w:p>
          <w:p w14:paraId="0EB12035" w14:textId="77777777" w:rsidR="005723BD" w:rsidRDefault="005723BD" w:rsidP="00590DB9">
            <w:pPr>
              <w:rPr>
                <w:rFonts w:eastAsia="Times New Roman" w:cs="Arial"/>
                <w:color w:val="000000"/>
                <w:sz w:val="16"/>
                <w:szCs w:val="16"/>
                <w:lang w:val="fr-CH" w:eastAsia="en-US"/>
              </w:rPr>
            </w:pPr>
          </w:p>
          <w:p w14:paraId="30DA9E49"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Degré </w:t>
            </w:r>
            <w:r w:rsidRPr="002E47D0">
              <w:rPr>
                <w:rFonts w:eastAsia="Times New Roman" w:cs="Arial"/>
                <w:color w:val="000000"/>
                <w:sz w:val="16"/>
                <w:szCs w:val="16"/>
                <w:lang w:val="fr-CH" w:eastAsia="en-US"/>
              </w:rPr>
              <w:t>de maturité</w:t>
            </w:r>
            <w:r>
              <w:rPr>
                <w:rFonts w:eastAsia="Times New Roman" w:cs="Arial"/>
                <w:color w:val="000000"/>
                <w:sz w:val="16"/>
                <w:szCs w:val="16"/>
                <w:lang w:val="fr-CH" w:eastAsia="en-US"/>
              </w:rPr>
              <w:t xml:space="preserve"> 3</w:t>
            </w:r>
            <w:r w:rsidRPr="002E47D0">
              <w:rPr>
                <w:rFonts w:eastAsia="Times New Roman" w:cs="Arial"/>
                <w:color w:val="000000"/>
                <w:sz w:val="16"/>
                <w:szCs w:val="16"/>
                <w:lang w:val="fr-CH" w:eastAsia="en-US"/>
              </w:rPr>
              <w:t xml:space="preserve">, </w:t>
            </w:r>
            <w:r>
              <w:rPr>
                <w:rFonts w:eastAsia="Times New Roman" w:cs="Arial"/>
                <w:color w:val="000000"/>
                <w:sz w:val="16"/>
                <w:szCs w:val="16"/>
                <w:lang w:val="fr-CH" w:eastAsia="en-US"/>
              </w:rPr>
              <w:t>comprenant la fourniture de services à valeur ajoutée</w:t>
            </w:r>
            <w:r w:rsidRPr="00B20F1B">
              <w:rPr>
                <w:rStyle w:val="FootnoteReference"/>
                <w:rFonts w:eastAsia="Times New Roman" w:cs="Arial"/>
                <w:color w:val="000000"/>
                <w:sz w:val="16"/>
                <w:szCs w:val="16"/>
                <w:lang w:eastAsia="en-US"/>
              </w:rPr>
              <w:footnoteReference w:id="36"/>
            </w:r>
            <w:r>
              <w:rPr>
                <w:rFonts w:eastAsia="Times New Roman" w:cs="Arial"/>
                <w:color w:val="000000"/>
                <w:sz w:val="16"/>
                <w:szCs w:val="16"/>
                <w:lang w:val="fr-CH" w:eastAsia="en-US"/>
              </w:rPr>
              <w:t> :</w:t>
            </w:r>
          </w:p>
          <w:p w14:paraId="1E96F024"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a</w:t>
            </w:r>
            <w:r w:rsidRPr="002E47D0">
              <w:rPr>
                <w:rFonts w:eastAsia="Times New Roman" w:cs="Arial"/>
                <w:color w:val="000000"/>
                <w:sz w:val="16"/>
                <w:szCs w:val="16"/>
                <w:lang w:val="fr-CH" w:eastAsia="en-US"/>
              </w:rPr>
              <w:t>frica</w:t>
            </w:r>
            <w:r>
              <w:rPr>
                <w:rFonts w:eastAsia="Times New Roman" w:cs="Arial"/>
                <w:color w:val="000000"/>
                <w:sz w:val="16"/>
                <w:szCs w:val="16"/>
                <w:lang w:val="fr-CH" w:eastAsia="en-US"/>
              </w:rPr>
              <w:t>ins (1)</w:t>
            </w:r>
          </w:p>
          <w:p w14:paraId="24FCD57E"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a</w:t>
            </w:r>
            <w:r w:rsidRPr="002E47D0">
              <w:rPr>
                <w:rFonts w:eastAsia="Times New Roman" w:cs="Arial"/>
                <w:color w:val="000000"/>
                <w:sz w:val="16"/>
                <w:szCs w:val="16"/>
                <w:lang w:val="fr-CH" w:eastAsia="en-US"/>
              </w:rPr>
              <w:t>rab</w:t>
            </w:r>
            <w:r>
              <w:rPr>
                <w:rFonts w:eastAsia="Times New Roman" w:cs="Arial"/>
                <w:color w:val="000000"/>
                <w:sz w:val="16"/>
                <w:szCs w:val="16"/>
                <w:lang w:val="fr-CH" w:eastAsia="en-US"/>
              </w:rPr>
              <w:t>es</w:t>
            </w:r>
            <w:r w:rsidRPr="002E47D0">
              <w:rPr>
                <w:rFonts w:eastAsia="Times New Roman" w:cs="Arial"/>
                <w:color w:val="000000"/>
                <w:sz w:val="16"/>
                <w:szCs w:val="16"/>
                <w:lang w:val="fr-CH" w:eastAsia="en-US"/>
              </w:rPr>
              <w:t xml:space="preserve"> (1)</w:t>
            </w:r>
          </w:p>
          <w:p w14:paraId="45AB18D3"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d’</w:t>
            </w:r>
            <w:r w:rsidRPr="002E47D0">
              <w:rPr>
                <w:rFonts w:eastAsia="Times New Roman" w:cs="Arial"/>
                <w:color w:val="000000"/>
                <w:sz w:val="16"/>
                <w:szCs w:val="16"/>
                <w:lang w:val="fr-CH" w:eastAsia="en-US"/>
              </w:rPr>
              <w:t>Asi</w:t>
            </w:r>
            <w:r>
              <w:rPr>
                <w:rFonts w:eastAsia="Times New Roman" w:cs="Arial"/>
                <w:color w:val="000000"/>
                <w:sz w:val="16"/>
                <w:szCs w:val="16"/>
                <w:lang w:val="fr-CH" w:eastAsia="en-US"/>
              </w:rPr>
              <w:t>e et du</w:t>
            </w:r>
            <w:r w:rsidRPr="002E47D0">
              <w:rPr>
                <w:rFonts w:eastAsia="Times New Roman" w:cs="Arial"/>
                <w:color w:val="000000"/>
                <w:sz w:val="16"/>
                <w:szCs w:val="16"/>
                <w:lang w:val="fr-CH" w:eastAsia="en-US"/>
              </w:rPr>
              <w:t xml:space="preserve"> </w:t>
            </w:r>
            <w:r>
              <w:rPr>
                <w:rFonts w:eastAsia="Times New Roman" w:cs="Arial"/>
                <w:color w:val="000000"/>
                <w:sz w:val="16"/>
                <w:szCs w:val="16"/>
                <w:lang w:val="fr-CH" w:eastAsia="en-US"/>
              </w:rPr>
              <w:t>Pacifique</w:t>
            </w:r>
            <w:r w:rsidRPr="002E47D0">
              <w:rPr>
                <w:rFonts w:eastAsia="Times New Roman" w:cs="Arial"/>
                <w:color w:val="000000"/>
                <w:sz w:val="16"/>
                <w:szCs w:val="16"/>
                <w:lang w:val="fr-CH" w:eastAsia="en-US"/>
              </w:rPr>
              <w:t xml:space="preserve"> (1)</w:t>
            </w:r>
          </w:p>
          <w:p w14:paraId="01C030F5"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d’Amérique l</w:t>
            </w:r>
            <w:r w:rsidRPr="006C2FB8">
              <w:rPr>
                <w:rFonts w:eastAsia="Times New Roman" w:cs="Arial"/>
                <w:color w:val="000000"/>
                <w:sz w:val="16"/>
                <w:szCs w:val="16"/>
                <w:lang w:val="fr-CH" w:eastAsia="en-US"/>
              </w:rPr>
              <w:t>atin</w:t>
            </w:r>
            <w:r>
              <w:rPr>
                <w:rFonts w:eastAsia="Times New Roman" w:cs="Arial"/>
                <w:color w:val="000000"/>
                <w:sz w:val="16"/>
                <w:szCs w:val="16"/>
                <w:lang w:val="fr-CH" w:eastAsia="en-US"/>
              </w:rPr>
              <w:t>e et des Caraïbes</w:t>
            </w:r>
            <w:r w:rsidRPr="002E47D0">
              <w:rPr>
                <w:rFonts w:eastAsia="Times New Roman" w:cs="Arial"/>
                <w:color w:val="000000"/>
                <w:sz w:val="16"/>
                <w:szCs w:val="16"/>
                <w:lang w:val="fr-CH" w:eastAsia="en-US"/>
              </w:rPr>
              <w:t xml:space="preserve"> (2)</w:t>
            </w:r>
          </w:p>
          <w:p w14:paraId="62FF6B0F"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t>pays en transition</w:t>
            </w:r>
            <w:r w:rsidRPr="002E47D0">
              <w:rPr>
                <w:rFonts w:eastAsia="Times New Roman" w:cs="Arial"/>
                <w:color w:val="000000"/>
                <w:sz w:val="16"/>
                <w:szCs w:val="16"/>
                <w:lang w:val="fr-CH" w:eastAsia="en-US"/>
              </w:rPr>
              <w:t xml:space="preserve"> (1) </w:t>
            </w:r>
          </w:p>
          <w:p w14:paraId="119FF2FF" w14:textId="4522CC2B" w:rsidR="005723BD" w:rsidRPr="002E47D0" w:rsidRDefault="005723BD" w:rsidP="00590DB9">
            <w:pPr>
              <w:rPr>
                <w:rFonts w:eastAsia="Times New Roman" w:cs="Arial"/>
                <w:color w:val="000000"/>
                <w:sz w:val="16"/>
                <w:szCs w:val="16"/>
                <w:lang w:val="fr-CH" w:eastAsia="en-US"/>
              </w:rPr>
            </w:pPr>
            <w:r w:rsidRPr="002E47D0">
              <w:rPr>
                <w:rFonts w:eastAsia="Times New Roman" w:cs="Arial"/>
                <w:color w:val="000000"/>
                <w:sz w:val="16"/>
                <w:szCs w:val="16"/>
                <w:lang w:val="fr-CH" w:eastAsia="en-US"/>
              </w:rPr>
              <w:t>(</w:t>
            </w:r>
            <w:r>
              <w:rPr>
                <w:rFonts w:eastAsia="Times New Roman" w:cs="Arial"/>
                <w:color w:val="000000"/>
                <w:sz w:val="16"/>
                <w:szCs w:val="16"/>
                <w:lang w:val="fr-CH" w:eastAsia="en-US"/>
              </w:rPr>
              <w:t>6</w:t>
            </w:r>
            <w:r w:rsidRPr="002E47D0">
              <w:rPr>
                <w:rFonts w:eastAsia="Times New Roman" w:cs="Arial"/>
                <w:color w:val="000000"/>
                <w:sz w:val="16"/>
                <w:szCs w:val="16"/>
                <w:lang w:val="fr-CH" w:eastAsia="en-US"/>
              </w:rPr>
              <w:t xml:space="preserve"> au total)</w:t>
            </w:r>
          </w:p>
        </w:tc>
        <w:tc>
          <w:tcPr>
            <w:tcW w:w="2393" w:type="dxa"/>
            <w:shd w:val="clear" w:color="000000" w:fill="FFFFFF"/>
            <w:tcMar>
              <w:top w:w="57" w:type="dxa"/>
            </w:tcMar>
            <w:hideMark/>
          </w:tcPr>
          <w:p w14:paraId="4F6F3992" w14:textId="77777777" w:rsidR="005723BD" w:rsidRDefault="005723BD" w:rsidP="00590DB9">
            <w:pPr>
              <w:rPr>
                <w:rFonts w:eastAsia="Times New Roman" w:cs="Arial"/>
                <w:color w:val="000000"/>
                <w:sz w:val="16"/>
                <w:szCs w:val="16"/>
                <w:lang w:val="fr-CH" w:eastAsia="en-US"/>
              </w:rPr>
            </w:pPr>
            <w:r>
              <w:rPr>
                <w:rFonts w:eastAsia="Times New Roman" w:cs="Arial"/>
                <w:color w:val="000000"/>
                <w:sz w:val="16"/>
                <w:szCs w:val="16"/>
                <w:lang w:val="fr-CH" w:eastAsia="en-US"/>
              </w:rPr>
              <w:lastRenderedPageBreak/>
              <w:t>6</w:t>
            </w:r>
            <w:r w:rsidRPr="006C2FB8">
              <w:rPr>
                <w:rFonts w:eastAsia="Times New Roman" w:cs="Arial"/>
                <w:color w:val="000000"/>
                <w:sz w:val="16"/>
                <w:szCs w:val="16"/>
                <w:lang w:val="fr-CH" w:eastAsia="en-US"/>
              </w:rPr>
              <w:t xml:space="preserve"> réseaux nationaux de CATI pérennes supplémentaires</w:t>
            </w:r>
            <w:r>
              <w:rPr>
                <w:rFonts w:eastAsia="Times New Roman" w:cs="Arial"/>
                <w:color w:val="000000"/>
                <w:sz w:val="16"/>
                <w:szCs w:val="16"/>
                <w:lang w:val="fr-CH" w:eastAsia="en-US"/>
              </w:rPr>
              <w:t> :</w:t>
            </w:r>
            <w:r w:rsidRPr="006C2FB8">
              <w:rPr>
                <w:rFonts w:eastAsia="Times New Roman" w:cs="Arial"/>
                <w:color w:val="000000"/>
                <w:sz w:val="16"/>
                <w:szCs w:val="16"/>
                <w:lang w:val="fr-CH" w:eastAsia="en-US"/>
              </w:rPr>
              <w:t xml:space="preserve"> </w:t>
            </w:r>
          </w:p>
          <w:p w14:paraId="21E4CFFF" w14:textId="1A0D4454" w:rsidR="005723BD" w:rsidRDefault="00246CC5"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5723BD" w:rsidRPr="006C2FB8">
              <w:rPr>
                <w:rFonts w:eastAsia="Times New Roman" w:cs="Arial"/>
                <w:color w:val="000000"/>
                <w:sz w:val="16"/>
                <w:szCs w:val="16"/>
                <w:lang w:val="fr-CH" w:eastAsia="en-US"/>
              </w:rPr>
              <w:t>pays africains (1)</w:t>
            </w:r>
          </w:p>
          <w:p w14:paraId="09A84677" w14:textId="2EEDF56C" w:rsidR="005723BD" w:rsidRDefault="00246CC5"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5723BD" w:rsidRPr="006C2FB8">
              <w:rPr>
                <w:rFonts w:eastAsia="Times New Roman" w:cs="Arial"/>
                <w:color w:val="000000"/>
                <w:sz w:val="16"/>
                <w:szCs w:val="16"/>
                <w:lang w:val="fr-CH" w:eastAsia="en-US"/>
              </w:rPr>
              <w:t>pays arabes (1)</w:t>
            </w:r>
          </w:p>
          <w:p w14:paraId="0733DB54" w14:textId="13DF4124" w:rsidR="005723BD" w:rsidRDefault="00246CC5"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5723BD" w:rsidRPr="006C2FB8">
              <w:rPr>
                <w:rFonts w:eastAsia="Times New Roman" w:cs="Arial"/>
                <w:color w:val="000000"/>
                <w:sz w:val="16"/>
                <w:szCs w:val="16"/>
                <w:lang w:val="fr-CH" w:eastAsia="en-US"/>
              </w:rPr>
              <w:t>pays d</w:t>
            </w:r>
            <w:r w:rsidR="005723BD">
              <w:rPr>
                <w:rFonts w:eastAsia="Times New Roman" w:cs="Arial"/>
                <w:color w:val="000000"/>
                <w:sz w:val="16"/>
                <w:szCs w:val="16"/>
                <w:lang w:val="fr-CH" w:eastAsia="en-US"/>
              </w:rPr>
              <w:t>’</w:t>
            </w:r>
            <w:r w:rsidR="005723BD" w:rsidRPr="006C2FB8">
              <w:rPr>
                <w:rFonts w:eastAsia="Times New Roman" w:cs="Arial"/>
                <w:color w:val="000000"/>
                <w:sz w:val="16"/>
                <w:szCs w:val="16"/>
                <w:lang w:val="fr-CH" w:eastAsia="en-US"/>
              </w:rPr>
              <w:t>Asie et du Pacifique</w:t>
            </w:r>
            <w:r w:rsidR="005723BD">
              <w:rPr>
                <w:rFonts w:eastAsia="Times New Roman" w:cs="Arial"/>
                <w:color w:val="000000"/>
                <w:sz w:val="16"/>
                <w:szCs w:val="16"/>
                <w:lang w:val="fr-CH" w:eastAsia="en-US"/>
              </w:rPr>
              <w:t xml:space="preserve"> </w:t>
            </w:r>
            <w:r w:rsidR="005723BD" w:rsidRPr="006C2FB8">
              <w:rPr>
                <w:rFonts w:eastAsia="Times New Roman" w:cs="Arial"/>
                <w:color w:val="000000"/>
                <w:sz w:val="16"/>
                <w:szCs w:val="16"/>
                <w:lang w:val="fr-CH" w:eastAsia="en-US"/>
              </w:rPr>
              <w:t>(1)</w:t>
            </w:r>
          </w:p>
          <w:p w14:paraId="08E0A27C" w14:textId="0CF3559B" w:rsidR="005723BD" w:rsidRDefault="00246CC5"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5723BD">
              <w:rPr>
                <w:rFonts w:eastAsia="Times New Roman" w:cs="Arial"/>
                <w:color w:val="000000"/>
                <w:sz w:val="16"/>
                <w:szCs w:val="16"/>
                <w:lang w:val="fr-CH" w:eastAsia="en-US"/>
              </w:rPr>
              <w:t>pays d’Amérique l</w:t>
            </w:r>
            <w:r w:rsidR="005723BD" w:rsidRPr="006C2FB8">
              <w:rPr>
                <w:rFonts w:eastAsia="Times New Roman" w:cs="Arial"/>
                <w:color w:val="000000"/>
                <w:sz w:val="16"/>
                <w:szCs w:val="16"/>
                <w:lang w:val="fr-CH" w:eastAsia="en-US"/>
              </w:rPr>
              <w:t>atin</w:t>
            </w:r>
            <w:r w:rsidR="005723BD">
              <w:rPr>
                <w:rFonts w:eastAsia="Times New Roman" w:cs="Arial"/>
                <w:color w:val="000000"/>
                <w:sz w:val="16"/>
                <w:szCs w:val="16"/>
                <w:lang w:val="fr-CH" w:eastAsia="en-US"/>
              </w:rPr>
              <w:t>e et des Caraïbes</w:t>
            </w:r>
            <w:r w:rsidR="005723BD" w:rsidRPr="006C2FB8">
              <w:rPr>
                <w:rFonts w:eastAsia="Times New Roman" w:cs="Arial"/>
                <w:color w:val="000000"/>
                <w:sz w:val="16"/>
                <w:szCs w:val="16"/>
                <w:lang w:val="fr-CH" w:eastAsia="en-US"/>
              </w:rPr>
              <w:t xml:space="preserve"> (2)</w:t>
            </w:r>
          </w:p>
          <w:p w14:paraId="489A3B2E" w14:textId="08E6FEAD" w:rsidR="005723BD" w:rsidRDefault="00246CC5" w:rsidP="00590DB9">
            <w:pPr>
              <w:rPr>
                <w:rFonts w:eastAsia="Times New Roman" w:cs="Arial"/>
                <w:color w:val="000000"/>
                <w:sz w:val="16"/>
                <w:szCs w:val="16"/>
                <w:lang w:val="fr-CH" w:eastAsia="en-US"/>
              </w:rPr>
            </w:pPr>
            <w:r>
              <w:rPr>
                <w:rFonts w:eastAsia="Times New Roman" w:cs="Arial"/>
                <w:color w:val="000000"/>
                <w:sz w:val="16"/>
                <w:szCs w:val="16"/>
                <w:lang w:val="fr-CH" w:eastAsia="en-US"/>
              </w:rPr>
              <w:t xml:space="preserve">– </w:t>
            </w:r>
            <w:r w:rsidR="005723BD">
              <w:rPr>
                <w:rFonts w:eastAsia="Times New Roman" w:cs="Arial"/>
                <w:color w:val="000000"/>
                <w:sz w:val="16"/>
                <w:szCs w:val="16"/>
                <w:lang w:val="fr-CH" w:eastAsia="en-US"/>
              </w:rPr>
              <w:t>pays en transition</w:t>
            </w:r>
            <w:r w:rsidR="005723BD" w:rsidRPr="006C2FB8">
              <w:rPr>
                <w:rFonts w:eastAsia="Times New Roman" w:cs="Arial"/>
                <w:color w:val="000000"/>
                <w:sz w:val="16"/>
                <w:szCs w:val="16"/>
                <w:lang w:val="fr-CH" w:eastAsia="en-US"/>
              </w:rPr>
              <w:t xml:space="preserve"> (1)</w:t>
            </w:r>
          </w:p>
          <w:p w14:paraId="41632054" w14:textId="77777777" w:rsidR="005723BD" w:rsidRDefault="005723BD" w:rsidP="00590DB9">
            <w:pPr>
              <w:rPr>
                <w:rFonts w:eastAsia="Times New Roman" w:cs="Arial"/>
                <w:color w:val="000000"/>
                <w:sz w:val="16"/>
                <w:szCs w:val="16"/>
                <w:lang w:val="fr-CH" w:eastAsia="en-US"/>
              </w:rPr>
            </w:pPr>
          </w:p>
          <w:p w14:paraId="4039E6FF" w14:textId="5FDD21B6" w:rsidR="005723BD" w:rsidRPr="006C2FB8" w:rsidRDefault="005723BD" w:rsidP="00590DB9">
            <w:pPr>
              <w:rPr>
                <w:rFonts w:eastAsia="Times New Roman" w:cs="Arial"/>
                <w:color w:val="000000"/>
                <w:sz w:val="16"/>
                <w:szCs w:val="16"/>
                <w:lang w:val="fr-CH" w:eastAsia="en-US"/>
              </w:rPr>
            </w:pPr>
            <w:r w:rsidRPr="006C2FB8">
              <w:rPr>
                <w:rFonts w:eastAsia="Times New Roman" w:cs="Arial"/>
                <w:color w:val="000000"/>
                <w:sz w:val="16"/>
                <w:szCs w:val="16"/>
                <w:lang w:val="fr-CH" w:eastAsia="en-US"/>
              </w:rPr>
              <w:t xml:space="preserve">34 </w:t>
            </w:r>
            <w:r>
              <w:rPr>
                <w:rFonts w:eastAsia="Times New Roman" w:cs="Arial"/>
                <w:color w:val="000000"/>
                <w:sz w:val="16"/>
                <w:szCs w:val="16"/>
                <w:lang w:val="fr-CH" w:eastAsia="en-US"/>
              </w:rPr>
              <w:t xml:space="preserve">réseaux nationaux de CATI pérennes </w:t>
            </w:r>
            <w:r w:rsidRPr="006C2FB8">
              <w:rPr>
                <w:rFonts w:eastAsia="Times New Roman" w:cs="Arial"/>
                <w:color w:val="000000"/>
                <w:sz w:val="16"/>
                <w:szCs w:val="16"/>
                <w:lang w:val="fr-CH" w:eastAsia="en-US"/>
              </w:rPr>
              <w:t>(</w:t>
            </w:r>
            <w:r>
              <w:rPr>
                <w:rFonts w:eastAsia="Times New Roman" w:cs="Arial"/>
                <w:color w:val="000000"/>
                <w:sz w:val="16"/>
                <w:szCs w:val="16"/>
                <w:lang w:val="fr-CH" w:eastAsia="en-US"/>
              </w:rPr>
              <w:t xml:space="preserve">chiffre </w:t>
            </w:r>
            <w:r w:rsidRPr="006C2FB8">
              <w:rPr>
                <w:rFonts w:eastAsia="Times New Roman" w:cs="Arial"/>
                <w:color w:val="000000"/>
                <w:sz w:val="16"/>
                <w:szCs w:val="16"/>
                <w:lang w:val="fr-CH" w:eastAsia="en-US"/>
              </w:rPr>
              <w:t>cumulati</w:t>
            </w:r>
            <w:r>
              <w:rPr>
                <w:rFonts w:eastAsia="Times New Roman" w:cs="Arial"/>
                <w:color w:val="000000"/>
                <w:sz w:val="16"/>
                <w:szCs w:val="16"/>
                <w:lang w:val="fr-CH" w:eastAsia="en-US"/>
              </w:rPr>
              <w:t>f</w:t>
            </w:r>
            <w:r w:rsidRPr="006C2FB8">
              <w:rPr>
                <w:rFonts w:eastAsia="Times New Roman" w:cs="Arial"/>
                <w:color w:val="000000"/>
                <w:sz w:val="16"/>
                <w:szCs w:val="16"/>
                <w:lang w:val="fr-CH" w:eastAsia="en-US"/>
              </w:rPr>
              <w:t>)</w:t>
            </w:r>
          </w:p>
        </w:tc>
      </w:tr>
      <w:tr w:rsidR="005723BD" w:rsidRPr="00B20F1B" w14:paraId="654E7600" w14:textId="77777777" w:rsidTr="005723BD">
        <w:trPr>
          <w:cantSplit/>
        </w:trPr>
        <w:tc>
          <w:tcPr>
            <w:tcW w:w="2392" w:type="dxa"/>
            <w:shd w:val="clear" w:color="000000" w:fill="FFFFFF"/>
            <w:tcMar>
              <w:top w:w="57" w:type="dxa"/>
            </w:tcMar>
            <w:vAlign w:val="bottom"/>
            <w:hideMark/>
          </w:tcPr>
          <w:p w14:paraId="54C8BD17" w14:textId="77777777" w:rsidR="005723BD" w:rsidRPr="006C2FB8" w:rsidRDefault="005723BD" w:rsidP="00986700">
            <w:pPr>
              <w:jc w:val="right"/>
              <w:rPr>
                <w:rFonts w:eastAsia="Times New Roman" w:cs="Arial"/>
                <w:color w:val="000000"/>
                <w:sz w:val="16"/>
                <w:szCs w:val="16"/>
                <w:lang w:val="fr-CH" w:eastAsia="en-US"/>
              </w:rPr>
            </w:pPr>
            <w:r w:rsidRPr="006C2FB8">
              <w:rPr>
                <w:rFonts w:eastAsia="Times New Roman" w:cs="Arial"/>
                <w:color w:val="000000"/>
                <w:sz w:val="16"/>
                <w:szCs w:val="16"/>
                <w:lang w:val="fr-CH" w:eastAsia="en-US"/>
              </w:rPr>
              <w:lastRenderedPageBreak/>
              <w:t> </w:t>
            </w:r>
          </w:p>
        </w:tc>
        <w:tc>
          <w:tcPr>
            <w:tcW w:w="2393" w:type="dxa"/>
            <w:shd w:val="clear" w:color="000000" w:fill="FFFFFF"/>
            <w:tcMar>
              <w:top w:w="57" w:type="dxa"/>
            </w:tcMar>
            <w:hideMark/>
          </w:tcPr>
          <w:p w14:paraId="340AFB44" w14:textId="77777777" w:rsidR="005723BD" w:rsidRPr="002E47D0" w:rsidRDefault="005723BD" w:rsidP="00986700">
            <w:pPr>
              <w:rPr>
                <w:rFonts w:eastAsia="Times New Roman" w:cs="Arial"/>
                <w:color w:val="000000"/>
                <w:sz w:val="16"/>
                <w:szCs w:val="16"/>
                <w:lang w:val="fr-CH" w:eastAsia="en-US"/>
              </w:rPr>
            </w:pPr>
            <w:r w:rsidRPr="002E47D0">
              <w:rPr>
                <w:rFonts w:eastAsia="Times New Roman" w:cs="Arial"/>
                <w:color w:val="000000"/>
                <w:sz w:val="16"/>
                <w:szCs w:val="16"/>
                <w:lang w:val="fr-CH" w:eastAsia="en-US"/>
              </w:rPr>
              <w:t xml:space="preserve">Moyenne des utilisateurs </w:t>
            </w:r>
            <w:r>
              <w:rPr>
                <w:rFonts w:eastAsia="Times New Roman" w:cs="Arial"/>
                <w:color w:val="000000"/>
                <w:sz w:val="16"/>
                <w:szCs w:val="16"/>
                <w:lang w:val="fr-CH" w:eastAsia="en-US"/>
              </w:rPr>
              <w:t xml:space="preserve">ayant bénéficié </w:t>
            </w:r>
            <w:r w:rsidRPr="002E47D0">
              <w:rPr>
                <w:rFonts w:eastAsia="Times New Roman" w:cs="Arial"/>
                <w:color w:val="000000"/>
                <w:sz w:val="16"/>
                <w:szCs w:val="16"/>
                <w:lang w:val="fr-CH" w:eastAsia="en-US"/>
              </w:rPr>
              <w:t>de</w:t>
            </w:r>
            <w:r>
              <w:rPr>
                <w:rFonts w:eastAsia="Times New Roman" w:cs="Arial"/>
                <w:color w:val="000000"/>
                <w:sz w:val="16"/>
                <w:szCs w:val="16"/>
                <w:lang w:val="fr-CH" w:eastAsia="en-US"/>
              </w:rPr>
              <w:t>s services</w:t>
            </w:r>
            <w:r w:rsidRPr="009F7D81">
              <w:rPr>
                <w:rFonts w:eastAsia="Times New Roman" w:cs="Arial"/>
                <w:color w:val="000000"/>
                <w:sz w:val="16"/>
                <w:szCs w:val="16"/>
                <w:lang w:val="fr-CH" w:eastAsia="en-US"/>
              </w:rPr>
              <w:t xml:space="preserve"> des CAT</w:t>
            </w:r>
            <w:r w:rsidRPr="002E47D0">
              <w:rPr>
                <w:rFonts w:eastAsia="Times New Roman" w:cs="Arial"/>
                <w:color w:val="000000"/>
                <w:sz w:val="16"/>
                <w:szCs w:val="16"/>
                <w:lang w:val="fr-CH" w:eastAsia="en-US"/>
              </w:rPr>
              <w:t>I</w:t>
            </w:r>
            <w:r>
              <w:rPr>
                <w:rFonts w:eastAsia="Times New Roman" w:cs="Arial"/>
                <w:color w:val="000000"/>
                <w:sz w:val="16"/>
                <w:szCs w:val="16"/>
                <w:lang w:val="fr-CH" w:eastAsia="en-US"/>
              </w:rPr>
              <w:t xml:space="preserve"> par année</w:t>
            </w:r>
          </w:p>
        </w:tc>
        <w:tc>
          <w:tcPr>
            <w:tcW w:w="2393" w:type="dxa"/>
            <w:shd w:val="clear" w:color="000000" w:fill="FFFFFF"/>
            <w:tcMar>
              <w:top w:w="57" w:type="dxa"/>
            </w:tcMar>
            <w:hideMark/>
          </w:tcPr>
          <w:p w14:paraId="2456265D" w14:textId="77777777" w:rsidR="005723BD" w:rsidRPr="00B20F1B"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1 </w:t>
            </w:r>
            <w:r w:rsidRPr="00B20F1B">
              <w:rPr>
                <w:rFonts w:eastAsia="Times New Roman" w:cs="Arial"/>
                <w:color w:val="000000"/>
                <w:sz w:val="16"/>
                <w:szCs w:val="16"/>
                <w:lang w:eastAsia="en-US"/>
              </w:rPr>
              <w:t xml:space="preserve">750 </w:t>
            </w:r>
            <w:r>
              <w:rPr>
                <w:rFonts w:eastAsia="Times New Roman" w:cs="Arial"/>
                <w:color w:val="000000"/>
                <w:sz w:val="16"/>
                <w:szCs w:val="16"/>
                <w:lang w:eastAsia="en-US"/>
              </w:rPr>
              <w:t>utilisateurs e</w:t>
            </w:r>
            <w:r w:rsidRPr="00B20F1B">
              <w:rPr>
                <w:rFonts w:eastAsia="Times New Roman" w:cs="Arial"/>
                <w:color w:val="000000"/>
                <w:sz w:val="16"/>
                <w:szCs w:val="16"/>
                <w:lang w:eastAsia="en-US"/>
              </w:rPr>
              <w:t>n</w:t>
            </w:r>
            <w:r>
              <w:rPr>
                <w:rFonts w:eastAsia="Times New Roman" w:cs="Arial"/>
                <w:color w:val="000000"/>
                <w:sz w:val="16"/>
                <w:szCs w:val="16"/>
                <w:lang w:eastAsia="en-US"/>
              </w:rPr>
              <w:t> </w:t>
            </w:r>
            <w:r w:rsidRPr="00B20F1B">
              <w:rPr>
                <w:rFonts w:eastAsia="Times New Roman" w:cs="Arial"/>
                <w:color w:val="000000"/>
                <w:sz w:val="16"/>
                <w:szCs w:val="16"/>
                <w:lang w:eastAsia="en-US"/>
              </w:rPr>
              <w:t>2016</w:t>
            </w:r>
          </w:p>
        </w:tc>
        <w:tc>
          <w:tcPr>
            <w:tcW w:w="2393" w:type="dxa"/>
            <w:shd w:val="clear" w:color="000000" w:fill="FFFFFF"/>
            <w:tcMar>
              <w:top w:w="57" w:type="dxa"/>
            </w:tcMar>
            <w:hideMark/>
          </w:tcPr>
          <w:p w14:paraId="180A7C47" w14:textId="77777777" w:rsidR="005723BD" w:rsidRPr="00B20F1B" w:rsidRDefault="005723BD" w:rsidP="00986700">
            <w:pPr>
              <w:rPr>
                <w:rFonts w:eastAsia="Times New Roman" w:cs="Arial"/>
                <w:color w:val="000000"/>
                <w:sz w:val="16"/>
                <w:szCs w:val="16"/>
                <w:lang w:eastAsia="en-US"/>
              </w:rPr>
            </w:pPr>
            <w:r w:rsidRPr="00B20F1B">
              <w:rPr>
                <w:rFonts w:eastAsia="Times New Roman" w:cs="Arial"/>
                <w:color w:val="000000"/>
                <w:sz w:val="16"/>
                <w:szCs w:val="16"/>
                <w:lang w:eastAsia="en-US"/>
              </w:rPr>
              <w:t>3</w:t>
            </w:r>
            <w:r>
              <w:rPr>
                <w:rFonts w:eastAsia="Times New Roman" w:cs="Arial"/>
                <w:color w:val="000000"/>
                <w:sz w:val="16"/>
                <w:szCs w:val="16"/>
                <w:lang w:eastAsia="en-US"/>
              </w:rPr>
              <w:t> </w:t>
            </w:r>
            <w:r w:rsidRPr="00B20F1B">
              <w:rPr>
                <w:rFonts w:eastAsia="Times New Roman" w:cs="Arial"/>
                <w:color w:val="000000"/>
                <w:sz w:val="16"/>
                <w:szCs w:val="16"/>
                <w:lang w:eastAsia="en-US"/>
              </w:rPr>
              <w:t xml:space="preserve">800 </w:t>
            </w:r>
            <w:r>
              <w:rPr>
                <w:rFonts w:eastAsia="Times New Roman" w:cs="Arial"/>
                <w:color w:val="000000"/>
                <w:sz w:val="16"/>
                <w:szCs w:val="16"/>
                <w:lang w:eastAsia="en-US"/>
              </w:rPr>
              <w:t>utilisateurs par année</w:t>
            </w:r>
          </w:p>
        </w:tc>
      </w:tr>
      <w:tr w:rsidR="005723BD" w:rsidRPr="00B20F1B" w14:paraId="6997DE7E" w14:textId="77777777" w:rsidTr="005723BD">
        <w:trPr>
          <w:cantSplit/>
        </w:trPr>
        <w:tc>
          <w:tcPr>
            <w:tcW w:w="2392" w:type="dxa"/>
            <w:shd w:val="clear" w:color="000000" w:fill="FFFFFF"/>
            <w:tcMar>
              <w:top w:w="57" w:type="dxa"/>
            </w:tcMar>
            <w:vAlign w:val="bottom"/>
            <w:hideMark/>
          </w:tcPr>
          <w:p w14:paraId="0E11BF69" w14:textId="77777777" w:rsidR="005723BD" w:rsidRPr="00B20F1B" w:rsidRDefault="005723BD" w:rsidP="00986700">
            <w:pPr>
              <w:jc w:val="right"/>
              <w:rPr>
                <w:rFonts w:eastAsia="Times New Roman" w:cs="Arial"/>
                <w:color w:val="000000"/>
                <w:sz w:val="16"/>
                <w:szCs w:val="16"/>
                <w:lang w:eastAsia="en-US"/>
              </w:rPr>
            </w:pPr>
            <w:r w:rsidRPr="00B20F1B">
              <w:rPr>
                <w:rFonts w:eastAsia="Times New Roman" w:cs="Arial"/>
                <w:color w:val="000000"/>
                <w:sz w:val="16"/>
                <w:szCs w:val="16"/>
                <w:lang w:eastAsia="en-US"/>
              </w:rPr>
              <w:t> </w:t>
            </w:r>
          </w:p>
        </w:tc>
        <w:tc>
          <w:tcPr>
            <w:tcW w:w="2393" w:type="dxa"/>
            <w:shd w:val="clear" w:color="000000" w:fill="FFFFFF"/>
            <w:tcMar>
              <w:top w:w="57" w:type="dxa"/>
            </w:tcMar>
            <w:hideMark/>
          </w:tcPr>
          <w:p w14:paraId="59E8D7B7" w14:textId="77777777" w:rsidR="005723BD" w:rsidRPr="002E47D0" w:rsidRDefault="005723BD" w:rsidP="00986700">
            <w:pPr>
              <w:rPr>
                <w:rFonts w:eastAsia="Times New Roman" w:cs="Arial"/>
                <w:color w:val="000000"/>
                <w:sz w:val="16"/>
                <w:szCs w:val="16"/>
                <w:lang w:val="fr-CH" w:eastAsia="en-US"/>
              </w:rPr>
            </w:pPr>
            <w:r w:rsidRPr="002E47D0">
              <w:rPr>
                <w:rFonts w:eastAsia="Times New Roman" w:cs="Arial"/>
                <w:color w:val="000000"/>
                <w:sz w:val="16"/>
                <w:szCs w:val="16"/>
                <w:lang w:val="fr-CH" w:eastAsia="en-US"/>
              </w:rPr>
              <w:t>Nombre d</w:t>
            </w:r>
            <w:r>
              <w:rPr>
                <w:rFonts w:eastAsia="Times New Roman" w:cs="Arial"/>
                <w:color w:val="000000"/>
                <w:sz w:val="16"/>
                <w:szCs w:val="16"/>
                <w:lang w:val="fr-CH" w:eastAsia="en-US"/>
              </w:rPr>
              <w:t>’</w:t>
            </w:r>
            <w:r w:rsidRPr="002E47D0">
              <w:rPr>
                <w:rFonts w:eastAsia="Times New Roman" w:cs="Arial"/>
                <w:color w:val="000000"/>
                <w:sz w:val="16"/>
                <w:szCs w:val="16"/>
                <w:lang w:val="fr-CH" w:eastAsia="en-US"/>
              </w:rPr>
              <w:t>utilisateurs actifs inscrits aux programme</w:t>
            </w:r>
            <w:r>
              <w:rPr>
                <w:rFonts w:eastAsia="Times New Roman" w:cs="Arial"/>
                <w:color w:val="000000"/>
                <w:sz w:val="16"/>
                <w:szCs w:val="16"/>
                <w:lang w:val="fr-CH" w:eastAsia="en-US"/>
              </w:rPr>
              <w:t>s</w:t>
            </w:r>
            <w:r w:rsidRPr="002E47D0">
              <w:rPr>
                <w:rFonts w:eastAsia="Times New Roman" w:cs="Arial"/>
                <w:color w:val="000000"/>
                <w:sz w:val="16"/>
                <w:szCs w:val="16"/>
                <w:lang w:val="fr-CH" w:eastAsia="en-US"/>
              </w:rPr>
              <w:t xml:space="preserve"> ARDI </w:t>
            </w:r>
            <w:r>
              <w:rPr>
                <w:rFonts w:eastAsia="Times New Roman" w:cs="Arial"/>
                <w:color w:val="000000"/>
                <w:sz w:val="16"/>
                <w:szCs w:val="16"/>
                <w:lang w:val="fr-CH" w:eastAsia="en-US"/>
              </w:rPr>
              <w:t>et</w:t>
            </w:r>
            <w:r w:rsidRPr="002E47D0">
              <w:rPr>
                <w:rFonts w:eastAsia="Times New Roman" w:cs="Arial"/>
                <w:color w:val="000000"/>
                <w:sz w:val="16"/>
                <w:szCs w:val="16"/>
                <w:lang w:val="fr-CH" w:eastAsia="en-US"/>
              </w:rPr>
              <w:t xml:space="preserve"> ASPI</w:t>
            </w:r>
          </w:p>
        </w:tc>
        <w:tc>
          <w:tcPr>
            <w:tcW w:w="2393" w:type="dxa"/>
            <w:shd w:val="clear" w:color="000000" w:fill="FFFFFF"/>
            <w:tcMar>
              <w:top w:w="57" w:type="dxa"/>
            </w:tcMar>
            <w:hideMark/>
          </w:tcPr>
          <w:p w14:paraId="1F32C752" w14:textId="77777777" w:rsidR="005723BD" w:rsidRDefault="005723BD" w:rsidP="00986700">
            <w:pPr>
              <w:rPr>
                <w:rFonts w:eastAsia="Times New Roman" w:cs="Arial"/>
                <w:color w:val="000000"/>
                <w:sz w:val="16"/>
                <w:szCs w:val="16"/>
                <w:lang w:val="fr-CH" w:eastAsia="en-US"/>
              </w:rPr>
            </w:pPr>
            <w:r w:rsidRPr="002E47D0">
              <w:rPr>
                <w:rFonts w:eastAsia="Times New Roman" w:cs="Arial"/>
                <w:color w:val="000000"/>
                <w:sz w:val="16"/>
                <w:szCs w:val="16"/>
                <w:lang w:val="fr-CH" w:eastAsia="en-US"/>
              </w:rPr>
              <w:t>ARDI (800)</w:t>
            </w:r>
          </w:p>
          <w:p w14:paraId="1E4B6153" w14:textId="77777777" w:rsidR="005723BD" w:rsidRDefault="005723BD" w:rsidP="00986700">
            <w:pPr>
              <w:rPr>
                <w:rFonts w:eastAsia="Times New Roman" w:cs="Arial"/>
                <w:color w:val="000000"/>
                <w:sz w:val="16"/>
                <w:szCs w:val="16"/>
                <w:lang w:val="fr-CH" w:eastAsia="en-US"/>
              </w:rPr>
            </w:pPr>
            <w:r w:rsidRPr="002E47D0">
              <w:rPr>
                <w:rFonts w:eastAsia="Times New Roman" w:cs="Arial"/>
                <w:color w:val="000000"/>
                <w:sz w:val="16"/>
                <w:szCs w:val="16"/>
                <w:lang w:val="fr-CH" w:eastAsia="en-US"/>
              </w:rPr>
              <w:t>ASPI (55)</w:t>
            </w:r>
          </w:p>
          <w:p w14:paraId="54A866A3" w14:textId="7A154D82" w:rsidR="005723BD" w:rsidRPr="002E47D0" w:rsidRDefault="005723BD" w:rsidP="00986700">
            <w:pPr>
              <w:rPr>
                <w:rFonts w:eastAsia="Times New Roman" w:cs="Arial"/>
                <w:color w:val="000000"/>
                <w:sz w:val="16"/>
                <w:szCs w:val="16"/>
                <w:lang w:val="fr-CH" w:eastAsia="en-US"/>
              </w:rPr>
            </w:pPr>
            <w:r w:rsidRPr="002E47D0">
              <w:rPr>
                <w:rFonts w:eastAsia="Times New Roman" w:cs="Arial"/>
                <w:color w:val="000000"/>
                <w:sz w:val="16"/>
                <w:szCs w:val="16"/>
                <w:lang w:val="fr-CH" w:eastAsia="en-US"/>
              </w:rPr>
              <w:t>(à la fin de</w:t>
            </w:r>
            <w:r>
              <w:rPr>
                <w:rFonts w:eastAsia="Times New Roman" w:cs="Arial"/>
                <w:color w:val="000000"/>
                <w:sz w:val="16"/>
                <w:szCs w:val="16"/>
                <w:lang w:val="fr-CH" w:eastAsia="en-US"/>
              </w:rPr>
              <w:t> </w:t>
            </w:r>
            <w:r w:rsidRPr="002E47D0">
              <w:rPr>
                <w:rFonts w:eastAsia="Times New Roman" w:cs="Arial"/>
                <w:color w:val="000000"/>
                <w:sz w:val="16"/>
                <w:szCs w:val="16"/>
                <w:lang w:val="fr-CH" w:eastAsia="en-US"/>
              </w:rPr>
              <w:t>2016)</w:t>
            </w:r>
          </w:p>
        </w:tc>
        <w:tc>
          <w:tcPr>
            <w:tcW w:w="2393" w:type="dxa"/>
            <w:shd w:val="clear" w:color="000000" w:fill="FFFFFF"/>
            <w:tcMar>
              <w:top w:w="57" w:type="dxa"/>
            </w:tcMar>
            <w:hideMark/>
          </w:tcPr>
          <w:p w14:paraId="7FF6B31E" w14:textId="77777777" w:rsidR="005723BD" w:rsidRDefault="005723BD" w:rsidP="00986700">
            <w:pPr>
              <w:rPr>
                <w:rFonts w:eastAsia="Times New Roman" w:cs="Arial"/>
                <w:color w:val="000000"/>
                <w:sz w:val="16"/>
                <w:szCs w:val="16"/>
                <w:lang w:eastAsia="en-US"/>
              </w:rPr>
            </w:pPr>
            <w:r>
              <w:rPr>
                <w:rFonts w:eastAsia="Times New Roman" w:cs="Arial"/>
                <w:color w:val="000000"/>
                <w:sz w:val="16"/>
                <w:szCs w:val="16"/>
                <w:lang w:eastAsia="en-US"/>
              </w:rPr>
              <w:t>ARDI (1 </w:t>
            </w:r>
            <w:r w:rsidRPr="00B20F1B">
              <w:rPr>
                <w:rFonts w:eastAsia="Times New Roman" w:cs="Arial"/>
                <w:color w:val="000000"/>
                <w:sz w:val="16"/>
                <w:szCs w:val="16"/>
                <w:lang w:eastAsia="en-US"/>
              </w:rPr>
              <w:t>000)</w:t>
            </w:r>
          </w:p>
          <w:p w14:paraId="5B766F47" w14:textId="4CE1729C" w:rsidR="005723BD" w:rsidRPr="00B20F1B" w:rsidRDefault="005723BD" w:rsidP="00986700">
            <w:pPr>
              <w:rPr>
                <w:rFonts w:eastAsia="Times New Roman" w:cs="Arial"/>
                <w:color w:val="000000"/>
                <w:sz w:val="16"/>
                <w:szCs w:val="16"/>
                <w:lang w:eastAsia="en-US"/>
              </w:rPr>
            </w:pPr>
            <w:r w:rsidRPr="00B20F1B">
              <w:rPr>
                <w:rFonts w:eastAsia="Times New Roman" w:cs="Arial"/>
                <w:color w:val="000000"/>
                <w:sz w:val="16"/>
                <w:szCs w:val="16"/>
                <w:lang w:eastAsia="en-US"/>
              </w:rPr>
              <w:t>ASPI (65)</w:t>
            </w:r>
          </w:p>
        </w:tc>
      </w:tr>
    </w:tbl>
    <w:p w14:paraId="023F709A" w14:textId="77777777" w:rsidR="005723BD" w:rsidRPr="00B20F1B" w:rsidRDefault="005723BD"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58825121" w14:textId="77777777" w:rsidTr="001A722F">
        <w:trPr>
          <w:cantSplit/>
        </w:trPr>
        <w:tc>
          <w:tcPr>
            <w:tcW w:w="9571" w:type="dxa"/>
            <w:shd w:val="clear" w:color="auto" w:fill="C6D9F1" w:themeFill="text2" w:themeFillTint="33"/>
            <w:vAlign w:val="center"/>
          </w:tcPr>
          <w:p w14:paraId="6351E9C7" w14:textId="77777777" w:rsidR="00277197" w:rsidRPr="00821D15" w:rsidRDefault="00277197" w:rsidP="00986700">
            <w:pPr>
              <w:jc w:val="center"/>
              <w:rPr>
                <w:rFonts w:cs="Arial"/>
                <w:b/>
                <w:szCs w:val="20"/>
              </w:rPr>
            </w:pPr>
            <w:r w:rsidRPr="00821D15">
              <w:rPr>
                <w:rFonts w:cs="Arial"/>
                <w:b/>
                <w:szCs w:val="20"/>
              </w:rPr>
              <w:t>Ressources allouées au programme 14</w:t>
            </w:r>
          </w:p>
        </w:tc>
      </w:tr>
    </w:tbl>
    <w:p w14:paraId="1A6F5707" w14:textId="77777777" w:rsidR="00277197" w:rsidRPr="00821D15" w:rsidRDefault="00277197" w:rsidP="00986700">
      <w:pPr>
        <w:rPr>
          <w:rFonts w:cs="Arial"/>
          <w:szCs w:val="20"/>
        </w:rPr>
      </w:pPr>
    </w:p>
    <w:p w14:paraId="3C6A5A92" w14:textId="77777777" w:rsidR="00277197" w:rsidRPr="00821D15" w:rsidRDefault="00277197" w:rsidP="00616FD3">
      <w:pPr>
        <w:pStyle w:val="ListParagraph"/>
        <w:numPr>
          <w:ilvl w:val="0"/>
          <w:numId w:val="76"/>
        </w:numPr>
        <w:ind w:left="0" w:firstLine="0"/>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12,3% par rapport au budget approuvé pour 2016</w:t>
      </w:r>
      <w:r w:rsidRPr="00821D15">
        <w:rPr>
          <w:rFonts w:cs="Arial"/>
          <w:szCs w:val="20"/>
        </w:rPr>
        <w:noBreakHyphen/>
        <w:t>2017.</w:t>
      </w:r>
    </w:p>
    <w:p w14:paraId="57216143" w14:textId="77777777" w:rsidR="00277197" w:rsidRPr="00821D15" w:rsidRDefault="00277197" w:rsidP="00986700">
      <w:pPr>
        <w:rPr>
          <w:rFonts w:cs="Arial"/>
          <w:szCs w:val="20"/>
        </w:rPr>
      </w:pPr>
    </w:p>
    <w:p w14:paraId="369D3975" w14:textId="77777777" w:rsidR="00277197" w:rsidRPr="00821D15" w:rsidRDefault="00277197" w:rsidP="00616FD3">
      <w:pPr>
        <w:pStyle w:val="ListParagraph"/>
        <w:numPr>
          <w:ilvl w:val="0"/>
          <w:numId w:val="76"/>
        </w:numPr>
        <w:ind w:left="0" w:firstLine="0"/>
        <w:rPr>
          <w:rFonts w:cs="Arial"/>
          <w:szCs w:val="20"/>
        </w:rPr>
      </w:pPr>
      <w:r w:rsidRPr="00821D15">
        <w:rPr>
          <w:rFonts w:cs="Arial"/>
          <w:szCs w:val="20"/>
        </w:rPr>
        <w:t>Cette augmentation est due à des provisions supplémentaires pour la mise en œuvre des projets du Plan d’action pour le développement intitulés “Gestion de la propriété intellectuelle et transfert de technologie : promouvoir l’utilisation efficace de la propriété intellectuelle dans les pays en développement”, dont il est rendu compte sous le résultat escompté III.2, et “Utilisation de l’information figurant dans le domaine public aux fins du développement économique”, dont il est rendu compte sous le résultat escompté IV.2 (amélioration de l’accessibilité et de l’utilisation de l’information en matière de propriété intellectuelle).</w:t>
      </w:r>
    </w:p>
    <w:p w14:paraId="48B2097B" w14:textId="77777777" w:rsidR="00277197" w:rsidRPr="00821D15" w:rsidRDefault="00277197" w:rsidP="00986700">
      <w:pPr>
        <w:rPr>
          <w:rFonts w:cs="Arial"/>
          <w:szCs w:val="20"/>
        </w:rPr>
      </w:pPr>
    </w:p>
    <w:p w14:paraId="71229490" w14:textId="77777777" w:rsidR="00277197" w:rsidRPr="00821D15" w:rsidRDefault="00277197" w:rsidP="00616FD3">
      <w:pPr>
        <w:pStyle w:val="ListParagraph"/>
        <w:numPr>
          <w:ilvl w:val="0"/>
          <w:numId w:val="76"/>
        </w:numPr>
        <w:ind w:left="0" w:firstLine="0"/>
        <w:rPr>
          <w:rFonts w:cs="Arial"/>
          <w:szCs w:val="20"/>
        </w:rPr>
      </w:pPr>
      <w:r w:rsidRPr="00821D15">
        <w:rPr>
          <w:rFonts w:cs="Arial"/>
          <w:szCs w:val="20"/>
        </w:rPr>
        <w:t>L’ajout d’un poste dans le cadre du programme, par rapport au budget approuvé pour 2016</w:t>
      </w:r>
      <w:r w:rsidRPr="00821D15">
        <w:rPr>
          <w:rFonts w:cs="Arial"/>
          <w:szCs w:val="20"/>
        </w:rPr>
        <w:noBreakHyphen/>
        <w:t>2017, répond à la nécessité de renforcer la coordination globale avec les États membres participant à WIPO Lex depuis le bureau du sous</w:t>
      </w:r>
      <w:r w:rsidRPr="00821D15">
        <w:rPr>
          <w:rFonts w:cs="Arial"/>
          <w:szCs w:val="20"/>
        </w:rPr>
        <w:noBreakHyphen/>
        <w:t>directeur général pour le Secteur de l’infrastructure mondiale.</w:t>
      </w:r>
    </w:p>
    <w:p w14:paraId="386CF69B" w14:textId="77777777" w:rsidR="00674550" w:rsidRDefault="00674550" w:rsidP="00986700"/>
    <w:p w14:paraId="473D5826" w14:textId="1141B2A7"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14 : </w:t>
      </w:r>
      <w:r w:rsidRPr="00674550">
        <w:rPr>
          <w:rFonts w:eastAsia="Times New Roman" w:cs="Arial"/>
          <w:b/>
          <w:szCs w:val="20"/>
          <w:lang w:eastAsia="en-US"/>
        </w:rPr>
        <w:t>Ressources par résultat</w:t>
      </w:r>
    </w:p>
    <w:p w14:paraId="176B7A5B"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0A52251B" w14:textId="77777777" w:rsidR="00717231" w:rsidRDefault="00717231" w:rsidP="00986700"/>
    <w:p w14:paraId="0C664651" w14:textId="1D530AA2" w:rsidR="00717231" w:rsidRDefault="00717231" w:rsidP="00986700">
      <w:pPr>
        <w:jc w:val="center"/>
      </w:pPr>
      <w:r w:rsidRPr="00717231">
        <w:rPr>
          <w:noProof/>
          <w:lang w:val="en-US" w:eastAsia="en-US"/>
        </w:rPr>
        <w:drawing>
          <wp:inline distT="0" distB="0" distL="0" distR="0" wp14:anchorId="2BEC3BAA" wp14:editId="4AB8F2F8">
            <wp:extent cx="5400000" cy="1907445"/>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000" cy="1907445"/>
                    </a:xfrm>
                    <a:prstGeom prst="rect">
                      <a:avLst/>
                    </a:prstGeom>
                    <a:noFill/>
                    <a:ln>
                      <a:noFill/>
                    </a:ln>
                  </pic:spPr>
                </pic:pic>
              </a:graphicData>
            </a:graphic>
          </wp:inline>
        </w:drawing>
      </w:r>
    </w:p>
    <w:p w14:paraId="225C7051" w14:textId="77777777" w:rsidR="00B55ECC" w:rsidRDefault="00B55ECC" w:rsidP="00986700"/>
    <w:p w14:paraId="5E1902B3"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14</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6A795FA" w14:textId="00897781"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26316E4A" w14:textId="77777777" w:rsidR="008778B5" w:rsidRDefault="008778B5" w:rsidP="00986700">
      <w:pPr>
        <w:keepNext/>
        <w:rPr>
          <w:lang w:eastAsia="en-US"/>
        </w:rPr>
      </w:pPr>
    </w:p>
    <w:p w14:paraId="0CD62297" w14:textId="06D80399" w:rsidR="00B55ECC" w:rsidRDefault="008778B5" w:rsidP="00986700">
      <w:pPr>
        <w:jc w:val="center"/>
        <w:rPr>
          <w:lang w:eastAsia="en-US"/>
        </w:rPr>
      </w:pPr>
      <w:r w:rsidRPr="008778B5">
        <w:rPr>
          <w:noProof/>
          <w:lang w:val="en-US" w:eastAsia="en-US"/>
        </w:rPr>
        <w:drawing>
          <wp:inline distT="0" distB="0" distL="0" distR="0" wp14:anchorId="2472DBAD" wp14:editId="47E49317">
            <wp:extent cx="5400000" cy="6457274"/>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000" cy="6457274"/>
                    </a:xfrm>
                    <a:prstGeom prst="rect">
                      <a:avLst/>
                    </a:prstGeom>
                    <a:noFill/>
                    <a:ln>
                      <a:noFill/>
                    </a:ln>
                  </pic:spPr>
                </pic:pic>
              </a:graphicData>
            </a:graphic>
          </wp:inline>
        </w:drawing>
      </w:r>
    </w:p>
    <w:p w14:paraId="0DF9A664" w14:textId="77777777" w:rsidR="00B55ECC" w:rsidRPr="00E16214" w:rsidRDefault="00B55ECC" w:rsidP="00986700">
      <w:pPr>
        <w:rPr>
          <w:lang w:eastAsia="en-US"/>
        </w:rPr>
      </w:pPr>
    </w:p>
    <w:p w14:paraId="409306E5" w14:textId="77777777" w:rsidR="007D7D6A" w:rsidRDefault="007D7D6A" w:rsidP="00986700">
      <w:r>
        <w:br w:type="page"/>
      </w:r>
    </w:p>
    <w:p w14:paraId="1042D543" w14:textId="26BC0DC7" w:rsidR="007D7D6A" w:rsidRPr="0060494B" w:rsidRDefault="0060494B" w:rsidP="00986700">
      <w:pPr>
        <w:pStyle w:val="Heading2"/>
      </w:pPr>
      <w:bookmarkStart w:id="56" w:name="_Toc482979495"/>
      <w:r w:rsidRPr="0060494B">
        <w:lastRenderedPageBreak/>
        <w:t xml:space="preserve">Programme </w:t>
      </w:r>
      <w:r w:rsidR="007D7D6A" w:rsidRPr="0060494B">
        <w:t>15</w:t>
      </w:r>
      <w:r w:rsidR="007D7D6A" w:rsidRPr="0060494B">
        <w:tab/>
      </w:r>
      <w:r w:rsidRPr="0060494B">
        <w:t>Solutions opérationnelles pour les offices de propriété intellectuelle</w:t>
      </w:r>
      <w:bookmarkEnd w:id="56"/>
    </w:p>
    <w:p w14:paraId="6EFC257B" w14:textId="77777777" w:rsidR="007D7D6A" w:rsidRPr="00A970C5" w:rsidRDefault="007D7D6A" w:rsidP="00986700">
      <w:pPr>
        <w:rPr>
          <w:rStyle w:val="StyleStyleHeading3ComplexItalicLatin12ptChar"/>
          <w:rFonts w:eastAsia="SimSun"/>
          <w:szCs w:val="20"/>
        </w:rPr>
      </w:pPr>
    </w:p>
    <w:p w14:paraId="5A36DE16" w14:textId="77777777" w:rsidR="007D7D6A" w:rsidRPr="00A970C5" w:rsidRDefault="007D7D6A" w:rsidP="00986700">
      <w:pPr>
        <w:rPr>
          <w:bCs/>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50FADF99" w14:textId="77777777" w:rsidTr="009624B8">
        <w:trPr>
          <w:cantSplit/>
        </w:trPr>
        <w:tc>
          <w:tcPr>
            <w:tcW w:w="9287" w:type="dxa"/>
            <w:shd w:val="clear" w:color="auto" w:fill="C6D9F1" w:themeFill="text2" w:themeFillTint="33"/>
            <w:vAlign w:val="center"/>
          </w:tcPr>
          <w:p w14:paraId="05F2DC52" w14:textId="77777777" w:rsidR="007D7D6A" w:rsidRPr="00A970C5" w:rsidRDefault="007D7D6A" w:rsidP="00986700">
            <w:pPr>
              <w:jc w:val="center"/>
              <w:rPr>
                <w:rFonts w:eastAsia="Times New Roman" w:cs="Arial"/>
                <w:b/>
                <w:bCs/>
                <w:szCs w:val="20"/>
                <w:lang w:eastAsia="en-US"/>
              </w:rPr>
            </w:pPr>
            <w:r w:rsidRPr="00A970C5">
              <w:rPr>
                <w:rFonts w:eastAsia="Times New Roman" w:cs="Arial"/>
                <w:b/>
                <w:bCs/>
                <w:szCs w:val="20"/>
                <w:lang w:eastAsia="en-US"/>
              </w:rPr>
              <w:t xml:space="preserve">Stratégies de mise en œuvre </w:t>
            </w:r>
          </w:p>
        </w:tc>
      </w:tr>
    </w:tbl>
    <w:p w14:paraId="4360D80F" w14:textId="4797A9A6" w:rsidR="007D7D6A" w:rsidRPr="00A970C5" w:rsidRDefault="007D7D6A" w:rsidP="00986700">
      <w:pPr>
        <w:jc w:val="both"/>
        <w:rPr>
          <w:rFonts w:cs="Arial"/>
          <w:szCs w:val="20"/>
        </w:rPr>
      </w:pPr>
    </w:p>
    <w:p w14:paraId="754D8B5E" w14:textId="4040E407"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 xml:space="preserve">Enrichir la série de modules IPAS (IPAS, WIPO File, WIPO Publish, WIPOScan) en veillant à ce qu’elle réponde aux besoins d’offices de propriété intellectuelle ayant des niveaux de développement différents dans les pays en développement, les pays en transition et les pays les moins avancés, afin de permettre des opérations </w:t>
      </w:r>
      <w:r w:rsidR="00B818C0" w:rsidRPr="00A970C5">
        <w:rPr>
          <w:rFonts w:cs="Arial"/>
          <w:szCs w:val="20"/>
        </w:rPr>
        <w:t>relatives aux</w:t>
      </w:r>
      <w:r w:rsidRPr="00A970C5">
        <w:rPr>
          <w:rFonts w:cs="Arial"/>
          <w:szCs w:val="20"/>
        </w:rPr>
        <w:t xml:space="preserve"> flux de travail et </w:t>
      </w:r>
      <w:r w:rsidR="00B818C0" w:rsidRPr="00A970C5">
        <w:rPr>
          <w:rFonts w:cs="Arial"/>
          <w:szCs w:val="20"/>
        </w:rPr>
        <w:t>aux</w:t>
      </w:r>
      <w:r w:rsidRPr="00A970C5">
        <w:rPr>
          <w:rFonts w:cs="Arial"/>
          <w:szCs w:val="20"/>
        </w:rPr>
        <w:t xml:space="preserve"> données intégralement en ligne, ainsi qu’une amélioration de la qualité des données, des flux de travail des offices, de la gestion des procédures d’enregistrement de droits de propriété intellectuelle et des liens entre les systèmes nationaux et les systèmes mondiaux et régionaux de propriété intellectuelle (PCT et Madrid, d’une part, et ARIPO, OEB et OAPI, d’autre part);</w:t>
      </w:r>
    </w:p>
    <w:p w14:paraId="3AE87FC6" w14:textId="77777777" w:rsidR="007D7D6A" w:rsidRPr="00A970C5" w:rsidRDefault="007D7D6A" w:rsidP="00986700">
      <w:pPr>
        <w:ind w:left="567" w:hanging="567"/>
        <w:jc w:val="both"/>
        <w:rPr>
          <w:rFonts w:cs="Arial"/>
          <w:szCs w:val="20"/>
        </w:rPr>
      </w:pPr>
    </w:p>
    <w:p w14:paraId="047A94B1" w14:textId="4549B1C0"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 xml:space="preserve">Refonder le système IPAS sur la base d’une nouvelle architecture offrant une plateforme modernisée, davantage d’options de personnalisation, plus d’autonomie pour les offices de propriété intellectuelle et des coûts </w:t>
      </w:r>
      <w:r w:rsidR="00B818C0" w:rsidRPr="00A970C5">
        <w:rPr>
          <w:rFonts w:cs="Arial"/>
          <w:szCs w:val="20"/>
        </w:rPr>
        <w:t xml:space="preserve">en matière </w:t>
      </w:r>
      <w:r w:rsidRPr="00A970C5">
        <w:rPr>
          <w:rFonts w:cs="Arial"/>
          <w:szCs w:val="20"/>
        </w:rPr>
        <w:t>d’appui moins élevés</w:t>
      </w:r>
      <w:r w:rsidR="00B818C0" w:rsidRPr="00A970C5">
        <w:rPr>
          <w:rFonts w:cs="Arial"/>
          <w:szCs w:val="20"/>
        </w:rPr>
        <w:t xml:space="preserve"> à long terme</w:t>
      </w:r>
      <w:r w:rsidRPr="00A970C5">
        <w:rPr>
          <w:rFonts w:cs="Arial"/>
          <w:szCs w:val="20"/>
        </w:rPr>
        <w:t>;</w:t>
      </w:r>
    </w:p>
    <w:p w14:paraId="6DA701E5" w14:textId="77777777" w:rsidR="007D7D6A" w:rsidRPr="00A970C5" w:rsidRDefault="007D7D6A" w:rsidP="00986700">
      <w:pPr>
        <w:ind w:left="567" w:hanging="567"/>
        <w:jc w:val="both"/>
        <w:rPr>
          <w:rFonts w:cs="Arial"/>
          <w:szCs w:val="20"/>
        </w:rPr>
      </w:pPr>
    </w:p>
    <w:p w14:paraId="3B00A5DA" w14:textId="40A789FA" w:rsidR="007D7D6A" w:rsidRPr="00A970C5" w:rsidRDefault="009624B8" w:rsidP="00986700">
      <w:pPr>
        <w:pStyle w:val="ListParagraph"/>
        <w:numPr>
          <w:ilvl w:val="0"/>
          <w:numId w:val="11"/>
        </w:numPr>
        <w:ind w:left="567" w:hanging="567"/>
        <w:jc w:val="both"/>
        <w:rPr>
          <w:rFonts w:cs="Arial"/>
          <w:szCs w:val="20"/>
        </w:rPr>
      </w:pPr>
      <w:r w:rsidRPr="009624B8">
        <w:rPr>
          <w:noProof/>
          <w:lang w:val="en-US" w:eastAsia="en-US"/>
        </w:rPr>
        <w:drawing>
          <wp:anchor distT="0" distB="0" distL="114300" distR="114300" simplePos="0" relativeHeight="251673600" behindDoc="1" locked="0" layoutInCell="1" allowOverlap="1" wp14:anchorId="7D0D39B6" wp14:editId="3B8F3CA0">
            <wp:simplePos x="0" y="0"/>
            <wp:positionH relativeFrom="column">
              <wp:posOffset>4625975</wp:posOffset>
            </wp:positionH>
            <wp:positionV relativeFrom="paragraph">
              <wp:posOffset>382270</wp:posOffset>
            </wp:positionV>
            <wp:extent cx="1342390" cy="1342390"/>
            <wp:effectExtent l="0" t="0" r="0" b="0"/>
            <wp:wrapTight wrapText="bothSides">
              <wp:wrapPolygon edited="0">
                <wp:start x="7970" y="0"/>
                <wp:lineTo x="5518" y="920"/>
                <wp:lineTo x="1226" y="3985"/>
                <wp:lineTo x="0" y="9502"/>
                <wp:lineTo x="0" y="15939"/>
                <wp:lineTo x="4904" y="19618"/>
                <wp:lineTo x="7357" y="20844"/>
                <wp:lineTo x="7663" y="21150"/>
                <wp:lineTo x="13794" y="21150"/>
                <wp:lineTo x="17166" y="19618"/>
                <wp:lineTo x="20844" y="14713"/>
                <wp:lineTo x="21150" y="11648"/>
                <wp:lineTo x="21150" y="7663"/>
                <wp:lineTo x="20537" y="4291"/>
                <wp:lineTo x="15939" y="920"/>
                <wp:lineTo x="13487" y="0"/>
                <wp:lineTo x="7970" y="0"/>
              </wp:wrapPolygon>
            </wp:wrapTight>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4239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D6A" w:rsidRPr="00A970C5">
        <w:rPr>
          <w:rFonts w:cs="Arial"/>
          <w:szCs w:val="20"/>
        </w:rPr>
        <w:t>Fournir</w:t>
      </w:r>
      <w:r w:rsidR="00B818C0" w:rsidRPr="00A970C5">
        <w:rPr>
          <w:rFonts w:cs="Arial"/>
          <w:szCs w:val="20"/>
        </w:rPr>
        <w:t xml:space="preserve"> aux offices de propriété intellectuelle</w:t>
      </w:r>
      <w:r w:rsidR="007D7D6A" w:rsidRPr="00A970C5">
        <w:rPr>
          <w:rFonts w:cs="Arial"/>
          <w:szCs w:val="20"/>
        </w:rPr>
        <w:t xml:space="preserve"> des services électroniques </w:t>
      </w:r>
      <w:r w:rsidR="00B818C0" w:rsidRPr="00A970C5">
        <w:rPr>
          <w:rFonts w:cs="Arial"/>
          <w:szCs w:val="20"/>
        </w:rPr>
        <w:t xml:space="preserve">accessibles </w:t>
      </w:r>
      <w:r w:rsidR="007D7D6A" w:rsidRPr="00A970C5">
        <w:rPr>
          <w:rFonts w:cs="Arial"/>
          <w:szCs w:val="20"/>
        </w:rPr>
        <w:t>intégralement en ligne en améliorant les modules de services en ligne (WIPO File et WIPO Publish) et leur intégration dans le système IPAS;</w:t>
      </w:r>
    </w:p>
    <w:p w14:paraId="22E7792F" w14:textId="4AF8AA3C" w:rsidR="007D7D6A" w:rsidRPr="00A970C5" w:rsidRDefault="007D7D6A" w:rsidP="00986700">
      <w:pPr>
        <w:ind w:left="567" w:hanging="567"/>
        <w:jc w:val="both"/>
        <w:rPr>
          <w:rFonts w:cs="Arial"/>
          <w:szCs w:val="20"/>
        </w:rPr>
      </w:pPr>
    </w:p>
    <w:p w14:paraId="2520C383" w14:textId="77777777"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Améliorer les activités de formation et de transfert de connaissances au moyen d’ateliers de formation plus ciblés et de cours en ligne destinés à certifier la capacité des experts à utiliser les produits de l’OMPI;</w:t>
      </w:r>
    </w:p>
    <w:p w14:paraId="74F93E58" w14:textId="77777777" w:rsidR="007D7D6A" w:rsidRPr="00A970C5" w:rsidRDefault="007D7D6A" w:rsidP="00986700">
      <w:pPr>
        <w:ind w:left="567" w:hanging="567"/>
        <w:jc w:val="both"/>
        <w:rPr>
          <w:rFonts w:cs="Arial"/>
          <w:szCs w:val="20"/>
        </w:rPr>
      </w:pPr>
    </w:p>
    <w:p w14:paraId="18D9BA4B" w14:textId="1C6F0AE1" w:rsidR="007D7D6A" w:rsidRPr="00A970C5" w:rsidRDefault="00B818C0" w:rsidP="00986700">
      <w:pPr>
        <w:pStyle w:val="ListParagraph"/>
        <w:numPr>
          <w:ilvl w:val="0"/>
          <w:numId w:val="11"/>
        </w:numPr>
        <w:ind w:left="567" w:hanging="567"/>
        <w:jc w:val="both"/>
        <w:rPr>
          <w:rFonts w:cs="Arial"/>
          <w:szCs w:val="20"/>
        </w:rPr>
      </w:pPr>
      <w:r w:rsidRPr="00A970C5">
        <w:rPr>
          <w:rFonts w:cs="Arial"/>
          <w:szCs w:val="20"/>
        </w:rPr>
        <w:t>Axer</w:t>
      </w:r>
      <w:r w:rsidR="007D7D6A" w:rsidRPr="00A970C5">
        <w:rPr>
          <w:rFonts w:cs="Arial"/>
          <w:szCs w:val="20"/>
        </w:rPr>
        <w:t xml:space="preserve"> davantage l</w:t>
      </w:r>
      <w:r w:rsidRPr="00A970C5">
        <w:rPr>
          <w:rFonts w:cs="Arial"/>
          <w:szCs w:val="20"/>
        </w:rPr>
        <w:t>es efforts</w:t>
      </w:r>
      <w:r w:rsidR="007D7D6A" w:rsidRPr="00A970C5">
        <w:rPr>
          <w:rFonts w:cs="Arial"/>
          <w:szCs w:val="20"/>
        </w:rPr>
        <w:t xml:space="preserve"> sur le renforcement des capacités des agents des offices de propriété intellectuelle pour leur permettre de mieux utiliser les outils de l’OMPI en vue d’améliorer leurs compétences en matière d’examen;</w:t>
      </w:r>
    </w:p>
    <w:p w14:paraId="73CCA08A" w14:textId="77777777" w:rsidR="007D7D6A" w:rsidRPr="00A970C5" w:rsidRDefault="007D7D6A" w:rsidP="00986700">
      <w:pPr>
        <w:ind w:left="567" w:hanging="567"/>
        <w:jc w:val="both"/>
        <w:rPr>
          <w:rFonts w:cs="Arial"/>
          <w:szCs w:val="20"/>
        </w:rPr>
      </w:pPr>
    </w:p>
    <w:p w14:paraId="0C37D169" w14:textId="77777777"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Améliorer le processus de mise en place des projets dans les offices de propriété intellectuelle et d’assistance dans ce domaine, en faisant intervenir le personnel de l’OMPI, des prestataires extérieurs et des experts locaux;</w:t>
      </w:r>
    </w:p>
    <w:p w14:paraId="5469659C" w14:textId="77777777" w:rsidR="007D7D6A" w:rsidRPr="00A970C5" w:rsidRDefault="007D7D6A" w:rsidP="00986700">
      <w:pPr>
        <w:ind w:left="567" w:hanging="567"/>
        <w:jc w:val="both"/>
        <w:rPr>
          <w:rFonts w:cs="Arial"/>
          <w:szCs w:val="20"/>
        </w:rPr>
      </w:pPr>
    </w:p>
    <w:p w14:paraId="6A6C01EA" w14:textId="77777777"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Constituer un groupe consultatif représentant toutes les régions en vue d’obtenir un meilleur retour d’information de la part des offices de propriété intellectuelle sur l’orientation future du programme de travail;</w:t>
      </w:r>
    </w:p>
    <w:p w14:paraId="4C924B98" w14:textId="77777777" w:rsidR="007D7D6A" w:rsidRPr="00A970C5" w:rsidRDefault="007D7D6A" w:rsidP="00986700">
      <w:pPr>
        <w:ind w:left="567" w:hanging="567"/>
        <w:jc w:val="both"/>
        <w:rPr>
          <w:rFonts w:cs="Arial"/>
          <w:szCs w:val="20"/>
        </w:rPr>
      </w:pPr>
    </w:p>
    <w:p w14:paraId="236ADB0A" w14:textId="6B0121AB"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Mettre en place le système WIPO Connect dans huit organismes de gestion collective au moins durant l’exercice biennal et améliorer le système en vue d’</w:t>
      </w:r>
      <w:r w:rsidR="00B818C0" w:rsidRPr="00A970C5">
        <w:rPr>
          <w:rFonts w:cs="Arial"/>
          <w:szCs w:val="20"/>
        </w:rPr>
        <w:t xml:space="preserve">en </w:t>
      </w:r>
      <w:r w:rsidRPr="00A970C5">
        <w:rPr>
          <w:rFonts w:cs="Arial"/>
          <w:szCs w:val="20"/>
        </w:rPr>
        <w:t>assurer la viabilité à long terme;</w:t>
      </w:r>
    </w:p>
    <w:p w14:paraId="5561D9C9" w14:textId="77777777" w:rsidR="007D7D6A" w:rsidRPr="00A970C5" w:rsidRDefault="007D7D6A" w:rsidP="00986700">
      <w:pPr>
        <w:ind w:left="567" w:hanging="567"/>
        <w:jc w:val="both"/>
        <w:rPr>
          <w:rFonts w:cs="Arial"/>
          <w:szCs w:val="20"/>
        </w:rPr>
      </w:pPr>
    </w:p>
    <w:p w14:paraId="25ECD4FB" w14:textId="5949501C" w:rsidR="007D7D6A" w:rsidRPr="00A970C5" w:rsidRDefault="007D7D6A" w:rsidP="00986700">
      <w:pPr>
        <w:pStyle w:val="ListParagraph"/>
        <w:numPr>
          <w:ilvl w:val="0"/>
          <w:numId w:val="11"/>
        </w:numPr>
        <w:ind w:left="567" w:hanging="567"/>
        <w:jc w:val="both"/>
        <w:rPr>
          <w:rFonts w:cs="Arial"/>
          <w:szCs w:val="20"/>
        </w:rPr>
      </w:pPr>
      <w:r w:rsidRPr="00A970C5">
        <w:rPr>
          <w:rFonts w:cs="Arial"/>
          <w:szCs w:val="20"/>
        </w:rPr>
        <w:t>Promouvoir et améliorer le système WIPO CASE sur la base des retours d’information reçus des utilisateurs;  permettre une utilisation efficace du système en encourageant davantage d’offices à y adhérer et en proposant formation et documentation</w:t>
      </w:r>
      <w:r w:rsidR="007146B2">
        <w:rPr>
          <w:rFonts w:cs="Arial"/>
          <w:szCs w:val="20"/>
        </w:rPr>
        <w:t>;  explorer avec les offices de propriété intellectuelle les possibilités de renforcer les services à valeur ajoutée à l’intention des utilisateurs</w:t>
      </w:r>
      <w:r w:rsidRPr="00A970C5">
        <w:rPr>
          <w:rFonts w:cs="Arial"/>
          <w:szCs w:val="20"/>
        </w:rPr>
        <w:t>.</w:t>
      </w:r>
    </w:p>
    <w:p w14:paraId="09B35650" w14:textId="77777777" w:rsidR="007D7D6A" w:rsidRPr="00A970C5" w:rsidRDefault="007D7D6A" w:rsidP="00986700">
      <w:pPr>
        <w:jc w:val="both"/>
        <w:rPr>
          <w:rFonts w:cs="Arial"/>
          <w:szCs w:val="20"/>
        </w:rPr>
      </w:pPr>
    </w:p>
    <w:p w14:paraId="4002E639" w14:textId="77777777" w:rsidR="007D7D6A" w:rsidRPr="00A970C5" w:rsidRDefault="007D7D6A"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1CABCF5D" w14:textId="77777777" w:rsidTr="007D7D6A">
        <w:trPr>
          <w:cantSplit/>
        </w:trPr>
        <w:tc>
          <w:tcPr>
            <w:tcW w:w="9571" w:type="dxa"/>
            <w:shd w:val="clear" w:color="auto" w:fill="C6D9F1" w:themeFill="text2" w:themeFillTint="33"/>
            <w:tcMar>
              <w:top w:w="57" w:type="dxa"/>
            </w:tcMar>
            <w:vAlign w:val="center"/>
          </w:tcPr>
          <w:p w14:paraId="4A46E429" w14:textId="402A0E4D" w:rsidR="007D7D6A" w:rsidRPr="00A970C5" w:rsidRDefault="000B1950" w:rsidP="000B1950">
            <w:pPr>
              <w:keepNext/>
              <w:keepLines/>
              <w:jc w:val="center"/>
              <w:rPr>
                <w:rFonts w:eastAsia="Times New Roman" w:cs="Arial"/>
                <w:b/>
                <w:bCs/>
                <w:szCs w:val="20"/>
                <w:lang w:eastAsia="en-US"/>
              </w:rPr>
            </w:pPr>
            <w:r>
              <w:rPr>
                <w:rFonts w:eastAsia="Times New Roman" w:cs="Arial"/>
                <w:b/>
                <w:bCs/>
                <w:szCs w:val="20"/>
                <w:lang w:eastAsia="en-US"/>
              </w:rPr>
              <w:lastRenderedPageBreak/>
              <w:t>Collaboration interprogrammes</w:t>
            </w:r>
          </w:p>
        </w:tc>
      </w:tr>
    </w:tbl>
    <w:p w14:paraId="063EEDCB" w14:textId="77777777" w:rsidR="007D7D6A" w:rsidRPr="00A970C5" w:rsidRDefault="007D7D6A" w:rsidP="00986700">
      <w:pPr>
        <w:keepNext/>
        <w:jc w:val="both"/>
        <w:rPr>
          <w:rFonts w:cs="Arial"/>
          <w:szCs w:val="20"/>
        </w:rPr>
      </w:pPr>
    </w:p>
    <w:p w14:paraId="37353167" w14:textId="6E9514D9" w:rsidR="007D7D6A" w:rsidRPr="00A970C5" w:rsidRDefault="00590DB9" w:rsidP="00590DB9">
      <w:pPr>
        <w:keepNext/>
        <w:jc w:val="center"/>
        <w:rPr>
          <w:rFonts w:cs="Arial"/>
          <w:szCs w:val="20"/>
        </w:rPr>
      </w:pPr>
      <w:r w:rsidRPr="00590DB9">
        <w:rPr>
          <w:noProof/>
          <w:lang w:val="en-US" w:eastAsia="en-US"/>
        </w:rPr>
        <w:drawing>
          <wp:inline distT="0" distB="0" distL="0" distR="0" wp14:anchorId="25CC413D" wp14:editId="3DC0E5EB">
            <wp:extent cx="3638553" cy="3600000"/>
            <wp:effectExtent l="0" t="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38553" cy="3600000"/>
                    </a:xfrm>
                    <a:prstGeom prst="rect">
                      <a:avLst/>
                    </a:prstGeom>
                    <a:noFill/>
                    <a:ln>
                      <a:noFill/>
                    </a:ln>
                  </pic:spPr>
                </pic:pic>
              </a:graphicData>
            </a:graphic>
          </wp:inline>
        </w:drawing>
      </w:r>
    </w:p>
    <w:p w14:paraId="0EB52027" w14:textId="77777777" w:rsidR="007D7D6A" w:rsidRPr="00A970C5" w:rsidRDefault="007D7D6A" w:rsidP="00590DB9">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2"/>
        <w:gridCol w:w="4645"/>
      </w:tblGrid>
      <w:tr w:rsidR="00A970C5" w:rsidRPr="00A970C5" w14:paraId="024F154B" w14:textId="77777777" w:rsidTr="00590DB9">
        <w:trPr>
          <w:cantSplit/>
        </w:trPr>
        <w:tc>
          <w:tcPr>
            <w:tcW w:w="4642" w:type="dxa"/>
            <w:shd w:val="clear" w:color="auto" w:fill="C6D9F1" w:themeFill="text2" w:themeFillTint="33"/>
            <w:vAlign w:val="center"/>
          </w:tcPr>
          <w:p w14:paraId="54FE5A43" w14:textId="77777777" w:rsidR="007D7D6A" w:rsidRPr="00A970C5" w:rsidRDefault="007D7D6A" w:rsidP="00986700">
            <w:pPr>
              <w:keepNext/>
              <w:jc w:val="center"/>
              <w:rPr>
                <w:rFonts w:cs="Arial"/>
                <w:b/>
                <w:bCs/>
                <w:sz w:val="18"/>
                <w:szCs w:val="18"/>
                <w:lang w:eastAsia="en-US"/>
              </w:rPr>
            </w:pPr>
            <w:r w:rsidRPr="00A970C5">
              <w:rPr>
                <w:rFonts w:cs="Arial"/>
                <w:b/>
                <w:bCs/>
                <w:sz w:val="18"/>
                <w:szCs w:val="18"/>
                <w:lang w:eastAsia="en-US"/>
              </w:rPr>
              <w:t>Risques</w:t>
            </w:r>
          </w:p>
        </w:tc>
        <w:tc>
          <w:tcPr>
            <w:tcW w:w="4645" w:type="dxa"/>
            <w:shd w:val="clear" w:color="auto" w:fill="C6D9F1" w:themeFill="text2" w:themeFillTint="33"/>
            <w:vAlign w:val="center"/>
          </w:tcPr>
          <w:p w14:paraId="3CD995A8" w14:textId="77777777" w:rsidR="007D7D6A" w:rsidRPr="00A970C5" w:rsidRDefault="007D7D6A" w:rsidP="00986700">
            <w:pPr>
              <w:keepNext/>
              <w:jc w:val="center"/>
              <w:rPr>
                <w:rFonts w:cs="Arial"/>
                <w:b/>
                <w:bCs/>
                <w:sz w:val="18"/>
                <w:szCs w:val="18"/>
                <w:lang w:eastAsia="en-US"/>
              </w:rPr>
            </w:pPr>
            <w:r w:rsidRPr="00A970C5">
              <w:rPr>
                <w:rFonts w:cs="Arial"/>
                <w:b/>
                <w:bCs/>
                <w:sz w:val="18"/>
                <w:szCs w:val="18"/>
                <w:lang w:eastAsia="en-US"/>
              </w:rPr>
              <w:t>Mesures d’atténuation</w:t>
            </w:r>
          </w:p>
        </w:tc>
      </w:tr>
      <w:tr w:rsidR="00A970C5" w:rsidRPr="00A970C5" w14:paraId="57BE9FAC" w14:textId="77777777" w:rsidTr="00590DB9">
        <w:trPr>
          <w:cantSplit/>
        </w:trPr>
        <w:tc>
          <w:tcPr>
            <w:tcW w:w="4642" w:type="dxa"/>
            <w:shd w:val="clear" w:color="auto" w:fill="auto"/>
            <w:tcMar>
              <w:top w:w="57" w:type="dxa"/>
              <w:bottom w:w="57" w:type="dxa"/>
            </w:tcMar>
          </w:tcPr>
          <w:p w14:paraId="2EF087C2" w14:textId="77777777" w:rsidR="007D7D6A" w:rsidRPr="00A970C5" w:rsidRDefault="007D7D6A" w:rsidP="00986700">
            <w:pPr>
              <w:keepNext/>
              <w:rPr>
                <w:rFonts w:cs="Arial"/>
                <w:sz w:val="16"/>
                <w:szCs w:val="16"/>
                <w:lang w:eastAsia="en-US"/>
              </w:rPr>
            </w:pPr>
            <w:r w:rsidRPr="00A970C5">
              <w:rPr>
                <w:rFonts w:cs="Arial"/>
                <w:sz w:val="16"/>
                <w:szCs w:val="16"/>
                <w:lang w:eastAsia="en-US"/>
              </w:rPr>
              <w:t>Incapacité des offices de propriété intellectuelle à assurer et à préserver le fonctionnement autonome des logiciels de l’OMPI utilisés dans le cadre de leurs activités essentielles.</w:t>
            </w:r>
          </w:p>
        </w:tc>
        <w:tc>
          <w:tcPr>
            <w:tcW w:w="4645" w:type="dxa"/>
            <w:shd w:val="clear" w:color="auto" w:fill="auto"/>
            <w:tcMar>
              <w:top w:w="57" w:type="dxa"/>
              <w:bottom w:w="57" w:type="dxa"/>
            </w:tcMar>
          </w:tcPr>
          <w:p w14:paraId="5C94E915" w14:textId="402B2564" w:rsidR="007D7D6A" w:rsidRPr="00A970C5" w:rsidRDefault="007D7D6A" w:rsidP="00986700">
            <w:pPr>
              <w:keepNext/>
              <w:rPr>
                <w:rFonts w:cs="Arial"/>
                <w:sz w:val="16"/>
                <w:szCs w:val="16"/>
                <w:lang w:eastAsia="en-US"/>
              </w:rPr>
            </w:pPr>
            <w:r w:rsidRPr="00A970C5">
              <w:rPr>
                <w:rFonts w:cs="Arial"/>
                <w:sz w:val="16"/>
                <w:lang w:eastAsia="en-US"/>
              </w:rPr>
              <w:t xml:space="preserve">Veiller à </w:t>
            </w:r>
            <w:r w:rsidR="00B818C0" w:rsidRPr="00A970C5">
              <w:rPr>
                <w:rFonts w:cs="Arial"/>
                <w:sz w:val="16"/>
                <w:lang w:eastAsia="en-US"/>
              </w:rPr>
              <w:t>la formation du</w:t>
            </w:r>
            <w:r w:rsidRPr="00A970C5">
              <w:rPr>
                <w:rFonts w:cs="Arial"/>
                <w:sz w:val="16"/>
                <w:lang w:eastAsia="en-US"/>
              </w:rPr>
              <w:t xml:space="preserve"> personnel local des offices de propriété intellectuelle.  Établir des procédures formelles pour l’assistance et la maintenance logicielles.</w:t>
            </w:r>
            <w:r w:rsidRPr="00A970C5">
              <w:rPr>
                <w:sz w:val="16"/>
              </w:rPr>
              <w:t xml:space="preserve">  </w:t>
            </w:r>
          </w:p>
        </w:tc>
      </w:tr>
      <w:tr w:rsidR="007D7D6A" w:rsidRPr="00A970C5" w14:paraId="593824F7" w14:textId="77777777" w:rsidTr="00590DB9">
        <w:trPr>
          <w:cantSplit/>
        </w:trPr>
        <w:tc>
          <w:tcPr>
            <w:tcW w:w="4642" w:type="dxa"/>
            <w:shd w:val="clear" w:color="auto" w:fill="auto"/>
            <w:tcMar>
              <w:top w:w="57" w:type="dxa"/>
              <w:bottom w:w="57" w:type="dxa"/>
            </w:tcMar>
          </w:tcPr>
          <w:p w14:paraId="4700698B" w14:textId="77777777" w:rsidR="007D7D6A" w:rsidRPr="00A970C5" w:rsidRDefault="007D7D6A" w:rsidP="00986700">
            <w:pPr>
              <w:rPr>
                <w:rFonts w:cs="Arial"/>
                <w:sz w:val="16"/>
                <w:lang w:eastAsia="en-US"/>
              </w:rPr>
            </w:pPr>
            <w:r w:rsidRPr="00A970C5">
              <w:rPr>
                <w:rFonts w:cs="Arial"/>
                <w:sz w:val="16"/>
                <w:lang w:eastAsia="en-US"/>
              </w:rPr>
              <w:t>Accès insuffisant aux informations techniques et confidentielles qui sont détenues par les parties prenantes concernées et qui peuvent être nécessaires à la mise en œuvre du projet WCC, entraînant l’impossibilité d’atteindre les objectifs essentiels.</w:t>
            </w:r>
          </w:p>
        </w:tc>
        <w:tc>
          <w:tcPr>
            <w:tcW w:w="4645" w:type="dxa"/>
            <w:shd w:val="clear" w:color="auto" w:fill="auto"/>
            <w:tcMar>
              <w:top w:w="57" w:type="dxa"/>
              <w:bottom w:w="57" w:type="dxa"/>
            </w:tcMar>
          </w:tcPr>
          <w:p w14:paraId="75DDCE16" w14:textId="77777777" w:rsidR="007D7D6A" w:rsidRPr="00A970C5" w:rsidRDefault="007D7D6A" w:rsidP="00986700">
            <w:pPr>
              <w:rPr>
                <w:rFonts w:cs="Arial"/>
                <w:sz w:val="16"/>
                <w:lang w:eastAsia="en-US"/>
              </w:rPr>
            </w:pPr>
            <w:r w:rsidRPr="00A970C5">
              <w:rPr>
                <w:rFonts w:cs="Arial"/>
                <w:sz w:val="16"/>
                <w:lang w:eastAsia="en-US"/>
              </w:rPr>
              <w:t>Inviter les parties prenantes concernées à participer aux réunions du groupe d’experts sur le projet WCC afin de partager les informations pertinentes.</w:t>
            </w:r>
          </w:p>
        </w:tc>
      </w:tr>
    </w:tbl>
    <w:p w14:paraId="59EF050D" w14:textId="77777777" w:rsidR="007D7D6A" w:rsidRPr="00A970C5" w:rsidRDefault="007D7D6A" w:rsidP="00986700">
      <w:pPr>
        <w:jc w:val="both"/>
        <w:rPr>
          <w:rFonts w:cs="Arial"/>
          <w:szCs w:val="20"/>
        </w:rPr>
      </w:pPr>
    </w:p>
    <w:p w14:paraId="41A19E16" w14:textId="77777777" w:rsidR="007D7D6A" w:rsidRPr="00A970C5" w:rsidRDefault="007D7D6A" w:rsidP="00986700">
      <w:pPr>
        <w:jc w:val="both"/>
        <w:rPr>
          <w:rFonts w:cs="Arial"/>
          <w:szCs w:val="20"/>
        </w:rPr>
      </w:pPr>
    </w:p>
    <w:tbl>
      <w:tblPr>
        <w:tblW w:w="5000" w:type="pct"/>
        <w:jc w:val="center"/>
        <w:tblCellMar>
          <w:top w:w="57" w:type="dxa"/>
          <w:bottom w:w="57" w:type="dxa"/>
        </w:tblCellMar>
        <w:tblLook w:val="04A0" w:firstRow="1" w:lastRow="0" w:firstColumn="1" w:lastColumn="0" w:noHBand="0" w:noVBand="1"/>
      </w:tblPr>
      <w:tblGrid>
        <w:gridCol w:w="2322"/>
        <w:gridCol w:w="2322"/>
        <w:gridCol w:w="2321"/>
        <w:gridCol w:w="2322"/>
      </w:tblGrid>
      <w:tr w:rsidR="00A970C5" w:rsidRPr="00A970C5" w14:paraId="725C67A9" w14:textId="77777777" w:rsidTr="007D7D6A">
        <w:trPr>
          <w:cantSplit/>
          <w:tblHeader/>
          <w:jc w:val="center"/>
        </w:trPr>
        <w:tc>
          <w:tcPr>
            <w:tcW w:w="2267" w:type="dxa"/>
            <w:shd w:val="clear" w:color="000000" w:fill="C5D9F1"/>
            <w:vAlign w:val="center"/>
            <w:hideMark/>
          </w:tcPr>
          <w:p w14:paraId="703A8E14" w14:textId="77777777" w:rsidR="007D7D6A" w:rsidRPr="00A970C5" w:rsidRDefault="007D7D6A" w:rsidP="00986700">
            <w:pPr>
              <w:jc w:val="center"/>
              <w:rPr>
                <w:rFonts w:eastAsia="Times New Roman" w:cs="Arial"/>
                <w:b/>
                <w:bCs/>
                <w:sz w:val="18"/>
                <w:szCs w:val="18"/>
                <w:lang w:eastAsia="en-US"/>
              </w:rPr>
            </w:pPr>
            <w:r w:rsidRPr="00A970C5">
              <w:rPr>
                <w:rFonts w:eastAsia="Times New Roman" w:cs="Arial"/>
                <w:b/>
                <w:bCs/>
                <w:sz w:val="18"/>
                <w:szCs w:val="18"/>
                <w:lang w:eastAsia="en-US"/>
              </w:rPr>
              <w:t xml:space="preserve">Résultat escompté </w:t>
            </w:r>
          </w:p>
        </w:tc>
        <w:tc>
          <w:tcPr>
            <w:tcW w:w="2268" w:type="dxa"/>
            <w:shd w:val="clear" w:color="000000" w:fill="C5D9F1"/>
            <w:vAlign w:val="center"/>
            <w:hideMark/>
          </w:tcPr>
          <w:p w14:paraId="1169782D" w14:textId="77777777" w:rsidR="007D7D6A" w:rsidRPr="00A970C5" w:rsidRDefault="007D7D6A" w:rsidP="00986700">
            <w:pPr>
              <w:jc w:val="center"/>
              <w:rPr>
                <w:rFonts w:eastAsia="Times New Roman" w:cs="Arial"/>
                <w:b/>
                <w:bCs/>
                <w:sz w:val="18"/>
                <w:szCs w:val="18"/>
                <w:lang w:eastAsia="en-US"/>
              </w:rPr>
            </w:pPr>
            <w:r w:rsidRPr="00A970C5">
              <w:rPr>
                <w:rFonts w:eastAsia="Times New Roman" w:cs="Arial"/>
                <w:b/>
                <w:bCs/>
                <w:sz w:val="18"/>
                <w:szCs w:val="18"/>
                <w:lang w:eastAsia="en-US"/>
              </w:rPr>
              <w:t>Indicateurs d’exécution</w:t>
            </w:r>
          </w:p>
        </w:tc>
        <w:tc>
          <w:tcPr>
            <w:tcW w:w="2267" w:type="dxa"/>
            <w:shd w:val="clear" w:color="000000" w:fill="C5D9F1"/>
            <w:vAlign w:val="center"/>
            <w:hideMark/>
          </w:tcPr>
          <w:p w14:paraId="163400D6" w14:textId="77777777" w:rsidR="007D7D6A" w:rsidRPr="00A970C5" w:rsidRDefault="007D7D6A" w:rsidP="00986700">
            <w:pPr>
              <w:jc w:val="center"/>
              <w:rPr>
                <w:rFonts w:eastAsia="Times New Roman" w:cs="Arial"/>
                <w:b/>
                <w:bCs/>
                <w:sz w:val="18"/>
                <w:szCs w:val="18"/>
                <w:lang w:eastAsia="en-US"/>
              </w:rPr>
            </w:pPr>
            <w:r w:rsidRPr="00A970C5">
              <w:rPr>
                <w:rFonts w:eastAsia="Times New Roman" w:cs="Arial"/>
                <w:b/>
                <w:bCs/>
                <w:sz w:val="18"/>
                <w:szCs w:val="18"/>
                <w:lang w:eastAsia="en-US"/>
              </w:rPr>
              <w:t>Niveaux de référence</w:t>
            </w:r>
          </w:p>
        </w:tc>
        <w:tc>
          <w:tcPr>
            <w:tcW w:w="2268" w:type="dxa"/>
            <w:shd w:val="clear" w:color="000000" w:fill="C5D9F1"/>
            <w:vAlign w:val="center"/>
            <w:hideMark/>
          </w:tcPr>
          <w:p w14:paraId="6410C4D7" w14:textId="77777777" w:rsidR="007D7D6A" w:rsidRPr="00A970C5" w:rsidRDefault="007D7D6A" w:rsidP="00986700">
            <w:pPr>
              <w:jc w:val="center"/>
              <w:rPr>
                <w:rFonts w:eastAsia="Times New Roman" w:cs="Arial"/>
                <w:b/>
                <w:bCs/>
                <w:sz w:val="18"/>
                <w:szCs w:val="18"/>
                <w:lang w:eastAsia="en-US"/>
              </w:rPr>
            </w:pPr>
            <w:r w:rsidRPr="00A970C5">
              <w:rPr>
                <w:rFonts w:eastAsia="Times New Roman" w:cs="Arial"/>
                <w:b/>
                <w:bCs/>
                <w:sz w:val="18"/>
                <w:szCs w:val="18"/>
                <w:lang w:eastAsia="en-US"/>
              </w:rPr>
              <w:t>Objectifs visés</w:t>
            </w:r>
          </w:p>
        </w:tc>
      </w:tr>
      <w:tr w:rsidR="00A970C5" w:rsidRPr="00A970C5" w14:paraId="49BAD8ED" w14:textId="77777777" w:rsidTr="007D7D6A">
        <w:trPr>
          <w:cantSplit/>
          <w:jc w:val="center"/>
        </w:trPr>
        <w:tc>
          <w:tcPr>
            <w:tcW w:w="2267" w:type="dxa"/>
            <w:vMerge w:val="restart"/>
            <w:shd w:val="clear" w:color="000000" w:fill="FFFFFF"/>
            <w:tcMar>
              <w:top w:w="113" w:type="dxa"/>
            </w:tcMar>
            <w:hideMark/>
          </w:tcPr>
          <w:p w14:paraId="733AA492" w14:textId="0F15872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2268" w:type="dxa"/>
            <w:shd w:val="clear" w:color="000000" w:fill="FFFFFF"/>
            <w:tcMar>
              <w:top w:w="113" w:type="dxa"/>
            </w:tcMar>
            <w:hideMark/>
          </w:tcPr>
          <w:p w14:paraId="2BC85B52" w14:textId="7777777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Nombre d’offices utilisant les plateformes d’infrastructure de l’OMPI</w:t>
            </w:r>
          </w:p>
        </w:tc>
        <w:tc>
          <w:tcPr>
            <w:tcW w:w="2267" w:type="dxa"/>
            <w:shd w:val="clear" w:color="000000" w:fill="FFFFFF"/>
            <w:tcMar>
              <w:top w:w="113" w:type="dxa"/>
            </w:tcMar>
            <w:hideMark/>
          </w:tcPr>
          <w:p w14:paraId="40641568" w14:textId="02857CC2"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31 offices (</w:t>
            </w:r>
            <w:r w:rsidR="00B818C0" w:rsidRPr="00A970C5">
              <w:rPr>
                <w:rFonts w:eastAsia="Times New Roman" w:cs="Arial"/>
                <w:sz w:val="16"/>
                <w:szCs w:val="16"/>
                <w:lang w:eastAsia="en-US"/>
              </w:rPr>
              <w:t>au</w:t>
            </w:r>
            <w:r w:rsidRPr="00A970C5">
              <w:rPr>
                <w:rFonts w:eastAsia="Times New Roman" w:cs="Arial"/>
                <w:sz w:val="16"/>
                <w:szCs w:val="16"/>
                <w:lang w:eastAsia="en-US"/>
              </w:rPr>
              <w:t xml:space="preserve"> tot</w:t>
            </w:r>
            <w:r w:rsidR="00B818C0" w:rsidRPr="00A970C5">
              <w:rPr>
                <w:rFonts w:eastAsia="Times New Roman" w:cs="Arial"/>
                <w:sz w:val="16"/>
                <w:szCs w:val="16"/>
                <w:lang w:eastAsia="en-US"/>
              </w:rPr>
              <w:t>al</w:t>
            </w:r>
            <w:r w:rsidRPr="00A970C5">
              <w:rPr>
                <w:rFonts w:eastAsia="Times New Roman" w:cs="Arial"/>
                <w:sz w:val="16"/>
                <w:szCs w:val="16"/>
                <w:lang w:eastAsia="en-US"/>
              </w:rPr>
              <w:t>)</w:t>
            </w:r>
            <w:r w:rsidRPr="00A970C5">
              <w:rPr>
                <w:rFonts w:eastAsia="Times New Roman" w:cs="Arial"/>
                <w:sz w:val="16"/>
                <w:szCs w:val="16"/>
                <w:lang w:eastAsia="en-US"/>
              </w:rPr>
              <w:br/>
              <w:t>(en janvier 2017)</w:t>
            </w:r>
          </w:p>
        </w:tc>
        <w:tc>
          <w:tcPr>
            <w:tcW w:w="2268" w:type="dxa"/>
            <w:shd w:val="clear" w:color="000000" w:fill="FFFFFF"/>
            <w:tcMar>
              <w:top w:w="113" w:type="dxa"/>
            </w:tcMar>
            <w:hideMark/>
          </w:tcPr>
          <w:p w14:paraId="5A960E99" w14:textId="10704D5F"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40 (</w:t>
            </w:r>
            <w:r w:rsidR="00B818C0" w:rsidRPr="00A970C5">
              <w:rPr>
                <w:rFonts w:eastAsia="Times New Roman" w:cs="Arial"/>
                <w:sz w:val="16"/>
                <w:szCs w:val="16"/>
                <w:lang w:eastAsia="en-US"/>
              </w:rPr>
              <w:t>au</w:t>
            </w:r>
            <w:r w:rsidRPr="00A970C5">
              <w:rPr>
                <w:rFonts w:eastAsia="Times New Roman" w:cs="Arial"/>
                <w:sz w:val="16"/>
                <w:szCs w:val="16"/>
                <w:lang w:eastAsia="en-US"/>
              </w:rPr>
              <w:t xml:space="preserve"> tot</w:t>
            </w:r>
            <w:r w:rsidR="00B818C0" w:rsidRPr="00A970C5">
              <w:rPr>
                <w:rFonts w:eastAsia="Times New Roman" w:cs="Arial"/>
                <w:sz w:val="16"/>
                <w:szCs w:val="16"/>
                <w:lang w:eastAsia="en-US"/>
              </w:rPr>
              <w:t>al pour l’</w:t>
            </w:r>
            <w:r w:rsidRPr="00A970C5">
              <w:rPr>
                <w:rFonts w:eastAsia="Times New Roman" w:cs="Arial"/>
                <w:sz w:val="16"/>
                <w:szCs w:val="16"/>
                <w:lang w:eastAsia="en-US"/>
              </w:rPr>
              <w:t>exercice biennal)</w:t>
            </w:r>
          </w:p>
        </w:tc>
      </w:tr>
      <w:tr w:rsidR="00A970C5" w:rsidRPr="00A970C5" w14:paraId="4D66939A" w14:textId="77777777" w:rsidTr="007D7D6A">
        <w:trPr>
          <w:cantSplit/>
          <w:jc w:val="center"/>
        </w:trPr>
        <w:tc>
          <w:tcPr>
            <w:tcW w:w="2267" w:type="dxa"/>
            <w:vMerge/>
            <w:shd w:val="clear" w:color="000000" w:fill="FFFFFF"/>
            <w:tcMar>
              <w:top w:w="113" w:type="dxa"/>
            </w:tcMar>
            <w:vAlign w:val="bottom"/>
            <w:hideMark/>
          </w:tcPr>
          <w:p w14:paraId="2020D1AB" w14:textId="77777777" w:rsidR="007D7D6A" w:rsidRPr="00A970C5" w:rsidRDefault="007D7D6A" w:rsidP="00986700">
            <w:pPr>
              <w:jc w:val="right"/>
              <w:rPr>
                <w:rFonts w:eastAsia="Times New Roman" w:cs="Arial"/>
                <w:sz w:val="16"/>
                <w:szCs w:val="16"/>
                <w:lang w:eastAsia="en-US"/>
              </w:rPr>
            </w:pPr>
          </w:p>
        </w:tc>
        <w:tc>
          <w:tcPr>
            <w:tcW w:w="2268" w:type="dxa"/>
            <w:shd w:val="clear" w:color="000000" w:fill="FFFFFF"/>
            <w:tcMar>
              <w:top w:w="113" w:type="dxa"/>
            </w:tcMar>
            <w:hideMark/>
          </w:tcPr>
          <w:p w14:paraId="2618513C" w14:textId="7777777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Niveau de service moyen des offices de propriété intellectuelle bénéficiant d’une assistance (de 1 à 5)</w:t>
            </w:r>
          </w:p>
        </w:tc>
        <w:tc>
          <w:tcPr>
            <w:tcW w:w="2267" w:type="dxa"/>
            <w:shd w:val="clear" w:color="000000" w:fill="FFFFFF"/>
            <w:tcMar>
              <w:top w:w="113" w:type="dxa"/>
            </w:tcMar>
            <w:hideMark/>
          </w:tcPr>
          <w:p w14:paraId="0DF1228C" w14:textId="7777777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3,1 (fin 2016)</w:t>
            </w:r>
          </w:p>
        </w:tc>
        <w:tc>
          <w:tcPr>
            <w:tcW w:w="2268" w:type="dxa"/>
            <w:shd w:val="clear" w:color="000000" w:fill="FFFFFF"/>
            <w:tcMar>
              <w:top w:w="113" w:type="dxa"/>
            </w:tcMar>
            <w:hideMark/>
          </w:tcPr>
          <w:p w14:paraId="76C70DBA" w14:textId="7777777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3,2</w:t>
            </w:r>
          </w:p>
        </w:tc>
      </w:tr>
      <w:tr w:rsidR="00A970C5" w:rsidRPr="00A970C5" w14:paraId="768FA3A2" w14:textId="77777777" w:rsidTr="007D7D6A">
        <w:trPr>
          <w:cantSplit/>
          <w:jc w:val="center"/>
        </w:trPr>
        <w:tc>
          <w:tcPr>
            <w:tcW w:w="2267" w:type="dxa"/>
            <w:vMerge/>
            <w:shd w:val="clear" w:color="000000" w:fill="FFFFFF"/>
            <w:tcMar>
              <w:top w:w="113" w:type="dxa"/>
            </w:tcMar>
            <w:vAlign w:val="bottom"/>
            <w:hideMark/>
          </w:tcPr>
          <w:p w14:paraId="73395E86" w14:textId="77777777" w:rsidR="007D7D6A" w:rsidRPr="00A970C5" w:rsidRDefault="007D7D6A" w:rsidP="00986700">
            <w:pPr>
              <w:jc w:val="right"/>
              <w:rPr>
                <w:rFonts w:eastAsia="Times New Roman" w:cs="Arial"/>
                <w:sz w:val="16"/>
                <w:szCs w:val="16"/>
                <w:lang w:eastAsia="en-US"/>
              </w:rPr>
            </w:pPr>
          </w:p>
        </w:tc>
        <w:tc>
          <w:tcPr>
            <w:tcW w:w="2268" w:type="dxa"/>
            <w:shd w:val="clear" w:color="000000" w:fill="FFFFFF"/>
            <w:tcMar>
              <w:top w:w="113" w:type="dxa"/>
            </w:tcMar>
            <w:hideMark/>
          </w:tcPr>
          <w:p w14:paraId="7AEC23E0" w14:textId="77777777"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Nombre d’organismes de gestion collective dans les pays en développement et les PMA participant à des réseaux régionaux et mondiaux avec le concours de l’OMPI</w:t>
            </w:r>
          </w:p>
        </w:tc>
        <w:tc>
          <w:tcPr>
            <w:tcW w:w="2267" w:type="dxa"/>
            <w:shd w:val="clear" w:color="000000" w:fill="FFFFFF"/>
            <w:tcMar>
              <w:top w:w="113" w:type="dxa"/>
            </w:tcMar>
            <w:hideMark/>
          </w:tcPr>
          <w:p w14:paraId="5029497A" w14:textId="0E9F59DA" w:rsidR="007D7D6A" w:rsidRPr="00A970C5" w:rsidRDefault="007D7D6A" w:rsidP="00986700">
            <w:pPr>
              <w:rPr>
                <w:rFonts w:eastAsia="Times New Roman" w:cs="Arial"/>
                <w:sz w:val="16"/>
                <w:szCs w:val="16"/>
                <w:lang w:eastAsia="en-US"/>
              </w:rPr>
            </w:pPr>
            <w:r w:rsidRPr="00A970C5">
              <w:rPr>
                <w:rFonts w:eastAsia="Times New Roman" w:cs="Arial"/>
                <w:sz w:val="16"/>
                <w:szCs w:val="16"/>
                <w:lang w:eastAsia="en-US"/>
              </w:rPr>
              <w:t>0 (fin 2016)</w:t>
            </w:r>
          </w:p>
        </w:tc>
        <w:tc>
          <w:tcPr>
            <w:tcW w:w="2268" w:type="dxa"/>
            <w:shd w:val="clear" w:color="000000" w:fill="FFFFFF"/>
            <w:tcMar>
              <w:top w:w="113" w:type="dxa"/>
            </w:tcMar>
            <w:hideMark/>
          </w:tcPr>
          <w:p w14:paraId="5AF4A5F6" w14:textId="66AA8765" w:rsidR="007D7D6A" w:rsidRPr="00A970C5" w:rsidRDefault="00B818C0" w:rsidP="00986700">
            <w:pPr>
              <w:rPr>
                <w:rFonts w:eastAsia="Times New Roman" w:cs="Arial"/>
                <w:sz w:val="16"/>
                <w:szCs w:val="16"/>
                <w:lang w:eastAsia="en-US"/>
              </w:rPr>
            </w:pPr>
            <w:r w:rsidRPr="00A970C5">
              <w:rPr>
                <w:rFonts w:eastAsia="Times New Roman" w:cs="Arial"/>
                <w:sz w:val="16"/>
                <w:szCs w:val="16"/>
                <w:lang w:eastAsia="en-US"/>
              </w:rPr>
              <w:t>12 (au</w:t>
            </w:r>
            <w:r w:rsidR="007D7D6A" w:rsidRPr="00A970C5">
              <w:rPr>
                <w:rFonts w:eastAsia="Times New Roman" w:cs="Arial"/>
                <w:sz w:val="16"/>
                <w:szCs w:val="16"/>
                <w:lang w:eastAsia="en-US"/>
              </w:rPr>
              <w:t xml:space="preserve"> tot</w:t>
            </w:r>
            <w:r w:rsidRPr="00A970C5">
              <w:rPr>
                <w:rFonts w:eastAsia="Times New Roman" w:cs="Arial"/>
                <w:sz w:val="16"/>
                <w:szCs w:val="16"/>
                <w:lang w:eastAsia="en-US"/>
              </w:rPr>
              <w:t>al pour l’</w:t>
            </w:r>
            <w:r w:rsidR="007D7D6A" w:rsidRPr="00A970C5">
              <w:rPr>
                <w:rFonts w:eastAsia="Times New Roman" w:cs="Arial"/>
                <w:sz w:val="16"/>
                <w:szCs w:val="16"/>
                <w:lang w:eastAsia="en-US"/>
              </w:rPr>
              <w:t>exercice biennal)</w:t>
            </w:r>
          </w:p>
        </w:tc>
      </w:tr>
    </w:tbl>
    <w:p w14:paraId="7F8572D0" w14:textId="77777777" w:rsidR="007D7D6A" w:rsidRPr="00A970C5" w:rsidRDefault="007D7D6A"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59CB3C85" w14:textId="77777777" w:rsidTr="001A722F">
        <w:trPr>
          <w:cantSplit/>
        </w:trPr>
        <w:tc>
          <w:tcPr>
            <w:tcW w:w="9571" w:type="dxa"/>
            <w:shd w:val="clear" w:color="auto" w:fill="C6D9F1" w:themeFill="text2" w:themeFillTint="33"/>
            <w:vAlign w:val="center"/>
          </w:tcPr>
          <w:p w14:paraId="5ED984DF" w14:textId="77777777" w:rsidR="00277197" w:rsidRPr="00821D15" w:rsidRDefault="00277197" w:rsidP="00986700">
            <w:pPr>
              <w:jc w:val="center"/>
              <w:rPr>
                <w:rFonts w:cs="Arial"/>
                <w:b/>
                <w:szCs w:val="20"/>
              </w:rPr>
            </w:pPr>
            <w:r w:rsidRPr="00821D15">
              <w:rPr>
                <w:rFonts w:cs="Arial"/>
                <w:b/>
                <w:szCs w:val="20"/>
              </w:rPr>
              <w:t>Ressources allouées au programme 15</w:t>
            </w:r>
          </w:p>
        </w:tc>
      </w:tr>
    </w:tbl>
    <w:p w14:paraId="64DDAE87" w14:textId="77777777" w:rsidR="00277197" w:rsidRPr="00821D15" w:rsidRDefault="00277197" w:rsidP="00986700">
      <w:pPr>
        <w:rPr>
          <w:rFonts w:cs="Arial"/>
          <w:szCs w:val="20"/>
        </w:rPr>
      </w:pPr>
    </w:p>
    <w:p w14:paraId="277D66AF" w14:textId="77777777" w:rsidR="00277197" w:rsidRPr="00821D15" w:rsidRDefault="00277197" w:rsidP="00616FD3">
      <w:pPr>
        <w:pStyle w:val="ListParagraph"/>
        <w:numPr>
          <w:ilvl w:val="0"/>
          <w:numId w:val="77"/>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augmentation de 5,6% par rapport au budget approuvé pour 2016</w:t>
      </w:r>
      <w:r w:rsidRPr="00821D15">
        <w:rPr>
          <w:rFonts w:cs="Arial"/>
          <w:szCs w:val="20"/>
        </w:rPr>
        <w:noBreakHyphen/>
        <w:t>2017.</w:t>
      </w:r>
    </w:p>
    <w:p w14:paraId="10D901CC" w14:textId="77777777" w:rsidR="00277197" w:rsidRPr="00821D15" w:rsidRDefault="00277197" w:rsidP="00986700">
      <w:pPr>
        <w:rPr>
          <w:rFonts w:cs="Arial"/>
          <w:szCs w:val="20"/>
        </w:rPr>
      </w:pPr>
    </w:p>
    <w:p w14:paraId="7026A7C1" w14:textId="77777777" w:rsidR="00277197" w:rsidRPr="00821D15" w:rsidRDefault="00277197" w:rsidP="00616FD3">
      <w:pPr>
        <w:pStyle w:val="ListParagraph"/>
        <w:numPr>
          <w:ilvl w:val="0"/>
          <w:numId w:val="77"/>
        </w:numPr>
        <w:ind w:left="0" w:firstLine="0"/>
        <w:jc w:val="both"/>
        <w:rPr>
          <w:rFonts w:cs="Arial"/>
          <w:szCs w:val="20"/>
        </w:rPr>
      </w:pPr>
      <w:r w:rsidRPr="00821D15">
        <w:rPr>
          <w:rFonts w:cs="Arial"/>
          <w:szCs w:val="20"/>
        </w:rPr>
        <w:lastRenderedPageBreak/>
        <w:t>Cette augmentation résulte de la hausse des coûts relatifs au développement et à la refonte de certaines applications de la série de modules informatiques du système d’automatisation de la propriété intellectuelle (IPAS) pour les offices nationaux de propriété intellectuelle (dépenses de personnel et dépenses autres que les dépenses de personnel), de l’élargissement de WIPO Connect à d’autres organismes de gestion collective, et de la création d’un groupe consultatif chargé de solliciter des commentaires auprès des offices de propriété intellectuelle sur l’orientation future du programme de travail (dépenses autres que les dépenses de personnel).</w:t>
      </w:r>
    </w:p>
    <w:p w14:paraId="15FE7D3E" w14:textId="77777777" w:rsidR="00277197" w:rsidRPr="00821D15" w:rsidRDefault="00277197" w:rsidP="00986700">
      <w:pPr>
        <w:rPr>
          <w:rFonts w:cs="Arial"/>
          <w:szCs w:val="20"/>
        </w:rPr>
      </w:pPr>
    </w:p>
    <w:p w14:paraId="5F177D2D" w14:textId="77777777" w:rsidR="00277197" w:rsidRPr="00821D15" w:rsidRDefault="00277197" w:rsidP="00616FD3">
      <w:pPr>
        <w:pStyle w:val="ListParagraph"/>
        <w:numPr>
          <w:ilvl w:val="0"/>
          <w:numId w:val="77"/>
        </w:numPr>
        <w:ind w:left="0" w:firstLine="0"/>
        <w:jc w:val="both"/>
        <w:rPr>
          <w:rFonts w:cs="Arial"/>
          <w:szCs w:val="20"/>
        </w:rPr>
      </w:pPr>
      <w:r w:rsidRPr="00821D15">
        <w:rPr>
          <w:rFonts w:cs="Arial"/>
          <w:szCs w:val="20"/>
        </w:rPr>
        <w:t>L’ajout d’un poste dans le cadre du programme par rapport au budget 2016</w:t>
      </w:r>
      <w:r w:rsidRPr="00821D15">
        <w:rPr>
          <w:rFonts w:cs="Arial"/>
          <w:szCs w:val="20"/>
        </w:rPr>
        <w:noBreakHyphen/>
        <w:t>2017 après virements résulte de la volonté de mettre l’accent sur l’amélioration du processus de mise en place et de mise en œuvre des projets relatifs au système IPAS dans les offices nationaux de propriété intellectuelle.</w:t>
      </w:r>
    </w:p>
    <w:p w14:paraId="232A1665" w14:textId="77777777" w:rsidR="00277197" w:rsidRPr="00821D15" w:rsidRDefault="00277197" w:rsidP="00986700">
      <w:pPr>
        <w:rPr>
          <w:rFonts w:cs="Arial"/>
          <w:szCs w:val="20"/>
        </w:rPr>
      </w:pPr>
    </w:p>
    <w:p w14:paraId="20A9DB83" w14:textId="77777777" w:rsidR="00277197" w:rsidRPr="00821D15" w:rsidRDefault="00277197" w:rsidP="00616FD3">
      <w:pPr>
        <w:pStyle w:val="ListParagraph"/>
        <w:numPr>
          <w:ilvl w:val="0"/>
          <w:numId w:val="77"/>
        </w:numPr>
        <w:ind w:left="0" w:firstLine="0"/>
        <w:jc w:val="both"/>
        <w:rPr>
          <w:rFonts w:cs="Arial"/>
          <w:szCs w:val="20"/>
        </w:rPr>
      </w:pPr>
      <w:r w:rsidRPr="00821D15">
        <w:rPr>
          <w:rFonts w:cs="Arial"/>
          <w:szCs w:val="20"/>
        </w:rPr>
        <w:t>Les ressources liées au résultat escompté VII.1 (plateformes fondées sur la propriété intellectuelle) dans le cadre de ce programme tiennent compte de l’appui informatique pour les bases de données de WIPO Green et WIPO Re:Search dans le cadre du programme 18 (défis mondiaux).</w:t>
      </w:r>
    </w:p>
    <w:p w14:paraId="3D92843B" w14:textId="77777777" w:rsidR="007D7D6A" w:rsidRPr="00A970C5" w:rsidRDefault="007D7D6A" w:rsidP="00986700">
      <w:pPr>
        <w:jc w:val="both"/>
        <w:rPr>
          <w:rFonts w:cs="Arial"/>
          <w:szCs w:val="20"/>
        </w:rPr>
      </w:pPr>
    </w:p>
    <w:p w14:paraId="206F6FFC" w14:textId="0A49D9A7"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15 : </w:t>
      </w:r>
      <w:r w:rsidRPr="00674550">
        <w:rPr>
          <w:rFonts w:eastAsia="Times New Roman" w:cs="Arial"/>
          <w:b/>
          <w:szCs w:val="20"/>
          <w:lang w:eastAsia="en-US"/>
        </w:rPr>
        <w:t>Ressources par résultat</w:t>
      </w:r>
    </w:p>
    <w:p w14:paraId="6E27DCAD"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5CB9ECE" w14:textId="77777777" w:rsidR="00717231" w:rsidRDefault="00717231" w:rsidP="00986700">
      <w:pPr>
        <w:keepNext/>
      </w:pPr>
    </w:p>
    <w:p w14:paraId="3F97EFEC" w14:textId="1BC2CB21" w:rsidR="00717231" w:rsidRDefault="00717231" w:rsidP="00986700">
      <w:pPr>
        <w:jc w:val="center"/>
      </w:pPr>
      <w:r w:rsidRPr="00717231">
        <w:rPr>
          <w:noProof/>
          <w:lang w:val="en-US" w:eastAsia="en-US"/>
        </w:rPr>
        <w:drawing>
          <wp:inline distT="0" distB="0" distL="0" distR="0" wp14:anchorId="7E089E7D" wp14:editId="74739F9F">
            <wp:extent cx="5400000" cy="2315493"/>
            <wp:effectExtent l="0" t="0" r="0" b="889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00" cy="2315493"/>
                    </a:xfrm>
                    <a:prstGeom prst="rect">
                      <a:avLst/>
                    </a:prstGeom>
                    <a:noFill/>
                    <a:ln>
                      <a:noFill/>
                    </a:ln>
                  </pic:spPr>
                </pic:pic>
              </a:graphicData>
            </a:graphic>
          </wp:inline>
        </w:drawing>
      </w:r>
    </w:p>
    <w:p w14:paraId="2CD6A7FB" w14:textId="77777777" w:rsidR="00B55ECC" w:rsidRDefault="00B55ECC" w:rsidP="00986700"/>
    <w:p w14:paraId="695A0AE8"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15</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3BD162C7" w14:textId="3E614674"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6AC73D10" w14:textId="77777777" w:rsidR="008778B5" w:rsidRDefault="008778B5" w:rsidP="00986700">
      <w:pPr>
        <w:keepNext/>
        <w:rPr>
          <w:lang w:eastAsia="en-US"/>
        </w:rPr>
      </w:pPr>
    </w:p>
    <w:p w14:paraId="2D80856C" w14:textId="154292B7" w:rsidR="00B55ECC" w:rsidRDefault="008778B5" w:rsidP="00986700">
      <w:pPr>
        <w:jc w:val="center"/>
        <w:rPr>
          <w:lang w:eastAsia="en-US"/>
        </w:rPr>
      </w:pPr>
      <w:r w:rsidRPr="008778B5">
        <w:rPr>
          <w:noProof/>
          <w:lang w:val="en-US" w:eastAsia="en-US"/>
        </w:rPr>
        <w:drawing>
          <wp:inline distT="0" distB="0" distL="0" distR="0" wp14:anchorId="0DC2770F" wp14:editId="615767F9">
            <wp:extent cx="5400000" cy="6031770"/>
            <wp:effectExtent l="0" t="0" r="0" b="762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368B4984" w14:textId="77777777" w:rsidR="00B55ECC" w:rsidRPr="00E16214" w:rsidRDefault="00B55ECC" w:rsidP="00986700">
      <w:pPr>
        <w:rPr>
          <w:lang w:eastAsia="en-US"/>
        </w:rPr>
      </w:pPr>
    </w:p>
    <w:p w14:paraId="4F777BF6" w14:textId="35DB7E8F" w:rsidR="007D7D6A" w:rsidRPr="00A970C5" w:rsidRDefault="007D7D6A" w:rsidP="00986700">
      <w:pPr>
        <w:rPr>
          <w:rFonts w:eastAsia="SimSun" w:cs="Arial"/>
          <w:b/>
          <w:bCs/>
          <w:caps/>
          <w:kern w:val="32"/>
          <w:sz w:val="22"/>
          <w:szCs w:val="32"/>
          <w:lang w:eastAsia="en-US"/>
        </w:rPr>
      </w:pPr>
      <w:r w:rsidRPr="00A970C5">
        <w:br w:type="page"/>
      </w:r>
    </w:p>
    <w:p w14:paraId="13DD1B79" w14:textId="3656D6B2" w:rsidR="00FC1018" w:rsidRPr="00FC1018" w:rsidRDefault="00FC1018" w:rsidP="00986700">
      <w:pPr>
        <w:pStyle w:val="Heading4"/>
      </w:pPr>
      <w:bookmarkStart w:id="57" w:name="_Toc367350592"/>
      <w:bookmarkStart w:id="58" w:name="_Toc481222396"/>
      <w:bookmarkStart w:id="59" w:name="_Toc482979496"/>
      <w:r w:rsidRPr="00FC1018">
        <w:lastRenderedPageBreak/>
        <w:t>Objectif stratégique V</w:t>
      </w:r>
      <w:r w:rsidRPr="00FC1018">
        <w:tab/>
      </w:r>
      <w:bookmarkEnd w:id="57"/>
      <w:bookmarkEnd w:id="58"/>
      <w:r w:rsidRPr="00FC1018">
        <w:t>Source de références mondiale pour l’information et l’analyse en matière de</w:t>
      </w:r>
      <w:r>
        <w:t> </w:t>
      </w:r>
      <w:r w:rsidRPr="00FC1018">
        <w:t>propriété intellectuelle</w:t>
      </w:r>
      <w:bookmarkEnd w:id="59"/>
    </w:p>
    <w:p w14:paraId="2473B2D2" w14:textId="77777777" w:rsidR="00FC1018" w:rsidRPr="008B08FC" w:rsidRDefault="00FC1018" w:rsidP="00986700">
      <w:pPr>
        <w:tabs>
          <w:tab w:val="left" w:pos="1701"/>
        </w:tabs>
        <w:ind w:left="1701" w:hanging="1701"/>
        <w:rPr>
          <w:caps/>
          <w:lang w:val="fr-CH"/>
        </w:rPr>
      </w:pPr>
    </w:p>
    <w:p w14:paraId="059FEF2B" w14:textId="77777777" w:rsidR="00FC1018" w:rsidRPr="008B08FC" w:rsidRDefault="00FC1018" w:rsidP="00986700">
      <w:pPr>
        <w:tabs>
          <w:tab w:val="left" w:pos="1701"/>
        </w:tabs>
        <w:ind w:left="1701" w:hanging="1701"/>
        <w:rPr>
          <w:caps/>
          <w:lang w:val="fr-CH"/>
        </w:rPr>
      </w:pPr>
    </w:p>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841"/>
        <w:gridCol w:w="2427"/>
      </w:tblGrid>
      <w:tr w:rsidR="00FC1018" w:rsidRPr="008B08FC" w14:paraId="4850E1CE" w14:textId="77777777" w:rsidTr="00FC1018">
        <w:trPr>
          <w:cantSplit/>
        </w:trPr>
        <w:tc>
          <w:tcPr>
            <w:tcW w:w="2936" w:type="dxa"/>
            <w:shd w:val="clear" w:color="auto" w:fill="B8CCE4" w:themeFill="accent1" w:themeFillTint="66"/>
            <w:vAlign w:val="center"/>
            <w:hideMark/>
          </w:tcPr>
          <w:p w14:paraId="63A70608" w14:textId="77777777" w:rsidR="00FC1018" w:rsidRPr="008B08FC" w:rsidRDefault="00FC1018" w:rsidP="00986700">
            <w:pPr>
              <w:jc w:val="center"/>
              <w:rPr>
                <w:b/>
                <w:bCs/>
                <w:sz w:val="18"/>
                <w:szCs w:val="18"/>
              </w:rPr>
            </w:pPr>
            <w:r w:rsidRPr="008B08FC">
              <w:rPr>
                <w:b/>
                <w:bCs/>
                <w:sz w:val="18"/>
                <w:szCs w:val="18"/>
              </w:rPr>
              <w:t>Résultats escomptés</w:t>
            </w:r>
          </w:p>
        </w:tc>
        <w:tc>
          <w:tcPr>
            <w:tcW w:w="3848" w:type="dxa"/>
            <w:shd w:val="clear" w:color="auto" w:fill="B8CCE4" w:themeFill="accent1" w:themeFillTint="66"/>
            <w:vAlign w:val="center"/>
            <w:hideMark/>
          </w:tcPr>
          <w:p w14:paraId="199F50B4" w14:textId="77777777" w:rsidR="00FC1018" w:rsidRPr="008B08FC" w:rsidRDefault="00FC1018" w:rsidP="00986700">
            <w:pPr>
              <w:jc w:val="center"/>
              <w:rPr>
                <w:b/>
                <w:bCs/>
                <w:sz w:val="18"/>
                <w:szCs w:val="18"/>
              </w:rPr>
            </w:pPr>
            <w:r w:rsidRPr="008B08FC">
              <w:rPr>
                <w:b/>
                <w:sz w:val="18"/>
                <w:szCs w:val="18"/>
              </w:rPr>
              <w:t>Indicateurs d’exécution</w:t>
            </w:r>
          </w:p>
        </w:tc>
        <w:tc>
          <w:tcPr>
            <w:tcW w:w="2430" w:type="dxa"/>
            <w:shd w:val="clear" w:color="auto" w:fill="B8CCE4" w:themeFill="accent1" w:themeFillTint="66"/>
            <w:vAlign w:val="center"/>
            <w:hideMark/>
          </w:tcPr>
          <w:p w14:paraId="0FE7BD2B" w14:textId="77777777" w:rsidR="00FC1018" w:rsidRPr="008B08FC" w:rsidRDefault="00FC1018" w:rsidP="00986700">
            <w:pPr>
              <w:jc w:val="center"/>
              <w:rPr>
                <w:b/>
                <w:bCs/>
                <w:sz w:val="18"/>
                <w:szCs w:val="18"/>
              </w:rPr>
            </w:pPr>
            <w:r w:rsidRPr="008B08FC">
              <w:rPr>
                <w:b/>
                <w:sz w:val="18"/>
                <w:szCs w:val="16"/>
              </w:rPr>
              <w:t>Programme(s) concerné(s)</w:t>
            </w:r>
          </w:p>
        </w:tc>
      </w:tr>
      <w:tr w:rsidR="00FC1018" w:rsidRPr="008B08FC" w14:paraId="2415E228" w14:textId="77777777" w:rsidTr="00FC1018">
        <w:trPr>
          <w:cantSplit/>
        </w:trPr>
        <w:tc>
          <w:tcPr>
            <w:tcW w:w="2936" w:type="dxa"/>
            <w:hideMark/>
          </w:tcPr>
          <w:p w14:paraId="61F364BD" w14:textId="77777777" w:rsidR="00FC1018" w:rsidRPr="008B08FC" w:rsidRDefault="00FC1018" w:rsidP="00986700">
            <w:pPr>
              <w:rPr>
                <w:sz w:val="16"/>
                <w:szCs w:val="16"/>
                <w:lang w:val="fr-CH"/>
              </w:rPr>
            </w:pPr>
            <w:r w:rsidRPr="008B08FC">
              <w:rPr>
                <w:sz w:val="16"/>
                <w:szCs w:val="16"/>
                <w:lang w:val="fr-CH"/>
              </w:rPr>
              <w:t xml:space="preserve">V.1 Utilisation élargie et améliorée de l’information statistique de l’OMPI relative à la propriété intellectuelle </w:t>
            </w:r>
          </w:p>
        </w:tc>
        <w:tc>
          <w:tcPr>
            <w:tcW w:w="3848" w:type="dxa"/>
            <w:hideMark/>
          </w:tcPr>
          <w:p w14:paraId="516C9CBF" w14:textId="77777777" w:rsidR="00FC1018" w:rsidRPr="008B08FC" w:rsidRDefault="00FC1018" w:rsidP="00986700">
            <w:pPr>
              <w:rPr>
                <w:sz w:val="16"/>
                <w:szCs w:val="16"/>
                <w:lang w:val="fr-CH"/>
              </w:rPr>
            </w:pPr>
            <w:r w:rsidRPr="008B08FC">
              <w:rPr>
                <w:sz w:val="16"/>
                <w:szCs w:val="16"/>
                <w:lang w:val="fr-CH"/>
              </w:rPr>
              <w:t>Nombre de recherches effectuées via le Centre de données statistiques de propriété intellectuelle</w:t>
            </w:r>
          </w:p>
        </w:tc>
        <w:tc>
          <w:tcPr>
            <w:tcW w:w="2430" w:type="dxa"/>
            <w:hideMark/>
          </w:tcPr>
          <w:p w14:paraId="4EC62F6A" w14:textId="77777777" w:rsidR="00FC1018" w:rsidRPr="008B08FC" w:rsidRDefault="00FC1018" w:rsidP="00986700">
            <w:pPr>
              <w:jc w:val="center"/>
            </w:pPr>
            <w:r w:rsidRPr="008B08FC">
              <w:rPr>
                <w:sz w:val="16"/>
                <w:szCs w:val="16"/>
              </w:rPr>
              <w:t>Programme 16</w:t>
            </w:r>
          </w:p>
        </w:tc>
      </w:tr>
      <w:tr w:rsidR="00FC1018" w:rsidRPr="008B08FC" w14:paraId="4BE28EFA" w14:textId="77777777" w:rsidTr="00FC1018">
        <w:trPr>
          <w:cantSplit/>
        </w:trPr>
        <w:tc>
          <w:tcPr>
            <w:tcW w:w="2936" w:type="dxa"/>
            <w:hideMark/>
          </w:tcPr>
          <w:p w14:paraId="7691DA8A" w14:textId="77777777" w:rsidR="00FC1018" w:rsidRPr="008B08FC" w:rsidRDefault="00FC1018" w:rsidP="00986700">
            <w:pPr>
              <w:rPr>
                <w:sz w:val="16"/>
                <w:szCs w:val="16"/>
              </w:rPr>
            </w:pPr>
            <w:r w:rsidRPr="008B08FC">
              <w:rPr>
                <w:sz w:val="16"/>
                <w:szCs w:val="16"/>
              </w:rPr>
              <w:t> </w:t>
            </w:r>
          </w:p>
        </w:tc>
        <w:tc>
          <w:tcPr>
            <w:tcW w:w="3848" w:type="dxa"/>
            <w:hideMark/>
          </w:tcPr>
          <w:p w14:paraId="5479E14F" w14:textId="77777777" w:rsidR="00FC1018" w:rsidRPr="008B08FC" w:rsidRDefault="00FC1018" w:rsidP="00986700">
            <w:pPr>
              <w:rPr>
                <w:sz w:val="16"/>
                <w:szCs w:val="16"/>
                <w:lang w:val="fr-CH"/>
              </w:rPr>
            </w:pPr>
            <w:r w:rsidRPr="008B08FC">
              <w:rPr>
                <w:sz w:val="16"/>
                <w:szCs w:val="16"/>
                <w:lang w:val="fr-CH"/>
              </w:rPr>
              <w:t xml:space="preserve">Nombre de téléchargements de rapports statistiques annuels dans les </w:t>
            </w:r>
            <w:r w:rsidRPr="008B08FC">
              <w:rPr>
                <w:sz w:val="16"/>
                <w:lang w:val="fr-CH"/>
              </w:rPr>
              <w:t>cinq</w:t>
            </w:r>
            <w:r w:rsidRPr="008B08FC">
              <w:rPr>
                <w:sz w:val="16"/>
                <w:szCs w:val="16"/>
                <w:lang w:val="fr-CH"/>
              </w:rPr>
              <w:t> mois suivant leur publication</w:t>
            </w:r>
          </w:p>
        </w:tc>
        <w:tc>
          <w:tcPr>
            <w:tcW w:w="2430" w:type="dxa"/>
            <w:hideMark/>
          </w:tcPr>
          <w:p w14:paraId="62C5733B" w14:textId="77777777" w:rsidR="00FC1018" w:rsidRPr="008B08FC" w:rsidRDefault="00FC1018" w:rsidP="00986700">
            <w:pPr>
              <w:jc w:val="center"/>
            </w:pPr>
            <w:r w:rsidRPr="008B08FC">
              <w:rPr>
                <w:sz w:val="16"/>
                <w:szCs w:val="16"/>
              </w:rPr>
              <w:t>Programme 16</w:t>
            </w:r>
          </w:p>
        </w:tc>
      </w:tr>
      <w:tr w:rsidR="00FC1018" w:rsidRPr="008B08FC" w14:paraId="46BB92A7" w14:textId="77777777" w:rsidTr="00FC1018">
        <w:trPr>
          <w:cantSplit/>
        </w:trPr>
        <w:tc>
          <w:tcPr>
            <w:tcW w:w="2936" w:type="dxa"/>
            <w:hideMark/>
          </w:tcPr>
          <w:p w14:paraId="4D93DFEA" w14:textId="77777777" w:rsidR="00FC1018" w:rsidRPr="008B08FC" w:rsidRDefault="00FC1018" w:rsidP="00986700">
            <w:pPr>
              <w:rPr>
                <w:sz w:val="16"/>
                <w:szCs w:val="16"/>
              </w:rPr>
            </w:pPr>
            <w:r w:rsidRPr="008B08FC">
              <w:rPr>
                <w:sz w:val="16"/>
                <w:szCs w:val="16"/>
              </w:rPr>
              <w:t> </w:t>
            </w:r>
          </w:p>
        </w:tc>
        <w:tc>
          <w:tcPr>
            <w:tcW w:w="3848" w:type="dxa"/>
            <w:hideMark/>
          </w:tcPr>
          <w:p w14:paraId="3D01FEB5" w14:textId="77777777" w:rsidR="00FC1018" w:rsidRPr="008B08FC" w:rsidRDefault="00FC1018" w:rsidP="00986700">
            <w:pPr>
              <w:rPr>
                <w:sz w:val="16"/>
                <w:szCs w:val="16"/>
                <w:lang w:val="fr-CH"/>
              </w:rPr>
            </w:pPr>
            <w:r w:rsidRPr="008B08FC">
              <w:rPr>
                <w:sz w:val="16"/>
                <w:szCs w:val="16"/>
                <w:lang w:val="fr-CH"/>
              </w:rPr>
              <w:t>L’écart entre la prévision de janvier et les chiffres réels concernant les demandes déposées en vertu des systèmes du PCT, de Madrid et de La Haye se situe dans les valeurs prévues</w:t>
            </w:r>
          </w:p>
        </w:tc>
        <w:tc>
          <w:tcPr>
            <w:tcW w:w="2430" w:type="dxa"/>
            <w:hideMark/>
          </w:tcPr>
          <w:p w14:paraId="10953269" w14:textId="77777777" w:rsidR="00FC1018" w:rsidRPr="008B08FC" w:rsidRDefault="00FC1018" w:rsidP="00986700">
            <w:pPr>
              <w:jc w:val="center"/>
            </w:pPr>
            <w:r w:rsidRPr="008B08FC">
              <w:rPr>
                <w:sz w:val="16"/>
                <w:szCs w:val="16"/>
              </w:rPr>
              <w:t>Programme 16</w:t>
            </w:r>
          </w:p>
        </w:tc>
      </w:tr>
      <w:tr w:rsidR="00FC1018" w:rsidRPr="008B08FC" w14:paraId="5D3D7530" w14:textId="77777777" w:rsidTr="00FC1018">
        <w:trPr>
          <w:cantSplit/>
        </w:trPr>
        <w:tc>
          <w:tcPr>
            <w:tcW w:w="2936" w:type="dxa"/>
            <w:hideMark/>
          </w:tcPr>
          <w:p w14:paraId="24F5E676" w14:textId="77777777" w:rsidR="00FC1018" w:rsidRPr="008B08FC" w:rsidRDefault="00FC1018" w:rsidP="00986700">
            <w:pPr>
              <w:rPr>
                <w:sz w:val="16"/>
                <w:szCs w:val="16"/>
                <w:lang w:val="fr-CH"/>
              </w:rPr>
            </w:pPr>
            <w:r w:rsidRPr="008B08FC">
              <w:rPr>
                <w:sz w:val="16"/>
                <w:szCs w:val="16"/>
                <w:lang w:val="fr-CH"/>
              </w:rPr>
              <w:t xml:space="preserve">V.2 Utilisation élargie et améliorée des analyses économiques de l’OMPI aux fins de l’élaboration des politiques </w:t>
            </w:r>
          </w:p>
        </w:tc>
        <w:tc>
          <w:tcPr>
            <w:tcW w:w="3848" w:type="dxa"/>
            <w:hideMark/>
          </w:tcPr>
          <w:p w14:paraId="089715E3" w14:textId="77777777" w:rsidR="00FC1018" w:rsidRPr="008B08FC" w:rsidRDefault="00FC1018" w:rsidP="00986700">
            <w:pPr>
              <w:rPr>
                <w:sz w:val="16"/>
                <w:szCs w:val="16"/>
                <w:lang w:val="fr-CH"/>
              </w:rPr>
            </w:pPr>
            <w:r w:rsidRPr="008B08FC">
              <w:rPr>
                <w:sz w:val="16"/>
                <w:szCs w:val="16"/>
                <w:lang w:val="fr-CH"/>
              </w:rPr>
              <w:t>Nombre annuel de visiteurs des sites Web de l’Indice mondial de l’innovation</w:t>
            </w:r>
          </w:p>
        </w:tc>
        <w:tc>
          <w:tcPr>
            <w:tcW w:w="2430" w:type="dxa"/>
            <w:hideMark/>
          </w:tcPr>
          <w:p w14:paraId="272F50DA" w14:textId="77777777" w:rsidR="00FC1018" w:rsidRPr="008B08FC" w:rsidRDefault="00FC1018" w:rsidP="00986700">
            <w:pPr>
              <w:jc w:val="center"/>
            </w:pPr>
            <w:r w:rsidRPr="008B08FC">
              <w:rPr>
                <w:sz w:val="16"/>
                <w:szCs w:val="16"/>
              </w:rPr>
              <w:t>Programme 16</w:t>
            </w:r>
          </w:p>
        </w:tc>
      </w:tr>
      <w:tr w:rsidR="00FC1018" w:rsidRPr="008B08FC" w14:paraId="032C0E3A" w14:textId="77777777" w:rsidTr="00FC1018">
        <w:trPr>
          <w:cantSplit/>
        </w:trPr>
        <w:tc>
          <w:tcPr>
            <w:tcW w:w="2936" w:type="dxa"/>
            <w:hideMark/>
          </w:tcPr>
          <w:p w14:paraId="19C5A2E8" w14:textId="77777777" w:rsidR="00FC1018" w:rsidRPr="008B08FC" w:rsidRDefault="00FC1018" w:rsidP="00986700">
            <w:pPr>
              <w:rPr>
                <w:sz w:val="16"/>
                <w:szCs w:val="16"/>
              </w:rPr>
            </w:pPr>
            <w:r w:rsidRPr="008B08FC">
              <w:rPr>
                <w:sz w:val="16"/>
                <w:szCs w:val="16"/>
              </w:rPr>
              <w:t> </w:t>
            </w:r>
          </w:p>
        </w:tc>
        <w:tc>
          <w:tcPr>
            <w:tcW w:w="3848" w:type="dxa"/>
            <w:hideMark/>
          </w:tcPr>
          <w:p w14:paraId="4E076A68" w14:textId="009038C2" w:rsidR="00FC1018" w:rsidRPr="008B08FC" w:rsidRDefault="00FC1018" w:rsidP="00986700">
            <w:pPr>
              <w:rPr>
                <w:sz w:val="16"/>
                <w:szCs w:val="16"/>
                <w:lang w:val="fr-CH"/>
              </w:rPr>
            </w:pPr>
            <w:r w:rsidRPr="008B08FC">
              <w:rPr>
                <w:sz w:val="16"/>
                <w:szCs w:val="16"/>
                <w:lang w:val="fr-CH"/>
              </w:rPr>
              <w:t xml:space="preserve">Nombre de téléchargements du Rapport sur la propriété intellectuelle dans le monde dans les </w:t>
            </w:r>
            <w:r w:rsidRPr="008B08FC">
              <w:rPr>
                <w:sz w:val="16"/>
                <w:lang w:val="fr-CH"/>
              </w:rPr>
              <w:t>cinq</w:t>
            </w:r>
            <w:r w:rsidR="00A81CD5">
              <w:rPr>
                <w:sz w:val="16"/>
                <w:lang w:val="fr-CH"/>
              </w:rPr>
              <w:t> </w:t>
            </w:r>
            <w:r w:rsidRPr="008B08FC">
              <w:rPr>
                <w:sz w:val="16"/>
                <w:szCs w:val="16"/>
                <w:lang w:val="fr-CH"/>
              </w:rPr>
              <w:t>mois suivant sa publication</w:t>
            </w:r>
          </w:p>
        </w:tc>
        <w:tc>
          <w:tcPr>
            <w:tcW w:w="2430" w:type="dxa"/>
            <w:hideMark/>
          </w:tcPr>
          <w:p w14:paraId="0D8A069B" w14:textId="77777777" w:rsidR="00FC1018" w:rsidRPr="008B08FC" w:rsidRDefault="00FC1018" w:rsidP="00986700">
            <w:pPr>
              <w:jc w:val="center"/>
            </w:pPr>
            <w:r w:rsidRPr="008B08FC">
              <w:rPr>
                <w:sz w:val="16"/>
                <w:szCs w:val="16"/>
              </w:rPr>
              <w:t>Programme 16</w:t>
            </w:r>
          </w:p>
        </w:tc>
      </w:tr>
    </w:tbl>
    <w:p w14:paraId="4C2A7719" w14:textId="77777777" w:rsidR="00FC1018" w:rsidRPr="008B08FC" w:rsidRDefault="00FC1018" w:rsidP="00986700">
      <w:pPr>
        <w:rPr>
          <w:sz w:val="16"/>
          <w:szCs w:val="16"/>
        </w:rPr>
      </w:pPr>
    </w:p>
    <w:p w14:paraId="1427E47C" w14:textId="77777777" w:rsidR="00FC1018" w:rsidRPr="008B08FC" w:rsidRDefault="00FC1018" w:rsidP="00986700">
      <w:pPr>
        <w:rPr>
          <w:sz w:val="16"/>
          <w:szCs w:val="16"/>
        </w:rPr>
      </w:pPr>
    </w:p>
    <w:p w14:paraId="7FDF0F4D" w14:textId="77777777" w:rsidR="00FC1018" w:rsidRDefault="00FC1018" w:rsidP="00986700">
      <w:pPr>
        <w:rPr>
          <w:b/>
          <w:caps/>
          <w:sz w:val="22"/>
        </w:rPr>
      </w:pPr>
      <w:r>
        <w:br w:type="page"/>
      </w:r>
    </w:p>
    <w:p w14:paraId="0BEE80E4" w14:textId="597530D4" w:rsidR="001C5045" w:rsidRPr="001C5045" w:rsidRDefault="001C5045" w:rsidP="00986700">
      <w:pPr>
        <w:pStyle w:val="Heading2"/>
      </w:pPr>
      <w:bookmarkStart w:id="60" w:name="_Toc482979497"/>
      <w:r w:rsidRPr="001C5045">
        <w:lastRenderedPageBreak/>
        <w:t>Programme 16</w:t>
      </w:r>
      <w:r w:rsidRPr="001C5045">
        <w:tab/>
      </w:r>
      <w:r w:rsidRPr="001C5045">
        <w:rPr>
          <w:rFonts w:cs="Arial"/>
          <w:bCs/>
          <w:cs/>
        </w:rPr>
        <w:t>‎</w:t>
      </w:r>
      <w:r w:rsidRPr="001C5045">
        <w:rPr>
          <w:rtl/>
          <w:cs/>
        </w:rPr>
        <w:t>Économie et statistiques</w:t>
      </w:r>
      <w:bookmarkEnd w:id="60"/>
    </w:p>
    <w:p w14:paraId="57D3523D" w14:textId="77777777" w:rsidR="001C5045" w:rsidRPr="00FC1018" w:rsidRDefault="001C5045" w:rsidP="00986700"/>
    <w:p w14:paraId="6106DCD4" w14:textId="77777777" w:rsidR="001C5045" w:rsidRPr="00FC1018" w:rsidRDefault="001C5045" w:rsidP="00986700"/>
    <w:tbl>
      <w:tblPr>
        <w:tblW w:w="5000" w:type="pct"/>
        <w:tblCellMar>
          <w:top w:w="57" w:type="dxa"/>
          <w:bottom w:w="57" w:type="dxa"/>
        </w:tblCellMar>
        <w:tblLook w:val="01E0" w:firstRow="1" w:lastRow="1" w:firstColumn="1" w:lastColumn="1" w:noHBand="0" w:noVBand="0"/>
      </w:tblPr>
      <w:tblGrid>
        <w:gridCol w:w="9287"/>
      </w:tblGrid>
      <w:tr w:rsidR="001C5045" w:rsidRPr="009A2EB9" w14:paraId="7E46927A" w14:textId="77777777" w:rsidTr="009624B8">
        <w:trPr>
          <w:cantSplit/>
        </w:trPr>
        <w:tc>
          <w:tcPr>
            <w:tcW w:w="9287" w:type="dxa"/>
            <w:shd w:val="clear" w:color="auto" w:fill="C6D9F1" w:themeFill="text2" w:themeFillTint="33"/>
            <w:vAlign w:val="center"/>
          </w:tcPr>
          <w:p w14:paraId="5F5295B8" w14:textId="77777777" w:rsidR="001C5045" w:rsidRPr="009A2EB9" w:rsidRDefault="001C5045" w:rsidP="00986700">
            <w:pPr>
              <w:keepLines/>
              <w:jc w:val="center"/>
              <w:rPr>
                <w:rFonts w:cs="Arial"/>
                <w:b/>
                <w:szCs w:val="20"/>
                <w:lang w:val="fr-CH"/>
              </w:rPr>
            </w:pPr>
            <w:r w:rsidRPr="009A2EB9">
              <w:rPr>
                <w:rFonts w:cs="Arial"/>
                <w:b/>
                <w:szCs w:val="20"/>
                <w:lang w:val="fr-CH"/>
              </w:rPr>
              <w:t xml:space="preserve">Stratégies de mise en œuvre </w:t>
            </w:r>
          </w:p>
        </w:tc>
      </w:tr>
    </w:tbl>
    <w:p w14:paraId="746E3BF7" w14:textId="18FC0EF4" w:rsidR="001C5045" w:rsidRPr="00B677A4" w:rsidRDefault="001C5045" w:rsidP="00986700">
      <w:pPr>
        <w:jc w:val="both"/>
        <w:rPr>
          <w:rFonts w:cs="Arial"/>
          <w:szCs w:val="20"/>
          <w:lang w:val="fr-CH"/>
        </w:rPr>
      </w:pPr>
    </w:p>
    <w:p w14:paraId="43FF7747" w14:textId="77777777" w:rsidR="001C5045" w:rsidRDefault="001C5045" w:rsidP="00616FD3">
      <w:pPr>
        <w:pStyle w:val="ListParagraph"/>
        <w:numPr>
          <w:ilvl w:val="0"/>
          <w:numId w:val="35"/>
        </w:numPr>
        <w:ind w:left="567" w:hanging="567"/>
        <w:jc w:val="both"/>
        <w:rPr>
          <w:rFonts w:cs="Arial"/>
          <w:szCs w:val="20"/>
          <w:lang w:val="fr-CH"/>
        </w:rPr>
      </w:pPr>
      <w:r>
        <w:rPr>
          <w:rFonts w:cs="Arial"/>
          <w:color w:val="000000"/>
          <w:szCs w:val="20"/>
          <w:lang w:val="fr-CH"/>
        </w:rPr>
        <w:t>C</w:t>
      </w:r>
      <w:r w:rsidRPr="00715110">
        <w:rPr>
          <w:rFonts w:cs="Arial"/>
          <w:color w:val="000000"/>
          <w:szCs w:val="20"/>
          <w:lang w:val="fr-CH"/>
        </w:rPr>
        <w:t>ontinuer d</w:t>
      </w:r>
      <w:r>
        <w:rPr>
          <w:rFonts w:cs="Arial"/>
          <w:color w:val="000000"/>
          <w:szCs w:val="20"/>
          <w:lang w:val="fr-CH"/>
        </w:rPr>
        <w:t>’</w:t>
      </w:r>
      <w:r w:rsidRPr="00715110">
        <w:rPr>
          <w:rFonts w:cs="Arial"/>
          <w:color w:val="000000"/>
          <w:szCs w:val="20"/>
          <w:lang w:val="fr-CH"/>
        </w:rPr>
        <w:t>élargir la portée géographique et la couverture thématique des statistiques de propriété intellectuelle collectées au moyen de l</w:t>
      </w:r>
      <w:r>
        <w:rPr>
          <w:rFonts w:cs="Arial"/>
          <w:color w:val="000000"/>
          <w:szCs w:val="20"/>
          <w:lang w:val="fr-CH"/>
        </w:rPr>
        <w:t>’</w:t>
      </w:r>
      <w:r w:rsidRPr="00715110">
        <w:rPr>
          <w:rFonts w:cs="Arial"/>
          <w:color w:val="000000"/>
          <w:szCs w:val="20"/>
          <w:lang w:val="fr-CH"/>
        </w:rPr>
        <w:t>enquête statistique annuelle de l</w:t>
      </w:r>
      <w:r>
        <w:rPr>
          <w:rFonts w:cs="Arial"/>
          <w:color w:val="000000"/>
          <w:szCs w:val="20"/>
          <w:lang w:val="fr-CH"/>
        </w:rPr>
        <w:t>’</w:t>
      </w:r>
      <w:r w:rsidRPr="00715110">
        <w:rPr>
          <w:rFonts w:cs="Arial"/>
          <w:color w:val="000000"/>
          <w:szCs w:val="20"/>
          <w:lang w:val="fr-CH"/>
        </w:rPr>
        <w:t>OMPI;</w:t>
      </w:r>
    </w:p>
    <w:p w14:paraId="3A8FC512" w14:textId="77777777" w:rsidR="001C5045" w:rsidRPr="00715110" w:rsidRDefault="001C5045" w:rsidP="00986700">
      <w:pPr>
        <w:ind w:left="567" w:hanging="567"/>
        <w:jc w:val="both"/>
        <w:rPr>
          <w:rFonts w:cs="Arial"/>
          <w:szCs w:val="20"/>
          <w:lang w:val="fr-CH"/>
        </w:rPr>
      </w:pPr>
    </w:p>
    <w:p w14:paraId="38881B0E" w14:textId="66FC3883" w:rsidR="001C5045" w:rsidRDefault="002F0934" w:rsidP="00616FD3">
      <w:pPr>
        <w:pStyle w:val="ListParagraph"/>
        <w:numPr>
          <w:ilvl w:val="0"/>
          <w:numId w:val="35"/>
        </w:numPr>
        <w:ind w:left="567" w:hanging="567"/>
        <w:jc w:val="both"/>
        <w:rPr>
          <w:rFonts w:cs="Arial"/>
          <w:szCs w:val="20"/>
          <w:lang w:val="fr-CH"/>
        </w:rPr>
      </w:pPr>
      <w:r w:rsidRPr="00D81E9B">
        <w:rPr>
          <w:rFonts w:cs="Arial"/>
          <w:color w:val="000000"/>
          <w:szCs w:val="20"/>
          <w:lang w:val="fr-CH"/>
        </w:rPr>
        <w:t xml:space="preserve">Notifier </w:t>
      </w:r>
      <w:r w:rsidR="001C5045" w:rsidRPr="00D81E9B">
        <w:rPr>
          <w:rFonts w:cs="Arial"/>
          <w:color w:val="000000"/>
          <w:szCs w:val="20"/>
          <w:lang w:val="fr-CH"/>
        </w:rPr>
        <w:t xml:space="preserve">les statistiques de propriété intellectuelle </w:t>
      </w:r>
      <w:r w:rsidR="001C5045">
        <w:rPr>
          <w:rFonts w:cs="Arial"/>
          <w:color w:val="000000"/>
          <w:szCs w:val="20"/>
          <w:lang w:val="fr-CH"/>
        </w:rPr>
        <w:t>à l’aide</w:t>
      </w:r>
      <w:r w:rsidR="001C5045" w:rsidRPr="00D81E9B">
        <w:rPr>
          <w:rFonts w:cs="Arial"/>
          <w:color w:val="000000"/>
          <w:szCs w:val="20"/>
          <w:lang w:val="fr-CH"/>
        </w:rPr>
        <w:t xml:space="preserve"> des publications statistiques et des outils </w:t>
      </w:r>
      <w:r w:rsidR="001C5045">
        <w:rPr>
          <w:rFonts w:cs="Arial"/>
          <w:color w:val="000000"/>
          <w:szCs w:val="20"/>
          <w:lang w:val="fr-CH"/>
        </w:rPr>
        <w:t>Web</w:t>
      </w:r>
      <w:r w:rsidR="001C5045" w:rsidRPr="00D81E9B">
        <w:rPr>
          <w:rFonts w:cs="Arial"/>
          <w:color w:val="000000"/>
          <w:szCs w:val="20"/>
          <w:lang w:val="fr-CH"/>
        </w:rPr>
        <w:t xml:space="preserve"> dans le but de satisfaire les besoins des différentes communautés d</w:t>
      </w:r>
      <w:r w:rsidR="001C5045">
        <w:rPr>
          <w:rFonts w:cs="Arial"/>
          <w:color w:val="000000"/>
          <w:szCs w:val="20"/>
          <w:lang w:val="fr-CH"/>
        </w:rPr>
        <w:t>’</w:t>
      </w:r>
      <w:r w:rsidR="001C5045" w:rsidRPr="00D81E9B">
        <w:rPr>
          <w:rFonts w:cs="Arial"/>
          <w:color w:val="000000"/>
          <w:szCs w:val="20"/>
          <w:lang w:val="fr-CH"/>
        </w:rPr>
        <w:t>utilisateurs telles que les décideurs, les offices de propriété intellectuelle, les utilisateurs des systèmes de dépôt de l</w:t>
      </w:r>
      <w:r w:rsidR="001C5045">
        <w:rPr>
          <w:rFonts w:cs="Arial"/>
          <w:color w:val="000000"/>
          <w:szCs w:val="20"/>
          <w:lang w:val="fr-CH"/>
        </w:rPr>
        <w:t>’</w:t>
      </w:r>
      <w:r w:rsidR="001C5045" w:rsidRPr="00D81E9B">
        <w:rPr>
          <w:rFonts w:cs="Arial"/>
          <w:color w:val="000000"/>
          <w:szCs w:val="20"/>
          <w:lang w:val="fr-CH"/>
        </w:rPr>
        <w:t>OMPI, les chercheurs et le grand public;</w:t>
      </w:r>
    </w:p>
    <w:p w14:paraId="5882C7EB" w14:textId="7510F1D9" w:rsidR="001C5045" w:rsidRPr="00D81E9B" w:rsidRDefault="009624B8" w:rsidP="00986700">
      <w:pPr>
        <w:ind w:left="567" w:hanging="567"/>
        <w:jc w:val="both"/>
        <w:rPr>
          <w:rFonts w:cs="Arial"/>
          <w:szCs w:val="20"/>
          <w:lang w:val="fr-CH"/>
        </w:rPr>
      </w:pPr>
      <w:r w:rsidRPr="009624B8">
        <w:rPr>
          <w:noProof/>
          <w:lang w:val="en-US" w:eastAsia="en-US"/>
        </w:rPr>
        <w:drawing>
          <wp:anchor distT="0" distB="0" distL="114300" distR="114300" simplePos="0" relativeHeight="251674624" behindDoc="1" locked="0" layoutInCell="1" allowOverlap="1" wp14:anchorId="420DE427" wp14:editId="22D1FDC1">
            <wp:simplePos x="0" y="0"/>
            <wp:positionH relativeFrom="column">
              <wp:posOffset>4561205</wp:posOffset>
            </wp:positionH>
            <wp:positionV relativeFrom="paragraph">
              <wp:posOffset>27305</wp:posOffset>
            </wp:positionV>
            <wp:extent cx="1382395" cy="1763395"/>
            <wp:effectExtent l="0" t="0" r="8255" b="8255"/>
            <wp:wrapTight wrapText="bothSides">
              <wp:wrapPolygon edited="0">
                <wp:start x="10716" y="0"/>
                <wp:lineTo x="9227" y="233"/>
                <wp:lineTo x="4763" y="3033"/>
                <wp:lineTo x="4465" y="6534"/>
                <wp:lineTo x="5358" y="7467"/>
                <wp:lineTo x="8632" y="7467"/>
                <wp:lineTo x="3274" y="9801"/>
                <wp:lineTo x="1191" y="10967"/>
                <wp:lineTo x="0" y="13301"/>
                <wp:lineTo x="0" y="16801"/>
                <wp:lineTo x="595" y="19134"/>
                <wp:lineTo x="5060" y="21468"/>
                <wp:lineTo x="5953" y="21468"/>
                <wp:lineTo x="9823" y="21468"/>
                <wp:lineTo x="11013" y="21468"/>
                <wp:lineTo x="15181" y="19134"/>
                <wp:lineTo x="15478" y="18668"/>
                <wp:lineTo x="16669" y="14934"/>
                <wp:lineTo x="19943" y="11201"/>
                <wp:lineTo x="21431" y="8400"/>
                <wp:lineTo x="21431" y="4667"/>
                <wp:lineTo x="21134" y="3033"/>
                <wp:lineTo x="18157" y="933"/>
                <wp:lineTo x="15478" y="0"/>
                <wp:lineTo x="10716" y="0"/>
              </wp:wrapPolygon>
            </wp:wrapTight>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239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C686D" w14:textId="5307F00B" w:rsidR="001C5045" w:rsidRDefault="002F0934" w:rsidP="00616FD3">
      <w:pPr>
        <w:pStyle w:val="ListParagraph"/>
        <w:numPr>
          <w:ilvl w:val="0"/>
          <w:numId w:val="35"/>
        </w:numPr>
        <w:ind w:left="567" w:hanging="567"/>
        <w:jc w:val="both"/>
        <w:rPr>
          <w:rFonts w:cs="Arial"/>
          <w:szCs w:val="20"/>
          <w:lang w:val="fr-CH"/>
        </w:rPr>
      </w:pPr>
      <w:r w:rsidRPr="00BF0851">
        <w:rPr>
          <w:rFonts w:cs="Arial"/>
          <w:color w:val="000000"/>
          <w:szCs w:val="20"/>
          <w:lang w:val="fr-CH"/>
        </w:rPr>
        <w:t xml:space="preserve">Créer </w:t>
      </w:r>
      <w:r w:rsidR="001C5045" w:rsidRPr="00BF0851">
        <w:rPr>
          <w:rFonts w:cs="Arial"/>
          <w:color w:val="000000"/>
          <w:szCs w:val="20"/>
          <w:lang w:val="fr-CH"/>
        </w:rPr>
        <w:t>des bases de données qui permettent d</w:t>
      </w:r>
      <w:r w:rsidR="001C5045">
        <w:rPr>
          <w:rFonts w:cs="Arial"/>
          <w:color w:val="000000"/>
          <w:szCs w:val="20"/>
          <w:lang w:val="fr-CH"/>
        </w:rPr>
        <w:t>’</w:t>
      </w:r>
      <w:r w:rsidR="001C5045" w:rsidRPr="00BF0851">
        <w:rPr>
          <w:rFonts w:cs="Arial"/>
          <w:color w:val="000000"/>
          <w:szCs w:val="20"/>
          <w:lang w:val="fr-CH"/>
        </w:rPr>
        <w:t>é</w:t>
      </w:r>
      <w:r w:rsidR="001C5045">
        <w:rPr>
          <w:rFonts w:cs="Arial"/>
          <w:color w:val="000000"/>
          <w:szCs w:val="20"/>
          <w:lang w:val="fr-CH"/>
        </w:rPr>
        <w:t>laborer</w:t>
      </w:r>
      <w:r w:rsidR="001C5045" w:rsidRPr="00BF0851">
        <w:rPr>
          <w:rFonts w:cs="Arial"/>
          <w:color w:val="000000"/>
          <w:szCs w:val="20"/>
          <w:lang w:val="fr-CH"/>
        </w:rPr>
        <w:t xml:space="preserve"> des rapports statistiques et des analyses économiques </w:t>
      </w:r>
      <w:r w:rsidR="001C5045">
        <w:rPr>
          <w:rFonts w:cs="Arial"/>
          <w:color w:val="000000"/>
          <w:szCs w:val="20"/>
          <w:lang w:val="fr-CH"/>
        </w:rPr>
        <w:t>en utilisant</w:t>
      </w:r>
      <w:r w:rsidR="001C5045" w:rsidRPr="00BF0851">
        <w:rPr>
          <w:rFonts w:cs="Arial"/>
          <w:color w:val="000000"/>
          <w:szCs w:val="20"/>
          <w:lang w:val="fr-CH"/>
        </w:rPr>
        <w:t xml:space="preserve"> des techniques </w:t>
      </w:r>
      <w:r w:rsidR="001C5045">
        <w:rPr>
          <w:rFonts w:cs="Arial"/>
          <w:color w:val="000000"/>
          <w:szCs w:val="20"/>
          <w:lang w:val="fr-CH"/>
        </w:rPr>
        <w:t>fondées sur les</w:t>
      </w:r>
      <w:r w:rsidR="001C5045" w:rsidRPr="00BF0851">
        <w:rPr>
          <w:rFonts w:cs="Arial"/>
          <w:color w:val="000000"/>
          <w:szCs w:val="20"/>
          <w:lang w:val="fr-CH"/>
        </w:rPr>
        <w:t xml:space="preserve"> mégadonnées, notamment en ce qui concerne les activités de propriété intellectuelle portant sur la parité hommes</w:t>
      </w:r>
      <w:r w:rsidR="00B441CA">
        <w:rPr>
          <w:rFonts w:cs="Arial"/>
          <w:color w:val="000000"/>
          <w:szCs w:val="20"/>
          <w:lang w:val="fr-CH"/>
        </w:rPr>
        <w:noBreakHyphen/>
      </w:r>
      <w:r w:rsidR="001C5045" w:rsidRPr="00BF0851">
        <w:rPr>
          <w:rFonts w:cs="Arial"/>
          <w:color w:val="000000"/>
          <w:szCs w:val="20"/>
          <w:lang w:val="fr-CH"/>
        </w:rPr>
        <w:t xml:space="preserve">femmes, les </w:t>
      </w:r>
      <w:r w:rsidR="001C5045">
        <w:rPr>
          <w:rFonts w:cs="Arial"/>
          <w:color w:val="000000"/>
          <w:szCs w:val="20"/>
          <w:lang w:val="fr-CH"/>
        </w:rPr>
        <w:t>éléments</w:t>
      </w:r>
      <w:r w:rsidR="001C5045" w:rsidRPr="00BF0851">
        <w:rPr>
          <w:rFonts w:cs="Arial"/>
          <w:color w:val="000000"/>
          <w:szCs w:val="20"/>
          <w:lang w:val="fr-CH"/>
        </w:rPr>
        <w:t xml:space="preserve"> géographiques, le secteur d</w:t>
      </w:r>
      <w:r w:rsidR="001C5045">
        <w:rPr>
          <w:rFonts w:cs="Arial"/>
          <w:color w:val="000000"/>
          <w:szCs w:val="20"/>
          <w:lang w:val="fr-CH"/>
        </w:rPr>
        <w:t>’</w:t>
      </w:r>
      <w:r w:rsidR="001C5045" w:rsidRPr="00BF0851">
        <w:rPr>
          <w:rFonts w:cs="Arial"/>
          <w:color w:val="000000"/>
          <w:szCs w:val="20"/>
          <w:lang w:val="fr-CH"/>
        </w:rPr>
        <w:t>activité et d</w:t>
      </w:r>
      <w:r w:rsidR="001C5045">
        <w:rPr>
          <w:rFonts w:cs="Arial"/>
          <w:color w:val="000000"/>
          <w:szCs w:val="20"/>
          <w:lang w:val="fr-CH"/>
        </w:rPr>
        <w:t>’</w:t>
      </w:r>
      <w:r w:rsidR="001C5045" w:rsidRPr="00BF0851">
        <w:rPr>
          <w:rFonts w:cs="Arial"/>
          <w:color w:val="000000"/>
          <w:szCs w:val="20"/>
          <w:lang w:val="fr-CH"/>
        </w:rPr>
        <w:t>autres aspects;</w:t>
      </w:r>
    </w:p>
    <w:p w14:paraId="247EE036" w14:textId="77777777" w:rsidR="001C5045" w:rsidRPr="00BF0851" w:rsidRDefault="001C5045" w:rsidP="00986700">
      <w:pPr>
        <w:ind w:left="567" w:hanging="567"/>
        <w:jc w:val="both"/>
        <w:rPr>
          <w:rFonts w:cs="Arial"/>
          <w:szCs w:val="20"/>
          <w:lang w:val="fr-CH"/>
        </w:rPr>
      </w:pPr>
    </w:p>
    <w:p w14:paraId="326C3D74" w14:textId="14102A72" w:rsidR="001C5045" w:rsidRDefault="002F0934" w:rsidP="00616FD3">
      <w:pPr>
        <w:pStyle w:val="ListParagraph"/>
        <w:numPr>
          <w:ilvl w:val="0"/>
          <w:numId w:val="35"/>
        </w:numPr>
        <w:ind w:left="567" w:hanging="567"/>
        <w:jc w:val="both"/>
        <w:rPr>
          <w:rFonts w:cs="Arial"/>
          <w:szCs w:val="20"/>
          <w:lang w:val="fr-CH"/>
        </w:rPr>
      </w:pPr>
      <w:r w:rsidRPr="00BF0851">
        <w:rPr>
          <w:rFonts w:cs="Arial"/>
          <w:color w:val="000000"/>
          <w:szCs w:val="20"/>
          <w:lang w:val="fr-CH"/>
        </w:rPr>
        <w:t xml:space="preserve">Continuer </w:t>
      </w:r>
      <w:r w:rsidR="001C5045" w:rsidRPr="00BF0851">
        <w:rPr>
          <w:rFonts w:cs="Arial"/>
          <w:color w:val="000000"/>
          <w:szCs w:val="20"/>
          <w:lang w:val="fr-CH"/>
        </w:rPr>
        <w:t>d</w:t>
      </w:r>
      <w:r w:rsidR="001C5045">
        <w:rPr>
          <w:rFonts w:cs="Arial"/>
          <w:color w:val="000000"/>
          <w:szCs w:val="20"/>
          <w:lang w:val="fr-CH"/>
        </w:rPr>
        <w:t>’</w:t>
      </w:r>
      <w:r w:rsidR="001C5045" w:rsidRPr="00BF0851">
        <w:rPr>
          <w:rFonts w:cs="Arial"/>
          <w:color w:val="000000"/>
          <w:szCs w:val="20"/>
          <w:lang w:val="fr-CH"/>
        </w:rPr>
        <w:t>évaluer les résultats en matière d</w:t>
      </w:r>
      <w:r w:rsidR="001C5045">
        <w:rPr>
          <w:rFonts w:cs="Arial"/>
          <w:color w:val="000000"/>
          <w:szCs w:val="20"/>
          <w:lang w:val="fr-CH"/>
        </w:rPr>
        <w:t>’</w:t>
      </w:r>
      <w:r w:rsidR="001C5045" w:rsidRPr="00BF0851">
        <w:rPr>
          <w:rFonts w:cs="Arial"/>
          <w:color w:val="000000"/>
          <w:szCs w:val="20"/>
          <w:lang w:val="fr-CH"/>
        </w:rPr>
        <w:t>innovation en contribuant à enrichir et à copublier l</w:t>
      </w:r>
      <w:r w:rsidR="001C5045">
        <w:rPr>
          <w:rFonts w:cs="Arial"/>
          <w:color w:val="000000"/>
          <w:szCs w:val="20"/>
          <w:lang w:val="fr-CH"/>
        </w:rPr>
        <w:t>’</w:t>
      </w:r>
      <w:r w:rsidR="001C5045" w:rsidRPr="00BF0851">
        <w:rPr>
          <w:rFonts w:cs="Arial"/>
          <w:color w:val="000000"/>
          <w:szCs w:val="20"/>
          <w:lang w:val="fr-CH"/>
        </w:rPr>
        <w:t>Indice mondial de l</w:t>
      </w:r>
      <w:r w:rsidR="001C5045">
        <w:rPr>
          <w:rFonts w:cs="Arial"/>
          <w:color w:val="000000"/>
          <w:szCs w:val="20"/>
          <w:lang w:val="fr-CH"/>
        </w:rPr>
        <w:t>’</w:t>
      </w:r>
      <w:r w:rsidR="001C5045" w:rsidRPr="00BF0851">
        <w:rPr>
          <w:rFonts w:cs="Arial"/>
          <w:color w:val="000000"/>
          <w:szCs w:val="20"/>
          <w:lang w:val="fr-CH"/>
        </w:rPr>
        <w:t>innovation</w:t>
      </w:r>
      <w:r w:rsidR="007146B2">
        <w:rPr>
          <w:rFonts w:cs="Arial"/>
          <w:color w:val="000000"/>
          <w:szCs w:val="20"/>
          <w:lang w:val="fr-CH"/>
        </w:rPr>
        <w:t xml:space="preserve"> et explorer les possibilités d’élaborer d’autres indices mondiaux permettant d’informer les décideurs sur les politiques et stratégies économiques</w:t>
      </w:r>
      <w:r w:rsidR="001C5045" w:rsidRPr="00BF0851">
        <w:rPr>
          <w:rFonts w:cs="Arial"/>
          <w:color w:val="000000"/>
          <w:szCs w:val="20"/>
          <w:lang w:val="fr-CH"/>
        </w:rPr>
        <w:t>;</w:t>
      </w:r>
    </w:p>
    <w:p w14:paraId="7D7E49B4" w14:textId="77777777" w:rsidR="001C5045" w:rsidRPr="00BF0851" w:rsidRDefault="001C5045" w:rsidP="00986700">
      <w:pPr>
        <w:ind w:left="567" w:hanging="567"/>
        <w:jc w:val="both"/>
        <w:rPr>
          <w:rFonts w:cs="Arial"/>
          <w:szCs w:val="20"/>
          <w:lang w:val="fr-CH"/>
        </w:rPr>
      </w:pPr>
    </w:p>
    <w:p w14:paraId="70DE71ED" w14:textId="771067A7" w:rsidR="001C5045" w:rsidRDefault="002F0934" w:rsidP="00616FD3">
      <w:pPr>
        <w:pStyle w:val="ListParagraph"/>
        <w:numPr>
          <w:ilvl w:val="0"/>
          <w:numId w:val="35"/>
        </w:numPr>
        <w:ind w:left="567" w:hanging="567"/>
        <w:jc w:val="both"/>
        <w:rPr>
          <w:rFonts w:cs="Arial"/>
          <w:szCs w:val="20"/>
          <w:lang w:val="fr-CH"/>
        </w:rPr>
      </w:pPr>
      <w:r w:rsidRPr="00BF0851">
        <w:rPr>
          <w:rFonts w:cs="Arial"/>
          <w:color w:val="000000"/>
          <w:szCs w:val="20"/>
          <w:lang w:val="fr-CH"/>
        </w:rPr>
        <w:t xml:space="preserve">Fournir </w:t>
      </w:r>
      <w:r w:rsidR="001C5045" w:rsidRPr="00BF0851">
        <w:rPr>
          <w:rFonts w:cs="Arial"/>
          <w:color w:val="000000"/>
          <w:szCs w:val="20"/>
          <w:lang w:val="fr-CH"/>
        </w:rPr>
        <w:t>des analyses approfondies sur le rôle du système de la propriété intellectuelle dans l</w:t>
      </w:r>
      <w:r w:rsidR="001C5045">
        <w:rPr>
          <w:rFonts w:cs="Arial"/>
          <w:color w:val="000000"/>
          <w:szCs w:val="20"/>
          <w:lang w:val="fr-CH"/>
        </w:rPr>
        <w:t>’</w:t>
      </w:r>
      <w:r w:rsidR="001C5045" w:rsidRPr="00BF0851">
        <w:rPr>
          <w:rFonts w:cs="Arial"/>
          <w:color w:val="000000"/>
          <w:szCs w:val="20"/>
          <w:lang w:val="fr-CH"/>
        </w:rPr>
        <w:t>économie mondiale en publiant des rapports thématiques sur la propriété intellectuelle dans le monde;</w:t>
      </w:r>
    </w:p>
    <w:p w14:paraId="20C594C0" w14:textId="77777777" w:rsidR="001C5045" w:rsidRPr="00BF0851" w:rsidRDefault="001C5045" w:rsidP="00986700">
      <w:pPr>
        <w:ind w:left="567" w:hanging="567"/>
        <w:jc w:val="both"/>
        <w:rPr>
          <w:rFonts w:cs="Arial"/>
          <w:szCs w:val="20"/>
          <w:lang w:val="fr-CH"/>
        </w:rPr>
      </w:pPr>
    </w:p>
    <w:p w14:paraId="56E842C5" w14:textId="0E2485E2" w:rsidR="001C5045" w:rsidRDefault="002F0934" w:rsidP="00616FD3">
      <w:pPr>
        <w:pStyle w:val="ListParagraph"/>
        <w:numPr>
          <w:ilvl w:val="0"/>
          <w:numId w:val="35"/>
        </w:numPr>
        <w:ind w:left="567" w:hanging="567"/>
        <w:jc w:val="both"/>
        <w:rPr>
          <w:rFonts w:cs="Arial"/>
          <w:szCs w:val="20"/>
          <w:lang w:val="fr-CH"/>
        </w:rPr>
      </w:pPr>
      <w:r w:rsidRPr="00930DC0">
        <w:rPr>
          <w:rFonts w:cs="Arial"/>
          <w:color w:val="000000"/>
          <w:szCs w:val="20"/>
          <w:lang w:val="fr-CH"/>
        </w:rPr>
        <w:t xml:space="preserve">Intégrer </w:t>
      </w:r>
      <w:r w:rsidR="001C5045" w:rsidRPr="00930DC0">
        <w:rPr>
          <w:rFonts w:cs="Arial"/>
          <w:color w:val="000000"/>
          <w:szCs w:val="20"/>
          <w:lang w:val="fr-CH"/>
        </w:rPr>
        <w:t>les études économiques</w:t>
      </w:r>
      <w:r w:rsidR="001C5045" w:rsidRPr="00004449">
        <w:rPr>
          <w:rFonts w:cs="Arial"/>
          <w:color w:val="000000"/>
          <w:szCs w:val="20"/>
          <w:lang w:val="fr-CH"/>
        </w:rPr>
        <w:t xml:space="preserve"> </w:t>
      </w:r>
      <w:r w:rsidR="001C5045" w:rsidRPr="00930DC0">
        <w:rPr>
          <w:rFonts w:cs="Arial"/>
          <w:color w:val="000000"/>
          <w:szCs w:val="20"/>
          <w:lang w:val="fr-CH"/>
        </w:rPr>
        <w:t xml:space="preserve">dans les pays en développement initialement mises en œuvre dans le cadre du projet relatif à la propriété intellectuelle et au développement socioéconomique </w:t>
      </w:r>
      <w:r w:rsidR="001C5045">
        <w:rPr>
          <w:rFonts w:cs="Arial"/>
          <w:color w:val="000000"/>
          <w:szCs w:val="20"/>
          <w:lang w:val="fr-CH"/>
        </w:rPr>
        <w:t xml:space="preserve">– </w:t>
      </w:r>
      <w:r w:rsidR="001C5045" w:rsidRPr="00930DC0">
        <w:rPr>
          <w:rFonts w:cs="Arial"/>
          <w:color w:val="000000"/>
          <w:szCs w:val="20"/>
          <w:lang w:val="fr-CH"/>
        </w:rPr>
        <w:t>phase II, qui vise à répondre aux recommandations pertinentes du Plan d</w:t>
      </w:r>
      <w:r w:rsidR="001C5045">
        <w:rPr>
          <w:rFonts w:cs="Arial"/>
          <w:color w:val="000000"/>
          <w:szCs w:val="20"/>
          <w:lang w:val="fr-CH"/>
        </w:rPr>
        <w:t>’</w:t>
      </w:r>
      <w:r w:rsidR="001C5045" w:rsidRPr="00930DC0">
        <w:rPr>
          <w:rFonts w:cs="Arial"/>
          <w:color w:val="000000"/>
          <w:szCs w:val="20"/>
          <w:lang w:val="fr-CH"/>
        </w:rPr>
        <w:t>action pour le développement, en particulier les recommandations n</w:t>
      </w:r>
      <w:r w:rsidR="001C5045" w:rsidRPr="00EB0A6D">
        <w:rPr>
          <w:rFonts w:cs="Arial"/>
          <w:color w:val="000000"/>
          <w:szCs w:val="20"/>
          <w:vertAlign w:val="superscript"/>
          <w:lang w:val="fr-CH"/>
        </w:rPr>
        <w:t>os</w:t>
      </w:r>
      <w:r w:rsidR="001C5045">
        <w:rPr>
          <w:rFonts w:cs="Arial"/>
          <w:color w:val="000000"/>
          <w:szCs w:val="20"/>
          <w:lang w:val="fr-CH"/>
        </w:rPr>
        <w:t> </w:t>
      </w:r>
      <w:r w:rsidR="001C5045" w:rsidRPr="00930DC0">
        <w:rPr>
          <w:rFonts w:cs="Arial"/>
          <w:color w:val="000000"/>
          <w:szCs w:val="20"/>
          <w:lang w:val="fr-CH"/>
        </w:rPr>
        <w:t>34, 35, 37 et 39;</w:t>
      </w:r>
    </w:p>
    <w:p w14:paraId="2756622D" w14:textId="77777777" w:rsidR="001C5045" w:rsidRPr="00930DC0" w:rsidRDefault="001C5045" w:rsidP="00986700">
      <w:pPr>
        <w:ind w:left="567" w:hanging="567"/>
        <w:jc w:val="both"/>
        <w:rPr>
          <w:rFonts w:cs="Arial"/>
          <w:szCs w:val="20"/>
          <w:lang w:val="fr-CH"/>
        </w:rPr>
      </w:pPr>
    </w:p>
    <w:p w14:paraId="38010D53" w14:textId="1442BA6A" w:rsidR="001C5045" w:rsidRDefault="002F0934" w:rsidP="00616FD3">
      <w:pPr>
        <w:pStyle w:val="ListParagraph"/>
        <w:numPr>
          <w:ilvl w:val="0"/>
          <w:numId w:val="35"/>
        </w:numPr>
        <w:ind w:left="567" w:hanging="567"/>
        <w:jc w:val="both"/>
        <w:rPr>
          <w:rFonts w:cs="Arial"/>
          <w:szCs w:val="20"/>
          <w:lang w:val="fr-CH"/>
        </w:rPr>
      </w:pPr>
      <w:r w:rsidRPr="00CF7035">
        <w:rPr>
          <w:rFonts w:cs="Arial"/>
          <w:color w:val="000000"/>
          <w:szCs w:val="20"/>
          <w:lang w:val="fr-CH"/>
        </w:rPr>
        <w:t xml:space="preserve">Poursuivre </w:t>
      </w:r>
      <w:r w:rsidR="001C5045" w:rsidRPr="00CF7035">
        <w:rPr>
          <w:rFonts w:cs="Arial"/>
          <w:color w:val="000000"/>
          <w:szCs w:val="20"/>
          <w:lang w:val="fr-CH"/>
        </w:rPr>
        <w:t>l</w:t>
      </w:r>
      <w:r w:rsidR="001C5045">
        <w:rPr>
          <w:rFonts w:cs="Arial"/>
          <w:color w:val="000000"/>
          <w:szCs w:val="20"/>
          <w:lang w:val="fr-CH"/>
        </w:rPr>
        <w:t>’</w:t>
      </w:r>
      <w:r w:rsidR="001C5045" w:rsidRPr="00CF7035">
        <w:rPr>
          <w:rFonts w:cs="Arial"/>
          <w:color w:val="000000"/>
          <w:szCs w:val="20"/>
          <w:lang w:val="fr-CH"/>
        </w:rPr>
        <w:t>élaboration et le renforcement du programme de recherche sur les politiques et les résultats de l</w:t>
      </w:r>
      <w:r w:rsidR="001C5045">
        <w:rPr>
          <w:rFonts w:cs="Arial"/>
          <w:color w:val="000000"/>
          <w:szCs w:val="20"/>
          <w:lang w:val="fr-CH"/>
        </w:rPr>
        <w:t>’</w:t>
      </w:r>
      <w:r w:rsidR="001C5045" w:rsidRPr="00CF7035">
        <w:rPr>
          <w:rFonts w:cs="Arial"/>
          <w:color w:val="000000"/>
          <w:szCs w:val="20"/>
          <w:lang w:val="fr-CH"/>
        </w:rPr>
        <w:t>économie de la création mis en place au cours de l</w:t>
      </w:r>
      <w:r w:rsidR="001C5045">
        <w:rPr>
          <w:rFonts w:cs="Arial"/>
          <w:color w:val="000000"/>
          <w:szCs w:val="20"/>
          <w:lang w:val="fr-CH"/>
        </w:rPr>
        <w:t>’</w:t>
      </w:r>
      <w:r w:rsidR="001C5045" w:rsidRPr="00CF7035">
        <w:rPr>
          <w:rFonts w:cs="Arial"/>
          <w:color w:val="000000"/>
          <w:szCs w:val="20"/>
          <w:lang w:val="fr-CH"/>
        </w:rPr>
        <w:t>exercice biennal</w:t>
      </w:r>
      <w:r w:rsidR="001C5045">
        <w:rPr>
          <w:rFonts w:cs="Arial"/>
          <w:color w:val="000000"/>
          <w:szCs w:val="20"/>
          <w:lang w:val="fr-CH"/>
        </w:rPr>
        <w:t> </w:t>
      </w:r>
      <w:r w:rsidR="001C5045" w:rsidRPr="00CF7035">
        <w:rPr>
          <w:rFonts w:cs="Arial"/>
          <w:color w:val="000000"/>
          <w:szCs w:val="20"/>
          <w:lang w:val="fr-CH"/>
        </w:rPr>
        <w:t>2016</w:t>
      </w:r>
      <w:r w:rsidR="00B441CA">
        <w:rPr>
          <w:rFonts w:cs="Arial"/>
          <w:color w:val="000000"/>
          <w:szCs w:val="20"/>
          <w:lang w:val="fr-CH"/>
        </w:rPr>
        <w:noBreakHyphen/>
      </w:r>
      <w:r w:rsidR="001C5045" w:rsidRPr="00CF7035">
        <w:rPr>
          <w:rFonts w:cs="Arial"/>
          <w:color w:val="000000"/>
          <w:szCs w:val="20"/>
          <w:lang w:val="fr-CH"/>
        </w:rPr>
        <w:t>2017, en mettant l</w:t>
      </w:r>
      <w:r w:rsidR="001C5045">
        <w:rPr>
          <w:rFonts w:cs="Arial"/>
          <w:color w:val="000000"/>
          <w:szCs w:val="20"/>
          <w:lang w:val="fr-CH"/>
        </w:rPr>
        <w:t>’</w:t>
      </w:r>
      <w:r w:rsidR="001C5045" w:rsidRPr="00CF7035">
        <w:rPr>
          <w:rFonts w:cs="Arial"/>
          <w:color w:val="000000"/>
          <w:szCs w:val="20"/>
          <w:lang w:val="fr-CH"/>
        </w:rPr>
        <w:t>accent sur la création d</w:t>
      </w:r>
      <w:r w:rsidR="001C5045">
        <w:rPr>
          <w:rFonts w:cs="Arial"/>
          <w:color w:val="000000"/>
          <w:szCs w:val="20"/>
          <w:lang w:val="fr-CH"/>
        </w:rPr>
        <w:t>’</w:t>
      </w:r>
      <w:r w:rsidR="001C5045" w:rsidRPr="00CF7035">
        <w:rPr>
          <w:rFonts w:cs="Arial"/>
          <w:color w:val="000000"/>
          <w:szCs w:val="20"/>
          <w:lang w:val="fr-CH"/>
        </w:rPr>
        <w:t>une infrastructure empirique qui permet d</w:t>
      </w:r>
      <w:r w:rsidR="001C5045">
        <w:rPr>
          <w:rFonts w:cs="Arial"/>
          <w:color w:val="000000"/>
          <w:szCs w:val="20"/>
          <w:lang w:val="fr-CH"/>
        </w:rPr>
        <w:t>’</w:t>
      </w:r>
      <w:r w:rsidR="001C5045" w:rsidRPr="00CF7035">
        <w:rPr>
          <w:rFonts w:cs="Arial"/>
          <w:color w:val="000000"/>
          <w:szCs w:val="20"/>
          <w:lang w:val="fr-CH"/>
        </w:rPr>
        <w:t>inclure des informations plus détaillées dans les chaînes de valeur de l</w:t>
      </w:r>
      <w:r w:rsidR="001C5045">
        <w:rPr>
          <w:rFonts w:cs="Arial"/>
          <w:color w:val="000000"/>
          <w:szCs w:val="20"/>
          <w:lang w:val="fr-CH"/>
        </w:rPr>
        <w:t>’</w:t>
      </w:r>
      <w:r w:rsidR="001C5045" w:rsidRPr="00CF7035">
        <w:rPr>
          <w:rFonts w:cs="Arial"/>
          <w:color w:val="000000"/>
          <w:szCs w:val="20"/>
          <w:lang w:val="fr-CH"/>
        </w:rPr>
        <w:t>économie de la création;</w:t>
      </w:r>
    </w:p>
    <w:p w14:paraId="1B68ECBD" w14:textId="77777777" w:rsidR="001C5045" w:rsidRPr="00CF7035" w:rsidRDefault="001C5045" w:rsidP="00986700">
      <w:pPr>
        <w:ind w:left="567" w:hanging="567"/>
        <w:jc w:val="both"/>
        <w:rPr>
          <w:rFonts w:cs="Arial"/>
          <w:szCs w:val="20"/>
          <w:lang w:val="fr-CH"/>
        </w:rPr>
      </w:pPr>
    </w:p>
    <w:p w14:paraId="234EE25B" w14:textId="3114D304" w:rsidR="001C5045" w:rsidRDefault="002F0934" w:rsidP="00616FD3">
      <w:pPr>
        <w:pStyle w:val="ListParagraph"/>
        <w:numPr>
          <w:ilvl w:val="0"/>
          <w:numId w:val="35"/>
        </w:numPr>
        <w:ind w:left="567" w:hanging="567"/>
        <w:jc w:val="both"/>
        <w:rPr>
          <w:rFonts w:cs="Arial"/>
          <w:szCs w:val="20"/>
          <w:lang w:val="fr-CH"/>
        </w:rPr>
      </w:pPr>
      <w:r w:rsidRPr="008F3853">
        <w:rPr>
          <w:rFonts w:cs="Arial"/>
          <w:color w:val="000000"/>
          <w:szCs w:val="20"/>
          <w:lang w:val="fr-CH"/>
        </w:rPr>
        <w:t xml:space="preserve">Maximiser </w:t>
      </w:r>
      <w:r w:rsidR="001C5045" w:rsidRPr="008F3853">
        <w:rPr>
          <w:rFonts w:cs="Arial"/>
          <w:color w:val="000000"/>
          <w:szCs w:val="20"/>
          <w:lang w:val="fr-CH"/>
        </w:rPr>
        <w:t>les synergies institutionnelles et promouvoir la qualité des recherches en continuant d</w:t>
      </w:r>
      <w:r w:rsidR="001C5045">
        <w:rPr>
          <w:rFonts w:cs="Arial"/>
          <w:color w:val="000000"/>
          <w:szCs w:val="20"/>
          <w:lang w:val="fr-CH"/>
        </w:rPr>
        <w:t>’</w:t>
      </w:r>
      <w:r w:rsidR="001C5045" w:rsidRPr="008F3853">
        <w:rPr>
          <w:rFonts w:cs="Arial"/>
          <w:color w:val="000000"/>
          <w:szCs w:val="20"/>
          <w:lang w:val="fr-CH"/>
        </w:rPr>
        <w:t>assurer la coordination du réseau mondial d</w:t>
      </w:r>
      <w:r w:rsidR="001C5045">
        <w:rPr>
          <w:rFonts w:cs="Arial"/>
          <w:color w:val="000000"/>
          <w:szCs w:val="20"/>
          <w:lang w:val="fr-CH"/>
        </w:rPr>
        <w:t>’</w:t>
      </w:r>
      <w:r w:rsidR="001C5045" w:rsidRPr="008F3853">
        <w:rPr>
          <w:rFonts w:cs="Arial"/>
          <w:color w:val="000000"/>
          <w:szCs w:val="20"/>
          <w:lang w:val="fr-CH"/>
        </w:rPr>
        <w:t>économistes rattachés aux offices de propriété intellectuelle.</w:t>
      </w:r>
    </w:p>
    <w:p w14:paraId="244E92C7" w14:textId="77777777" w:rsidR="001C5045" w:rsidRPr="008F3853" w:rsidRDefault="001C5045" w:rsidP="00986700">
      <w:pPr>
        <w:rPr>
          <w:rFonts w:cs="Arial"/>
          <w:szCs w:val="20"/>
          <w:lang w:val="fr-CH"/>
        </w:rPr>
      </w:pPr>
    </w:p>
    <w:p w14:paraId="3F6A1579" w14:textId="77777777" w:rsidR="001C5045" w:rsidRPr="008F3853" w:rsidRDefault="001C5045" w:rsidP="00986700">
      <w:pPr>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1C5045" w:rsidRPr="009A2EB9" w14:paraId="194A3015" w14:textId="77777777" w:rsidTr="00FC1018">
        <w:trPr>
          <w:cantSplit/>
        </w:trPr>
        <w:tc>
          <w:tcPr>
            <w:tcW w:w="9180" w:type="dxa"/>
            <w:shd w:val="clear" w:color="auto" w:fill="C6D9F1" w:themeFill="text2" w:themeFillTint="33"/>
            <w:vAlign w:val="center"/>
          </w:tcPr>
          <w:p w14:paraId="5665C52D" w14:textId="6C479796" w:rsidR="001C5045" w:rsidRPr="009A2EB9" w:rsidRDefault="000B1950" w:rsidP="000B1950">
            <w:pPr>
              <w:keepNext/>
              <w:keepLines/>
              <w:jc w:val="center"/>
              <w:rPr>
                <w:rFonts w:eastAsia="Times New Roman" w:cs="Arial"/>
                <w:b/>
                <w:bCs/>
                <w:szCs w:val="20"/>
                <w:lang w:val="fr-CH" w:eastAsia="en-US"/>
              </w:rPr>
            </w:pPr>
            <w:r>
              <w:rPr>
                <w:rFonts w:cs="Arial"/>
                <w:b/>
                <w:szCs w:val="20"/>
                <w:lang w:val="fr-CH"/>
              </w:rPr>
              <w:lastRenderedPageBreak/>
              <w:t>Collaboration interprogrammes</w:t>
            </w:r>
          </w:p>
        </w:tc>
      </w:tr>
    </w:tbl>
    <w:p w14:paraId="4E235C36" w14:textId="77777777" w:rsidR="001C5045" w:rsidRPr="009A2EB9" w:rsidRDefault="001C5045" w:rsidP="00590DB9">
      <w:pPr>
        <w:keepNext/>
        <w:rPr>
          <w:rFonts w:cs="Arial"/>
          <w:szCs w:val="20"/>
          <w:lang w:val="fr-CH"/>
        </w:rPr>
      </w:pPr>
    </w:p>
    <w:p w14:paraId="3D956181" w14:textId="0E7A0212" w:rsidR="001C5045" w:rsidRPr="009A2EB9" w:rsidRDefault="00590DB9" w:rsidP="00590DB9">
      <w:pPr>
        <w:jc w:val="center"/>
        <w:rPr>
          <w:rFonts w:cs="Arial"/>
          <w:szCs w:val="20"/>
          <w:lang w:val="fr-CH"/>
        </w:rPr>
      </w:pPr>
      <w:r w:rsidRPr="00590DB9">
        <w:rPr>
          <w:noProof/>
          <w:lang w:val="en-US" w:eastAsia="en-US"/>
        </w:rPr>
        <w:drawing>
          <wp:inline distT="0" distB="0" distL="0" distR="0" wp14:anchorId="705EFAE2" wp14:editId="6FF153CA">
            <wp:extent cx="3673750" cy="3600000"/>
            <wp:effectExtent l="0" t="0" r="3175"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73750" cy="3600000"/>
                    </a:xfrm>
                    <a:prstGeom prst="rect">
                      <a:avLst/>
                    </a:prstGeom>
                    <a:noFill/>
                    <a:ln>
                      <a:noFill/>
                    </a:ln>
                  </pic:spPr>
                </pic:pic>
              </a:graphicData>
            </a:graphic>
          </wp:inline>
        </w:drawing>
      </w:r>
    </w:p>
    <w:p w14:paraId="26CA5C32" w14:textId="77777777" w:rsidR="001C5045" w:rsidRPr="009A2EB9" w:rsidRDefault="001C5045" w:rsidP="00986700">
      <w:pPr>
        <w:rPr>
          <w:rFonts w:cs="Arial"/>
          <w:szCs w:val="20"/>
          <w:lang w:val="fr-CH"/>
        </w:rPr>
      </w:pPr>
    </w:p>
    <w:tbl>
      <w:tblPr>
        <w:tblW w:w="5000" w:type="pct"/>
        <w:tblCellMar>
          <w:top w:w="57" w:type="dxa"/>
          <w:bottom w:w="57" w:type="dxa"/>
        </w:tblCellMar>
        <w:tblLook w:val="01E0" w:firstRow="1" w:lastRow="1" w:firstColumn="1" w:lastColumn="1" w:noHBand="0" w:noVBand="0"/>
      </w:tblPr>
      <w:tblGrid>
        <w:gridCol w:w="4640"/>
        <w:gridCol w:w="4647"/>
      </w:tblGrid>
      <w:tr w:rsidR="001C5045" w:rsidRPr="001C5045" w14:paraId="46ED1C25" w14:textId="77777777" w:rsidTr="001C5045">
        <w:trPr>
          <w:cantSplit/>
        </w:trPr>
        <w:tc>
          <w:tcPr>
            <w:tcW w:w="4785" w:type="dxa"/>
            <w:shd w:val="clear" w:color="auto" w:fill="C6D9F1" w:themeFill="text2" w:themeFillTint="33"/>
            <w:vAlign w:val="center"/>
            <w:hideMark/>
          </w:tcPr>
          <w:p w14:paraId="3C3FA4D5" w14:textId="77777777" w:rsidR="001C5045" w:rsidRPr="001C5045" w:rsidRDefault="001C5045" w:rsidP="00986700">
            <w:pPr>
              <w:jc w:val="center"/>
              <w:rPr>
                <w:rFonts w:cs="Arial"/>
                <w:b/>
                <w:bCs/>
                <w:sz w:val="18"/>
                <w:szCs w:val="18"/>
              </w:rPr>
            </w:pPr>
            <w:r w:rsidRPr="001C5045">
              <w:rPr>
                <w:rFonts w:cs="Arial"/>
                <w:b/>
                <w:bCs/>
                <w:sz w:val="18"/>
                <w:szCs w:val="18"/>
              </w:rPr>
              <w:t>Risques</w:t>
            </w:r>
          </w:p>
        </w:tc>
        <w:tc>
          <w:tcPr>
            <w:tcW w:w="4786" w:type="dxa"/>
            <w:shd w:val="clear" w:color="auto" w:fill="C6D9F1" w:themeFill="text2" w:themeFillTint="33"/>
            <w:vAlign w:val="center"/>
            <w:hideMark/>
          </w:tcPr>
          <w:p w14:paraId="70A361D5" w14:textId="77777777" w:rsidR="001C5045" w:rsidRPr="001C5045" w:rsidRDefault="001C5045" w:rsidP="00986700">
            <w:pPr>
              <w:jc w:val="center"/>
              <w:rPr>
                <w:rFonts w:cs="Arial"/>
                <w:b/>
                <w:bCs/>
                <w:sz w:val="18"/>
                <w:szCs w:val="18"/>
              </w:rPr>
            </w:pPr>
            <w:r w:rsidRPr="001C5045">
              <w:rPr>
                <w:rFonts w:cs="Arial"/>
                <w:b/>
                <w:bCs/>
                <w:sz w:val="18"/>
                <w:szCs w:val="18"/>
              </w:rPr>
              <w:t>Mesures d’atténuation</w:t>
            </w:r>
          </w:p>
        </w:tc>
      </w:tr>
      <w:tr w:rsidR="001C5045" w:rsidRPr="001C5045" w14:paraId="3A1CD6BE" w14:textId="77777777" w:rsidTr="001C5045">
        <w:trPr>
          <w:cantSplit/>
        </w:trPr>
        <w:tc>
          <w:tcPr>
            <w:tcW w:w="4785" w:type="dxa"/>
            <w:tcMar>
              <w:top w:w="57" w:type="dxa"/>
              <w:left w:w="108" w:type="dxa"/>
              <w:bottom w:w="57" w:type="dxa"/>
              <w:right w:w="108" w:type="dxa"/>
            </w:tcMar>
            <w:hideMark/>
          </w:tcPr>
          <w:p w14:paraId="115D8359" w14:textId="77777777" w:rsidR="001C5045" w:rsidRPr="001C5045" w:rsidRDefault="001C5045" w:rsidP="00986700">
            <w:pPr>
              <w:jc w:val="both"/>
              <w:rPr>
                <w:rFonts w:cs="Arial"/>
                <w:sz w:val="16"/>
                <w:szCs w:val="20"/>
                <w:lang w:val="fr-CH"/>
              </w:rPr>
            </w:pPr>
            <w:r w:rsidRPr="001C5045">
              <w:rPr>
                <w:rFonts w:cs="Arial"/>
                <w:sz w:val="16"/>
                <w:szCs w:val="20"/>
                <w:lang w:val="fr-CH"/>
              </w:rPr>
              <w:t>Publication d’informations statistiques incomplètes (WIPI).</w:t>
            </w:r>
          </w:p>
        </w:tc>
        <w:tc>
          <w:tcPr>
            <w:tcW w:w="4786" w:type="dxa"/>
            <w:tcMar>
              <w:top w:w="57" w:type="dxa"/>
              <w:left w:w="108" w:type="dxa"/>
              <w:bottom w:w="57" w:type="dxa"/>
              <w:right w:w="108" w:type="dxa"/>
            </w:tcMar>
            <w:hideMark/>
          </w:tcPr>
          <w:p w14:paraId="4B84A0E2" w14:textId="77777777" w:rsidR="001C5045" w:rsidRPr="001C5045" w:rsidRDefault="001C5045" w:rsidP="00986700">
            <w:pPr>
              <w:jc w:val="both"/>
              <w:rPr>
                <w:rFonts w:cs="Arial"/>
                <w:sz w:val="16"/>
                <w:szCs w:val="20"/>
                <w:lang w:val="fr-CH"/>
              </w:rPr>
            </w:pPr>
            <w:r w:rsidRPr="001C5045">
              <w:rPr>
                <w:rFonts w:cs="Arial"/>
                <w:sz w:val="16"/>
                <w:szCs w:val="20"/>
                <w:lang w:val="fr-CH"/>
              </w:rPr>
              <w:t>Prévoir un délai de réponse suffisant et contribuer à renforcer les capacités de production de données statistiques à l’échelle nationale.</w:t>
            </w:r>
          </w:p>
        </w:tc>
      </w:tr>
      <w:tr w:rsidR="001C5045" w:rsidRPr="001C5045" w14:paraId="144FB824" w14:textId="77777777" w:rsidTr="001C5045">
        <w:trPr>
          <w:cantSplit/>
        </w:trPr>
        <w:tc>
          <w:tcPr>
            <w:tcW w:w="4785" w:type="dxa"/>
            <w:tcMar>
              <w:top w:w="57" w:type="dxa"/>
              <w:left w:w="108" w:type="dxa"/>
              <w:bottom w:w="57" w:type="dxa"/>
              <w:right w:w="108" w:type="dxa"/>
            </w:tcMar>
            <w:hideMark/>
          </w:tcPr>
          <w:p w14:paraId="7F670C4A" w14:textId="77777777" w:rsidR="001C5045" w:rsidRPr="001C5045" w:rsidRDefault="001C5045" w:rsidP="00986700">
            <w:pPr>
              <w:jc w:val="both"/>
              <w:rPr>
                <w:rFonts w:cs="Arial"/>
                <w:sz w:val="16"/>
                <w:szCs w:val="20"/>
                <w:lang w:val="fr-CH"/>
              </w:rPr>
            </w:pPr>
            <w:r w:rsidRPr="001C5045">
              <w:rPr>
                <w:rFonts w:cs="Arial"/>
                <w:sz w:val="16"/>
                <w:szCs w:val="20"/>
                <w:lang w:val="fr-CH"/>
              </w:rPr>
              <w:t>Les publications de l’OMPI contiennent des données statistiques incomplètes ou présentent des lacunes en termes d’analyse.</w:t>
            </w:r>
            <w:r w:rsidRPr="001C5045">
              <w:rPr>
                <w:sz w:val="16"/>
                <w:lang w:val="fr-CH"/>
              </w:rPr>
              <w:t xml:space="preserve"> </w:t>
            </w:r>
            <w:r w:rsidRPr="001C5045">
              <w:rPr>
                <w:rFonts w:cs="Arial"/>
                <w:sz w:val="16"/>
                <w:szCs w:val="20"/>
                <w:lang w:val="fr-CH"/>
              </w:rPr>
              <w:t xml:space="preserve"> </w:t>
            </w:r>
          </w:p>
        </w:tc>
        <w:tc>
          <w:tcPr>
            <w:tcW w:w="4786" w:type="dxa"/>
            <w:tcMar>
              <w:top w:w="57" w:type="dxa"/>
              <w:left w:w="108" w:type="dxa"/>
              <w:bottom w:w="57" w:type="dxa"/>
              <w:right w:w="108" w:type="dxa"/>
            </w:tcMar>
            <w:hideMark/>
          </w:tcPr>
          <w:p w14:paraId="2F4F67D9" w14:textId="77777777" w:rsidR="001C5045" w:rsidRPr="001C5045" w:rsidRDefault="001C5045" w:rsidP="00986700">
            <w:pPr>
              <w:jc w:val="both"/>
              <w:rPr>
                <w:rFonts w:cs="Arial"/>
                <w:sz w:val="16"/>
                <w:szCs w:val="20"/>
                <w:lang w:val="fr-CH"/>
              </w:rPr>
            </w:pPr>
            <w:r w:rsidRPr="001C5045">
              <w:rPr>
                <w:rFonts w:cs="Arial"/>
                <w:sz w:val="16"/>
                <w:szCs w:val="20"/>
                <w:lang w:val="fr-CH"/>
              </w:rPr>
              <w:t>Des mécanismes de contrôle sont instaurés pour repérer les incohérences dans les données au moment de la collecte des statistiques sur les activités de propriété intellectuelle;  toutes les publications statistiques sont examinées avec attention par des experts en statistiques et au sein des secteurs de l’OMPI concernés;  toutes les publications analytiques sont soumises à un comité de lecture en externe.</w:t>
            </w:r>
          </w:p>
        </w:tc>
      </w:tr>
    </w:tbl>
    <w:p w14:paraId="5157FB6B" w14:textId="77777777" w:rsidR="001C5045" w:rsidRPr="000720B7" w:rsidRDefault="001C5045" w:rsidP="00986700">
      <w:pPr>
        <w:jc w:val="both"/>
        <w:rPr>
          <w:rFonts w:cs="Arial"/>
          <w:szCs w:val="20"/>
          <w:lang w:val="fr-CH"/>
        </w:rPr>
      </w:pPr>
    </w:p>
    <w:p w14:paraId="37551682" w14:textId="77777777" w:rsidR="001C5045" w:rsidRPr="000720B7" w:rsidRDefault="001C5045" w:rsidP="00986700">
      <w:pPr>
        <w:jc w:val="both"/>
        <w:rPr>
          <w:rFonts w:cs="Arial"/>
          <w:szCs w:val="20"/>
          <w:lang w:val="fr-CH"/>
        </w:rPr>
      </w:pPr>
    </w:p>
    <w:tbl>
      <w:tblPr>
        <w:tblW w:w="5000" w:type="pct"/>
        <w:tblCellMar>
          <w:top w:w="57" w:type="dxa"/>
          <w:bottom w:w="57" w:type="dxa"/>
        </w:tblCellMar>
        <w:tblLook w:val="04A0" w:firstRow="1" w:lastRow="0" w:firstColumn="1" w:lastColumn="0" w:noHBand="0" w:noVBand="1"/>
      </w:tblPr>
      <w:tblGrid>
        <w:gridCol w:w="2318"/>
        <w:gridCol w:w="2333"/>
        <w:gridCol w:w="2321"/>
        <w:gridCol w:w="2315"/>
      </w:tblGrid>
      <w:tr w:rsidR="001C5045" w:rsidRPr="001C5045" w14:paraId="6963BC82" w14:textId="77777777" w:rsidTr="001C5045">
        <w:trPr>
          <w:cantSplit/>
          <w:tblHeader/>
        </w:trPr>
        <w:tc>
          <w:tcPr>
            <w:tcW w:w="2392" w:type="dxa"/>
            <w:shd w:val="clear" w:color="000000" w:fill="C5D9F1"/>
            <w:tcMar>
              <w:top w:w="57" w:type="dxa"/>
            </w:tcMar>
            <w:vAlign w:val="center"/>
            <w:hideMark/>
          </w:tcPr>
          <w:p w14:paraId="564D3C83" w14:textId="77777777" w:rsidR="001C5045" w:rsidRPr="001C5045" w:rsidRDefault="001C5045" w:rsidP="00986700">
            <w:pPr>
              <w:keepNext/>
              <w:jc w:val="center"/>
              <w:rPr>
                <w:rFonts w:eastAsia="Times New Roman" w:cs="Arial"/>
                <w:b/>
                <w:bCs/>
                <w:sz w:val="18"/>
                <w:szCs w:val="18"/>
                <w:lang w:eastAsia="en-US"/>
              </w:rPr>
            </w:pPr>
            <w:r w:rsidRPr="001C5045">
              <w:rPr>
                <w:rFonts w:eastAsia="Times New Roman" w:cs="Arial"/>
                <w:b/>
                <w:bCs/>
                <w:sz w:val="18"/>
                <w:szCs w:val="18"/>
                <w:lang w:eastAsia="en-US"/>
              </w:rPr>
              <w:t>Résultat escompté</w:t>
            </w:r>
          </w:p>
        </w:tc>
        <w:tc>
          <w:tcPr>
            <w:tcW w:w="2393" w:type="dxa"/>
            <w:shd w:val="clear" w:color="000000" w:fill="C5D9F1"/>
            <w:tcMar>
              <w:top w:w="57" w:type="dxa"/>
            </w:tcMar>
            <w:vAlign w:val="center"/>
            <w:hideMark/>
          </w:tcPr>
          <w:p w14:paraId="6C174BC6" w14:textId="77777777" w:rsidR="001C5045" w:rsidRPr="001C5045" w:rsidRDefault="001C5045" w:rsidP="00986700">
            <w:pPr>
              <w:keepNext/>
              <w:jc w:val="center"/>
              <w:rPr>
                <w:rFonts w:eastAsia="Times New Roman" w:cs="Arial"/>
                <w:b/>
                <w:bCs/>
                <w:sz w:val="18"/>
                <w:szCs w:val="18"/>
                <w:lang w:eastAsia="en-US"/>
              </w:rPr>
            </w:pPr>
            <w:r w:rsidRPr="001C5045">
              <w:rPr>
                <w:rFonts w:eastAsia="Times New Roman" w:cs="Arial"/>
                <w:b/>
                <w:bCs/>
                <w:sz w:val="18"/>
                <w:szCs w:val="18"/>
                <w:lang w:eastAsia="en-US"/>
              </w:rPr>
              <w:t>Indicateurs d’exécution</w:t>
            </w:r>
          </w:p>
        </w:tc>
        <w:tc>
          <w:tcPr>
            <w:tcW w:w="2393" w:type="dxa"/>
            <w:shd w:val="clear" w:color="000000" w:fill="C5D9F1"/>
            <w:tcMar>
              <w:top w:w="57" w:type="dxa"/>
            </w:tcMar>
            <w:vAlign w:val="center"/>
            <w:hideMark/>
          </w:tcPr>
          <w:p w14:paraId="54C2D122" w14:textId="77777777" w:rsidR="001C5045" w:rsidRPr="001C5045" w:rsidRDefault="001C5045" w:rsidP="00986700">
            <w:pPr>
              <w:keepNext/>
              <w:jc w:val="center"/>
              <w:rPr>
                <w:rFonts w:eastAsia="Times New Roman" w:cs="Arial"/>
                <w:b/>
                <w:bCs/>
                <w:sz w:val="18"/>
                <w:szCs w:val="18"/>
                <w:lang w:eastAsia="en-US"/>
              </w:rPr>
            </w:pPr>
            <w:r w:rsidRPr="001C5045">
              <w:rPr>
                <w:rFonts w:eastAsia="Times New Roman" w:cs="Arial"/>
                <w:b/>
                <w:bCs/>
                <w:sz w:val="18"/>
                <w:szCs w:val="18"/>
                <w:lang w:eastAsia="en-US"/>
              </w:rPr>
              <w:t>Niveaux de référence</w:t>
            </w:r>
          </w:p>
        </w:tc>
        <w:tc>
          <w:tcPr>
            <w:tcW w:w="2393" w:type="dxa"/>
            <w:shd w:val="clear" w:color="000000" w:fill="C5D9F1"/>
            <w:tcMar>
              <w:top w:w="57" w:type="dxa"/>
            </w:tcMar>
            <w:vAlign w:val="center"/>
            <w:hideMark/>
          </w:tcPr>
          <w:p w14:paraId="50DDD5E6" w14:textId="77777777" w:rsidR="001C5045" w:rsidRPr="001C5045" w:rsidRDefault="001C5045" w:rsidP="00986700">
            <w:pPr>
              <w:keepNext/>
              <w:jc w:val="center"/>
              <w:rPr>
                <w:rFonts w:eastAsia="Times New Roman" w:cs="Arial"/>
                <w:b/>
                <w:bCs/>
                <w:sz w:val="18"/>
                <w:szCs w:val="18"/>
                <w:lang w:eastAsia="en-US"/>
              </w:rPr>
            </w:pPr>
            <w:r w:rsidRPr="001C5045">
              <w:rPr>
                <w:rFonts w:eastAsia="Times New Roman" w:cs="Arial"/>
                <w:b/>
                <w:bCs/>
                <w:sz w:val="18"/>
                <w:szCs w:val="18"/>
                <w:lang w:eastAsia="en-US"/>
              </w:rPr>
              <w:t>Objectifs visés</w:t>
            </w:r>
          </w:p>
        </w:tc>
      </w:tr>
      <w:tr w:rsidR="001C5045" w:rsidRPr="001C5045" w14:paraId="393D90E1" w14:textId="77777777" w:rsidTr="001C5045">
        <w:trPr>
          <w:cantSplit/>
        </w:trPr>
        <w:tc>
          <w:tcPr>
            <w:tcW w:w="2392" w:type="dxa"/>
            <w:shd w:val="clear" w:color="000000" w:fill="FFFFFF"/>
            <w:tcMar>
              <w:top w:w="57" w:type="dxa"/>
            </w:tcMar>
            <w:hideMark/>
          </w:tcPr>
          <w:p w14:paraId="3243ACE8"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 xml:space="preserve">V.1 Utilisation élargie et améliorée de l’information statistique de l’OMPI relative à la propriété intellectuelle </w:t>
            </w:r>
          </w:p>
        </w:tc>
        <w:tc>
          <w:tcPr>
            <w:tcW w:w="2393" w:type="dxa"/>
            <w:shd w:val="clear" w:color="000000" w:fill="FFFFFF"/>
            <w:tcMar>
              <w:top w:w="57" w:type="dxa"/>
            </w:tcMar>
            <w:hideMark/>
          </w:tcPr>
          <w:p w14:paraId="694D0669"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Nombre de recherches effectuées via le Centre de données statistiques de propriété intellectuelle</w:t>
            </w:r>
          </w:p>
        </w:tc>
        <w:tc>
          <w:tcPr>
            <w:tcW w:w="2393" w:type="dxa"/>
            <w:shd w:val="clear" w:color="000000" w:fill="FFFFFF"/>
            <w:tcMar>
              <w:top w:w="57" w:type="dxa"/>
            </w:tcMar>
            <w:hideMark/>
          </w:tcPr>
          <w:p w14:paraId="4AFBEAF2" w14:textId="35D6AF4A" w:rsidR="001C5045" w:rsidRPr="001C5045" w:rsidRDefault="00AE6922" w:rsidP="00AE6922">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tcMar>
              <w:top w:w="57" w:type="dxa"/>
            </w:tcMar>
            <w:hideMark/>
          </w:tcPr>
          <w:p w14:paraId="3D7128F8"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Croissance de 5% (annuel)</w:t>
            </w:r>
          </w:p>
        </w:tc>
      </w:tr>
      <w:tr w:rsidR="001C5045" w:rsidRPr="001C5045" w14:paraId="03E9452C" w14:textId="77777777" w:rsidTr="001C5045">
        <w:trPr>
          <w:cantSplit/>
        </w:trPr>
        <w:tc>
          <w:tcPr>
            <w:tcW w:w="2392" w:type="dxa"/>
            <w:shd w:val="clear" w:color="000000" w:fill="FFFFFF"/>
            <w:tcMar>
              <w:top w:w="57" w:type="dxa"/>
            </w:tcMar>
            <w:hideMark/>
          </w:tcPr>
          <w:p w14:paraId="09EBD8F7"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 </w:t>
            </w:r>
          </w:p>
        </w:tc>
        <w:tc>
          <w:tcPr>
            <w:tcW w:w="2393" w:type="dxa"/>
            <w:shd w:val="clear" w:color="000000" w:fill="FFFFFF"/>
            <w:tcMar>
              <w:top w:w="57" w:type="dxa"/>
            </w:tcMar>
            <w:hideMark/>
          </w:tcPr>
          <w:p w14:paraId="37EF2B50"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 xml:space="preserve">Nombre de téléchargements de rapports statistiques annuels dans les </w:t>
            </w:r>
            <w:r w:rsidRPr="001C5045">
              <w:rPr>
                <w:sz w:val="16"/>
                <w:lang w:val="fr-CH"/>
              </w:rPr>
              <w:t>cinq</w:t>
            </w:r>
            <w:r w:rsidRPr="001C5045">
              <w:rPr>
                <w:rFonts w:eastAsia="Times New Roman" w:cs="Arial"/>
                <w:sz w:val="16"/>
                <w:szCs w:val="16"/>
                <w:lang w:val="fr-CH" w:eastAsia="en-US"/>
              </w:rPr>
              <w:t> mois suivant leur publication</w:t>
            </w:r>
          </w:p>
        </w:tc>
        <w:tc>
          <w:tcPr>
            <w:tcW w:w="2393" w:type="dxa"/>
            <w:shd w:val="clear" w:color="000000" w:fill="FFFFFF"/>
            <w:tcMar>
              <w:top w:w="57" w:type="dxa"/>
            </w:tcMar>
            <w:hideMark/>
          </w:tcPr>
          <w:p w14:paraId="6D5D5CA6" w14:textId="2F7D68E2" w:rsidR="001C5045" w:rsidRPr="001C5045" w:rsidRDefault="00AE6922" w:rsidP="00AE6922">
            <w:pPr>
              <w:rPr>
                <w:rFonts w:eastAsia="Times New Roman" w:cs="Arial"/>
                <w:sz w:val="16"/>
                <w:szCs w:val="16"/>
                <w:lang w:eastAsia="en-US"/>
              </w:rPr>
            </w:pPr>
            <w:r>
              <w:rPr>
                <w:rFonts w:eastAsia="Times New Roman" w:cs="Arial"/>
                <w:sz w:val="16"/>
                <w:szCs w:val="16"/>
                <w:lang w:eastAsia="en-US"/>
              </w:rPr>
              <w:t>À déterminer</w:t>
            </w:r>
          </w:p>
        </w:tc>
        <w:tc>
          <w:tcPr>
            <w:tcW w:w="2393" w:type="dxa"/>
            <w:shd w:val="clear" w:color="000000" w:fill="FFFFFF"/>
            <w:tcMar>
              <w:top w:w="57" w:type="dxa"/>
            </w:tcMar>
            <w:hideMark/>
          </w:tcPr>
          <w:p w14:paraId="31B83C2D"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Croissance de 5% pour les Indicateurs mondiaux de propriété intellectuelle (annuel) et croissance de 5% pour les examens annuels (annuel)</w:t>
            </w:r>
          </w:p>
        </w:tc>
      </w:tr>
      <w:tr w:rsidR="001C5045" w:rsidRPr="001C5045" w14:paraId="0ECFA650" w14:textId="77777777" w:rsidTr="001C5045">
        <w:trPr>
          <w:cantSplit/>
        </w:trPr>
        <w:tc>
          <w:tcPr>
            <w:tcW w:w="2392" w:type="dxa"/>
            <w:shd w:val="clear" w:color="000000" w:fill="FFFFFF"/>
            <w:tcMar>
              <w:top w:w="57" w:type="dxa"/>
            </w:tcMar>
            <w:vAlign w:val="bottom"/>
            <w:hideMark/>
          </w:tcPr>
          <w:p w14:paraId="270F4CA7"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 </w:t>
            </w:r>
          </w:p>
        </w:tc>
        <w:tc>
          <w:tcPr>
            <w:tcW w:w="2393" w:type="dxa"/>
            <w:shd w:val="clear" w:color="000000" w:fill="FFFFFF"/>
            <w:tcMar>
              <w:top w:w="57" w:type="dxa"/>
            </w:tcMar>
            <w:hideMark/>
          </w:tcPr>
          <w:p w14:paraId="10FC67D4"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L’écart entre les prévisions de janvier et les chiffres réels concernant les demandes déposées par les systèmes du PCT, de Madrid et de La Haye s’inscrit dans la marche prévue.</w:t>
            </w:r>
          </w:p>
        </w:tc>
        <w:tc>
          <w:tcPr>
            <w:tcW w:w="2393" w:type="dxa"/>
            <w:shd w:val="clear" w:color="000000" w:fill="FFFFFF"/>
            <w:tcMar>
              <w:top w:w="57" w:type="dxa"/>
            </w:tcMar>
            <w:hideMark/>
          </w:tcPr>
          <w:p w14:paraId="3E27FC98"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2016 : prévisions et chiffres réels</w:t>
            </w:r>
          </w:p>
          <w:p w14:paraId="1F121F20"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 PCT : 225 400 et 233 000 (103%)</w:t>
            </w:r>
          </w:p>
          <w:p w14:paraId="1540C22E"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 Madrid : 52 030 et 52 900 (102%)</w:t>
            </w:r>
          </w:p>
          <w:p w14:paraId="706610FC"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 La Haye : 5560 et 5562 (100%)</w:t>
            </w:r>
          </w:p>
        </w:tc>
        <w:tc>
          <w:tcPr>
            <w:tcW w:w="2393" w:type="dxa"/>
            <w:shd w:val="clear" w:color="000000" w:fill="FFFFFF"/>
            <w:tcMar>
              <w:top w:w="57" w:type="dxa"/>
            </w:tcMar>
            <w:hideMark/>
          </w:tcPr>
          <w:p w14:paraId="16A68F2E"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Les valeurs réelles sont comprises dans l’intervalle de confiance de 80%</w:t>
            </w:r>
          </w:p>
        </w:tc>
      </w:tr>
      <w:tr w:rsidR="001C5045" w:rsidRPr="001C5045" w14:paraId="0914EE83" w14:textId="77777777" w:rsidTr="001C5045">
        <w:trPr>
          <w:cantSplit/>
        </w:trPr>
        <w:tc>
          <w:tcPr>
            <w:tcW w:w="2392" w:type="dxa"/>
            <w:shd w:val="clear" w:color="000000" w:fill="FFFFFF"/>
            <w:tcMar>
              <w:top w:w="57" w:type="dxa"/>
            </w:tcMar>
            <w:hideMark/>
          </w:tcPr>
          <w:p w14:paraId="4F2C134B"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lastRenderedPageBreak/>
              <w:t xml:space="preserve">V.2 Utilisation élargie et améliorée des analyses économiques de l’OMPI aux fins de l’élaboration des politiques </w:t>
            </w:r>
          </w:p>
        </w:tc>
        <w:tc>
          <w:tcPr>
            <w:tcW w:w="2393" w:type="dxa"/>
            <w:shd w:val="clear" w:color="000000" w:fill="FFFFFF"/>
            <w:tcMar>
              <w:top w:w="57" w:type="dxa"/>
            </w:tcMar>
            <w:hideMark/>
          </w:tcPr>
          <w:p w14:paraId="68ED01FB"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Nombre annuel de visiteurs sur les sites Web de l’Indice mondial de l’innovation</w:t>
            </w:r>
          </w:p>
        </w:tc>
        <w:tc>
          <w:tcPr>
            <w:tcW w:w="2393" w:type="dxa"/>
            <w:shd w:val="clear" w:color="000000" w:fill="FFFFFF"/>
            <w:tcMar>
              <w:top w:w="57" w:type="dxa"/>
            </w:tcMar>
            <w:hideMark/>
          </w:tcPr>
          <w:p w14:paraId="6771DCF0"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Page Web de l’Indice mondial de l’innovation de l’OMPI : 44 244 (2016)</w:t>
            </w:r>
          </w:p>
          <w:p w14:paraId="1635CC77" w14:textId="77777777" w:rsidR="001C5045" w:rsidRPr="001C5045" w:rsidRDefault="001C5045" w:rsidP="00986700">
            <w:pPr>
              <w:rPr>
                <w:rFonts w:eastAsia="Times New Roman" w:cs="Arial"/>
                <w:sz w:val="16"/>
                <w:szCs w:val="16"/>
                <w:lang w:val="fr-CH" w:eastAsia="en-US"/>
              </w:rPr>
            </w:pPr>
          </w:p>
          <w:p w14:paraId="28F1AC93"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Site Web dédié à l’Indice mondial de l’innovation : 214 122 (2016)</w:t>
            </w:r>
          </w:p>
        </w:tc>
        <w:tc>
          <w:tcPr>
            <w:tcW w:w="2393" w:type="dxa"/>
            <w:shd w:val="clear" w:color="000000" w:fill="FFFFFF"/>
            <w:tcMar>
              <w:top w:w="57" w:type="dxa"/>
            </w:tcMar>
            <w:hideMark/>
          </w:tcPr>
          <w:p w14:paraId="5A7657D8" w14:textId="77777777" w:rsidR="001C5045" w:rsidRPr="001C5045" w:rsidRDefault="001C5045" w:rsidP="00986700">
            <w:pPr>
              <w:rPr>
                <w:rFonts w:eastAsia="Times New Roman" w:cs="Arial"/>
                <w:sz w:val="16"/>
                <w:szCs w:val="16"/>
                <w:lang w:eastAsia="en-US"/>
              </w:rPr>
            </w:pPr>
            <w:r w:rsidRPr="001C5045">
              <w:rPr>
                <w:rFonts w:eastAsia="Times New Roman" w:cs="Arial"/>
                <w:sz w:val="16"/>
                <w:szCs w:val="16"/>
                <w:lang w:eastAsia="en-US"/>
              </w:rPr>
              <w:t>Croisssance de 10% (annuel)</w:t>
            </w:r>
          </w:p>
        </w:tc>
      </w:tr>
      <w:tr w:rsidR="001C5045" w:rsidRPr="001C5045" w14:paraId="6BF6F079" w14:textId="77777777" w:rsidTr="001C5045">
        <w:trPr>
          <w:cantSplit/>
        </w:trPr>
        <w:tc>
          <w:tcPr>
            <w:tcW w:w="2392" w:type="dxa"/>
            <w:shd w:val="clear" w:color="000000" w:fill="FFFFFF"/>
            <w:tcMar>
              <w:top w:w="57" w:type="dxa"/>
            </w:tcMar>
            <w:vAlign w:val="bottom"/>
            <w:hideMark/>
          </w:tcPr>
          <w:p w14:paraId="030EC06E" w14:textId="77777777" w:rsidR="001C5045" w:rsidRPr="001C5045" w:rsidRDefault="001C5045" w:rsidP="00986700">
            <w:pPr>
              <w:jc w:val="right"/>
              <w:rPr>
                <w:rFonts w:eastAsia="Times New Roman" w:cs="Arial"/>
                <w:sz w:val="16"/>
                <w:szCs w:val="16"/>
                <w:lang w:eastAsia="en-US"/>
              </w:rPr>
            </w:pPr>
            <w:r w:rsidRPr="001C5045">
              <w:rPr>
                <w:rFonts w:eastAsia="Times New Roman" w:cs="Arial"/>
                <w:sz w:val="16"/>
                <w:szCs w:val="16"/>
                <w:lang w:eastAsia="en-US"/>
              </w:rPr>
              <w:t> </w:t>
            </w:r>
          </w:p>
        </w:tc>
        <w:tc>
          <w:tcPr>
            <w:tcW w:w="2393" w:type="dxa"/>
            <w:shd w:val="clear" w:color="000000" w:fill="FFFFFF"/>
            <w:tcMar>
              <w:top w:w="57" w:type="dxa"/>
            </w:tcMar>
            <w:hideMark/>
          </w:tcPr>
          <w:p w14:paraId="67F8EF36"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Nombre de téléchargements du Rapport sur la propriété intellectuelle dans le monde dans les cinq mois suivant sa publication</w:t>
            </w:r>
          </w:p>
        </w:tc>
        <w:tc>
          <w:tcPr>
            <w:tcW w:w="2393" w:type="dxa"/>
            <w:shd w:val="clear" w:color="000000" w:fill="FFFFFF"/>
            <w:tcMar>
              <w:top w:w="57" w:type="dxa"/>
            </w:tcMar>
            <w:hideMark/>
          </w:tcPr>
          <w:p w14:paraId="53FDCDC0"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Rapport sur la propriété intellectuelle dans le monde 2015 : 25 936</w:t>
            </w:r>
          </w:p>
        </w:tc>
        <w:tc>
          <w:tcPr>
            <w:tcW w:w="2393" w:type="dxa"/>
            <w:shd w:val="clear" w:color="000000" w:fill="FFFFFF"/>
            <w:tcMar>
              <w:top w:w="57" w:type="dxa"/>
            </w:tcMar>
            <w:hideMark/>
          </w:tcPr>
          <w:p w14:paraId="4ACB1524" w14:textId="77777777" w:rsidR="001C5045" w:rsidRPr="001C5045" w:rsidRDefault="001C5045" w:rsidP="00986700">
            <w:pPr>
              <w:rPr>
                <w:rFonts w:eastAsia="Times New Roman" w:cs="Arial"/>
                <w:sz w:val="16"/>
                <w:szCs w:val="16"/>
                <w:lang w:val="fr-CH" w:eastAsia="en-US"/>
              </w:rPr>
            </w:pPr>
            <w:r w:rsidRPr="001C5045">
              <w:rPr>
                <w:rFonts w:eastAsia="Times New Roman" w:cs="Arial"/>
                <w:sz w:val="16"/>
                <w:szCs w:val="16"/>
                <w:lang w:val="fr-CH" w:eastAsia="en-US"/>
              </w:rPr>
              <w:t xml:space="preserve">Croissance de 10% (sur l’exercice biennal) </w:t>
            </w:r>
          </w:p>
        </w:tc>
      </w:tr>
    </w:tbl>
    <w:p w14:paraId="7B744F75" w14:textId="77777777" w:rsidR="001C5045" w:rsidRPr="00E95A8A" w:rsidRDefault="001C5045" w:rsidP="00986700">
      <w:pPr>
        <w:jc w:val="both"/>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706EFE42" w14:textId="77777777" w:rsidTr="001A722F">
        <w:trPr>
          <w:cantSplit/>
        </w:trPr>
        <w:tc>
          <w:tcPr>
            <w:tcW w:w="9571" w:type="dxa"/>
            <w:shd w:val="clear" w:color="auto" w:fill="C6D9F1" w:themeFill="text2" w:themeFillTint="33"/>
            <w:vAlign w:val="center"/>
          </w:tcPr>
          <w:p w14:paraId="6803AF75" w14:textId="77777777" w:rsidR="00277197" w:rsidRPr="00821D15" w:rsidRDefault="00277197" w:rsidP="00986700">
            <w:pPr>
              <w:jc w:val="center"/>
              <w:rPr>
                <w:rFonts w:cs="Arial"/>
                <w:b/>
                <w:szCs w:val="20"/>
              </w:rPr>
            </w:pPr>
            <w:r w:rsidRPr="00821D15">
              <w:rPr>
                <w:rFonts w:cs="Arial"/>
                <w:b/>
                <w:szCs w:val="20"/>
              </w:rPr>
              <w:t>Ressources allouées au programme 16</w:t>
            </w:r>
          </w:p>
        </w:tc>
      </w:tr>
    </w:tbl>
    <w:p w14:paraId="6D1D1340" w14:textId="77777777" w:rsidR="00277197" w:rsidRPr="00821D15" w:rsidRDefault="00277197" w:rsidP="00986700">
      <w:pPr>
        <w:rPr>
          <w:rFonts w:cs="Arial"/>
          <w:szCs w:val="20"/>
        </w:rPr>
      </w:pPr>
    </w:p>
    <w:p w14:paraId="0F786009" w14:textId="7533D503" w:rsidR="00277197" w:rsidRPr="00821D15" w:rsidRDefault="00277197" w:rsidP="00616FD3">
      <w:pPr>
        <w:pStyle w:val="ListParagraph"/>
        <w:numPr>
          <w:ilvl w:val="0"/>
          <w:numId w:val="78"/>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hausse de 13,9% par rapport au budget approuvé pour 2016</w:t>
      </w:r>
      <w:r w:rsidR="00286CAF">
        <w:rPr>
          <w:rFonts w:cs="Arial"/>
          <w:szCs w:val="20"/>
        </w:rPr>
        <w:t>-</w:t>
      </w:r>
      <w:r w:rsidRPr="00821D15">
        <w:rPr>
          <w:rFonts w:cs="Arial"/>
          <w:szCs w:val="20"/>
        </w:rPr>
        <w:t>2017.</w:t>
      </w:r>
    </w:p>
    <w:p w14:paraId="1808EE65" w14:textId="77777777" w:rsidR="00277197" w:rsidRPr="00821D15" w:rsidRDefault="00277197" w:rsidP="00986700">
      <w:pPr>
        <w:rPr>
          <w:rFonts w:cs="Arial"/>
          <w:szCs w:val="20"/>
        </w:rPr>
      </w:pPr>
    </w:p>
    <w:p w14:paraId="29AE6A37" w14:textId="77777777" w:rsidR="00277197" w:rsidRPr="00821D15" w:rsidRDefault="00277197" w:rsidP="00616FD3">
      <w:pPr>
        <w:pStyle w:val="ListParagraph"/>
        <w:numPr>
          <w:ilvl w:val="0"/>
          <w:numId w:val="78"/>
        </w:numPr>
        <w:ind w:left="0" w:firstLine="0"/>
        <w:jc w:val="both"/>
        <w:rPr>
          <w:rFonts w:cs="Arial"/>
          <w:szCs w:val="20"/>
        </w:rPr>
      </w:pPr>
      <w:r w:rsidRPr="00821D15">
        <w:rPr>
          <w:rFonts w:cs="Arial"/>
          <w:szCs w:val="20"/>
        </w:rPr>
        <w:t>L’augmentation des dépenses autres que les dépenses de personnel en 2018</w:t>
      </w:r>
      <w:r w:rsidRPr="00821D15">
        <w:rPr>
          <w:rFonts w:cs="Arial"/>
          <w:szCs w:val="20"/>
        </w:rPr>
        <w:noBreakHyphen/>
        <w:t>2019, par rapport au budget approuvé pour 2016</w:t>
      </w:r>
      <w:r w:rsidRPr="00821D15">
        <w:rPr>
          <w:rFonts w:cs="Arial"/>
          <w:szCs w:val="20"/>
        </w:rPr>
        <w:noBreakHyphen/>
        <w:t>2017, résulte des investissements consentis pour améliorer l’établissement de rapports statistiques ainsi que la recherche et l’analyse économiques sur la base de techniques faisant appel aux mégadonnées.</w:t>
      </w:r>
    </w:p>
    <w:p w14:paraId="232D8B6F" w14:textId="77777777" w:rsidR="00277197" w:rsidRPr="00821D15" w:rsidRDefault="00277197" w:rsidP="00986700">
      <w:pPr>
        <w:rPr>
          <w:rFonts w:cs="Arial"/>
          <w:szCs w:val="20"/>
        </w:rPr>
      </w:pPr>
    </w:p>
    <w:p w14:paraId="254AF7CB" w14:textId="77777777" w:rsidR="00277197" w:rsidRPr="00821D15" w:rsidRDefault="00277197" w:rsidP="00616FD3">
      <w:pPr>
        <w:pStyle w:val="ListParagraph"/>
        <w:numPr>
          <w:ilvl w:val="0"/>
          <w:numId w:val="78"/>
        </w:numPr>
        <w:ind w:left="0" w:firstLine="0"/>
        <w:jc w:val="both"/>
        <w:rPr>
          <w:rFonts w:cs="Arial"/>
          <w:szCs w:val="20"/>
        </w:rPr>
      </w:pPr>
      <w:r w:rsidRPr="00821D15">
        <w:rPr>
          <w:rFonts w:cs="Arial"/>
          <w:szCs w:val="20"/>
        </w:rPr>
        <w:t>L’augmentation des dépenses de personnel en 2018</w:t>
      </w:r>
      <w:r w:rsidRPr="00821D15">
        <w:rPr>
          <w:rFonts w:cs="Arial"/>
          <w:szCs w:val="20"/>
        </w:rPr>
        <w:noBreakHyphen/>
        <w:t>2019 est due à la création de deux postes supplémentaires dans le cadre du programme i) pour l’intégration du projet du Plan d’action pour le développement relatif à la propriété intellectuelle et au développement socioéconomique et ii) pour enrichir l’Indice mondial de l’innovation.</w:t>
      </w:r>
    </w:p>
    <w:p w14:paraId="3819454C" w14:textId="77777777" w:rsidR="001C5045" w:rsidRPr="00E95A8A" w:rsidRDefault="001C5045" w:rsidP="00986700">
      <w:pPr>
        <w:jc w:val="both"/>
        <w:rPr>
          <w:rFonts w:cs="Arial"/>
          <w:szCs w:val="20"/>
          <w:lang w:val="fr-CH"/>
        </w:rPr>
      </w:pPr>
    </w:p>
    <w:p w14:paraId="4E2F986F" w14:textId="45908C5E"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16 : </w:t>
      </w:r>
      <w:r w:rsidRPr="00674550">
        <w:rPr>
          <w:rFonts w:eastAsia="Times New Roman" w:cs="Arial"/>
          <w:b/>
          <w:szCs w:val="20"/>
          <w:lang w:eastAsia="en-US"/>
        </w:rPr>
        <w:t>Ressources par résultat</w:t>
      </w:r>
    </w:p>
    <w:p w14:paraId="12F7C014"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AF7600C" w14:textId="77777777" w:rsidR="00717231" w:rsidRDefault="00717231" w:rsidP="00986700">
      <w:pPr>
        <w:keepNext/>
      </w:pPr>
    </w:p>
    <w:p w14:paraId="1F2C6289" w14:textId="1708B2A7" w:rsidR="00717231" w:rsidRDefault="00717231" w:rsidP="00986700">
      <w:pPr>
        <w:jc w:val="center"/>
      </w:pPr>
      <w:r w:rsidRPr="00717231">
        <w:rPr>
          <w:noProof/>
          <w:lang w:val="en-US" w:eastAsia="en-US"/>
        </w:rPr>
        <w:drawing>
          <wp:inline distT="0" distB="0" distL="0" distR="0" wp14:anchorId="5D915B2C" wp14:editId="4AD1963A">
            <wp:extent cx="5400000" cy="1500000"/>
            <wp:effectExtent l="0" t="0" r="0" b="508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0000" cy="1500000"/>
                    </a:xfrm>
                    <a:prstGeom prst="rect">
                      <a:avLst/>
                    </a:prstGeom>
                    <a:noFill/>
                    <a:ln>
                      <a:noFill/>
                    </a:ln>
                  </pic:spPr>
                </pic:pic>
              </a:graphicData>
            </a:graphic>
          </wp:inline>
        </w:drawing>
      </w:r>
    </w:p>
    <w:p w14:paraId="145C90BD" w14:textId="77777777" w:rsidR="00B55ECC" w:rsidRDefault="00B55ECC" w:rsidP="00986700"/>
    <w:p w14:paraId="74E72BE8"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16</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71D321AC" w14:textId="638C6248"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4BBFBC91" w14:textId="77777777" w:rsidR="008778B5" w:rsidRDefault="008778B5" w:rsidP="00986700">
      <w:pPr>
        <w:keepNext/>
        <w:rPr>
          <w:lang w:eastAsia="en-US"/>
        </w:rPr>
      </w:pPr>
    </w:p>
    <w:p w14:paraId="1F6E762A" w14:textId="6C1415F6" w:rsidR="00B55ECC" w:rsidRDefault="008778B5" w:rsidP="00986700">
      <w:pPr>
        <w:keepNext/>
        <w:jc w:val="center"/>
        <w:rPr>
          <w:lang w:eastAsia="en-US"/>
        </w:rPr>
      </w:pPr>
      <w:r w:rsidRPr="008778B5">
        <w:rPr>
          <w:noProof/>
          <w:lang w:val="en-US" w:eastAsia="en-US"/>
        </w:rPr>
        <w:drawing>
          <wp:inline distT="0" distB="0" distL="0" distR="0" wp14:anchorId="6A979F0E" wp14:editId="20C2C6CE">
            <wp:extent cx="5400000" cy="6031770"/>
            <wp:effectExtent l="0" t="0" r="0" b="762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6BB7E86C" w14:textId="77777777" w:rsidR="00B55ECC" w:rsidRPr="00E16214" w:rsidRDefault="00B55ECC" w:rsidP="00986700">
      <w:pPr>
        <w:rPr>
          <w:lang w:eastAsia="en-US"/>
        </w:rPr>
      </w:pPr>
    </w:p>
    <w:p w14:paraId="6681523A" w14:textId="77777777" w:rsidR="003E4F5B" w:rsidRPr="00A970C5" w:rsidRDefault="003E4F5B" w:rsidP="00986700">
      <w:r w:rsidRPr="00A970C5">
        <w:br w:type="page"/>
      </w:r>
    </w:p>
    <w:p w14:paraId="38D5028C" w14:textId="25159C28" w:rsidR="00FC1018" w:rsidRPr="00FC1018" w:rsidRDefault="00FC1018" w:rsidP="00986700">
      <w:pPr>
        <w:pStyle w:val="Heading4"/>
      </w:pPr>
      <w:bookmarkStart w:id="61" w:name="_Toc367350594"/>
      <w:bookmarkStart w:id="62" w:name="_Toc481222398"/>
      <w:bookmarkStart w:id="63" w:name="_Toc482979498"/>
      <w:r w:rsidRPr="00FC1018">
        <w:lastRenderedPageBreak/>
        <w:t>Objectif stratégique VI</w:t>
      </w:r>
      <w:r w:rsidRPr="00FC1018">
        <w:tab/>
      </w:r>
      <w:bookmarkEnd w:id="61"/>
      <w:bookmarkEnd w:id="62"/>
      <w:r w:rsidRPr="00FC1018">
        <w:t>Coopération internationale pour le respect de la propriété intellectuelle</w:t>
      </w:r>
      <w:bookmarkEnd w:id="63"/>
    </w:p>
    <w:p w14:paraId="5ECF8FE5" w14:textId="77777777" w:rsidR="00FC1018" w:rsidRPr="00B609B1" w:rsidRDefault="00FC1018" w:rsidP="00986700">
      <w:pPr>
        <w:tabs>
          <w:tab w:val="left" w:pos="1701"/>
        </w:tabs>
        <w:ind w:left="1701" w:hanging="1701"/>
        <w:rPr>
          <w:b/>
          <w:bCs/>
          <w:caps/>
          <w:szCs w:val="24"/>
        </w:rPr>
      </w:pPr>
    </w:p>
    <w:p w14:paraId="5BD038A1" w14:textId="77777777" w:rsidR="00FC1018" w:rsidRPr="00B609B1" w:rsidRDefault="00FC1018" w:rsidP="00986700">
      <w:pPr>
        <w:tabs>
          <w:tab w:val="left" w:pos="1701"/>
        </w:tabs>
        <w:ind w:left="1701" w:hanging="1701"/>
        <w:rPr>
          <w:b/>
          <w:bCs/>
          <w:caps/>
          <w:szCs w:val="24"/>
        </w:rPr>
      </w:pPr>
    </w:p>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841"/>
        <w:gridCol w:w="2427"/>
      </w:tblGrid>
      <w:tr w:rsidR="00FC1018" w:rsidRPr="00B609B1" w14:paraId="075CB33A" w14:textId="77777777" w:rsidTr="00FC1018">
        <w:trPr>
          <w:cantSplit/>
        </w:trPr>
        <w:tc>
          <w:tcPr>
            <w:tcW w:w="2936" w:type="dxa"/>
            <w:shd w:val="clear" w:color="auto" w:fill="B8CCE4" w:themeFill="accent1" w:themeFillTint="66"/>
            <w:vAlign w:val="center"/>
            <w:hideMark/>
          </w:tcPr>
          <w:p w14:paraId="5E195CAA" w14:textId="77777777" w:rsidR="00FC1018" w:rsidRPr="00B609B1" w:rsidRDefault="00FC1018" w:rsidP="00986700">
            <w:pPr>
              <w:jc w:val="center"/>
              <w:rPr>
                <w:b/>
                <w:bCs/>
                <w:sz w:val="18"/>
                <w:szCs w:val="18"/>
              </w:rPr>
            </w:pPr>
            <w:r w:rsidRPr="00B609B1">
              <w:rPr>
                <w:b/>
                <w:bCs/>
                <w:sz w:val="18"/>
                <w:szCs w:val="18"/>
              </w:rPr>
              <w:t>Résultats escomptés</w:t>
            </w:r>
          </w:p>
        </w:tc>
        <w:tc>
          <w:tcPr>
            <w:tcW w:w="3848" w:type="dxa"/>
            <w:shd w:val="clear" w:color="auto" w:fill="B8CCE4" w:themeFill="accent1" w:themeFillTint="66"/>
            <w:vAlign w:val="center"/>
            <w:hideMark/>
          </w:tcPr>
          <w:p w14:paraId="0E04E058" w14:textId="77777777" w:rsidR="00FC1018" w:rsidRPr="00B609B1" w:rsidRDefault="00FC1018" w:rsidP="00986700">
            <w:pPr>
              <w:jc w:val="center"/>
              <w:rPr>
                <w:b/>
                <w:bCs/>
                <w:sz w:val="18"/>
                <w:szCs w:val="18"/>
              </w:rPr>
            </w:pPr>
            <w:r w:rsidRPr="00B609B1">
              <w:rPr>
                <w:b/>
                <w:sz w:val="18"/>
                <w:szCs w:val="18"/>
              </w:rPr>
              <w:t>Indicateurs d’exécution</w:t>
            </w:r>
          </w:p>
        </w:tc>
        <w:tc>
          <w:tcPr>
            <w:tcW w:w="2430" w:type="dxa"/>
            <w:shd w:val="clear" w:color="auto" w:fill="B8CCE4" w:themeFill="accent1" w:themeFillTint="66"/>
            <w:vAlign w:val="center"/>
            <w:hideMark/>
          </w:tcPr>
          <w:p w14:paraId="6C1F49BC" w14:textId="77777777" w:rsidR="00FC1018" w:rsidRPr="00B609B1" w:rsidRDefault="00FC1018" w:rsidP="00986700">
            <w:pPr>
              <w:jc w:val="center"/>
              <w:rPr>
                <w:b/>
                <w:bCs/>
                <w:sz w:val="18"/>
                <w:szCs w:val="18"/>
              </w:rPr>
            </w:pPr>
            <w:r w:rsidRPr="00B609B1">
              <w:rPr>
                <w:b/>
                <w:sz w:val="18"/>
                <w:szCs w:val="16"/>
              </w:rPr>
              <w:t>Programme(s) concerné(s)</w:t>
            </w:r>
          </w:p>
        </w:tc>
      </w:tr>
      <w:tr w:rsidR="00FC1018" w:rsidRPr="00B609B1" w14:paraId="76DF11AF" w14:textId="77777777" w:rsidTr="00FC1018">
        <w:trPr>
          <w:cantSplit/>
        </w:trPr>
        <w:tc>
          <w:tcPr>
            <w:tcW w:w="2936" w:type="dxa"/>
            <w:hideMark/>
          </w:tcPr>
          <w:p w14:paraId="0A546A33" w14:textId="0763AE51" w:rsidR="00FC1018" w:rsidRPr="00B609B1" w:rsidRDefault="00FC1018" w:rsidP="00AE6922">
            <w:pPr>
              <w:rPr>
                <w:sz w:val="16"/>
                <w:szCs w:val="16"/>
              </w:rPr>
            </w:pPr>
            <w:r w:rsidRPr="00B609B1">
              <w:rPr>
                <w:sz w:val="16"/>
                <w:szCs w:val="16"/>
              </w:rPr>
              <w:t>VI.1</w:t>
            </w:r>
            <w:r w:rsidR="00AE6922">
              <w:rPr>
                <w:sz w:val="16"/>
                <w:szCs w:val="16"/>
              </w:rPr>
              <w:t xml:space="preserve"> </w:t>
            </w:r>
            <w:r w:rsidRPr="00B609B1">
              <w:rPr>
                <w:sz w:val="16"/>
                <w:szCs w:val="16"/>
              </w:rPr>
              <w:t>Progression du dialogue international entre les États membres de l’OMPI et les parties prenantes internationales concernées au sujet de la promotion du respect de la propriété intellectuelle, compte tenu de la recommandation n° 45 du Plan d’action pour le développement</w:t>
            </w:r>
          </w:p>
        </w:tc>
        <w:tc>
          <w:tcPr>
            <w:tcW w:w="3848" w:type="dxa"/>
            <w:hideMark/>
          </w:tcPr>
          <w:p w14:paraId="637AEDDB" w14:textId="77777777" w:rsidR="00FC1018" w:rsidRPr="00B609B1" w:rsidRDefault="00FC1018" w:rsidP="00986700">
            <w:pPr>
              <w:rPr>
                <w:sz w:val="16"/>
                <w:szCs w:val="16"/>
              </w:rPr>
            </w:pPr>
            <w:r w:rsidRPr="00B609B1">
              <w:rPr>
                <w:sz w:val="16"/>
                <w:szCs w:val="16"/>
              </w:rPr>
              <w:t xml:space="preserve">Accord permanent des États membres sur les activités de fond du Comité consultatif sur l’application des droits (ACE), en prenant en considération les préoccupations relatives au développement </w:t>
            </w:r>
          </w:p>
        </w:tc>
        <w:tc>
          <w:tcPr>
            <w:tcW w:w="2430" w:type="dxa"/>
            <w:hideMark/>
          </w:tcPr>
          <w:p w14:paraId="7E03E7C3" w14:textId="77777777" w:rsidR="00FC1018" w:rsidRPr="00B609B1" w:rsidRDefault="00FC1018" w:rsidP="00986700">
            <w:pPr>
              <w:jc w:val="center"/>
              <w:rPr>
                <w:sz w:val="16"/>
                <w:szCs w:val="16"/>
              </w:rPr>
            </w:pPr>
            <w:r w:rsidRPr="00B609B1">
              <w:rPr>
                <w:sz w:val="16"/>
                <w:szCs w:val="16"/>
              </w:rPr>
              <w:t>Programme 17</w:t>
            </w:r>
          </w:p>
        </w:tc>
      </w:tr>
      <w:tr w:rsidR="00FC1018" w:rsidRPr="00B609B1" w14:paraId="1939752B" w14:textId="77777777" w:rsidTr="00FC1018">
        <w:trPr>
          <w:cantSplit/>
        </w:trPr>
        <w:tc>
          <w:tcPr>
            <w:tcW w:w="2936" w:type="dxa"/>
            <w:hideMark/>
          </w:tcPr>
          <w:p w14:paraId="66B64B5A" w14:textId="58C43653" w:rsidR="00FC1018" w:rsidRPr="00B609B1" w:rsidRDefault="00FC1018" w:rsidP="00AE6922">
            <w:pPr>
              <w:rPr>
                <w:sz w:val="16"/>
                <w:szCs w:val="16"/>
              </w:rPr>
            </w:pPr>
            <w:r w:rsidRPr="00B609B1">
              <w:rPr>
                <w:sz w:val="16"/>
                <w:szCs w:val="16"/>
              </w:rPr>
              <w:t>VI.2</w:t>
            </w:r>
            <w:r w:rsidR="00AE6922">
              <w:rPr>
                <w:sz w:val="16"/>
                <w:szCs w:val="16"/>
              </w:rPr>
              <w:t xml:space="preserve"> </w:t>
            </w:r>
            <w:r w:rsidRPr="00B609B1">
              <w:rPr>
                <w:sz w:val="16"/>
                <w:szCs w:val="16"/>
              </w:rPr>
              <w:t>Coopération et coordination systématiques, efficaces et transparentes entre les travaux de l’OMPI et ceux d’organisations nationales et internationales dans le domaine de la promotion du respect de la propriété intellectuelle</w:t>
            </w:r>
          </w:p>
        </w:tc>
        <w:tc>
          <w:tcPr>
            <w:tcW w:w="3848" w:type="dxa"/>
            <w:hideMark/>
          </w:tcPr>
          <w:p w14:paraId="7A75A15F" w14:textId="77777777" w:rsidR="00FC1018" w:rsidRPr="00B609B1" w:rsidRDefault="00FC1018" w:rsidP="00986700">
            <w:pPr>
              <w:rPr>
                <w:sz w:val="16"/>
                <w:szCs w:val="16"/>
              </w:rPr>
            </w:pPr>
            <w:r w:rsidRPr="00B609B1">
              <w:rPr>
                <w:sz w:val="16"/>
                <w:szCs w:val="16"/>
              </w:rPr>
              <w:t>Nombre de collaborations stratégiques menées avec les organisations partenaires dans le domaine de la promotion du respect de la propriété intellectuelle</w:t>
            </w:r>
          </w:p>
        </w:tc>
        <w:tc>
          <w:tcPr>
            <w:tcW w:w="2430" w:type="dxa"/>
            <w:hideMark/>
          </w:tcPr>
          <w:p w14:paraId="0DBCA603" w14:textId="77777777" w:rsidR="00FC1018" w:rsidRPr="00B609B1" w:rsidRDefault="00FC1018" w:rsidP="00986700">
            <w:pPr>
              <w:jc w:val="center"/>
              <w:rPr>
                <w:sz w:val="16"/>
                <w:szCs w:val="16"/>
              </w:rPr>
            </w:pPr>
            <w:r w:rsidRPr="00B609B1">
              <w:rPr>
                <w:sz w:val="16"/>
                <w:szCs w:val="16"/>
              </w:rPr>
              <w:t>Programme 17</w:t>
            </w:r>
          </w:p>
        </w:tc>
      </w:tr>
    </w:tbl>
    <w:p w14:paraId="4C50AF50" w14:textId="77777777" w:rsidR="00FC1018" w:rsidRPr="00B609B1" w:rsidRDefault="00FC1018" w:rsidP="00986700">
      <w:pPr>
        <w:rPr>
          <w:sz w:val="16"/>
          <w:szCs w:val="16"/>
        </w:rPr>
      </w:pPr>
    </w:p>
    <w:p w14:paraId="4E626ED9" w14:textId="77777777" w:rsidR="00FC1018" w:rsidRPr="00B609B1" w:rsidRDefault="00FC1018" w:rsidP="00986700">
      <w:pPr>
        <w:rPr>
          <w:sz w:val="16"/>
          <w:szCs w:val="16"/>
        </w:rPr>
      </w:pPr>
    </w:p>
    <w:p w14:paraId="7DC98B06" w14:textId="77777777" w:rsidR="00FC1018" w:rsidRDefault="00FC1018" w:rsidP="00986700">
      <w:pPr>
        <w:rPr>
          <w:b/>
          <w:caps/>
          <w:sz w:val="22"/>
        </w:rPr>
      </w:pPr>
      <w:r>
        <w:br w:type="page"/>
      </w:r>
    </w:p>
    <w:p w14:paraId="07BF2C11" w14:textId="31434C0E" w:rsidR="003E4F5B" w:rsidRPr="00A970C5" w:rsidRDefault="003E4F5B" w:rsidP="00986700">
      <w:pPr>
        <w:pStyle w:val="Heading2"/>
      </w:pPr>
      <w:bookmarkStart w:id="64" w:name="_Toc482979499"/>
      <w:r w:rsidRPr="00A970C5">
        <w:lastRenderedPageBreak/>
        <w:t>Programme 17</w:t>
      </w:r>
      <w:r w:rsidRPr="00A970C5">
        <w:tab/>
        <w:t>Promouvoir le respect de la propriété intellectuelle</w:t>
      </w:r>
      <w:bookmarkEnd w:id="64"/>
    </w:p>
    <w:p w14:paraId="4C0A2BD7" w14:textId="77777777" w:rsidR="003E4F5B" w:rsidRPr="00A970C5" w:rsidRDefault="003E4F5B" w:rsidP="00986700">
      <w:pPr>
        <w:pStyle w:val="StyleHeading3ComplexItalic"/>
        <w:rPr>
          <w:rStyle w:val="StyleStyleHeading3ComplexItalicLatin12ptChar"/>
          <w:rFonts w:eastAsia="SimSun"/>
          <w:szCs w:val="20"/>
        </w:rPr>
      </w:pPr>
    </w:p>
    <w:p w14:paraId="3D40C2A1" w14:textId="77777777" w:rsidR="003E4F5B" w:rsidRPr="00A970C5" w:rsidRDefault="003E4F5B" w:rsidP="00986700">
      <w:pPr>
        <w:tabs>
          <w:tab w:val="left" w:pos="1701"/>
        </w:tabs>
        <w:ind w:left="1701" w:hanging="1701"/>
        <w:rPr>
          <w:rFonts w:cs="Arial"/>
          <w:bCs/>
          <w:iCs/>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17B9C315" w14:textId="77777777" w:rsidTr="009624B8">
        <w:trPr>
          <w:cantSplit/>
        </w:trPr>
        <w:tc>
          <w:tcPr>
            <w:tcW w:w="9287" w:type="dxa"/>
            <w:shd w:val="clear" w:color="auto" w:fill="C6D9F1" w:themeFill="text2" w:themeFillTint="33"/>
            <w:vAlign w:val="center"/>
          </w:tcPr>
          <w:p w14:paraId="78776710" w14:textId="77777777" w:rsidR="003E4F5B" w:rsidRPr="00A970C5" w:rsidRDefault="003E4F5B" w:rsidP="00986700">
            <w:pPr>
              <w:jc w:val="center"/>
              <w:rPr>
                <w:rFonts w:eastAsia="Times New Roman" w:cs="Arial"/>
                <w:b/>
                <w:bCs/>
                <w:szCs w:val="20"/>
                <w:lang w:eastAsia="en-US"/>
              </w:rPr>
            </w:pPr>
            <w:r w:rsidRPr="00A970C5">
              <w:rPr>
                <w:rFonts w:eastAsia="Times New Roman" w:cs="Arial"/>
                <w:b/>
                <w:bCs/>
                <w:szCs w:val="20"/>
                <w:lang w:eastAsia="en-US"/>
              </w:rPr>
              <w:t xml:space="preserve">Stratégies de mise en œuvre </w:t>
            </w:r>
          </w:p>
        </w:tc>
      </w:tr>
    </w:tbl>
    <w:p w14:paraId="4C7DB041" w14:textId="2AE79E84" w:rsidR="003E4F5B" w:rsidRPr="00A970C5" w:rsidRDefault="003E4F5B" w:rsidP="00986700">
      <w:pPr>
        <w:rPr>
          <w:rFonts w:cs="Arial"/>
          <w:szCs w:val="20"/>
        </w:rPr>
      </w:pPr>
    </w:p>
    <w:p w14:paraId="0CDF8D3A" w14:textId="12B8F237" w:rsidR="003E4F5B" w:rsidRPr="00A970C5" w:rsidRDefault="009624B8" w:rsidP="00986700">
      <w:pPr>
        <w:pStyle w:val="ListParagraph"/>
        <w:numPr>
          <w:ilvl w:val="0"/>
          <w:numId w:val="12"/>
        </w:numPr>
        <w:ind w:left="567" w:hanging="567"/>
        <w:jc w:val="both"/>
        <w:rPr>
          <w:rFonts w:eastAsia="Times New Roman" w:cs="Arial"/>
          <w:bCs/>
          <w:szCs w:val="20"/>
          <w:lang w:eastAsia="en-US"/>
        </w:rPr>
      </w:pPr>
      <w:r w:rsidRPr="009624B8">
        <w:rPr>
          <w:noProof/>
          <w:lang w:val="en-US" w:eastAsia="en-US"/>
        </w:rPr>
        <w:drawing>
          <wp:anchor distT="0" distB="0" distL="114300" distR="114300" simplePos="0" relativeHeight="251675648" behindDoc="1" locked="0" layoutInCell="1" allowOverlap="1" wp14:anchorId="7FA4BEC5" wp14:editId="6E2FA0BE">
            <wp:simplePos x="0" y="0"/>
            <wp:positionH relativeFrom="column">
              <wp:posOffset>4575810</wp:posOffset>
            </wp:positionH>
            <wp:positionV relativeFrom="paragraph">
              <wp:posOffset>572135</wp:posOffset>
            </wp:positionV>
            <wp:extent cx="1428750" cy="2973070"/>
            <wp:effectExtent l="0" t="0" r="0" b="0"/>
            <wp:wrapTight wrapText="bothSides">
              <wp:wrapPolygon edited="0">
                <wp:start x="10656" y="0"/>
                <wp:lineTo x="8928" y="277"/>
                <wp:lineTo x="5184" y="1799"/>
                <wp:lineTo x="4896" y="3598"/>
                <wp:lineTo x="288" y="5951"/>
                <wp:lineTo x="0" y="7612"/>
                <wp:lineTo x="0" y="9688"/>
                <wp:lineTo x="2304" y="11072"/>
                <wp:lineTo x="2304" y="11349"/>
                <wp:lineTo x="8928" y="13287"/>
                <wp:lineTo x="10080" y="13287"/>
                <wp:lineTo x="6336" y="13979"/>
                <wp:lineTo x="1152" y="15224"/>
                <wp:lineTo x="0" y="16747"/>
                <wp:lineTo x="0" y="18684"/>
                <wp:lineTo x="864" y="20207"/>
                <wp:lineTo x="5472" y="21452"/>
                <wp:lineTo x="6336" y="21452"/>
                <wp:lineTo x="9792" y="21452"/>
                <wp:lineTo x="10944" y="21452"/>
                <wp:lineTo x="15264" y="20207"/>
                <wp:lineTo x="15552" y="19930"/>
                <wp:lineTo x="16992" y="17716"/>
                <wp:lineTo x="19872" y="15501"/>
                <wp:lineTo x="21312" y="14117"/>
                <wp:lineTo x="21312" y="12041"/>
                <wp:lineTo x="21024" y="10657"/>
                <wp:lineTo x="15552" y="9411"/>
                <wp:lineTo x="11520" y="8858"/>
                <wp:lineTo x="19008" y="6643"/>
                <wp:lineTo x="21312" y="4844"/>
                <wp:lineTo x="21312" y="1799"/>
                <wp:lineTo x="18432" y="554"/>
                <wp:lineTo x="15840" y="0"/>
                <wp:lineTo x="10656" y="0"/>
              </wp:wrapPolygon>
            </wp:wrapTight>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2875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F5B" w:rsidRPr="00A970C5">
        <w:rPr>
          <w:rFonts w:eastAsia="Times New Roman" w:cs="Arial"/>
          <w:bCs/>
          <w:szCs w:val="20"/>
          <w:lang w:eastAsia="en-US"/>
        </w:rPr>
        <w:t>Organiser des sessions du Comité consultatif sur l’application des droits (ACE), favorisant le partage de données d’expérience nationales sur les cadres juridiques et réglementaires relatifs à l’application des droits et aux activités de prévention dans lesquelles sont expliqués les intérêts socioéconomiques du respect de la propriété intellectuelle;</w:t>
      </w:r>
    </w:p>
    <w:p w14:paraId="773994DA" w14:textId="77777777" w:rsidR="003E4F5B" w:rsidRPr="00A970C5" w:rsidRDefault="003E4F5B" w:rsidP="00986700">
      <w:pPr>
        <w:pStyle w:val="ListParagraph"/>
        <w:ind w:left="567" w:hanging="567"/>
        <w:contextualSpacing w:val="0"/>
        <w:jc w:val="both"/>
        <w:rPr>
          <w:rFonts w:eastAsia="Times New Roman" w:cs="Arial"/>
          <w:bCs/>
          <w:szCs w:val="20"/>
          <w:lang w:eastAsia="en-US"/>
        </w:rPr>
      </w:pPr>
    </w:p>
    <w:p w14:paraId="77106488" w14:textId="3350255E" w:rsidR="003E4F5B" w:rsidRPr="00A970C5" w:rsidRDefault="003E4F5B" w:rsidP="00986700">
      <w:pPr>
        <w:pStyle w:val="ListParagraph"/>
        <w:numPr>
          <w:ilvl w:val="0"/>
          <w:numId w:val="12"/>
        </w:numPr>
        <w:ind w:left="567" w:hanging="567"/>
        <w:jc w:val="both"/>
        <w:rPr>
          <w:rFonts w:eastAsia="Times New Roman" w:cs="Arial"/>
          <w:bCs/>
          <w:szCs w:val="20"/>
          <w:lang w:eastAsia="en-US"/>
        </w:rPr>
      </w:pPr>
      <w:r w:rsidRPr="00A970C5">
        <w:rPr>
          <w:rFonts w:eastAsia="Times New Roman" w:cs="Arial"/>
          <w:bCs/>
          <w:szCs w:val="20"/>
          <w:lang w:eastAsia="en-US"/>
        </w:rPr>
        <w:t>Organiser une conférence de haut niveau sur la promotion du respect de la propriété intellectuelle, favorisant l’échange d’information entre les États membres, les organisations intergouvernementales et non gouvernementales, des associations professionnelles et des établissements universitaires;</w:t>
      </w:r>
    </w:p>
    <w:p w14:paraId="4AEDA07A" w14:textId="77777777" w:rsidR="003E4F5B" w:rsidRPr="00A970C5" w:rsidRDefault="003E4F5B" w:rsidP="00986700">
      <w:pPr>
        <w:pStyle w:val="ListParagraph"/>
        <w:ind w:left="567" w:hanging="567"/>
        <w:jc w:val="both"/>
        <w:rPr>
          <w:rFonts w:eastAsia="Times New Roman" w:cs="Arial"/>
          <w:bCs/>
          <w:szCs w:val="20"/>
          <w:lang w:eastAsia="en-US"/>
        </w:rPr>
      </w:pPr>
    </w:p>
    <w:p w14:paraId="193257E4" w14:textId="24B6505B" w:rsidR="003E4F5B" w:rsidRPr="00A970C5" w:rsidRDefault="003E4F5B" w:rsidP="00986700">
      <w:pPr>
        <w:pStyle w:val="ListParagraph"/>
        <w:numPr>
          <w:ilvl w:val="0"/>
          <w:numId w:val="12"/>
        </w:numPr>
        <w:ind w:left="567" w:hanging="567"/>
        <w:jc w:val="both"/>
        <w:rPr>
          <w:rFonts w:eastAsia="Times New Roman" w:cs="Arial"/>
          <w:bCs/>
          <w:szCs w:val="20"/>
          <w:lang w:eastAsia="en-US"/>
        </w:rPr>
      </w:pPr>
      <w:r w:rsidRPr="00A970C5">
        <w:rPr>
          <w:rFonts w:eastAsia="Times New Roman" w:cs="Arial"/>
          <w:bCs/>
          <w:szCs w:val="20"/>
          <w:lang w:eastAsia="en-US"/>
        </w:rPr>
        <w:t>Améliorer la coopération en matière de respect de la propriété intellectuelle avec des acteurs internationaux, notamment en facilitant la coordination des activités entre les organismes chargés de l’application des droits de propriété intellectuelle au niveau national, régional et international qui s’efforcent de régler les problèmes soulevés dans ce domaine par le progrès technologique et la mondialisation;</w:t>
      </w:r>
    </w:p>
    <w:p w14:paraId="3B628B10" w14:textId="77777777" w:rsidR="003E4F5B" w:rsidRPr="00A970C5" w:rsidRDefault="003E4F5B" w:rsidP="00986700">
      <w:pPr>
        <w:pStyle w:val="ListParagraph"/>
        <w:ind w:left="567" w:hanging="567"/>
        <w:jc w:val="both"/>
        <w:rPr>
          <w:rFonts w:eastAsia="Times New Roman" w:cs="Arial"/>
          <w:bCs/>
          <w:szCs w:val="20"/>
          <w:lang w:eastAsia="en-US"/>
        </w:rPr>
      </w:pPr>
    </w:p>
    <w:p w14:paraId="4E7DB85B" w14:textId="0135784C" w:rsidR="003E4F5B" w:rsidRPr="00A970C5" w:rsidRDefault="003E4F5B" w:rsidP="00986700">
      <w:pPr>
        <w:pStyle w:val="ListParagraph"/>
        <w:numPr>
          <w:ilvl w:val="0"/>
          <w:numId w:val="12"/>
        </w:numPr>
        <w:ind w:left="567" w:hanging="567"/>
        <w:jc w:val="both"/>
        <w:rPr>
          <w:rFonts w:eastAsia="Times New Roman" w:cs="Arial"/>
          <w:bCs/>
          <w:szCs w:val="20"/>
          <w:lang w:eastAsia="en-US"/>
        </w:rPr>
      </w:pPr>
      <w:r w:rsidRPr="00A970C5">
        <w:rPr>
          <w:rFonts w:eastAsia="Times New Roman" w:cs="Arial"/>
          <w:bCs/>
          <w:szCs w:val="20"/>
          <w:lang w:eastAsia="en-US"/>
        </w:rPr>
        <w:t>Fournir sur demande aux États membres des avis juridiques sur l’application des droits de propriété intellectuelle conformément à la partie III de l’Accord sur les ADPIC;</w:t>
      </w:r>
    </w:p>
    <w:p w14:paraId="48166934" w14:textId="77777777" w:rsidR="003E4F5B" w:rsidRPr="00A970C5" w:rsidRDefault="003E4F5B" w:rsidP="00986700">
      <w:pPr>
        <w:pStyle w:val="ListParagraph"/>
        <w:ind w:left="567" w:hanging="567"/>
        <w:jc w:val="both"/>
        <w:rPr>
          <w:rFonts w:eastAsia="Times New Roman" w:cs="Arial"/>
          <w:bCs/>
          <w:szCs w:val="20"/>
          <w:lang w:eastAsia="en-US"/>
        </w:rPr>
      </w:pPr>
    </w:p>
    <w:p w14:paraId="1ECECA2E" w14:textId="391207EE" w:rsidR="003E4F5B" w:rsidRPr="00A970C5" w:rsidRDefault="003E4F5B" w:rsidP="00986700">
      <w:pPr>
        <w:pStyle w:val="ListParagraph"/>
        <w:numPr>
          <w:ilvl w:val="0"/>
          <w:numId w:val="12"/>
        </w:numPr>
        <w:ind w:left="567" w:hanging="567"/>
        <w:jc w:val="both"/>
        <w:rPr>
          <w:rFonts w:eastAsia="Times New Roman" w:cs="Arial"/>
          <w:bCs/>
          <w:szCs w:val="20"/>
          <w:lang w:eastAsia="en-US"/>
        </w:rPr>
      </w:pPr>
      <w:r w:rsidRPr="00A970C5">
        <w:rPr>
          <w:rFonts w:eastAsia="Times New Roman" w:cs="Arial"/>
          <w:bCs/>
          <w:szCs w:val="20"/>
          <w:lang w:eastAsia="en-US"/>
        </w:rPr>
        <w:t>Fournir aux États membres un appui et une assistance pour la</w:t>
      </w:r>
      <w:r w:rsidR="00B818C0" w:rsidRPr="00A970C5">
        <w:rPr>
          <w:rFonts w:eastAsia="Times New Roman" w:cs="Arial"/>
          <w:bCs/>
          <w:szCs w:val="20"/>
          <w:lang w:eastAsia="en-US"/>
        </w:rPr>
        <w:t xml:space="preserve"> </w:t>
      </w:r>
      <w:r w:rsidRPr="00A970C5">
        <w:rPr>
          <w:rFonts w:eastAsia="Times New Roman" w:cs="Arial"/>
          <w:bCs/>
          <w:szCs w:val="20"/>
          <w:lang w:eastAsia="en-US"/>
        </w:rPr>
        <w:t>mi</w:t>
      </w:r>
      <w:r w:rsidR="00B818C0" w:rsidRPr="00A970C5">
        <w:rPr>
          <w:rFonts w:eastAsia="Times New Roman" w:cs="Arial"/>
          <w:bCs/>
          <w:szCs w:val="20"/>
          <w:lang w:eastAsia="en-US"/>
        </w:rPr>
        <w:t>se en valeur</w:t>
      </w:r>
      <w:r w:rsidRPr="00A970C5">
        <w:rPr>
          <w:rFonts w:eastAsia="Times New Roman" w:cs="Arial"/>
          <w:bCs/>
          <w:szCs w:val="20"/>
          <w:lang w:eastAsia="en-US"/>
        </w:rPr>
        <w:t xml:space="preserve"> des capacités des responsables de l’application des lois, des procureurs et des juges dans le domaine de l’application des droits de propriété intellectuelle, en mettant l’accent sur le renforcement des capacités de formation au sein des institutions des pays bénéficiaires et la mise à disposition d’outils et de documents accessibles et fiables sur l’application des droits de propriété intellectuelle, et pour la sensibilisation du public;</w:t>
      </w:r>
    </w:p>
    <w:p w14:paraId="7E2F1BD3" w14:textId="77777777" w:rsidR="003E4F5B" w:rsidRPr="00A970C5" w:rsidRDefault="003E4F5B" w:rsidP="00986700">
      <w:pPr>
        <w:pStyle w:val="ListParagraph"/>
        <w:ind w:left="567" w:hanging="567"/>
        <w:jc w:val="both"/>
        <w:rPr>
          <w:rFonts w:eastAsia="Times New Roman" w:cs="Arial"/>
          <w:bCs/>
          <w:szCs w:val="20"/>
          <w:lang w:eastAsia="en-US"/>
        </w:rPr>
      </w:pPr>
    </w:p>
    <w:p w14:paraId="704B7B0A" w14:textId="2D16A260" w:rsidR="003E4F5B" w:rsidRDefault="003E4F5B" w:rsidP="00986700">
      <w:pPr>
        <w:pStyle w:val="ListParagraph"/>
        <w:numPr>
          <w:ilvl w:val="0"/>
          <w:numId w:val="12"/>
        </w:numPr>
        <w:ind w:left="567" w:hanging="567"/>
        <w:jc w:val="both"/>
        <w:rPr>
          <w:rFonts w:eastAsia="Times New Roman" w:cs="Arial"/>
          <w:bCs/>
          <w:szCs w:val="20"/>
          <w:lang w:eastAsia="en-US"/>
        </w:rPr>
      </w:pPr>
      <w:r w:rsidRPr="00A970C5">
        <w:rPr>
          <w:rFonts w:eastAsia="Times New Roman" w:cs="Arial"/>
          <w:bCs/>
          <w:szCs w:val="20"/>
          <w:lang w:eastAsia="en-US"/>
        </w:rPr>
        <w:t xml:space="preserve">Aider les États membres à établir des stratégies de promotion du respect de la propriété intellectuelle dans le cadre national de leurs politiques de propriété intellectuelle et à mettre au point des produits et des activités de sensibilisation visant à </w:t>
      </w:r>
      <w:r w:rsidR="00B818C0" w:rsidRPr="00A970C5">
        <w:rPr>
          <w:rFonts w:eastAsia="Times New Roman" w:cs="Arial"/>
          <w:bCs/>
          <w:szCs w:val="20"/>
          <w:lang w:eastAsia="en-US"/>
        </w:rPr>
        <w:t>tenir compte d</w:t>
      </w:r>
      <w:r w:rsidRPr="00A970C5">
        <w:rPr>
          <w:rFonts w:eastAsia="Times New Roman" w:cs="Arial"/>
          <w:bCs/>
          <w:szCs w:val="20"/>
          <w:lang w:eastAsia="en-US"/>
        </w:rPr>
        <w:t>es comportements de consommation et à instaurer un environnement durable de respect de la propriété intellectuelle.</w:t>
      </w:r>
    </w:p>
    <w:p w14:paraId="1E7C1C95" w14:textId="77777777" w:rsidR="0056581C" w:rsidRDefault="0056581C" w:rsidP="0056581C">
      <w:pPr>
        <w:pStyle w:val="ListParagraph"/>
        <w:ind w:left="567"/>
        <w:jc w:val="both"/>
        <w:rPr>
          <w:rFonts w:eastAsia="Times New Roman" w:cs="Arial"/>
          <w:bCs/>
          <w:szCs w:val="20"/>
          <w:lang w:eastAsia="en-US"/>
        </w:rPr>
      </w:pPr>
    </w:p>
    <w:p w14:paraId="0139B908" w14:textId="1A614E35" w:rsidR="0056581C" w:rsidRPr="00A970C5" w:rsidRDefault="0056581C" w:rsidP="00986700">
      <w:pPr>
        <w:pStyle w:val="ListParagraph"/>
        <w:numPr>
          <w:ilvl w:val="0"/>
          <w:numId w:val="12"/>
        </w:numPr>
        <w:ind w:left="567" w:hanging="567"/>
        <w:jc w:val="both"/>
        <w:rPr>
          <w:rFonts w:eastAsia="Times New Roman" w:cs="Arial"/>
          <w:bCs/>
          <w:szCs w:val="20"/>
          <w:lang w:eastAsia="en-US"/>
        </w:rPr>
      </w:pPr>
      <w:r w:rsidRPr="00E0439D">
        <w:rPr>
          <w:rFonts w:eastAsia="Times New Roman"/>
          <w:bCs/>
          <w:lang w:eastAsia="en-US"/>
        </w:rPr>
        <w:t>S’inspirer de la recommandation n° 45 du Plan d’action pour le développement pour toutes ses activités.</w:t>
      </w:r>
    </w:p>
    <w:p w14:paraId="1ABC258C" w14:textId="77777777" w:rsidR="003E4F5B" w:rsidRPr="00A970C5" w:rsidRDefault="003E4F5B" w:rsidP="00986700">
      <w:pPr>
        <w:pStyle w:val="ListParagraph"/>
        <w:ind w:left="360" w:hanging="360"/>
        <w:rPr>
          <w:rFonts w:eastAsia="Times New Roman" w:cs="Arial"/>
          <w:bCs/>
          <w:szCs w:val="20"/>
          <w:lang w:eastAsia="en-US"/>
        </w:rPr>
      </w:pPr>
    </w:p>
    <w:p w14:paraId="3EF92987" w14:textId="77777777" w:rsidR="003E4F5B" w:rsidRPr="00A970C5" w:rsidRDefault="003E4F5B" w:rsidP="00986700">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A970C5" w:rsidRPr="00A970C5" w14:paraId="5822E687" w14:textId="77777777" w:rsidTr="00FC1018">
        <w:trPr>
          <w:cantSplit/>
        </w:trPr>
        <w:tc>
          <w:tcPr>
            <w:tcW w:w="9214" w:type="dxa"/>
            <w:shd w:val="clear" w:color="auto" w:fill="C6D9F1" w:themeFill="text2" w:themeFillTint="33"/>
            <w:vAlign w:val="center"/>
          </w:tcPr>
          <w:p w14:paraId="77BAE653" w14:textId="7EBE203D" w:rsidR="003E4F5B" w:rsidRPr="00A970C5" w:rsidRDefault="000B1950" w:rsidP="000B1950">
            <w:pPr>
              <w:keepNext/>
              <w:keepLines/>
              <w:jc w:val="center"/>
              <w:rPr>
                <w:rFonts w:eastAsia="Times New Roman" w:cs="Arial"/>
                <w:b/>
                <w:bCs/>
                <w:szCs w:val="20"/>
                <w:lang w:eastAsia="en-US"/>
              </w:rPr>
            </w:pPr>
            <w:r>
              <w:rPr>
                <w:rFonts w:eastAsia="Times New Roman" w:cs="Arial"/>
                <w:b/>
                <w:bCs/>
                <w:szCs w:val="20"/>
                <w:lang w:eastAsia="en-US"/>
              </w:rPr>
              <w:lastRenderedPageBreak/>
              <w:t>Collaboration interprogrammes</w:t>
            </w:r>
          </w:p>
        </w:tc>
      </w:tr>
    </w:tbl>
    <w:p w14:paraId="4DF2A3EE" w14:textId="77777777" w:rsidR="003E4F5B" w:rsidRPr="00A970C5" w:rsidRDefault="003E4F5B" w:rsidP="00590DB9">
      <w:pPr>
        <w:keepNext/>
        <w:rPr>
          <w:rFonts w:cs="Arial"/>
          <w:szCs w:val="20"/>
        </w:rPr>
      </w:pPr>
    </w:p>
    <w:p w14:paraId="7087C7F6" w14:textId="750100B4" w:rsidR="003E4F5B" w:rsidRPr="00A970C5" w:rsidRDefault="00590DB9" w:rsidP="00590DB9">
      <w:pPr>
        <w:jc w:val="center"/>
        <w:rPr>
          <w:rFonts w:cs="Arial"/>
          <w:szCs w:val="20"/>
        </w:rPr>
      </w:pPr>
      <w:r w:rsidRPr="00590DB9">
        <w:rPr>
          <w:noProof/>
          <w:lang w:val="en-US" w:eastAsia="en-US"/>
        </w:rPr>
        <w:drawing>
          <wp:inline distT="0" distB="0" distL="0" distR="0" wp14:anchorId="3CD63824" wp14:editId="20135E3F">
            <wp:extent cx="3561447" cy="3600000"/>
            <wp:effectExtent l="0" t="0" r="127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61447" cy="3600000"/>
                    </a:xfrm>
                    <a:prstGeom prst="rect">
                      <a:avLst/>
                    </a:prstGeom>
                    <a:noFill/>
                    <a:ln>
                      <a:noFill/>
                    </a:ln>
                  </pic:spPr>
                </pic:pic>
              </a:graphicData>
            </a:graphic>
          </wp:inline>
        </w:drawing>
      </w:r>
    </w:p>
    <w:p w14:paraId="719D5CED" w14:textId="77777777" w:rsidR="003E4F5B" w:rsidRPr="00A970C5" w:rsidRDefault="003E4F5B" w:rsidP="00986700">
      <w:pPr>
        <w:rPr>
          <w:rFonts w:cs="Arial"/>
          <w:szCs w:val="20"/>
        </w:rPr>
      </w:pPr>
    </w:p>
    <w:tbl>
      <w:tblPr>
        <w:tblW w:w="5000" w:type="pct"/>
        <w:tblCellMar>
          <w:top w:w="57" w:type="dxa"/>
          <w:bottom w:w="57" w:type="dxa"/>
        </w:tblCellMar>
        <w:tblLook w:val="04A0" w:firstRow="1" w:lastRow="0" w:firstColumn="1" w:lastColumn="0" w:noHBand="0" w:noVBand="1"/>
      </w:tblPr>
      <w:tblGrid>
        <w:gridCol w:w="4641"/>
        <w:gridCol w:w="4646"/>
      </w:tblGrid>
      <w:tr w:rsidR="00A970C5" w:rsidRPr="00A970C5" w14:paraId="62B562AE" w14:textId="77777777" w:rsidTr="00FC1018">
        <w:trPr>
          <w:cantSplit/>
        </w:trPr>
        <w:tc>
          <w:tcPr>
            <w:tcW w:w="4785" w:type="dxa"/>
            <w:shd w:val="clear" w:color="auto" w:fill="C6D9F1" w:themeFill="text2" w:themeFillTint="33"/>
            <w:tcMar>
              <w:top w:w="57" w:type="dxa"/>
              <w:left w:w="108" w:type="dxa"/>
              <w:bottom w:w="57" w:type="dxa"/>
              <w:right w:w="108" w:type="dxa"/>
            </w:tcMar>
            <w:vAlign w:val="center"/>
            <w:hideMark/>
          </w:tcPr>
          <w:p w14:paraId="3D02DE3E" w14:textId="77777777" w:rsidR="003E4F5B" w:rsidRPr="00A970C5" w:rsidRDefault="003E4F5B" w:rsidP="00986700">
            <w:pPr>
              <w:jc w:val="center"/>
              <w:rPr>
                <w:rFonts w:eastAsiaTheme="minorHAnsi" w:cs="Arial"/>
                <w:b/>
                <w:bCs/>
                <w:sz w:val="18"/>
                <w:szCs w:val="18"/>
                <w:lang w:eastAsia="en-US"/>
              </w:rPr>
            </w:pPr>
            <w:r w:rsidRPr="00A970C5">
              <w:rPr>
                <w:rFonts w:eastAsiaTheme="minorHAnsi" w:cs="Arial"/>
                <w:b/>
                <w:bCs/>
                <w:sz w:val="18"/>
                <w:szCs w:val="18"/>
                <w:lang w:eastAsia="en-US"/>
              </w:rPr>
              <w:t>Risque</w:t>
            </w:r>
          </w:p>
        </w:tc>
        <w:tc>
          <w:tcPr>
            <w:tcW w:w="4786" w:type="dxa"/>
            <w:shd w:val="clear" w:color="auto" w:fill="C6D9F1" w:themeFill="text2" w:themeFillTint="33"/>
            <w:tcMar>
              <w:top w:w="57" w:type="dxa"/>
              <w:left w:w="108" w:type="dxa"/>
              <w:bottom w:w="57" w:type="dxa"/>
              <w:right w:w="108" w:type="dxa"/>
            </w:tcMar>
            <w:vAlign w:val="center"/>
            <w:hideMark/>
          </w:tcPr>
          <w:p w14:paraId="3214CAD0" w14:textId="77777777" w:rsidR="003E4F5B" w:rsidRPr="00A970C5" w:rsidRDefault="003E4F5B" w:rsidP="00986700">
            <w:pPr>
              <w:jc w:val="center"/>
              <w:rPr>
                <w:rFonts w:eastAsiaTheme="minorHAnsi" w:cs="Arial"/>
                <w:b/>
                <w:bCs/>
                <w:sz w:val="18"/>
                <w:szCs w:val="18"/>
                <w:lang w:eastAsia="en-US"/>
              </w:rPr>
            </w:pPr>
            <w:r w:rsidRPr="00A970C5">
              <w:rPr>
                <w:rFonts w:eastAsiaTheme="minorHAnsi" w:cs="Arial"/>
                <w:b/>
                <w:bCs/>
                <w:sz w:val="18"/>
                <w:szCs w:val="18"/>
                <w:lang w:eastAsia="en-US"/>
              </w:rPr>
              <w:t>Mesures d’atténuation</w:t>
            </w:r>
          </w:p>
        </w:tc>
      </w:tr>
      <w:tr w:rsidR="00A970C5" w:rsidRPr="00A970C5" w14:paraId="3A9DFBD7" w14:textId="77777777" w:rsidTr="00FC1018">
        <w:trPr>
          <w:cantSplit/>
        </w:trPr>
        <w:tc>
          <w:tcPr>
            <w:tcW w:w="4785" w:type="dxa"/>
            <w:tcMar>
              <w:top w:w="57" w:type="dxa"/>
              <w:left w:w="108" w:type="dxa"/>
              <w:bottom w:w="57" w:type="dxa"/>
              <w:right w:w="108" w:type="dxa"/>
            </w:tcMar>
            <w:hideMark/>
          </w:tcPr>
          <w:p w14:paraId="6397943C" w14:textId="77777777" w:rsidR="003E4F5B" w:rsidRPr="00A970C5" w:rsidRDefault="003E4F5B" w:rsidP="00986700">
            <w:pPr>
              <w:rPr>
                <w:rFonts w:eastAsiaTheme="minorHAnsi" w:cs="Arial"/>
                <w:sz w:val="16"/>
                <w:szCs w:val="16"/>
                <w:lang w:eastAsia="en-US"/>
              </w:rPr>
            </w:pPr>
            <w:r w:rsidRPr="00A970C5">
              <w:rPr>
                <w:rFonts w:eastAsia="Times New Roman" w:cs="Arial"/>
                <w:sz w:val="16"/>
                <w:szCs w:val="16"/>
                <w:lang w:eastAsia="en-US"/>
              </w:rPr>
              <w:t>Absence de consensus entre les États membres sur les activités de l’OMPI en matière de promotion du respect de la propriété intellectuelle.  Le rôle de l’OMPI dans la promotion du respect de la propriété intellectuelle peut être compromis.</w:t>
            </w:r>
            <w:r w:rsidRPr="00A970C5">
              <w:rPr>
                <w:sz w:val="16"/>
              </w:rPr>
              <w:t xml:space="preserve"> </w:t>
            </w:r>
            <w:r w:rsidRPr="00A970C5">
              <w:rPr>
                <w:rFonts w:eastAsia="Times New Roman" w:cs="Arial"/>
                <w:sz w:val="16"/>
                <w:szCs w:val="16"/>
                <w:lang w:eastAsia="en-US"/>
              </w:rPr>
              <w:t xml:space="preserve"> </w:t>
            </w:r>
          </w:p>
        </w:tc>
        <w:tc>
          <w:tcPr>
            <w:tcW w:w="4786" w:type="dxa"/>
            <w:tcMar>
              <w:top w:w="57" w:type="dxa"/>
              <w:left w:w="108" w:type="dxa"/>
              <w:bottom w:w="57" w:type="dxa"/>
              <w:right w:w="108" w:type="dxa"/>
            </w:tcMar>
            <w:hideMark/>
          </w:tcPr>
          <w:p w14:paraId="491EB8A2" w14:textId="03FEC050" w:rsidR="003E4F5B" w:rsidRPr="00A970C5" w:rsidRDefault="003E4F5B" w:rsidP="00986700">
            <w:pPr>
              <w:rPr>
                <w:rFonts w:eastAsiaTheme="minorHAnsi" w:cs="Arial"/>
                <w:sz w:val="16"/>
                <w:szCs w:val="16"/>
                <w:lang w:eastAsia="en-US"/>
              </w:rPr>
            </w:pPr>
            <w:r w:rsidRPr="00A970C5">
              <w:rPr>
                <w:rFonts w:eastAsia="Times New Roman" w:cs="Arial"/>
                <w:sz w:val="16"/>
                <w:szCs w:val="16"/>
                <w:lang w:eastAsia="en-US"/>
              </w:rPr>
              <w:t>Organiser des consultations régulières avec les États membres pour permettre une convergence de vues sur la pertinence de l’ACE, de ses activités et de son rôle</w:t>
            </w:r>
            <w:r w:rsidR="00B818C0" w:rsidRPr="00A970C5">
              <w:rPr>
                <w:rFonts w:eastAsia="Times New Roman" w:cs="Arial"/>
                <w:sz w:val="16"/>
                <w:szCs w:val="16"/>
                <w:lang w:eastAsia="en-US"/>
              </w:rPr>
              <w:t xml:space="preserve"> en matière</w:t>
            </w:r>
            <w:r w:rsidRPr="00A970C5">
              <w:rPr>
                <w:rFonts w:eastAsia="Times New Roman" w:cs="Arial"/>
                <w:sz w:val="16"/>
                <w:szCs w:val="16"/>
                <w:lang w:eastAsia="en-US"/>
              </w:rPr>
              <w:t xml:space="preserve"> d’élaboration de politiques, ainsi que sur les activités</w:t>
            </w:r>
            <w:r w:rsidR="00B818C0" w:rsidRPr="00A970C5">
              <w:rPr>
                <w:rFonts w:eastAsia="Times New Roman" w:cs="Arial"/>
                <w:sz w:val="16"/>
                <w:szCs w:val="16"/>
                <w:lang w:eastAsia="en-US"/>
              </w:rPr>
              <w:t xml:space="preserve"> connexes</w:t>
            </w:r>
            <w:r w:rsidRPr="00A970C5">
              <w:rPr>
                <w:rFonts w:eastAsia="Times New Roman" w:cs="Arial"/>
                <w:sz w:val="16"/>
                <w:szCs w:val="16"/>
                <w:lang w:eastAsia="en-US"/>
              </w:rPr>
              <w:t xml:space="preserve"> de renforcement des capacités. </w:t>
            </w:r>
            <w:r w:rsidRPr="00A970C5">
              <w:rPr>
                <w:sz w:val="16"/>
              </w:rPr>
              <w:t xml:space="preserve"> </w:t>
            </w:r>
            <w:r w:rsidRPr="00A970C5">
              <w:rPr>
                <w:rFonts w:eastAsia="Times New Roman" w:cs="Arial"/>
                <w:sz w:val="16"/>
                <w:szCs w:val="16"/>
                <w:lang w:eastAsia="en-US"/>
              </w:rPr>
              <w:t>Toutes les activités sont menées selon des normes rigoureuses, garanti</w:t>
            </w:r>
            <w:r w:rsidR="00B818C0" w:rsidRPr="00A970C5">
              <w:rPr>
                <w:rFonts w:eastAsia="Times New Roman" w:cs="Arial"/>
                <w:sz w:val="16"/>
                <w:szCs w:val="16"/>
                <w:lang w:eastAsia="en-US"/>
              </w:rPr>
              <w:t>ssan</w:t>
            </w:r>
            <w:r w:rsidRPr="00A970C5">
              <w:rPr>
                <w:rFonts w:eastAsia="Times New Roman" w:cs="Arial"/>
                <w:sz w:val="16"/>
                <w:szCs w:val="16"/>
                <w:lang w:eastAsia="en-US"/>
              </w:rPr>
              <w:t>t la qualité, la transparence, la neutralité et une approche équilibrée.</w:t>
            </w:r>
          </w:p>
        </w:tc>
      </w:tr>
      <w:tr w:rsidR="003E4F5B" w:rsidRPr="00A970C5" w14:paraId="6AB691C5" w14:textId="77777777" w:rsidTr="00FC1018">
        <w:trPr>
          <w:cantSplit/>
        </w:trPr>
        <w:tc>
          <w:tcPr>
            <w:tcW w:w="4785" w:type="dxa"/>
            <w:tcMar>
              <w:top w:w="57" w:type="dxa"/>
              <w:left w:w="108" w:type="dxa"/>
              <w:bottom w:w="57" w:type="dxa"/>
              <w:right w:w="108" w:type="dxa"/>
            </w:tcMar>
            <w:hideMark/>
          </w:tcPr>
          <w:p w14:paraId="59D32A8A" w14:textId="77777777" w:rsidR="003E4F5B" w:rsidRPr="00A970C5" w:rsidRDefault="003E4F5B" w:rsidP="00986700">
            <w:pPr>
              <w:rPr>
                <w:rFonts w:eastAsiaTheme="minorHAnsi" w:cs="Arial"/>
                <w:sz w:val="16"/>
                <w:szCs w:val="16"/>
                <w:lang w:eastAsia="en-US"/>
              </w:rPr>
            </w:pPr>
            <w:r w:rsidRPr="00A970C5">
              <w:rPr>
                <w:rFonts w:eastAsia="Times New Roman" w:cs="Arial"/>
                <w:sz w:val="16"/>
                <w:szCs w:val="16"/>
                <w:lang w:eastAsia="en-US"/>
              </w:rPr>
              <w:t>Pays et parties prenantes se détournant de l’OMPI pour s’intéresser à d’autres organisations internationales ou régionales mettant en place des activités de promotion du respect de la propriété intellectuelle.</w:t>
            </w:r>
            <w:r w:rsidRPr="00A970C5">
              <w:rPr>
                <w:sz w:val="16"/>
              </w:rPr>
              <w:t xml:space="preserve"> </w:t>
            </w:r>
            <w:r w:rsidRPr="00A970C5">
              <w:rPr>
                <w:rFonts w:eastAsia="Times New Roman" w:cs="Arial"/>
                <w:sz w:val="16"/>
                <w:szCs w:val="16"/>
                <w:lang w:eastAsia="en-US"/>
              </w:rPr>
              <w:t xml:space="preserve"> </w:t>
            </w:r>
          </w:p>
        </w:tc>
        <w:tc>
          <w:tcPr>
            <w:tcW w:w="4786" w:type="dxa"/>
            <w:tcMar>
              <w:top w:w="57" w:type="dxa"/>
              <w:left w:w="108" w:type="dxa"/>
              <w:bottom w:w="57" w:type="dxa"/>
              <w:right w:w="108" w:type="dxa"/>
            </w:tcMar>
          </w:tcPr>
          <w:p w14:paraId="1513DC42" w14:textId="77777777" w:rsidR="003E4F5B" w:rsidRPr="00A970C5" w:rsidRDefault="003E4F5B" w:rsidP="00986700">
            <w:pPr>
              <w:rPr>
                <w:rFonts w:eastAsiaTheme="minorHAnsi" w:cs="Arial"/>
                <w:sz w:val="16"/>
                <w:szCs w:val="16"/>
                <w:lang w:eastAsia="en-US"/>
              </w:rPr>
            </w:pPr>
            <w:r w:rsidRPr="00A970C5">
              <w:rPr>
                <w:rFonts w:eastAsiaTheme="minorHAnsi" w:cs="Arial"/>
                <w:sz w:val="16"/>
                <w:szCs w:val="16"/>
                <w:lang w:eastAsia="en-US"/>
              </w:rPr>
              <w:t>Tirer parti des partenariats, définir et créer des synergies en attribuant des rôles clairs et bien définis aux différents partenaires.</w:t>
            </w:r>
          </w:p>
          <w:p w14:paraId="35F58793" w14:textId="77777777" w:rsidR="003E4F5B" w:rsidRPr="00A970C5" w:rsidRDefault="003E4F5B" w:rsidP="00986700">
            <w:pPr>
              <w:rPr>
                <w:rFonts w:eastAsia="Times New Roman" w:cs="Arial"/>
                <w:sz w:val="16"/>
                <w:szCs w:val="16"/>
                <w:lang w:eastAsia="en-US"/>
              </w:rPr>
            </w:pPr>
          </w:p>
          <w:p w14:paraId="275EE3B4"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Intégrer les activités et les stratégies de promotion du respect de la propriété intellectuelle dans les politiques nationales de propriété intellectuelle en coopération avec les bureaux régionaux de l’OMPI et le Département des pays en transition et des pays développés.</w:t>
            </w:r>
          </w:p>
          <w:p w14:paraId="7E5226EF" w14:textId="77777777" w:rsidR="003E4F5B" w:rsidRPr="00A970C5" w:rsidRDefault="003E4F5B" w:rsidP="00986700">
            <w:pPr>
              <w:rPr>
                <w:rFonts w:eastAsia="Times New Roman" w:cs="Arial"/>
                <w:sz w:val="16"/>
                <w:szCs w:val="16"/>
                <w:lang w:eastAsia="en-US"/>
              </w:rPr>
            </w:pPr>
          </w:p>
          <w:p w14:paraId="30ACA805" w14:textId="77777777" w:rsidR="003E4F5B" w:rsidRPr="00A970C5" w:rsidRDefault="003E4F5B" w:rsidP="00986700">
            <w:pPr>
              <w:rPr>
                <w:rFonts w:eastAsiaTheme="minorHAnsi" w:cs="Arial"/>
                <w:sz w:val="16"/>
                <w:szCs w:val="16"/>
                <w:lang w:eastAsia="en-US"/>
              </w:rPr>
            </w:pPr>
            <w:r w:rsidRPr="00A970C5">
              <w:rPr>
                <w:rFonts w:eastAsiaTheme="minorHAnsi" w:cs="Arial"/>
                <w:sz w:val="16"/>
                <w:szCs w:val="16"/>
                <w:lang w:eastAsia="en-US"/>
              </w:rPr>
              <w:t>Mettre l’accent sur les activités axées sur les politiques où l’OMPI peut jouer un rôle particulier et offrir un avantage concurrentiel.</w:t>
            </w:r>
          </w:p>
        </w:tc>
      </w:tr>
    </w:tbl>
    <w:p w14:paraId="7903171E" w14:textId="77777777" w:rsidR="003E4F5B" w:rsidRPr="00A970C5" w:rsidRDefault="003E4F5B" w:rsidP="00986700">
      <w:pPr>
        <w:rPr>
          <w:rFonts w:cs="Arial"/>
          <w:szCs w:val="20"/>
        </w:rPr>
      </w:pPr>
    </w:p>
    <w:p w14:paraId="069AD0F7" w14:textId="77777777" w:rsidR="003E4F5B" w:rsidRPr="00A970C5" w:rsidRDefault="003E4F5B" w:rsidP="00986700">
      <w:pPr>
        <w:rPr>
          <w:rFonts w:cs="Arial"/>
          <w:szCs w:val="20"/>
        </w:rPr>
      </w:pPr>
    </w:p>
    <w:tbl>
      <w:tblPr>
        <w:tblW w:w="5000" w:type="pct"/>
        <w:tblCellMar>
          <w:top w:w="57" w:type="dxa"/>
          <w:bottom w:w="57" w:type="dxa"/>
        </w:tblCellMar>
        <w:tblLook w:val="04A0" w:firstRow="1" w:lastRow="0" w:firstColumn="1" w:lastColumn="0" w:noHBand="0" w:noVBand="1"/>
      </w:tblPr>
      <w:tblGrid>
        <w:gridCol w:w="2307"/>
        <w:gridCol w:w="2308"/>
        <w:gridCol w:w="2382"/>
        <w:gridCol w:w="2290"/>
      </w:tblGrid>
      <w:tr w:rsidR="00A970C5" w:rsidRPr="00A970C5" w14:paraId="1073EBDD" w14:textId="77777777" w:rsidTr="003E4F5B">
        <w:trPr>
          <w:cantSplit/>
        </w:trPr>
        <w:tc>
          <w:tcPr>
            <w:tcW w:w="2392" w:type="dxa"/>
            <w:tcBorders>
              <w:top w:val="nil"/>
              <w:left w:val="nil"/>
              <w:bottom w:val="nil"/>
              <w:right w:val="nil"/>
            </w:tcBorders>
            <w:shd w:val="clear" w:color="000000" w:fill="C5D9F1"/>
            <w:tcMar>
              <w:top w:w="57" w:type="dxa"/>
            </w:tcMar>
            <w:vAlign w:val="center"/>
            <w:hideMark/>
          </w:tcPr>
          <w:p w14:paraId="7C4F38F7" w14:textId="77777777" w:rsidR="003E4F5B" w:rsidRPr="00A970C5" w:rsidRDefault="003E4F5B"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lastRenderedPageBreak/>
              <w:t xml:space="preserve">Résultat escompté </w:t>
            </w:r>
          </w:p>
        </w:tc>
        <w:tc>
          <w:tcPr>
            <w:tcW w:w="2393" w:type="dxa"/>
            <w:tcBorders>
              <w:top w:val="nil"/>
              <w:left w:val="nil"/>
              <w:bottom w:val="nil"/>
              <w:right w:val="nil"/>
            </w:tcBorders>
            <w:shd w:val="clear" w:color="000000" w:fill="C5D9F1"/>
            <w:tcMar>
              <w:top w:w="57" w:type="dxa"/>
            </w:tcMar>
            <w:vAlign w:val="center"/>
            <w:hideMark/>
          </w:tcPr>
          <w:p w14:paraId="06496680" w14:textId="77777777" w:rsidR="003E4F5B" w:rsidRPr="00A970C5" w:rsidRDefault="003E4F5B"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Indicateurs d’exécution</w:t>
            </w:r>
          </w:p>
        </w:tc>
        <w:tc>
          <w:tcPr>
            <w:tcW w:w="2393" w:type="dxa"/>
            <w:tcBorders>
              <w:top w:val="nil"/>
              <w:left w:val="nil"/>
              <w:bottom w:val="nil"/>
              <w:right w:val="nil"/>
            </w:tcBorders>
            <w:shd w:val="clear" w:color="000000" w:fill="C5D9F1"/>
            <w:tcMar>
              <w:top w:w="57" w:type="dxa"/>
            </w:tcMar>
            <w:vAlign w:val="center"/>
            <w:hideMark/>
          </w:tcPr>
          <w:p w14:paraId="48EDFF43" w14:textId="77777777" w:rsidR="003E4F5B" w:rsidRPr="00A970C5" w:rsidRDefault="003E4F5B"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Niveaux de référence</w:t>
            </w:r>
          </w:p>
        </w:tc>
        <w:tc>
          <w:tcPr>
            <w:tcW w:w="2393" w:type="dxa"/>
            <w:tcBorders>
              <w:top w:val="nil"/>
              <w:left w:val="nil"/>
              <w:bottom w:val="nil"/>
              <w:right w:val="nil"/>
            </w:tcBorders>
            <w:shd w:val="clear" w:color="000000" w:fill="C5D9F1"/>
            <w:tcMar>
              <w:top w:w="57" w:type="dxa"/>
            </w:tcMar>
            <w:vAlign w:val="center"/>
            <w:hideMark/>
          </w:tcPr>
          <w:p w14:paraId="6D66811B" w14:textId="77777777" w:rsidR="003E4F5B" w:rsidRPr="00A970C5" w:rsidRDefault="003E4F5B" w:rsidP="00986700">
            <w:pPr>
              <w:keepNext/>
              <w:keepLines/>
              <w:jc w:val="center"/>
              <w:rPr>
                <w:rFonts w:eastAsia="Times New Roman" w:cs="Arial"/>
                <w:b/>
                <w:bCs/>
                <w:sz w:val="18"/>
                <w:szCs w:val="18"/>
                <w:lang w:eastAsia="en-US"/>
              </w:rPr>
            </w:pPr>
            <w:r w:rsidRPr="00A970C5">
              <w:rPr>
                <w:rFonts w:eastAsia="Times New Roman" w:cs="Arial"/>
                <w:b/>
                <w:bCs/>
                <w:sz w:val="18"/>
                <w:szCs w:val="18"/>
                <w:lang w:eastAsia="en-US"/>
              </w:rPr>
              <w:t>Objectifs visés</w:t>
            </w:r>
          </w:p>
        </w:tc>
      </w:tr>
      <w:tr w:rsidR="00A970C5" w:rsidRPr="00A970C5" w14:paraId="20A1A699" w14:textId="77777777" w:rsidTr="003E4F5B">
        <w:trPr>
          <w:cantSplit/>
        </w:trPr>
        <w:tc>
          <w:tcPr>
            <w:tcW w:w="2392" w:type="dxa"/>
            <w:tcBorders>
              <w:top w:val="nil"/>
              <w:left w:val="nil"/>
              <w:bottom w:val="nil"/>
              <w:right w:val="nil"/>
            </w:tcBorders>
            <w:shd w:val="clear" w:color="000000" w:fill="FFFFFF"/>
            <w:hideMark/>
          </w:tcPr>
          <w:p w14:paraId="4A2C24EC" w14:textId="77777777" w:rsidR="003E4F5B" w:rsidRPr="00A970C5" w:rsidRDefault="003E4F5B" w:rsidP="00986700">
            <w:pPr>
              <w:keepNext/>
              <w:keepLines/>
              <w:rPr>
                <w:rFonts w:eastAsia="Times New Roman" w:cs="Arial"/>
                <w:sz w:val="16"/>
                <w:szCs w:val="16"/>
                <w:lang w:eastAsia="en-US"/>
              </w:rPr>
            </w:pPr>
            <w:r w:rsidRPr="00A970C5">
              <w:rPr>
                <w:rFonts w:eastAsia="Times New Roman" w:cs="Arial"/>
                <w:sz w:val="16"/>
                <w:szCs w:val="16"/>
                <w:lang w:eastAsia="en-US"/>
              </w:rPr>
              <w:t>I.2 Cadres législatifs, réglementaires et politiques de propriété intellectuelle adaptés et équilibrés</w:t>
            </w:r>
          </w:p>
        </w:tc>
        <w:tc>
          <w:tcPr>
            <w:tcW w:w="2393" w:type="dxa"/>
            <w:tcBorders>
              <w:top w:val="nil"/>
              <w:left w:val="nil"/>
              <w:bottom w:val="nil"/>
              <w:right w:val="nil"/>
            </w:tcBorders>
            <w:shd w:val="clear" w:color="000000" w:fill="FFFFFF"/>
            <w:hideMark/>
          </w:tcPr>
          <w:p w14:paraId="1A914EF3" w14:textId="77777777" w:rsidR="003E4F5B" w:rsidRPr="00A970C5" w:rsidRDefault="003E4F5B" w:rsidP="00986700">
            <w:pPr>
              <w:keepNext/>
              <w:keepLines/>
              <w:rPr>
                <w:rFonts w:eastAsia="Times New Roman" w:cs="Arial"/>
                <w:sz w:val="16"/>
                <w:szCs w:val="16"/>
                <w:lang w:eastAsia="en-US"/>
              </w:rPr>
            </w:pPr>
            <w:r w:rsidRPr="00A970C5">
              <w:rPr>
                <w:rFonts w:eastAsia="Times New Roman" w:cs="Arial"/>
                <w:sz w:val="16"/>
                <w:szCs w:val="16"/>
                <w:lang w:eastAsia="en-US"/>
              </w:rPr>
              <w:t xml:space="preserve">Nombre de pays ou d’organisations régionales ayant adopté ou modifié leurs cadres de référence en vue de l’application efficace des droits de propriété intellectuelle au regard de la partie III de l’Accord sur les ADPIC et de la recommandation n° 45 du Plan d’action pour le développement, ou s’apprêtant à le faire, suite à l’assistance fournie par l’OMPI </w:t>
            </w:r>
          </w:p>
        </w:tc>
        <w:tc>
          <w:tcPr>
            <w:tcW w:w="2393" w:type="dxa"/>
            <w:tcBorders>
              <w:top w:val="nil"/>
              <w:left w:val="nil"/>
              <w:bottom w:val="nil"/>
              <w:right w:val="nil"/>
            </w:tcBorders>
            <w:shd w:val="clear" w:color="000000" w:fill="FFFFFF"/>
            <w:hideMark/>
          </w:tcPr>
          <w:p w14:paraId="538E7241" w14:textId="77777777" w:rsidR="003E4F5B" w:rsidRPr="00A970C5" w:rsidRDefault="003E4F5B" w:rsidP="00986700">
            <w:pPr>
              <w:keepNext/>
              <w:keepLines/>
              <w:rPr>
                <w:rFonts w:eastAsia="Times New Roman" w:cs="Arial"/>
                <w:sz w:val="16"/>
                <w:szCs w:val="16"/>
                <w:lang w:eastAsia="en-US"/>
              </w:rPr>
            </w:pPr>
            <w:r w:rsidRPr="00A970C5">
              <w:rPr>
                <w:rFonts w:eastAsia="Times New Roman" w:cs="Arial"/>
                <w:sz w:val="16"/>
                <w:szCs w:val="16"/>
                <w:lang w:eastAsia="en-US"/>
              </w:rPr>
              <w:t>31 pays ou organisations ont entamé le processus de modification ou d’adoption de cadres de référence en vue de l’application efficace des droits de propriété intellectuelle.  Afrique (12), pays arabes (2), région Asie et Pacifique (10), pays d’Amérique latine et des Caraïbes (6), pays en transition (1) (au total, au 31 décembre 2016)</w:t>
            </w:r>
          </w:p>
        </w:tc>
        <w:tc>
          <w:tcPr>
            <w:tcW w:w="2393" w:type="dxa"/>
            <w:tcBorders>
              <w:top w:val="nil"/>
              <w:left w:val="nil"/>
              <w:bottom w:val="nil"/>
              <w:right w:val="nil"/>
            </w:tcBorders>
            <w:shd w:val="clear" w:color="000000" w:fill="FFFFFF"/>
            <w:hideMark/>
          </w:tcPr>
          <w:p w14:paraId="1AC20760" w14:textId="310B7F0C" w:rsidR="003E4F5B" w:rsidRPr="00A970C5" w:rsidRDefault="00AE6922" w:rsidP="00986700">
            <w:pPr>
              <w:keepNext/>
              <w:keepLines/>
              <w:rPr>
                <w:rFonts w:eastAsia="Times New Roman" w:cs="Arial"/>
                <w:sz w:val="16"/>
                <w:szCs w:val="16"/>
                <w:lang w:eastAsia="en-US"/>
              </w:rPr>
            </w:pPr>
            <w:r>
              <w:rPr>
                <w:rFonts w:eastAsia="Times New Roman" w:cs="Arial"/>
                <w:sz w:val="16"/>
                <w:szCs w:val="16"/>
                <w:lang w:eastAsia="en-US"/>
              </w:rPr>
              <w:t>4 p</w:t>
            </w:r>
            <w:r w:rsidR="003E4F5B" w:rsidRPr="00A970C5">
              <w:rPr>
                <w:rFonts w:eastAsia="Times New Roman" w:cs="Arial"/>
                <w:sz w:val="16"/>
                <w:szCs w:val="16"/>
                <w:lang w:eastAsia="en-US"/>
              </w:rPr>
              <w:t xml:space="preserve">ays ou organisations régionales ayant adopté ou modifié leurs cadres de référence en vue de l’application efficace des droits de propriété intellectuelle suite à l’assistance fournie par l’OMPI.  </w:t>
            </w:r>
          </w:p>
        </w:tc>
      </w:tr>
      <w:tr w:rsidR="00A970C5" w:rsidRPr="00A970C5" w14:paraId="0BE74FC7" w14:textId="77777777" w:rsidTr="003E4F5B">
        <w:trPr>
          <w:cantSplit/>
        </w:trPr>
        <w:tc>
          <w:tcPr>
            <w:tcW w:w="2392" w:type="dxa"/>
            <w:tcBorders>
              <w:top w:val="nil"/>
              <w:left w:val="nil"/>
              <w:bottom w:val="nil"/>
              <w:right w:val="nil"/>
            </w:tcBorders>
            <w:shd w:val="clear" w:color="000000" w:fill="FFFFFF"/>
            <w:hideMark/>
          </w:tcPr>
          <w:p w14:paraId="74810250"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93" w:type="dxa"/>
            <w:tcBorders>
              <w:top w:val="nil"/>
              <w:left w:val="nil"/>
              <w:bottom w:val="nil"/>
              <w:right w:val="nil"/>
            </w:tcBorders>
            <w:shd w:val="clear" w:color="000000" w:fill="FFFFFF"/>
            <w:hideMark/>
          </w:tcPr>
          <w:p w14:paraId="1442A2E3"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Niveau de satisfaction des participants quant aux activités de formation et de renforcement des capacités de l’OMPI</w:t>
            </w:r>
          </w:p>
        </w:tc>
        <w:tc>
          <w:tcPr>
            <w:tcW w:w="2393" w:type="dxa"/>
            <w:tcBorders>
              <w:top w:val="nil"/>
              <w:left w:val="nil"/>
              <w:bottom w:val="nil"/>
              <w:right w:val="nil"/>
            </w:tcBorders>
            <w:shd w:val="clear" w:color="000000" w:fill="FFFFFF"/>
            <w:hideMark/>
          </w:tcPr>
          <w:p w14:paraId="5B6FA0A0"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Taux moyen d’utilité : 92%</w:t>
            </w:r>
            <w:r w:rsidRPr="00A970C5">
              <w:rPr>
                <w:rFonts w:eastAsia="Times New Roman" w:cs="Arial"/>
                <w:sz w:val="16"/>
                <w:szCs w:val="16"/>
                <w:lang w:eastAsia="en-US"/>
              </w:rPr>
              <w:br/>
              <w:t>Taux moyen de satisfaction : 92%</w:t>
            </w:r>
            <w:r w:rsidRPr="00A970C5">
              <w:rPr>
                <w:rFonts w:eastAsia="Times New Roman" w:cs="Arial"/>
                <w:sz w:val="16"/>
                <w:szCs w:val="16"/>
                <w:lang w:eastAsia="en-US"/>
              </w:rPr>
              <w:br/>
              <w:t>(2016)</w:t>
            </w:r>
          </w:p>
        </w:tc>
        <w:tc>
          <w:tcPr>
            <w:tcW w:w="2393" w:type="dxa"/>
            <w:tcBorders>
              <w:top w:val="nil"/>
              <w:left w:val="nil"/>
              <w:bottom w:val="nil"/>
              <w:right w:val="nil"/>
            </w:tcBorders>
            <w:shd w:val="clear" w:color="000000" w:fill="FFFFFF"/>
            <w:hideMark/>
          </w:tcPr>
          <w:p w14:paraId="647202DF"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Pertinence : &gt;85%</w:t>
            </w:r>
          </w:p>
          <w:p w14:paraId="04E522AC" w14:textId="77777777" w:rsidR="003E4F5B" w:rsidRPr="00A970C5" w:rsidRDefault="003E4F5B" w:rsidP="00986700">
            <w:pPr>
              <w:rPr>
                <w:rFonts w:eastAsia="Times New Roman" w:cs="Arial"/>
                <w:sz w:val="16"/>
                <w:szCs w:val="16"/>
                <w:lang w:eastAsia="en-US"/>
              </w:rPr>
            </w:pPr>
          </w:p>
          <w:p w14:paraId="656FC50C"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Utilité : &gt; 85%</w:t>
            </w:r>
          </w:p>
        </w:tc>
      </w:tr>
      <w:tr w:rsidR="00A970C5" w:rsidRPr="00A970C5" w14:paraId="69A33C88" w14:textId="77777777" w:rsidTr="003E4F5B">
        <w:trPr>
          <w:cantSplit/>
        </w:trPr>
        <w:tc>
          <w:tcPr>
            <w:tcW w:w="2392" w:type="dxa"/>
            <w:tcBorders>
              <w:top w:val="nil"/>
              <w:left w:val="nil"/>
              <w:bottom w:val="nil"/>
              <w:right w:val="nil"/>
            </w:tcBorders>
            <w:shd w:val="clear" w:color="000000" w:fill="FFFFFF"/>
            <w:hideMark/>
          </w:tcPr>
          <w:p w14:paraId="43EC46C8" w14:textId="269E438D" w:rsidR="003E4F5B" w:rsidRPr="00A970C5" w:rsidRDefault="003E4F5B" w:rsidP="00585B3C">
            <w:pPr>
              <w:rPr>
                <w:rFonts w:eastAsia="Times New Roman" w:cs="Arial"/>
                <w:sz w:val="16"/>
                <w:szCs w:val="16"/>
                <w:lang w:eastAsia="en-US"/>
              </w:rPr>
            </w:pPr>
            <w:r w:rsidRPr="00A970C5">
              <w:rPr>
                <w:rFonts w:eastAsia="Times New Roman" w:cs="Arial"/>
                <w:sz w:val="16"/>
                <w:szCs w:val="16"/>
                <w:lang w:eastAsia="en-US"/>
              </w:rPr>
              <w:t xml:space="preserve">VI.1 Progrès du dialogue international entre les États membres de l’OMPI </w:t>
            </w:r>
            <w:r w:rsidR="00585B3C">
              <w:rPr>
                <w:rFonts w:eastAsia="Times New Roman" w:cs="Arial"/>
                <w:sz w:val="16"/>
                <w:szCs w:val="16"/>
                <w:lang w:eastAsia="en-US"/>
              </w:rPr>
              <w:t xml:space="preserve">et les parties prenantes internationales concernées </w:t>
            </w:r>
            <w:r w:rsidRPr="00A970C5">
              <w:rPr>
                <w:rFonts w:eastAsia="Times New Roman" w:cs="Arial"/>
                <w:sz w:val="16"/>
                <w:szCs w:val="16"/>
                <w:lang w:eastAsia="en-US"/>
              </w:rPr>
              <w:t>sur la promotion du respect de la propriété intellectuelle, compte tenu de la recommandation n° 45 du Plan d’action pour le développement</w:t>
            </w:r>
          </w:p>
        </w:tc>
        <w:tc>
          <w:tcPr>
            <w:tcW w:w="2393" w:type="dxa"/>
            <w:tcBorders>
              <w:top w:val="nil"/>
              <w:left w:val="nil"/>
              <w:bottom w:val="nil"/>
              <w:right w:val="nil"/>
            </w:tcBorders>
            <w:shd w:val="clear" w:color="000000" w:fill="FFFFFF"/>
            <w:hideMark/>
          </w:tcPr>
          <w:p w14:paraId="5A64370E"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 xml:space="preserve">Accord permanent des États membres sur les activités de fond du Comité consultatif de l’OMPI sur l’application des droits (ACE), en prenant en considération les préoccupations relatives au développement </w:t>
            </w:r>
          </w:p>
        </w:tc>
        <w:tc>
          <w:tcPr>
            <w:tcW w:w="2393" w:type="dxa"/>
            <w:tcBorders>
              <w:top w:val="nil"/>
              <w:left w:val="nil"/>
              <w:bottom w:val="nil"/>
              <w:right w:val="nil"/>
            </w:tcBorders>
            <w:shd w:val="clear" w:color="auto" w:fill="auto"/>
            <w:hideMark/>
          </w:tcPr>
          <w:p w14:paraId="51A0EA1A"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Un accord des États membres sur le programme de travail a été conclu aux dixième et onzième sessions de l’ACE (WIPO/ACE/10/26 et WIPO/ACE/11/11) (au 31 décembre 2016)</w:t>
            </w:r>
          </w:p>
        </w:tc>
        <w:tc>
          <w:tcPr>
            <w:tcW w:w="2393" w:type="dxa"/>
            <w:tcBorders>
              <w:top w:val="nil"/>
              <w:left w:val="nil"/>
              <w:bottom w:val="nil"/>
              <w:right w:val="nil"/>
            </w:tcBorders>
            <w:shd w:val="clear" w:color="000000" w:fill="FFFFFF"/>
            <w:hideMark/>
          </w:tcPr>
          <w:p w14:paraId="2541D55E"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 xml:space="preserve">Accord des États membres sur le programme de travail des quatorzième (2019) et quinzième (2020) sessions.  </w:t>
            </w:r>
          </w:p>
        </w:tc>
      </w:tr>
      <w:tr w:rsidR="00A970C5" w:rsidRPr="00A970C5" w14:paraId="2CF061C5" w14:textId="77777777" w:rsidTr="003E4F5B">
        <w:trPr>
          <w:cantSplit/>
        </w:trPr>
        <w:tc>
          <w:tcPr>
            <w:tcW w:w="2392" w:type="dxa"/>
            <w:tcBorders>
              <w:top w:val="nil"/>
              <w:left w:val="nil"/>
              <w:bottom w:val="nil"/>
              <w:right w:val="nil"/>
            </w:tcBorders>
            <w:shd w:val="clear" w:color="000000" w:fill="FFFFFF"/>
            <w:hideMark/>
          </w:tcPr>
          <w:p w14:paraId="36560EE4" w14:textId="3332F87B" w:rsidR="003E4F5B" w:rsidRPr="00A970C5" w:rsidRDefault="003E4F5B" w:rsidP="00585B3C">
            <w:pPr>
              <w:rPr>
                <w:rFonts w:eastAsia="Times New Roman" w:cs="Arial"/>
                <w:sz w:val="16"/>
                <w:szCs w:val="16"/>
                <w:lang w:eastAsia="en-US"/>
              </w:rPr>
            </w:pPr>
            <w:r w:rsidRPr="00A970C5">
              <w:rPr>
                <w:rFonts w:eastAsia="Times New Roman" w:cs="Arial"/>
                <w:sz w:val="16"/>
                <w:szCs w:val="16"/>
                <w:lang w:eastAsia="en-US"/>
              </w:rPr>
              <w:t xml:space="preserve">VI.2 Coopération et coordination systématiques, efficaces et transparentes entre les travaux de l’OMPI et ceux </w:t>
            </w:r>
            <w:r w:rsidR="00585B3C">
              <w:rPr>
                <w:rFonts w:eastAsia="Times New Roman" w:cs="Arial"/>
                <w:sz w:val="16"/>
                <w:szCs w:val="16"/>
                <w:lang w:eastAsia="en-US"/>
              </w:rPr>
              <w:t>d’</w:t>
            </w:r>
            <w:r w:rsidRPr="00A970C5">
              <w:rPr>
                <w:rFonts w:eastAsia="Times New Roman" w:cs="Arial"/>
                <w:sz w:val="16"/>
                <w:szCs w:val="16"/>
                <w:lang w:eastAsia="en-US"/>
              </w:rPr>
              <w:t xml:space="preserve">organisations </w:t>
            </w:r>
            <w:r w:rsidR="00585B3C">
              <w:rPr>
                <w:rFonts w:eastAsia="Times New Roman" w:cs="Arial"/>
                <w:sz w:val="16"/>
                <w:szCs w:val="16"/>
                <w:lang w:eastAsia="en-US"/>
              </w:rPr>
              <w:t xml:space="preserve">nationales et </w:t>
            </w:r>
            <w:r w:rsidRPr="00A970C5">
              <w:rPr>
                <w:rFonts w:eastAsia="Times New Roman" w:cs="Arial"/>
                <w:sz w:val="16"/>
                <w:szCs w:val="16"/>
                <w:lang w:eastAsia="en-US"/>
              </w:rPr>
              <w:t>internationales dans le domaine de la promotion du respect de la propriété intellectuelle</w:t>
            </w:r>
          </w:p>
        </w:tc>
        <w:tc>
          <w:tcPr>
            <w:tcW w:w="2393" w:type="dxa"/>
            <w:tcBorders>
              <w:top w:val="nil"/>
              <w:left w:val="nil"/>
              <w:bottom w:val="nil"/>
              <w:right w:val="nil"/>
            </w:tcBorders>
            <w:shd w:val="clear" w:color="000000" w:fill="FFFFFF"/>
            <w:hideMark/>
          </w:tcPr>
          <w:p w14:paraId="1E86005F"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Nombre de collaborations stratégiques en partenariat avec des organisations dans le domaine de la promotion du respect de la propriété intellectuelle</w:t>
            </w:r>
          </w:p>
        </w:tc>
        <w:tc>
          <w:tcPr>
            <w:tcW w:w="2393" w:type="dxa"/>
            <w:tcBorders>
              <w:top w:val="nil"/>
              <w:left w:val="nil"/>
              <w:bottom w:val="nil"/>
              <w:right w:val="nil"/>
            </w:tcBorders>
            <w:shd w:val="clear" w:color="auto" w:fill="auto"/>
            <w:hideMark/>
          </w:tcPr>
          <w:p w14:paraId="15C8F130"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7 collaborations stratégiques</w:t>
            </w:r>
            <w:r w:rsidRPr="00A970C5">
              <w:rPr>
                <w:rFonts w:eastAsia="Times New Roman" w:cs="Arial"/>
                <w:sz w:val="16"/>
                <w:szCs w:val="16"/>
                <w:lang w:eastAsia="en-US"/>
              </w:rPr>
              <w:br/>
              <w:t>(fin 2016)</w:t>
            </w:r>
          </w:p>
        </w:tc>
        <w:tc>
          <w:tcPr>
            <w:tcW w:w="2393" w:type="dxa"/>
            <w:tcBorders>
              <w:top w:val="nil"/>
              <w:left w:val="nil"/>
              <w:bottom w:val="nil"/>
              <w:right w:val="nil"/>
            </w:tcBorders>
            <w:shd w:val="clear" w:color="000000" w:fill="FFFFFF"/>
            <w:hideMark/>
          </w:tcPr>
          <w:p w14:paraId="58D98C83" w14:textId="77777777" w:rsidR="003E4F5B" w:rsidRPr="00A970C5" w:rsidRDefault="003E4F5B" w:rsidP="00986700">
            <w:pPr>
              <w:rPr>
                <w:rFonts w:eastAsia="Times New Roman" w:cs="Arial"/>
                <w:sz w:val="16"/>
                <w:szCs w:val="16"/>
                <w:lang w:eastAsia="en-US"/>
              </w:rPr>
            </w:pPr>
            <w:r w:rsidRPr="00A970C5">
              <w:rPr>
                <w:rFonts w:eastAsia="Times New Roman" w:cs="Arial"/>
                <w:sz w:val="16"/>
                <w:szCs w:val="16"/>
                <w:lang w:eastAsia="en-US"/>
              </w:rPr>
              <w:t xml:space="preserve">7 collaborations stratégiques actives </w:t>
            </w:r>
          </w:p>
        </w:tc>
      </w:tr>
    </w:tbl>
    <w:p w14:paraId="1CE396CA" w14:textId="77777777" w:rsidR="003E4F5B" w:rsidRPr="00A970C5" w:rsidRDefault="003E4F5B" w:rsidP="00986700">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416D1A76" w14:textId="77777777" w:rsidTr="001A722F">
        <w:trPr>
          <w:cantSplit/>
        </w:trPr>
        <w:tc>
          <w:tcPr>
            <w:tcW w:w="9571" w:type="dxa"/>
            <w:shd w:val="clear" w:color="auto" w:fill="C6D9F1" w:themeFill="text2" w:themeFillTint="33"/>
            <w:vAlign w:val="center"/>
          </w:tcPr>
          <w:p w14:paraId="5A4919BC" w14:textId="77777777" w:rsidR="00277197" w:rsidRPr="00821D15" w:rsidRDefault="00277197" w:rsidP="00986700">
            <w:pPr>
              <w:jc w:val="center"/>
              <w:rPr>
                <w:rFonts w:cs="Arial"/>
                <w:b/>
                <w:szCs w:val="20"/>
              </w:rPr>
            </w:pPr>
            <w:r w:rsidRPr="00821D15">
              <w:rPr>
                <w:rFonts w:cs="Arial"/>
                <w:b/>
                <w:szCs w:val="20"/>
              </w:rPr>
              <w:t>Ressources allouées au programme 17</w:t>
            </w:r>
          </w:p>
        </w:tc>
      </w:tr>
    </w:tbl>
    <w:p w14:paraId="119D008E" w14:textId="77777777" w:rsidR="00277197" w:rsidRPr="00821D15" w:rsidRDefault="00277197" w:rsidP="00986700">
      <w:pPr>
        <w:rPr>
          <w:rFonts w:cs="Arial"/>
          <w:szCs w:val="20"/>
        </w:rPr>
      </w:pPr>
    </w:p>
    <w:p w14:paraId="4F2AF956" w14:textId="77777777" w:rsidR="00277197" w:rsidRPr="00821D15" w:rsidRDefault="00277197" w:rsidP="00616FD3">
      <w:pPr>
        <w:numPr>
          <w:ilvl w:val="0"/>
          <w:numId w:val="79"/>
        </w:numPr>
        <w:ind w:left="0" w:firstLine="0"/>
        <w:jc w:val="both"/>
        <w:rPr>
          <w:rFonts w:eastAsia="Times New Roman" w:cs="Arial"/>
          <w:szCs w:val="20"/>
          <w:lang w:eastAsia="en-US"/>
        </w:rPr>
      </w:pPr>
      <w:r w:rsidRPr="00821D15">
        <w:rPr>
          <w:rFonts w:cs="Arial"/>
          <w:szCs w:val="20"/>
        </w:rPr>
        <w:t>Les ressources globales allouées au programme 17 en 2018</w:t>
      </w:r>
      <w:r w:rsidRPr="00821D15">
        <w:rPr>
          <w:rFonts w:cs="Arial"/>
          <w:szCs w:val="20"/>
        </w:rPr>
        <w:noBreakHyphen/>
        <w:t>2019 indiquent une hausse de 9,3% par rapport au budget approuvé pour 2016</w:t>
      </w:r>
      <w:r w:rsidRPr="00821D15">
        <w:rPr>
          <w:rFonts w:cs="Arial"/>
          <w:szCs w:val="20"/>
        </w:rPr>
        <w:noBreakHyphen/>
        <w:t>2017, due à une provision pour deux sessions de l’ACE en 2018</w:t>
      </w:r>
      <w:r w:rsidRPr="00821D15">
        <w:rPr>
          <w:rFonts w:cs="Arial"/>
          <w:szCs w:val="20"/>
        </w:rPr>
        <w:noBreakHyphen/>
        <w:t>2019, alors qu’une seule session était inscrite au budget pour 2016</w:t>
      </w:r>
      <w:r w:rsidRPr="00821D15">
        <w:rPr>
          <w:rFonts w:cs="Arial"/>
          <w:szCs w:val="20"/>
        </w:rPr>
        <w:noBreakHyphen/>
        <w:t>2017, ce dont il est rendu compte sous le résultat escompté</w:t>
      </w:r>
      <w:r w:rsidRPr="00821D15">
        <w:rPr>
          <w:rFonts w:eastAsia="Times New Roman" w:cs="Arial"/>
          <w:szCs w:val="20"/>
          <w:lang w:eastAsia="en-US"/>
        </w:rPr>
        <w:t> VI.1 (progrès du dialogue international entre les États membres de l’OMPI sur la promotion du respect de la propriété intellectuelle).</w:t>
      </w:r>
    </w:p>
    <w:p w14:paraId="3EAC4976" w14:textId="77777777" w:rsidR="00277197" w:rsidRPr="00821D15" w:rsidRDefault="00277197" w:rsidP="00986700">
      <w:pPr>
        <w:rPr>
          <w:rFonts w:cs="Arial"/>
          <w:szCs w:val="20"/>
          <w:lang w:eastAsia="en-US"/>
        </w:rPr>
      </w:pPr>
    </w:p>
    <w:p w14:paraId="728AF8F3" w14:textId="77777777" w:rsidR="00277197" w:rsidRPr="00821D15" w:rsidRDefault="00277197" w:rsidP="00616FD3">
      <w:pPr>
        <w:numPr>
          <w:ilvl w:val="0"/>
          <w:numId w:val="79"/>
        </w:numPr>
        <w:ind w:left="0" w:firstLine="0"/>
        <w:jc w:val="both"/>
        <w:rPr>
          <w:rFonts w:eastAsia="Times New Roman" w:cs="Arial"/>
          <w:szCs w:val="20"/>
          <w:lang w:eastAsia="en-US"/>
        </w:rPr>
      </w:pPr>
      <w:r w:rsidRPr="00821D15">
        <w:rPr>
          <w:rFonts w:eastAsia="Times New Roman" w:cs="Arial"/>
          <w:szCs w:val="20"/>
          <w:lang w:eastAsia="en-US"/>
        </w:rPr>
        <w:t>La légère augmentation des dépenses de personnel par rapport au budget approuvé pour 2016</w:t>
      </w:r>
      <w:r w:rsidRPr="00821D15">
        <w:rPr>
          <w:rFonts w:eastAsia="Times New Roman" w:cs="Arial"/>
          <w:szCs w:val="20"/>
          <w:lang w:eastAsia="en-US"/>
        </w:rPr>
        <w:noBreakHyphen/>
        <w:t>2017 est due à des augmentations statutaires relatives aux dépenses de personnel.</w:t>
      </w:r>
    </w:p>
    <w:p w14:paraId="587D6E3F" w14:textId="77777777" w:rsidR="00277197" w:rsidRPr="00821D15" w:rsidRDefault="00277197" w:rsidP="00986700">
      <w:pPr>
        <w:rPr>
          <w:rFonts w:cs="Arial"/>
          <w:szCs w:val="20"/>
          <w:lang w:eastAsia="en-US"/>
        </w:rPr>
      </w:pPr>
    </w:p>
    <w:p w14:paraId="5EFB5D59" w14:textId="77777777" w:rsidR="00277197" w:rsidRPr="00821D15" w:rsidRDefault="00277197" w:rsidP="00616FD3">
      <w:pPr>
        <w:numPr>
          <w:ilvl w:val="0"/>
          <w:numId w:val="79"/>
        </w:numPr>
        <w:ind w:left="0" w:firstLine="0"/>
        <w:jc w:val="both"/>
        <w:rPr>
          <w:rFonts w:cs="Arial"/>
          <w:szCs w:val="20"/>
        </w:rPr>
      </w:pPr>
      <w:r w:rsidRPr="00821D15">
        <w:rPr>
          <w:rFonts w:cs="Arial"/>
          <w:szCs w:val="20"/>
        </w:rPr>
        <w:t>Le transfert de ressources au résultat escompté III.2 (</w:t>
      </w:r>
      <w:r w:rsidRPr="00821D15">
        <w:rPr>
          <w:rFonts w:cs="Arial"/>
          <w:color w:val="000000"/>
          <w:szCs w:val="20"/>
        </w:rPr>
        <w:t>mise en valeur des ressources humaines</w:t>
      </w:r>
      <w:r w:rsidRPr="00821D15">
        <w:rPr>
          <w:rFonts w:cs="Arial"/>
          <w:szCs w:val="20"/>
        </w:rPr>
        <w:t>) à partir du résultat escompté I.2 (conseils en matière de législation) résulte de la volonté de mettre l’accent sur le renforcement des capacités au cours de l’exercice biennal 2018</w:t>
      </w:r>
      <w:r w:rsidRPr="00821D15">
        <w:rPr>
          <w:rFonts w:cs="Arial"/>
          <w:szCs w:val="20"/>
        </w:rPr>
        <w:noBreakHyphen/>
        <w:t>2019 et notamment sur les activités de sensibilisation précédemment inscrites au budget sous le résultat escompté VIII.1 (communication plus efficace avec un public large) en 2016</w:t>
      </w:r>
      <w:r w:rsidRPr="00821D15">
        <w:rPr>
          <w:rFonts w:cs="Arial"/>
          <w:szCs w:val="20"/>
        </w:rPr>
        <w:noBreakHyphen/>
        <w:t>2017.  La redistribution des ressources du résultat escompté VI.2 (coopération et coordination systématiques, efficaces et transparentes dans le domaine de la promotion du respect de la propriété intellectuelle) au résultat escompté VI.1 correspond à la provision pour la conférence de haut niveau sur la promotion du respect de la propriété intellectuelle.</w:t>
      </w:r>
    </w:p>
    <w:p w14:paraId="6C38FFD6" w14:textId="77777777" w:rsidR="00277197" w:rsidRPr="00821D15" w:rsidRDefault="00277197" w:rsidP="00986700">
      <w:pPr>
        <w:rPr>
          <w:rFonts w:cs="Arial"/>
          <w:szCs w:val="20"/>
        </w:rPr>
      </w:pPr>
    </w:p>
    <w:p w14:paraId="61BBB325" w14:textId="77777777" w:rsidR="00277197" w:rsidRPr="00821D15" w:rsidRDefault="00277197" w:rsidP="00616FD3">
      <w:pPr>
        <w:numPr>
          <w:ilvl w:val="0"/>
          <w:numId w:val="79"/>
        </w:numPr>
        <w:ind w:left="0" w:firstLine="0"/>
        <w:jc w:val="both"/>
        <w:rPr>
          <w:rFonts w:eastAsia="Times New Roman" w:cs="Arial"/>
          <w:szCs w:val="20"/>
          <w:lang w:eastAsia="en-US"/>
        </w:rPr>
      </w:pPr>
      <w:r w:rsidRPr="00821D15">
        <w:rPr>
          <w:rFonts w:cs="Arial"/>
          <w:szCs w:val="20"/>
        </w:rPr>
        <w:lastRenderedPageBreak/>
        <w:t>Les ressources liées au résultat escompté VIII.1 dans le budget approuvé pour 2016</w:t>
      </w:r>
      <w:r w:rsidRPr="00821D15">
        <w:rPr>
          <w:rFonts w:cs="Arial"/>
          <w:szCs w:val="20"/>
        </w:rPr>
        <w:noBreakHyphen/>
        <w:t>2017 concernaient le Programme d’attribution de prix de l’OMPI, transféré au programme 21 (direction générale).  Aucune dépense n’est prévue dans le cadre de ce résultat escompté en 2018</w:t>
      </w:r>
      <w:r w:rsidRPr="00821D15">
        <w:rPr>
          <w:rFonts w:cs="Arial"/>
          <w:szCs w:val="20"/>
        </w:rPr>
        <w:noBreakHyphen/>
        <w:t>2019.</w:t>
      </w:r>
    </w:p>
    <w:p w14:paraId="621C7D27" w14:textId="77777777" w:rsidR="003E4F5B" w:rsidRPr="00A970C5" w:rsidRDefault="003E4F5B" w:rsidP="00986700">
      <w:pPr>
        <w:rPr>
          <w:rFonts w:cs="Arial"/>
          <w:szCs w:val="20"/>
        </w:rPr>
      </w:pPr>
    </w:p>
    <w:p w14:paraId="5565C877" w14:textId="6E310EA8"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17 : </w:t>
      </w:r>
      <w:r w:rsidRPr="00674550">
        <w:rPr>
          <w:rFonts w:eastAsia="Times New Roman" w:cs="Arial"/>
          <w:b/>
          <w:szCs w:val="20"/>
          <w:lang w:eastAsia="en-US"/>
        </w:rPr>
        <w:t>Ressources par résultat</w:t>
      </w:r>
    </w:p>
    <w:p w14:paraId="3CC860A9"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79FA1CBA" w14:textId="77777777" w:rsidR="003E4F5B" w:rsidRDefault="003E4F5B" w:rsidP="00986700">
      <w:pPr>
        <w:rPr>
          <w:rFonts w:cs="Arial"/>
          <w:szCs w:val="20"/>
        </w:rPr>
      </w:pPr>
    </w:p>
    <w:p w14:paraId="43BA68A4" w14:textId="38FBF547" w:rsidR="00717231" w:rsidRPr="00A970C5" w:rsidRDefault="00717231" w:rsidP="00986700">
      <w:pPr>
        <w:jc w:val="center"/>
        <w:rPr>
          <w:rFonts w:cs="Arial"/>
          <w:szCs w:val="20"/>
        </w:rPr>
      </w:pPr>
      <w:r w:rsidRPr="00717231">
        <w:rPr>
          <w:noProof/>
          <w:lang w:val="en-US" w:eastAsia="en-US"/>
        </w:rPr>
        <w:drawing>
          <wp:inline distT="0" distB="0" distL="0" distR="0" wp14:anchorId="79721F43" wp14:editId="77B7FBE0">
            <wp:extent cx="5400000" cy="3561368"/>
            <wp:effectExtent l="0" t="0" r="0"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000" cy="3561368"/>
                    </a:xfrm>
                    <a:prstGeom prst="rect">
                      <a:avLst/>
                    </a:prstGeom>
                    <a:noFill/>
                    <a:ln>
                      <a:noFill/>
                    </a:ln>
                  </pic:spPr>
                </pic:pic>
              </a:graphicData>
            </a:graphic>
          </wp:inline>
        </w:drawing>
      </w:r>
    </w:p>
    <w:p w14:paraId="2AC265BF" w14:textId="77777777" w:rsidR="00B55ECC" w:rsidRDefault="00B55ECC" w:rsidP="00986700"/>
    <w:p w14:paraId="65A176DA"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17</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728BCAC6" w14:textId="7E5973AA"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77EEF554" w14:textId="77777777" w:rsidR="008778B5" w:rsidRDefault="008778B5" w:rsidP="00986700">
      <w:pPr>
        <w:keepNext/>
        <w:rPr>
          <w:lang w:eastAsia="en-US"/>
        </w:rPr>
      </w:pPr>
    </w:p>
    <w:p w14:paraId="24B0ACE9" w14:textId="279ED045" w:rsidR="00B55ECC" w:rsidRDefault="008778B5" w:rsidP="00986700">
      <w:pPr>
        <w:jc w:val="center"/>
        <w:rPr>
          <w:lang w:eastAsia="en-US"/>
        </w:rPr>
      </w:pPr>
      <w:r w:rsidRPr="008778B5">
        <w:rPr>
          <w:noProof/>
          <w:lang w:val="en-US" w:eastAsia="en-US"/>
        </w:rPr>
        <w:drawing>
          <wp:inline distT="0" distB="0" distL="0" distR="0" wp14:anchorId="334D5947" wp14:editId="2BB7A068">
            <wp:extent cx="5400000" cy="6031770"/>
            <wp:effectExtent l="0" t="0" r="0" b="762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28E61EFE" w14:textId="77777777" w:rsidR="00B55ECC" w:rsidRPr="00E16214" w:rsidRDefault="00B55ECC" w:rsidP="00986700">
      <w:pPr>
        <w:rPr>
          <w:lang w:eastAsia="en-US"/>
        </w:rPr>
      </w:pPr>
    </w:p>
    <w:p w14:paraId="2B0B2CFB" w14:textId="77777777" w:rsidR="00637026" w:rsidRDefault="00637026" w:rsidP="00986700"/>
    <w:p w14:paraId="433CB0FC" w14:textId="77777777" w:rsidR="00637026" w:rsidRPr="00E61AC7" w:rsidRDefault="00637026" w:rsidP="00637026">
      <w:pPr>
        <w:keepNext/>
        <w:jc w:val="center"/>
        <w:rPr>
          <w:b/>
          <w:szCs w:val="20"/>
          <w:lang w:eastAsia="en-US"/>
        </w:rPr>
      </w:pPr>
      <w:r w:rsidRPr="00E61AC7">
        <w:rPr>
          <w:b/>
          <w:szCs w:val="20"/>
          <w:lang w:eastAsia="en-US"/>
        </w:rPr>
        <w:t>Fonds fiduciaires potentiellement disponibles aux fins d’activités de programme en 2018-20191</w:t>
      </w:r>
    </w:p>
    <w:p w14:paraId="0A5E9AE0" w14:textId="77777777" w:rsidR="00637026" w:rsidRPr="00E61AC7" w:rsidRDefault="00637026" w:rsidP="00637026">
      <w:pPr>
        <w:keepNext/>
        <w:jc w:val="center"/>
        <w:rPr>
          <w:i/>
          <w:szCs w:val="20"/>
          <w:lang w:eastAsia="en-US"/>
        </w:rPr>
      </w:pPr>
      <w:r w:rsidRPr="00E61AC7">
        <w:rPr>
          <w:i/>
          <w:szCs w:val="20"/>
          <w:lang w:eastAsia="en-US"/>
        </w:rPr>
        <w:t>(en milliers de francs suisses)</w:t>
      </w:r>
    </w:p>
    <w:p w14:paraId="6A68495B" w14:textId="77777777" w:rsidR="00637026" w:rsidRDefault="00637026" w:rsidP="00637026">
      <w:pPr>
        <w:keepNext/>
        <w:rPr>
          <w:lang w:eastAsia="en-US"/>
        </w:rPr>
      </w:pPr>
    </w:p>
    <w:p w14:paraId="66C96EAD" w14:textId="3005F48A" w:rsidR="00637026" w:rsidRDefault="00637026" w:rsidP="00986700">
      <w:r w:rsidRPr="00637026">
        <w:rPr>
          <w:noProof/>
          <w:lang w:val="en-US" w:eastAsia="en-US"/>
        </w:rPr>
        <w:drawing>
          <wp:inline distT="0" distB="0" distL="0" distR="0" wp14:anchorId="276DA43C" wp14:editId="6F0BBAB0">
            <wp:extent cx="5760085" cy="167991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085" cy="1679910"/>
                    </a:xfrm>
                    <a:prstGeom prst="rect">
                      <a:avLst/>
                    </a:prstGeom>
                    <a:noFill/>
                    <a:ln>
                      <a:noFill/>
                    </a:ln>
                  </pic:spPr>
                </pic:pic>
              </a:graphicData>
            </a:graphic>
          </wp:inline>
        </w:drawing>
      </w:r>
    </w:p>
    <w:p w14:paraId="520FCCA7" w14:textId="432B12E9" w:rsidR="003E4F5B" w:rsidRDefault="003E4F5B" w:rsidP="00986700">
      <w:pPr>
        <w:rPr>
          <w:rFonts w:eastAsia="SimSun" w:cs="Arial"/>
          <w:b/>
          <w:bCs/>
          <w:caps/>
          <w:kern w:val="32"/>
          <w:sz w:val="22"/>
          <w:szCs w:val="32"/>
          <w:lang w:eastAsia="en-US"/>
        </w:rPr>
      </w:pPr>
      <w:r>
        <w:br w:type="page"/>
      </w:r>
    </w:p>
    <w:p w14:paraId="509BFB61" w14:textId="42F1172E" w:rsidR="00FC1018" w:rsidRPr="00FC1018" w:rsidRDefault="00FC1018" w:rsidP="00986700">
      <w:pPr>
        <w:pStyle w:val="Heading4"/>
      </w:pPr>
      <w:bookmarkStart w:id="65" w:name="_Toc367350596"/>
      <w:bookmarkStart w:id="66" w:name="_Toc481222400"/>
      <w:bookmarkStart w:id="67" w:name="_Toc482979500"/>
      <w:r w:rsidRPr="00FC1018">
        <w:lastRenderedPageBreak/>
        <w:t xml:space="preserve">Objectif stratégique VII </w:t>
      </w:r>
      <w:r w:rsidRPr="00FC1018">
        <w:tab/>
      </w:r>
      <w:bookmarkEnd w:id="65"/>
      <w:bookmarkEnd w:id="66"/>
      <w:r w:rsidRPr="00FC1018">
        <w:t>Propriété intellectuelle et enjeux mondiaux</w:t>
      </w:r>
      <w:bookmarkEnd w:id="67"/>
    </w:p>
    <w:p w14:paraId="0B07A783" w14:textId="77777777" w:rsidR="00FC1018" w:rsidRPr="00D750A2" w:rsidRDefault="00FC1018" w:rsidP="00986700">
      <w:pPr>
        <w:jc w:val="both"/>
      </w:pPr>
    </w:p>
    <w:p w14:paraId="3FB1F5F3" w14:textId="77777777" w:rsidR="00FC1018" w:rsidRPr="00D750A2" w:rsidRDefault="00FC1018" w:rsidP="00986700">
      <w:pPr>
        <w:jc w:val="both"/>
      </w:pPr>
    </w:p>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841"/>
        <w:gridCol w:w="2427"/>
      </w:tblGrid>
      <w:tr w:rsidR="00FC1018" w:rsidRPr="00D750A2" w14:paraId="627BA0D6" w14:textId="77777777" w:rsidTr="000B1950">
        <w:trPr>
          <w:cantSplit/>
          <w:tblHeader/>
        </w:trPr>
        <w:tc>
          <w:tcPr>
            <w:tcW w:w="2932" w:type="dxa"/>
            <w:shd w:val="clear" w:color="auto" w:fill="B8CCE4" w:themeFill="accent1" w:themeFillTint="66"/>
            <w:vAlign w:val="center"/>
            <w:hideMark/>
          </w:tcPr>
          <w:p w14:paraId="29354F4F" w14:textId="77777777" w:rsidR="00FC1018" w:rsidRPr="00D750A2" w:rsidRDefault="00FC1018" w:rsidP="00986700">
            <w:pPr>
              <w:jc w:val="center"/>
              <w:rPr>
                <w:b/>
                <w:bCs/>
                <w:sz w:val="18"/>
                <w:szCs w:val="18"/>
              </w:rPr>
            </w:pPr>
            <w:r w:rsidRPr="00D750A2">
              <w:rPr>
                <w:b/>
                <w:bCs/>
                <w:sz w:val="18"/>
                <w:szCs w:val="18"/>
              </w:rPr>
              <w:t>Résultats escomptés</w:t>
            </w:r>
          </w:p>
        </w:tc>
        <w:tc>
          <w:tcPr>
            <w:tcW w:w="3841" w:type="dxa"/>
            <w:shd w:val="clear" w:color="auto" w:fill="B8CCE4" w:themeFill="accent1" w:themeFillTint="66"/>
            <w:vAlign w:val="center"/>
            <w:hideMark/>
          </w:tcPr>
          <w:p w14:paraId="7D304FFB" w14:textId="77777777" w:rsidR="00FC1018" w:rsidRPr="00D750A2" w:rsidRDefault="00FC1018" w:rsidP="00986700">
            <w:pPr>
              <w:jc w:val="center"/>
              <w:rPr>
                <w:b/>
                <w:bCs/>
                <w:sz w:val="18"/>
                <w:szCs w:val="18"/>
              </w:rPr>
            </w:pPr>
            <w:r w:rsidRPr="00D750A2">
              <w:rPr>
                <w:b/>
                <w:sz w:val="18"/>
                <w:szCs w:val="18"/>
              </w:rPr>
              <w:t>Indicateurs d’exécution</w:t>
            </w:r>
          </w:p>
        </w:tc>
        <w:tc>
          <w:tcPr>
            <w:tcW w:w="2427" w:type="dxa"/>
            <w:shd w:val="clear" w:color="auto" w:fill="B8CCE4" w:themeFill="accent1" w:themeFillTint="66"/>
            <w:vAlign w:val="center"/>
            <w:hideMark/>
          </w:tcPr>
          <w:p w14:paraId="4179388F" w14:textId="77777777" w:rsidR="00FC1018" w:rsidRPr="00D750A2" w:rsidRDefault="00FC1018" w:rsidP="00986700">
            <w:pPr>
              <w:jc w:val="center"/>
              <w:rPr>
                <w:b/>
                <w:bCs/>
                <w:sz w:val="18"/>
                <w:szCs w:val="18"/>
              </w:rPr>
            </w:pPr>
            <w:r w:rsidRPr="00D750A2">
              <w:rPr>
                <w:b/>
                <w:sz w:val="18"/>
                <w:szCs w:val="16"/>
              </w:rPr>
              <w:t>Programme(s) concerné(s)</w:t>
            </w:r>
          </w:p>
        </w:tc>
      </w:tr>
      <w:tr w:rsidR="00FC1018" w:rsidRPr="00D750A2" w14:paraId="2E0AE3B4" w14:textId="77777777" w:rsidTr="000B1950">
        <w:trPr>
          <w:cantSplit/>
        </w:trPr>
        <w:tc>
          <w:tcPr>
            <w:tcW w:w="2932" w:type="dxa"/>
            <w:vMerge w:val="restart"/>
            <w:hideMark/>
          </w:tcPr>
          <w:p w14:paraId="1F6CEEF2" w14:textId="36130B04" w:rsidR="00FC1018" w:rsidRPr="00D750A2" w:rsidRDefault="00FC1018" w:rsidP="00986700">
            <w:pPr>
              <w:rPr>
                <w:sz w:val="16"/>
                <w:szCs w:val="16"/>
              </w:rPr>
            </w:pPr>
            <w:r w:rsidRPr="00D750A2">
              <w:rPr>
                <w:sz w:val="16"/>
                <w:szCs w:val="16"/>
              </w:rPr>
              <w:t>VII.1 Plateformes et instruments fondés sur la propriété intellectuelle pour le transfert de connaissances et l’adaptation et la diffusion de la technologie entre les pays développés et les pays en développement, notamment les pays les moins avancés, pour relever des défis mondiaux</w:t>
            </w:r>
          </w:p>
        </w:tc>
        <w:tc>
          <w:tcPr>
            <w:tcW w:w="3841" w:type="dxa"/>
            <w:hideMark/>
          </w:tcPr>
          <w:p w14:paraId="31178D63" w14:textId="77777777" w:rsidR="00FC1018" w:rsidRPr="00D750A2" w:rsidRDefault="00FC1018" w:rsidP="00986700">
            <w:pPr>
              <w:rPr>
                <w:sz w:val="16"/>
                <w:szCs w:val="16"/>
              </w:rPr>
            </w:pPr>
            <w:r w:rsidRPr="00D750A2">
              <w:rPr>
                <w:sz w:val="16"/>
                <w:szCs w:val="16"/>
              </w:rPr>
              <w:t>Nombre de livres en format accessible téléchargés depuis le service de livres ABC par les bibliothèques participantes</w:t>
            </w:r>
          </w:p>
        </w:tc>
        <w:tc>
          <w:tcPr>
            <w:tcW w:w="2427" w:type="dxa"/>
            <w:hideMark/>
          </w:tcPr>
          <w:p w14:paraId="6F97CFC6" w14:textId="77777777" w:rsidR="00FC1018" w:rsidRPr="00D750A2" w:rsidRDefault="00FC1018" w:rsidP="00986700">
            <w:pPr>
              <w:jc w:val="center"/>
              <w:rPr>
                <w:sz w:val="16"/>
                <w:szCs w:val="16"/>
              </w:rPr>
            </w:pPr>
            <w:r w:rsidRPr="00D750A2">
              <w:rPr>
                <w:sz w:val="16"/>
                <w:szCs w:val="16"/>
              </w:rPr>
              <w:t>Programme 3</w:t>
            </w:r>
          </w:p>
        </w:tc>
      </w:tr>
      <w:tr w:rsidR="00FC1018" w:rsidRPr="00D750A2" w14:paraId="508E790A" w14:textId="77777777" w:rsidTr="000B1950">
        <w:trPr>
          <w:cantSplit/>
        </w:trPr>
        <w:tc>
          <w:tcPr>
            <w:tcW w:w="2932" w:type="dxa"/>
            <w:vMerge/>
            <w:hideMark/>
          </w:tcPr>
          <w:p w14:paraId="72CE4522" w14:textId="77777777" w:rsidR="00FC1018" w:rsidRPr="00D750A2" w:rsidRDefault="00FC1018" w:rsidP="00986700">
            <w:pPr>
              <w:rPr>
                <w:sz w:val="16"/>
                <w:szCs w:val="16"/>
              </w:rPr>
            </w:pPr>
          </w:p>
        </w:tc>
        <w:tc>
          <w:tcPr>
            <w:tcW w:w="3841" w:type="dxa"/>
            <w:hideMark/>
          </w:tcPr>
          <w:p w14:paraId="6E3F13E6" w14:textId="77777777" w:rsidR="00FC1018" w:rsidRPr="00D750A2" w:rsidRDefault="00FC1018" w:rsidP="00986700">
            <w:pPr>
              <w:rPr>
                <w:sz w:val="16"/>
                <w:szCs w:val="16"/>
              </w:rPr>
            </w:pPr>
            <w:r w:rsidRPr="00D750A2">
              <w:rPr>
                <w:sz w:val="16"/>
                <w:szCs w:val="16"/>
              </w:rPr>
              <w:t>Nombre de livres en format accessible prêtés à des usagers par des bibliothèques participant au service de livres ABC</w:t>
            </w:r>
          </w:p>
        </w:tc>
        <w:tc>
          <w:tcPr>
            <w:tcW w:w="2427" w:type="dxa"/>
            <w:hideMark/>
          </w:tcPr>
          <w:p w14:paraId="04EB43A3" w14:textId="77777777" w:rsidR="00FC1018" w:rsidRPr="00D750A2" w:rsidRDefault="00FC1018" w:rsidP="00986700">
            <w:pPr>
              <w:jc w:val="center"/>
              <w:rPr>
                <w:sz w:val="16"/>
                <w:szCs w:val="16"/>
              </w:rPr>
            </w:pPr>
            <w:r w:rsidRPr="00D750A2">
              <w:rPr>
                <w:sz w:val="16"/>
                <w:szCs w:val="16"/>
              </w:rPr>
              <w:t>Programme 3</w:t>
            </w:r>
          </w:p>
        </w:tc>
      </w:tr>
      <w:tr w:rsidR="00FC1018" w:rsidRPr="00D750A2" w14:paraId="14BB61D9" w14:textId="77777777" w:rsidTr="000B1950">
        <w:trPr>
          <w:cantSplit/>
        </w:trPr>
        <w:tc>
          <w:tcPr>
            <w:tcW w:w="2932" w:type="dxa"/>
            <w:vMerge/>
            <w:hideMark/>
          </w:tcPr>
          <w:p w14:paraId="04C650A6" w14:textId="77777777" w:rsidR="00FC1018" w:rsidRPr="00D750A2" w:rsidRDefault="00FC1018" w:rsidP="00986700">
            <w:pPr>
              <w:rPr>
                <w:sz w:val="16"/>
                <w:szCs w:val="16"/>
              </w:rPr>
            </w:pPr>
          </w:p>
        </w:tc>
        <w:tc>
          <w:tcPr>
            <w:tcW w:w="3841" w:type="dxa"/>
            <w:hideMark/>
          </w:tcPr>
          <w:p w14:paraId="4710A5E1" w14:textId="77777777" w:rsidR="00FC1018" w:rsidRPr="00D750A2" w:rsidRDefault="00FC1018" w:rsidP="00986700">
            <w:pPr>
              <w:rPr>
                <w:sz w:val="16"/>
                <w:szCs w:val="16"/>
              </w:rPr>
            </w:pPr>
            <w:r w:rsidRPr="00D750A2">
              <w:rPr>
                <w:sz w:val="16"/>
                <w:szCs w:val="16"/>
              </w:rPr>
              <w:t>Augmentation du nombre de participants à WIPO Re:Search, y compris dans les pays en développement et les PMA</w:t>
            </w:r>
          </w:p>
        </w:tc>
        <w:tc>
          <w:tcPr>
            <w:tcW w:w="2427" w:type="dxa"/>
            <w:hideMark/>
          </w:tcPr>
          <w:p w14:paraId="64B87DB4" w14:textId="77777777" w:rsidR="00FC1018" w:rsidRPr="00D750A2" w:rsidRDefault="00FC1018" w:rsidP="00986700">
            <w:pPr>
              <w:jc w:val="center"/>
              <w:rPr>
                <w:sz w:val="16"/>
                <w:szCs w:val="16"/>
              </w:rPr>
            </w:pPr>
            <w:r w:rsidRPr="00D750A2">
              <w:rPr>
                <w:sz w:val="16"/>
                <w:szCs w:val="16"/>
              </w:rPr>
              <w:t>Programme 18</w:t>
            </w:r>
          </w:p>
        </w:tc>
      </w:tr>
      <w:tr w:rsidR="00FC1018" w:rsidRPr="00D750A2" w14:paraId="0EB56AFA" w14:textId="77777777" w:rsidTr="000B1950">
        <w:trPr>
          <w:cantSplit/>
        </w:trPr>
        <w:tc>
          <w:tcPr>
            <w:tcW w:w="2932" w:type="dxa"/>
            <w:hideMark/>
          </w:tcPr>
          <w:p w14:paraId="73A5742E" w14:textId="77777777" w:rsidR="00FC1018" w:rsidRPr="00D750A2" w:rsidRDefault="00FC1018" w:rsidP="00986700">
            <w:pPr>
              <w:rPr>
                <w:sz w:val="16"/>
                <w:szCs w:val="16"/>
              </w:rPr>
            </w:pPr>
            <w:r w:rsidRPr="00D750A2">
              <w:rPr>
                <w:sz w:val="16"/>
                <w:szCs w:val="16"/>
              </w:rPr>
              <w:t> </w:t>
            </w:r>
          </w:p>
        </w:tc>
        <w:tc>
          <w:tcPr>
            <w:tcW w:w="3841" w:type="dxa"/>
            <w:hideMark/>
          </w:tcPr>
          <w:p w14:paraId="2D670B50" w14:textId="77777777" w:rsidR="00FC1018" w:rsidRPr="00D750A2" w:rsidRDefault="00FC1018" w:rsidP="00986700">
            <w:pPr>
              <w:rPr>
                <w:sz w:val="16"/>
                <w:szCs w:val="16"/>
              </w:rPr>
            </w:pPr>
            <w:r w:rsidRPr="00D750A2">
              <w:rPr>
                <w:sz w:val="16"/>
                <w:szCs w:val="16"/>
              </w:rPr>
              <w:t>Nombre d’accords au titre de WIPO Re:Search qui mènent à des activités nouvelles ou accélérées de recherche-développement dans le domaine des maladies tropicales négligées, du paludisme et de la tuberculose</w:t>
            </w:r>
          </w:p>
        </w:tc>
        <w:tc>
          <w:tcPr>
            <w:tcW w:w="2427" w:type="dxa"/>
            <w:hideMark/>
          </w:tcPr>
          <w:p w14:paraId="6529C69D" w14:textId="77777777" w:rsidR="00FC1018" w:rsidRPr="00D750A2" w:rsidRDefault="00FC1018" w:rsidP="00986700">
            <w:pPr>
              <w:jc w:val="center"/>
              <w:rPr>
                <w:sz w:val="16"/>
                <w:szCs w:val="16"/>
              </w:rPr>
            </w:pPr>
            <w:r w:rsidRPr="00D750A2">
              <w:rPr>
                <w:sz w:val="16"/>
                <w:szCs w:val="16"/>
              </w:rPr>
              <w:t>Programme 18</w:t>
            </w:r>
          </w:p>
        </w:tc>
      </w:tr>
      <w:tr w:rsidR="00FC1018" w:rsidRPr="00D750A2" w14:paraId="16B14F06" w14:textId="77777777" w:rsidTr="000B1950">
        <w:trPr>
          <w:cantSplit/>
        </w:trPr>
        <w:tc>
          <w:tcPr>
            <w:tcW w:w="2932" w:type="dxa"/>
            <w:hideMark/>
          </w:tcPr>
          <w:p w14:paraId="60D5A88C" w14:textId="77777777" w:rsidR="00FC1018" w:rsidRPr="00D750A2" w:rsidRDefault="00FC1018" w:rsidP="00986700">
            <w:pPr>
              <w:rPr>
                <w:sz w:val="16"/>
                <w:szCs w:val="16"/>
              </w:rPr>
            </w:pPr>
            <w:r w:rsidRPr="00D750A2">
              <w:rPr>
                <w:sz w:val="16"/>
                <w:szCs w:val="16"/>
              </w:rPr>
              <w:t> </w:t>
            </w:r>
          </w:p>
        </w:tc>
        <w:tc>
          <w:tcPr>
            <w:tcW w:w="3841" w:type="dxa"/>
            <w:hideMark/>
          </w:tcPr>
          <w:p w14:paraId="7FAFF7BE" w14:textId="77777777" w:rsidR="00FC1018" w:rsidRPr="00D750A2" w:rsidRDefault="00FC1018" w:rsidP="00986700">
            <w:pPr>
              <w:rPr>
                <w:sz w:val="16"/>
                <w:szCs w:val="16"/>
              </w:rPr>
            </w:pPr>
            <w:r w:rsidRPr="00D750A2">
              <w:rPr>
                <w:sz w:val="16"/>
                <w:szCs w:val="16"/>
              </w:rPr>
              <w:t>Nombre de consultations des bases de données WIPO Re:Search et WIPO GREEN</w:t>
            </w:r>
          </w:p>
        </w:tc>
        <w:tc>
          <w:tcPr>
            <w:tcW w:w="2427" w:type="dxa"/>
            <w:hideMark/>
          </w:tcPr>
          <w:p w14:paraId="1CC04204" w14:textId="77777777" w:rsidR="00FC1018" w:rsidRPr="00D750A2" w:rsidRDefault="00FC1018" w:rsidP="00986700">
            <w:pPr>
              <w:jc w:val="center"/>
              <w:rPr>
                <w:sz w:val="16"/>
                <w:szCs w:val="16"/>
              </w:rPr>
            </w:pPr>
            <w:r w:rsidRPr="00D750A2">
              <w:rPr>
                <w:sz w:val="16"/>
                <w:szCs w:val="16"/>
              </w:rPr>
              <w:t>Programme 18</w:t>
            </w:r>
          </w:p>
        </w:tc>
      </w:tr>
      <w:tr w:rsidR="00FC1018" w:rsidRPr="00D750A2" w14:paraId="6B33D4DA" w14:textId="77777777" w:rsidTr="000B1950">
        <w:trPr>
          <w:cantSplit/>
        </w:trPr>
        <w:tc>
          <w:tcPr>
            <w:tcW w:w="2932" w:type="dxa"/>
            <w:hideMark/>
          </w:tcPr>
          <w:p w14:paraId="2B315C2B" w14:textId="77777777" w:rsidR="00FC1018" w:rsidRPr="00D750A2" w:rsidRDefault="00FC1018" w:rsidP="00986700">
            <w:pPr>
              <w:rPr>
                <w:sz w:val="16"/>
                <w:szCs w:val="16"/>
              </w:rPr>
            </w:pPr>
            <w:r w:rsidRPr="00D750A2">
              <w:rPr>
                <w:sz w:val="16"/>
                <w:szCs w:val="16"/>
              </w:rPr>
              <w:t> </w:t>
            </w:r>
          </w:p>
        </w:tc>
        <w:tc>
          <w:tcPr>
            <w:tcW w:w="3841" w:type="dxa"/>
            <w:hideMark/>
          </w:tcPr>
          <w:p w14:paraId="1FA99FEF" w14:textId="77777777" w:rsidR="00FC1018" w:rsidRPr="00D750A2" w:rsidRDefault="00FC1018" w:rsidP="00986700">
            <w:pPr>
              <w:rPr>
                <w:sz w:val="16"/>
                <w:szCs w:val="16"/>
              </w:rPr>
            </w:pPr>
            <w:r w:rsidRPr="00D750A2">
              <w:rPr>
                <w:sz w:val="16"/>
                <w:szCs w:val="16"/>
              </w:rPr>
              <w:t>Participation de parties prenantes aux différentes plateformes de l’OMPI, telles que WIPO GREEN et WIPO Re:Search</w:t>
            </w:r>
          </w:p>
        </w:tc>
        <w:tc>
          <w:tcPr>
            <w:tcW w:w="2427" w:type="dxa"/>
            <w:hideMark/>
          </w:tcPr>
          <w:p w14:paraId="49696426" w14:textId="77777777" w:rsidR="00FC1018" w:rsidRPr="00D750A2" w:rsidRDefault="00FC1018" w:rsidP="00986700">
            <w:pPr>
              <w:jc w:val="center"/>
              <w:rPr>
                <w:sz w:val="16"/>
                <w:szCs w:val="16"/>
              </w:rPr>
            </w:pPr>
            <w:r w:rsidRPr="00D750A2">
              <w:rPr>
                <w:sz w:val="16"/>
                <w:szCs w:val="16"/>
              </w:rPr>
              <w:t>Programme 20</w:t>
            </w:r>
          </w:p>
        </w:tc>
      </w:tr>
      <w:tr w:rsidR="00FC1018" w:rsidRPr="00D750A2" w14:paraId="7D771620" w14:textId="77777777" w:rsidTr="000B1950">
        <w:trPr>
          <w:cantSplit/>
        </w:trPr>
        <w:tc>
          <w:tcPr>
            <w:tcW w:w="2932" w:type="dxa"/>
            <w:hideMark/>
          </w:tcPr>
          <w:p w14:paraId="3C707BC9" w14:textId="77777777" w:rsidR="00FC1018" w:rsidRPr="00D750A2" w:rsidRDefault="00FC1018" w:rsidP="00986700">
            <w:pPr>
              <w:rPr>
                <w:sz w:val="16"/>
                <w:szCs w:val="16"/>
              </w:rPr>
            </w:pPr>
            <w:r w:rsidRPr="00D750A2">
              <w:rPr>
                <w:sz w:val="16"/>
                <w:szCs w:val="16"/>
              </w:rPr>
              <w:t> </w:t>
            </w:r>
          </w:p>
        </w:tc>
        <w:tc>
          <w:tcPr>
            <w:tcW w:w="3841" w:type="dxa"/>
            <w:hideMark/>
          </w:tcPr>
          <w:p w14:paraId="424993A1" w14:textId="77777777" w:rsidR="00FC1018" w:rsidRPr="00D750A2" w:rsidRDefault="00FC1018" w:rsidP="00986700">
            <w:pPr>
              <w:rPr>
                <w:sz w:val="16"/>
                <w:szCs w:val="16"/>
              </w:rPr>
            </w:pPr>
            <w:r w:rsidRPr="00D750A2">
              <w:rPr>
                <w:sz w:val="16"/>
                <w:szCs w:val="16"/>
              </w:rPr>
              <w:t>Nombre de consultations du site Web consacré aux défis mondiaux</w:t>
            </w:r>
          </w:p>
        </w:tc>
        <w:tc>
          <w:tcPr>
            <w:tcW w:w="2427" w:type="dxa"/>
            <w:hideMark/>
          </w:tcPr>
          <w:p w14:paraId="1BB15784" w14:textId="77777777" w:rsidR="00FC1018" w:rsidRPr="00D750A2" w:rsidRDefault="00FC1018" w:rsidP="00986700">
            <w:pPr>
              <w:jc w:val="center"/>
              <w:rPr>
                <w:sz w:val="16"/>
                <w:szCs w:val="16"/>
              </w:rPr>
            </w:pPr>
            <w:r w:rsidRPr="00D750A2">
              <w:rPr>
                <w:sz w:val="16"/>
                <w:szCs w:val="16"/>
              </w:rPr>
              <w:t>Programme 18</w:t>
            </w:r>
          </w:p>
        </w:tc>
      </w:tr>
      <w:tr w:rsidR="00FC1018" w:rsidRPr="00D750A2" w14:paraId="32D08307" w14:textId="77777777" w:rsidTr="000B1950">
        <w:trPr>
          <w:cantSplit/>
        </w:trPr>
        <w:tc>
          <w:tcPr>
            <w:tcW w:w="2932" w:type="dxa"/>
            <w:hideMark/>
          </w:tcPr>
          <w:p w14:paraId="5C98CC26" w14:textId="77777777" w:rsidR="00FC1018" w:rsidRPr="00D750A2" w:rsidRDefault="00FC1018" w:rsidP="00986700">
            <w:pPr>
              <w:rPr>
                <w:sz w:val="16"/>
                <w:szCs w:val="16"/>
              </w:rPr>
            </w:pPr>
            <w:r w:rsidRPr="00D750A2">
              <w:rPr>
                <w:sz w:val="16"/>
                <w:szCs w:val="16"/>
              </w:rPr>
              <w:t> </w:t>
            </w:r>
          </w:p>
        </w:tc>
        <w:tc>
          <w:tcPr>
            <w:tcW w:w="3841" w:type="dxa"/>
            <w:hideMark/>
          </w:tcPr>
          <w:p w14:paraId="6CDCB7AD" w14:textId="77777777" w:rsidR="00FC1018" w:rsidRPr="00D750A2" w:rsidRDefault="00FC1018" w:rsidP="00986700">
            <w:pPr>
              <w:rPr>
                <w:sz w:val="16"/>
                <w:szCs w:val="16"/>
              </w:rPr>
            </w:pPr>
            <w:r w:rsidRPr="00D750A2">
              <w:rPr>
                <w:sz w:val="16"/>
                <w:szCs w:val="16"/>
              </w:rPr>
              <w:t>Augmentation du nombre de membres de WIPO GREEN</w:t>
            </w:r>
          </w:p>
        </w:tc>
        <w:tc>
          <w:tcPr>
            <w:tcW w:w="2427" w:type="dxa"/>
            <w:hideMark/>
          </w:tcPr>
          <w:p w14:paraId="6A7F5AEF" w14:textId="77777777" w:rsidR="00FC1018" w:rsidRPr="00D750A2" w:rsidRDefault="00FC1018" w:rsidP="00986700">
            <w:pPr>
              <w:jc w:val="center"/>
              <w:rPr>
                <w:sz w:val="16"/>
                <w:szCs w:val="16"/>
              </w:rPr>
            </w:pPr>
            <w:r w:rsidRPr="00D750A2">
              <w:rPr>
                <w:sz w:val="16"/>
                <w:szCs w:val="16"/>
              </w:rPr>
              <w:t>Programme 18</w:t>
            </w:r>
          </w:p>
        </w:tc>
      </w:tr>
      <w:tr w:rsidR="00FC1018" w:rsidRPr="00D750A2" w14:paraId="0DA7186B" w14:textId="77777777" w:rsidTr="000B1950">
        <w:trPr>
          <w:cantSplit/>
        </w:trPr>
        <w:tc>
          <w:tcPr>
            <w:tcW w:w="2932" w:type="dxa"/>
            <w:hideMark/>
          </w:tcPr>
          <w:p w14:paraId="043F7538" w14:textId="77777777" w:rsidR="00FC1018" w:rsidRPr="00D750A2" w:rsidRDefault="00FC1018" w:rsidP="00986700">
            <w:pPr>
              <w:rPr>
                <w:sz w:val="16"/>
                <w:szCs w:val="16"/>
              </w:rPr>
            </w:pPr>
            <w:r w:rsidRPr="00D750A2">
              <w:rPr>
                <w:sz w:val="16"/>
                <w:szCs w:val="16"/>
              </w:rPr>
              <w:t> </w:t>
            </w:r>
          </w:p>
        </w:tc>
        <w:tc>
          <w:tcPr>
            <w:tcW w:w="3841" w:type="dxa"/>
            <w:hideMark/>
          </w:tcPr>
          <w:p w14:paraId="11809860" w14:textId="77777777" w:rsidR="00FC1018" w:rsidRPr="00D750A2" w:rsidRDefault="00FC1018" w:rsidP="00986700">
            <w:pPr>
              <w:rPr>
                <w:sz w:val="16"/>
                <w:szCs w:val="16"/>
              </w:rPr>
            </w:pPr>
            <w:r w:rsidRPr="00D750A2">
              <w:rPr>
                <w:sz w:val="16"/>
                <w:szCs w:val="16"/>
              </w:rPr>
              <w:t>Nombre d’accords favorisés par WIPO GREEN qui facilitent le transfert de connaissances, et l’adaptation, le transfert ou la diffusion des technologies</w:t>
            </w:r>
          </w:p>
        </w:tc>
        <w:tc>
          <w:tcPr>
            <w:tcW w:w="2427" w:type="dxa"/>
            <w:hideMark/>
          </w:tcPr>
          <w:p w14:paraId="0D6242BE" w14:textId="77777777" w:rsidR="00FC1018" w:rsidRPr="00D750A2" w:rsidRDefault="00FC1018" w:rsidP="00986700">
            <w:pPr>
              <w:jc w:val="center"/>
              <w:rPr>
                <w:sz w:val="16"/>
                <w:szCs w:val="16"/>
              </w:rPr>
            </w:pPr>
            <w:r w:rsidRPr="00D750A2">
              <w:rPr>
                <w:sz w:val="16"/>
                <w:szCs w:val="16"/>
              </w:rPr>
              <w:t>Programme 18</w:t>
            </w:r>
          </w:p>
        </w:tc>
      </w:tr>
      <w:tr w:rsidR="00FC1018" w:rsidRPr="00D750A2" w14:paraId="382A13D4" w14:textId="77777777" w:rsidTr="000B1950">
        <w:trPr>
          <w:cantSplit/>
        </w:trPr>
        <w:tc>
          <w:tcPr>
            <w:tcW w:w="2932" w:type="dxa"/>
            <w:hideMark/>
          </w:tcPr>
          <w:p w14:paraId="5E60667C" w14:textId="77777777" w:rsidR="00FC1018" w:rsidRPr="00D750A2" w:rsidRDefault="00FC1018" w:rsidP="00986700">
            <w:pPr>
              <w:rPr>
                <w:sz w:val="16"/>
                <w:szCs w:val="16"/>
              </w:rPr>
            </w:pPr>
            <w:r w:rsidRPr="00D750A2">
              <w:rPr>
                <w:sz w:val="16"/>
                <w:szCs w:val="16"/>
              </w:rPr>
              <w:t> </w:t>
            </w:r>
          </w:p>
        </w:tc>
        <w:tc>
          <w:tcPr>
            <w:tcW w:w="3841" w:type="dxa"/>
            <w:hideMark/>
          </w:tcPr>
          <w:p w14:paraId="334883EE" w14:textId="77777777" w:rsidR="00FC1018" w:rsidRPr="00D750A2" w:rsidRDefault="00FC1018" w:rsidP="00986700">
            <w:pPr>
              <w:rPr>
                <w:sz w:val="16"/>
                <w:szCs w:val="16"/>
              </w:rPr>
            </w:pPr>
            <w:r w:rsidRPr="00D750A2">
              <w:rPr>
                <w:sz w:val="16"/>
                <w:szCs w:val="16"/>
              </w:rPr>
              <w:t>Progrès dans l’élaboration d’un cadre de collaboration aux fins d’une contribution efficace de la propriété intellectuelle à la sécurité alimentaire grâce à un processus de consultation</w:t>
            </w:r>
          </w:p>
        </w:tc>
        <w:tc>
          <w:tcPr>
            <w:tcW w:w="2427" w:type="dxa"/>
            <w:hideMark/>
          </w:tcPr>
          <w:p w14:paraId="7FFA15FA" w14:textId="77777777" w:rsidR="00FC1018" w:rsidRPr="00D750A2" w:rsidRDefault="00FC1018" w:rsidP="00986700">
            <w:pPr>
              <w:jc w:val="center"/>
              <w:rPr>
                <w:sz w:val="16"/>
                <w:szCs w:val="16"/>
              </w:rPr>
            </w:pPr>
            <w:r w:rsidRPr="00D750A2">
              <w:rPr>
                <w:sz w:val="16"/>
                <w:szCs w:val="16"/>
              </w:rPr>
              <w:t>Programme 18</w:t>
            </w:r>
          </w:p>
        </w:tc>
      </w:tr>
    </w:tbl>
    <w:p w14:paraId="4147772B" w14:textId="77777777" w:rsidR="00FC1018" w:rsidRPr="00D750A2" w:rsidRDefault="00FC1018" w:rsidP="00986700">
      <w:pPr>
        <w:rPr>
          <w:sz w:val="16"/>
          <w:szCs w:val="16"/>
        </w:rPr>
      </w:pPr>
    </w:p>
    <w:p w14:paraId="6DB38D93" w14:textId="77777777" w:rsidR="00FC1018" w:rsidRPr="00D750A2" w:rsidRDefault="00FC1018" w:rsidP="00986700">
      <w:pPr>
        <w:rPr>
          <w:sz w:val="16"/>
          <w:szCs w:val="16"/>
        </w:rPr>
      </w:pPr>
    </w:p>
    <w:p w14:paraId="0E398937" w14:textId="77777777" w:rsidR="00FC1018" w:rsidRDefault="00FC1018" w:rsidP="00986700">
      <w:pPr>
        <w:rPr>
          <w:b/>
          <w:caps/>
          <w:sz w:val="22"/>
        </w:rPr>
      </w:pPr>
      <w:r>
        <w:br w:type="page"/>
      </w:r>
    </w:p>
    <w:p w14:paraId="3FE66A93" w14:textId="1C4B4241" w:rsidR="00355559" w:rsidRPr="00355559" w:rsidRDefault="00355559" w:rsidP="00986700">
      <w:pPr>
        <w:pStyle w:val="Heading2"/>
      </w:pPr>
      <w:bookmarkStart w:id="68" w:name="_Toc482979501"/>
      <w:r w:rsidRPr="00355559">
        <w:lastRenderedPageBreak/>
        <w:t>Programme 18</w:t>
      </w:r>
      <w:r w:rsidRPr="00355559">
        <w:tab/>
        <w:t>Propriété intellectuelle et défis mondiaux</w:t>
      </w:r>
      <w:bookmarkEnd w:id="68"/>
    </w:p>
    <w:p w14:paraId="0593633F" w14:textId="77777777" w:rsidR="00355559" w:rsidRPr="000D6D04" w:rsidRDefault="00355559" w:rsidP="00986700">
      <w:pPr>
        <w:tabs>
          <w:tab w:val="left" w:pos="1701"/>
        </w:tabs>
        <w:ind w:left="1701" w:hanging="1701"/>
        <w:rPr>
          <w:rFonts w:cs="Arial"/>
          <w:bCs/>
          <w:iCs/>
          <w:lang w:val="fr-CH"/>
        </w:rPr>
      </w:pPr>
    </w:p>
    <w:p w14:paraId="02531333" w14:textId="77777777" w:rsidR="00355559" w:rsidRPr="000D6D04" w:rsidRDefault="00355559" w:rsidP="00986700">
      <w:pPr>
        <w:tabs>
          <w:tab w:val="left" w:pos="1701"/>
        </w:tabs>
        <w:ind w:left="1701" w:hanging="1701"/>
        <w:rPr>
          <w:rFonts w:cs="Arial"/>
          <w:bCs/>
          <w:iCs/>
          <w:lang w:val="fr-CH"/>
        </w:rPr>
      </w:pPr>
    </w:p>
    <w:tbl>
      <w:tblPr>
        <w:tblW w:w="5000" w:type="pct"/>
        <w:tblCellMar>
          <w:top w:w="57" w:type="dxa"/>
          <w:bottom w:w="57" w:type="dxa"/>
        </w:tblCellMar>
        <w:tblLook w:val="01E0" w:firstRow="1" w:lastRow="1" w:firstColumn="1" w:lastColumn="1" w:noHBand="0" w:noVBand="0"/>
      </w:tblPr>
      <w:tblGrid>
        <w:gridCol w:w="9287"/>
      </w:tblGrid>
      <w:tr w:rsidR="00355559" w:rsidRPr="000D6D04" w14:paraId="4BB09BD0" w14:textId="77777777" w:rsidTr="009624B8">
        <w:trPr>
          <w:cantSplit/>
        </w:trPr>
        <w:tc>
          <w:tcPr>
            <w:tcW w:w="9287" w:type="dxa"/>
            <w:shd w:val="clear" w:color="auto" w:fill="C6D9F1" w:themeFill="text2" w:themeFillTint="33"/>
            <w:vAlign w:val="center"/>
          </w:tcPr>
          <w:p w14:paraId="48143E8E" w14:textId="77777777" w:rsidR="00355559" w:rsidRPr="000D6D04" w:rsidRDefault="00355559" w:rsidP="00986700">
            <w:pPr>
              <w:keepNext/>
              <w:keepLines/>
              <w:jc w:val="center"/>
              <w:rPr>
                <w:rFonts w:eastAsia="Times New Roman" w:cs="Arial"/>
                <w:b/>
                <w:bCs/>
                <w:szCs w:val="20"/>
                <w:lang w:val="fr-CH" w:eastAsia="en-US"/>
              </w:rPr>
            </w:pPr>
            <w:r w:rsidRPr="000D6D04">
              <w:rPr>
                <w:rFonts w:eastAsia="Times New Roman" w:cs="Arial"/>
                <w:b/>
                <w:bCs/>
                <w:szCs w:val="20"/>
                <w:lang w:val="fr-CH" w:eastAsia="en-US"/>
              </w:rPr>
              <w:t xml:space="preserve">Stratégies de mise en œuvre </w:t>
            </w:r>
          </w:p>
        </w:tc>
      </w:tr>
    </w:tbl>
    <w:p w14:paraId="51565D51" w14:textId="7F700FF3" w:rsidR="00355559" w:rsidRPr="000D6D04" w:rsidRDefault="00355559" w:rsidP="00986700">
      <w:pPr>
        <w:rPr>
          <w:rFonts w:cs="Arial"/>
          <w:szCs w:val="20"/>
          <w:lang w:val="fr-CH"/>
        </w:rPr>
      </w:pPr>
    </w:p>
    <w:p w14:paraId="7946D5B2" w14:textId="7C681C19" w:rsidR="00355559" w:rsidRPr="000D6D04" w:rsidRDefault="00355559"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Continuer de développer et d’appuyer les plateformes multipartites (WIPO Re:Search et WIPO GREEN) qui rendent les réseaux collaboratifs plus efficaces et facilitent le transfert des technologies et du savoir en matière de santé mondiale et de changement climatique, en veillant, en particulier, à renforcer la coopération et les partenariats favorisant la connectivité des innovateurs des pays en développement;</w:t>
      </w:r>
    </w:p>
    <w:p w14:paraId="2D8115BC" w14:textId="77777777" w:rsidR="00355559" w:rsidRPr="000D6D04" w:rsidRDefault="00355559" w:rsidP="00986700">
      <w:pPr>
        <w:pStyle w:val="ListParagraph"/>
        <w:ind w:left="567" w:hanging="567"/>
        <w:jc w:val="both"/>
        <w:rPr>
          <w:rFonts w:eastAsia="Times New Roman" w:cs="Arial"/>
          <w:szCs w:val="20"/>
          <w:lang w:val="fr-CH" w:eastAsia="en-US"/>
        </w:rPr>
      </w:pPr>
    </w:p>
    <w:p w14:paraId="4C2BA1BE" w14:textId="76C159F3" w:rsidR="00355559" w:rsidRPr="000D6D04" w:rsidRDefault="009624B8" w:rsidP="00616FD3">
      <w:pPr>
        <w:pStyle w:val="ListParagraph"/>
        <w:numPr>
          <w:ilvl w:val="0"/>
          <w:numId w:val="37"/>
        </w:numPr>
        <w:ind w:left="567" w:hanging="567"/>
        <w:jc w:val="both"/>
        <w:rPr>
          <w:rFonts w:eastAsia="Times New Roman" w:cs="Arial"/>
          <w:szCs w:val="20"/>
          <w:lang w:val="fr-CH" w:eastAsia="en-US"/>
        </w:rPr>
      </w:pPr>
      <w:r w:rsidRPr="009624B8">
        <w:rPr>
          <w:noProof/>
          <w:lang w:val="en-US" w:eastAsia="en-US"/>
        </w:rPr>
        <w:drawing>
          <wp:anchor distT="0" distB="0" distL="114300" distR="114300" simplePos="0" relativeHeight="251676672" behindDoc="1" locked="0" layoutInCell="1" allowOverlap="1" wp14:anchorId="75135E40" wp14:editId="42FC57C2">
            <wp:simplePos x="0" y="0"/>
            <wp:positionH relativeFrom="column">
              <wp:posOffset>4455795</wp:posOffset>
            </wp:positionH>
            <wp:positionV relativeFrom="paragraph">
              <wp:posOffset>697865</wp:posOffset>
            </wp:positionV>
            <wp:extent cx="1490345" cy="2415540"/>
            <wp:effectExtent l="0" t="0" r="0" b="3810"/>
            <wp:wrapTight wrapText="bothSides">
              <wp:wrapPolygon edited="0">
                <wp:start x="10768" y="0"/>
                <wp:lineTo x="9111" y="341"/>
                <wp:lineTo x="5246" y="2215"/>
                <wp:lineTo x="4694" y="4770"/>
                <wp:lineTo x="7731" y="5451"/>
                <wp:lineTo x="6350" y="5962"/>
                <wp:lineTo x="828" y="6984"/>
                <wp:lineTo x="0" y="9369"/>
                <wp:lineTo x="0" y="11924"/>
                <wp:lineTo x="1104" y="13628"/>
                <wp:lineTo x="1104" y="14309"/>
                <wp:lineTo x="6902" y="16353"/>
                <wp:lineTo x="5246" y="16524"/>
                <wp:lineTo x="4694" y="16864"/>
                <wp:lineTo x="5522" y="19590"/>
                <wp:lineTo x="10216" y="21464"/>
                <wp:lineTo x="11320" y="21464"/>
                <wp:lineTo x="14909" y="21464"/>
                <wp:lineTo x="16290" y="21464"/>
                <wp:lineTo x="20707" y="19590"/>
                <wp:lineTo x="20983" y="19079"/>
                <wp:lineTo x="21259" y="17205"/>
                <wp:lineTo x="21259" y="15502"/>
                <wp:lineTo x="20983" y="14991"/>
                <wp:lineTo x="19879" y="13457"/>
                <wp:lineTo x="17118" y="12435"/>
                <wp:lineTo x="10768" y="10902"/>
                <wp:lineTo x="12424" y="10902"/>
                <wp:lineTo x="19051" y="8688"/>
                <wp:lineTo x="19327" y="8177"/>
                <wp:lineTo x="21259" y="5792"/>
                <wp:lineTo x="21259" y="3237"/>
                <wp:lineTo x="20983" y="2215"/>
                <wp:lineTo x="17118" y="170"/>
                <wp:lineTo x="15461" y="0"/>
                <wp:lineTo x="10768" y="0"/>
              </wp:wrapPolygon>
            </wp:wrapTight>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9034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934" w:rsidRPr="000D6D04">
        <w:rPr>
          <w:rFonts w:eastAsia="Times New Roman" w:cs="Arial"/>
          <w:szCs w:val="20"/>
          <w:lang w:val="fr-CH" w:eastAsia="en-US"/>
        </w:rPr>
        <w:t xml:space="preserve">Mettre </w:t>
      </w:r>
      <w:r w:rsidR="00355559" w:rsidRPr="000D6D04">
        <w:rPr>
          <w:rFonts w:eastAsia="Times New Roman" w:cs="Arial"/>
          <w:szCs w:val="20"/>
          <w:lang w:val="fr-CH" w:eastAsia="en-US"/>
        </w:rPr>
        <w:t>en œuvre le plan stratégique 2017</w:t>
      </w:r>
      <w:r w:rsidR="00B441CA">
        <w:rPr>
          <w:rFonts w:eastAsia="Times New Roman" w:cs="Arial"/>
          <w:szCs w:val="20"/>
          <w:lang w:val="fr-CH" w:eastAsia="en-US"/>
        </w:rPr>
        <w:noBreakHyphen/>
      </w:r>
      <w:r w:rsidR="00355559" w:rsidRPr="000D6D04">
        <w:rPr>
          <w:rFonts w:eastAsia="Times New Roman" w:cs="Arial"/>
          <w:szCs w:val="20"/>
          <w:lang w:val="fr-CH" w:eastAsia="en-US"/>
        </w:rPr>
        <w:t>2021 de WIPO Re:Search par une collaboration plus efficace avec les principales parties prenantes, par la mobilisation de ressources supplémentaires dédiées aux activités de renforcement des capacités et par un appui des avancées réalisées au niveau de collaborations prometteuses en matière de recherche, notamment avec les institutions qui se trouvent dans des pays en développement;</w:t>
      </w:r>
    </w:p>
    <w:p w14:paraId="40E8C4B3" w14:textId="450548A9" w:rsidR="00355559" w:rsidRPr="000D6D04" w:rsidRDefault="00355559" w:rsidP="00986700">
      <w:pPr>
        <w:pStyle w:val="ListParagraph"/>
        <w:ind w:left="567" w:hanging="567"/>
        <w:jc w:val="both"/>
        <w:rPr>
          <w:rFonts w:eastAsia="Times New Roman" w:cs="Arial"/>
          <w:szCs w:val="20"/>
          <w:lang w:val="fr-CH" w:eastAsia="en-US"/>
        </w:rPr>
      </w:pPr>
    </w:p>
    <w:p w14:paraId="3CCED63A" w14:textId="00D6DFE3"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Lancer </w:t>
      </w:r>
      <w:r w:rsidR="00355559" w:rsidRPr="000D6D04">
        <w:rPr>
          <w:rFonts w:eastAsia="Times New Roman" w:cs="Arial"/>
          <w:szCs w:val="20"/>
          <w:lang w:val="fr-CH" w:eastAsia="en-US"/>
        </w:rPr>
        <w:t>pour la seconde fois le programme des boursiers de WIPO Re:Search, un programme de congé sabbatique visant le renforcement des capacités et axé sur le transfert des connaissances parrainé par le Gouvernement de l’Australie;</w:t>
      </w:r>
    </w:p>
    <w:p w14:paraId="65FD48AF" w14:textId="77777777" w:rsidR="00355559" w:rsidRPr="000D6D04" w:rsidRDefault="00355559" w:rsidP="00986700">
      <w:pPr>
        <w:pStyle w:val="ListParagraph"/>
        <w:ind w:left="567" w:hanging="567"/>
        <w:jc w:val="both"/>
        <w:rPr>
          <w:rFonts w:eastAsia="Times New Roman" w:cs="Arial"/>
          <w:szCs w:val="20"/>
          <w:lang w:val="fr-CH" w:eastAsia="en-US"/>
        </w:rPr>
      </w:pPr>
    </w:p>
    <w:p w14:paraId="40DA44B4" w14:textId="25B2461B"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Élargir </w:t>
      </w:r>
      <w:r w:rsidR="00355559" w:rsidRPr="000D6D04">
        <w:rPr>
          <w:rFonts w:eastAsia="Times New Roman" w:cs="Arial"/>
          <w:szCs w:val="20"/>
          <w:lang w:val="fr-CH" w:eastAsia="en-US"/>
        </w:rPr>
        <w:t>la portée de la base de données WIPO GREEN.  Étendre le réseau WIPO GREEN de manière ciblée.  Renforcer les activités, services et ressources relatifs au renforcement des capacités en vue de convertir la plateforme en outil de communication pleinement adapté au marché des technologies respectueuses de l’environnement;</w:t>
      </w:r>
    </w:p>
    <w:p w14:paraId="108A9325" w14:textId="77777777" w:rsidR="00355559" w:rsidRPr="000D6D04" w:rsidRDefault="00355559" w:rsidP="00986700">
      <w:pPr>
        <w:pStyle w:val="ListParagraph"/>
        <w:ind w:left="567" w:hanging="567"/>
        <w:jc w:val="both"/>
        <w:rPr>
          <w:rFonts w:eastAsia="Times New Roman" w:cs="Arial"/>
          <w:szCs w:val="20"/>
          <w:lang w:val="fr-CH" w:eastAsia="en-US"/>
        </w:rPr>
      </w:pPr>
    </w:p>
    <w:p w14:paraId="2F3BBF8B" w14:textId="62BCFB2C"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Organiser </w:t>
      </w:r>
      <w:r w:rsidR="00355559" w:rsidRPr="000D6D04">
        <w:rPr>
          <w:rFonts w:eastAsia="Times New Roman" w:cs="Arial"/>
          <w:szCs w:val="20"/>
          <w:lang w:val="fr-CH" w:eastAsia="en-US"/>
        </w:rPr>
        <w:t>des projets et des activités de mise en relation pour WIPO GREEN dans le but d’obtenir des résultats concrets, en tenant dûment compte des besoins spécifiques des différentes régions;</w:t>
      </w:r>
    </w:p>
    <w:p w14:paraId="22300DD1" w14:textId="77777777" w:rsidR="00355559" w:rsidRPr="000D6D04" w:rsidRDefault="00355559" w:rsidP="00986700">
      <w:pPr>
        <w:pStyle w:val="ListParagraph"/>
        <w:ind w:left="567" w:hanging="567"/>
        <w:jc w:val="both"/>
        <w:rPr>
          <w:rFonts w:eastAsia="Times New Roman" w:cs="Arial"/>
          <w:szCs w:val="20"/>
          <w:lang w:val="fr-CH" w:eastAsia="en-US"/>
        </w:rPr>
      </w:pPr>
    </w:p>
    <w:p w14:paraId="288EC7FE" w14:textId="29613A66"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Continuer </w:t>
      </w:r>
      <w:r w:rsidR="00355559" w:rsidRPr="000D6D04">
        <w:rPr>
          <w:rFonts w:eastAsia="Times New Roman" w:cs="Arial"/>
          <w:szCs w:val="20"/>
          <w:lang w:val="fr-CH" w:eastAsia="en-US"/>
        </w:rPr>
        <w:t>d’étudier des stratégies qui puissent répondre aux enjeux de propriété intellectuelle et de sécurité alimentaire sur la base des activités actuelles de l’OMPI, notamment en ce qui concerne le volet agriculture de WIPO GREEN.  Engager des consultations avec les programmes pertinents de l’OMPI et les intervenants extérieurs, notamment les organisations intergouvernementales, la société civile, les organisations philanthropiques et le secteur privé, afin d’assurer une approche non exclusive;</w:t>
      </w:r>
    </w:p>
    <w:p w14:paraId="089B368A" w14:textId="77777777" w:rsidR="00355559" w:rsidRPr="000D6D04" w:rsidRDefault="00355559" w:rsidP="00986700">
      <w:pPr>
        <w:pStyle w:val="ListParagraph"/>
        <w:ind w:left="567" w:hanging="567"/>
        <w:jc w:val="both"/>
        <w:rPr>
          <w:rFonts w:eastAsia="Times New Roman" w:cs="Arial"/>
          <w:szCs w:val="20"/>
          <w:lang w:val="fr-CH" w:eastAsia="en-US"/>
        </w:rPr>
      </w:pPr>
    </w:p>
    <w:p w14:paraId="458808C0" w14:textId="27F8DC47"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Participer </w:t>
      </w:r>
      <w:r w:rsidR="00355559" w:rsidRPr="000D6D04">
        <w:rPr>
          <w:rFonts w:eastAsia="Times New Roman" w:cs="Arial"/>
          <w:szCs w:val="20"/>
          <w:lang w:val="fr-CH" w:eastAsia="en-US"/>
        </w:rPr>
        <w:t>au débat de politique générale sur la propriété intellectuelle et les enjeux mondiaux, dans le but d’asseoir le rôle de l’OMPI en tant que source fiable d’informations et d’analyses objectives, en organisant, en outre, des manifestations qui favorisent les échanges de points de vue sur ces questions.  Garantir que l’OMPI, en tant qu’agence du système des Nations Unies qui participe en qualité d’observatrice à divers processus des Nations Unies, réponde de manière rapide et pertinente aux demandes des États membres, des Nations Unies et des organisations internationales, compte tenu de l’intérêt que présentent la propriété intellectuelle et l’innovation pour la santé mondiale, le changement climatique, la sécurité alimentaire, le Plan d’action pour le développement et les objectifs de développement durable des Nations Unies;</w:t>
      </w:r>
    </w:p>
    <w:p w14:paraId="0EC48592" w14:textId="77777777" w:rsidR="00355559" w:rsidRPr="000D6D04" w:rsidRDefault="00355559" w:rsidP="00986700">
      <w:pPr>
        <w:pStyle w:val="ListParagraph"/>
        <w:ind w:left="567" w:hanging="567"/>
        <w:jc w:val="both"/>
        <w:rPr>
          <w:rFonts w:eastAsia="Times New Roman" w:cs="Arial"/>
          <w:szCs w:val="20"/>
          <w:lang w:val="fr-CH" w:eastAsia="en-US"/>
        </w:rPr>
      </w:pPr>
    </w:p>
    <w:p w14:paraId="2444E105" w14:textId="2C54C855"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 xml:space="preserve">Réaliser </w:t>
      </w:r>
      <w:r w:rsidR="00355559" w:rsidRPr="000D6D04">
        <w:rPr>
          <w:rFonts w:eastAsia="Times New Roman" w:cs="Arial"/>
          <w:szCs w:val="20"/>
          <w:lang w:val="fr-CH" w:eastAsia="en-US"/>
        </w:rPr>
        <w:t>des analyses approfondies, sous forme de rapports et de notes d’information sur les défis mondiaux, en vue de favoriser une meilleure compréhension de la politique et des moteurs politiques et stratégiques de l’innovation et de sa diffusion et de souligner le rôle de la propriété intellectuelle et de la gestion de la propriété intellectuelle en tant qu’outils du développement, notamment en partageant les données d’expériences tirées des deux plateformes au moyen d’études de cas;</w:t>
      </w:r>
    </w:p>
    <w:p w14:paraId="01795263" w14:textId="77777777" w:rsidR="00355559" w:rsidRPr="000D6D04" w:rsidRDefault="00355559" w:rsidP="00986700">
      <w:pPr>
        <w:pStyle w:val="ListParagraph"/>
        <w:ind w:left="567" w:hanging="567"/>
        <w:jc w:val="both"/>
        <w:rPr>
          <w:rFonts w:eastAsia="Times New Roman" w:cs="Arial"/>
          <w:szCs w:val="20"/>
          <w:lang w:val="fr-CH" w:eastAsia="en-US"/>
        </w:rPr>
      </w:pPr>
    </w:p>
    <w:p w14:paraId="265A6414" w14:textId="5B5328A6" w:rsidR="00355559" w:rsidRPr="000D6D04" w:rsidRDefault="002F0934" w:rsidP="00616FD3">
      <w:pPr>
        <w:pStyle w:val="ListParagraph"/>
        <w:numPr>
          <w:ilvl w:val="0"/>
          <w:numId w:val="37"/>
        </w:numPr>
        <w:ind w:left="567" w:hanging="567"/>
        <w:jc w:val="both"/>
        <w:rPr>
          <w:rFonts w:eastAsia="Times New Roman" w:cs="Arial"/>
          <w:szCs w:val="20"/>
          <w:lang w:val="fr-CH" w:eastAsia="en-US"/>
        </w:rPr>
      </w:pPr>
      <w:r w:rsidRPr="000D6D04">
        <w:rPr>
          <w:rFonts w:eastAsia="Times New Roman" w:cs="Arial"/>
          <w:szCs w:val="20"/>
          <w:lang w:val="fr-CH" w:eastAsia="en-US"/>
        </w:rPr>
        <w:t>Apporter</w:t>
      </w:r>
      <w:r w:rsidR="00355559" w:rsidRPr="000D6D04">
        <w:rPr>
          <w:rFonts w:eastAsia="Times New Roman" w:cs="Arial"/>
          <w:szCs w:val="20"/>
          <w:lang w:val="fr-CH" w:eastAsia="en-US"/>
        </w:rPr>
        <w:t xml:space="preserve">, si nécessaire, sa contribution dans les réponses aux demandes émanant des États membres, des organisations intergouvernementales, de la société civile et des autres parties prenantes au cours des débats portant sur les enjeux de santé mondiale, d’environnement et de sécurité alimentaire de manière à confirmer le rôle de l’OMPI en tant que référence et instance qualifiée sur des questions de propriété intellectuelle et d’intérêt général à l’échelle mondiale.  </w:t>
      </w:r>
      <w:r w:rsidR="00355559" w:rsidRPr="000D6D04">
        <w:rPr>
          <w:rFonts w:eastAsia="Times New Roman" w:cs="Arial"/>
          <w:szCs w:val="20"/>
          <w:lang w:val="fr-CH" w:eastAsia="en-US"/>
        </w:rPr>
        <w:lastRenderedPageBreak/>
        <w:t>Dans ce contexte, la coopération trilatérale se poursuivra entre l’OMPI, l’Organisation mondiale de la Santé (OMS) et l’Organisation mondiale du commerce (OMC).</w:t>
      </w:r>
    </w:p>
    <w:p w14:paraId="74BE0B03" w14:textId="77777777" w:rsidR="00355559" w:rsidRPr="000D6D04" w:rsidRDefault="00355559" w:rsidP="00986700">
      <w:pPr>
        <w:rPr>
          <w:rFonts w:cs="Arial"/>
          <w:szCs w:val="20"/>
          <w:lang w:val="fr-CH"/>
        </w:rPr>
      </w:pPr>
    </w:p>
    <w:p w14:paraId="39B95CD3" w14:textId="77777777" w:rsidR="00355559" w:rsidRPr="000D6D04" w:rsidRDefault="00355559" w:rsidP="00986700">
      <w:pPr>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355559" w:rsidRPr="000D6D04" w14:paraId="67DD1806" w14:textId="77777777" w:rsidTr="00355559">
        <w:trPr>
          <w:cantSplit/>
        </w:trPr>
        <w:tc>
          <w:tcPr>
            <w:tcW w:w="9571" w:type="dxa"/>
            <w:shd w:val="clear" w:color="auto" w:fill="C6D9F1" w:themeFill="text2" w:themeFillTint="33"/>
            <w:vAlign w:val="center"/>
          </w:tcPr>
          <w:p w14:paraId="64F6B726" w14:textId="58DFB73B" w:rsidR="00355559" w:rsidRPr="000D6D04" w:rsidRDefault="00355559" w:rsidP="000B1950">
            <w:pPr>
              <w:keepNext/>
              <w:keepLines/>
              <w:jc w:val="center"/>
              <w:rPr>
                <w:rFonts w:eastAsia="Times New Roman" w:cs="Arial"/>
                <w:b/>
                <w:bCs/>
                <w:szCs w:val="20"/>
                <w:lang w:val="fr-CH" w:eastAsia="en-US"/>
              </w:rPr>
            </w:pPr>
            <w:r w:rsidRPr="000D6D04">
              <w:rPr>
                <w:rFonts w:eastAsia="Times New Roman" w:cs="Arial"/>
                <w:b/>
                <w:bCs/>
                <w:szCs w:val="20"/>
                <w:lang w:val="fr-CH" w:eastAsia="en-US"/>
              </w:rPr>
              <w:t xml:space="preserve">Collaboration interprogrammes </w:t>
            </w:r>
          </w:p>
        </w:tc>
      </w:tr>
    </w:tbl>
    <w:p w14:paraId="27EF9B9D" w14:textId="77777777" w:rsidR="00355559" w:rsidRPr="000D6D04" w:rsidRDefault="00355559" w:rsidP="00590DB9">
      <w:pPr>
        <w:keepNext/>
        <w:rPr>
          <w:rFonts w:cs="Arial"/>
          <w:szCs w:val="20"/>
          <w:lang w:val="fr-CH"/>
        </w:rPr>
      </w:pPr>
    </w:p>
    <w:p w14:paraId="3DD6F3DD" w14:textId="63CF547A" w:rsidR="00355559" w:rsidRPr="000D6D04" w:rsidRDefault="00590DB9" w:rsidP="00590DB9">
      <w:pPr>
        <w:jc w:val="center"/>
        <w:rPr>
          <w:rFonts w:cs="Arial"/>
          <w:szCs w:val="20"/>
          <w:lang w:val="fr-CH"/>
        </w:rPr>
      </w:pPr>
      <w:r w:rsidRPr="00590DB9">
        <w:rPr>
          <w:noProof/>
          <w:lang w:val="en-US" w:eastAsia="en-US"/>
        </w:rPr>
        <w:drawing>
          <wp:inline distT="0" distB="0" distL="0" distR="0" wp14:anchorId="60D0290A" wp14:editId="5C9B8609">
            <wp:extent cx="3735192" cy="3600000"/>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35192" cy="3600000"/>
                    </a:xfrm>
                    <a:prstGeom prst="rect">
                      <a:avLst/>
                    </a:prstGeom>
                    <a:noFill/>
                    <a:ln>
                      <a:noFill/>
                    </a:ln>
                  </pic:spPr>
                </pic:pic>
              </a:graphicData>
            </a:graphic>
          </wp:inline>
        </w:drawing>
      </w:r>
    </w:p>
    <w:p w14:paraId="7A564C02" w14:textId="77777777" w:rsidR="00355559" w:rsidRPr="000D6D04" w:rsidRDefault="00355559" w:rsidP="00986700">
      <w:pPr>
        <w:rPr>
          <w:rFonts w:cs="Arial"/>
          <w:szCs w:val="20"/>
          <w:lang w:val="fr-CH"/>
        </w:rPr>
      </w:pPr>
    </w:p>
    <w:tbl>
      <w:tblPr>
        <w:tblW w:w="5000" w:type="pct"/>
        <w:tblCellMar>
          <w:top w:w="57" w:type="dxa"/>
          <w:bottom w:w="57" w:type="dxa"/>
        </w:tblCellMar>
        <w:tblLook w:val="01E0" w:firstRow="1" w:lastRow="1" w:firstColumn="1" w:lastColumn="1" w:noHBand="0" w:noVBand="0"/>
      </w:tblPr>
      <w:tblGrid>
        <w:gridCol w:w="4635"/>
        <w:gridCol w:w="4652"/>
      </w:tblGrid>
      <w:tr w:rsidR="00355559" w:rsidRPr="000D6D04" w14:paraId="59D35A1A" w14:textId="77777777" w:rsidTr="00355559">
        <w:trPr>
          <w:cantSplit/>
        </w:trPr>
        <w:tc>
          <w:tcPr>
            <w:tcW w:w="4785" w:type="dxa"/>
            <w:shd w:val="clear" w:color="auto" w:fill="C6D9F1" w:themeFill="text2" w:themeFillTint="33"/>
            <w:vAlign w:val="center"/>
          </w:tcPr>
          <w:p w14:paraId="5BAEEA0D" w14:textId="77777777" w:rsidR="00355559" w:rsidRPr="000D6D04" w:rsidRDefault="00355559" w:rsidP="00986700">
            <w:pPr>
              <w:keepNext/>
              <w:keepLines/>
              <w:jc w:val="center"/>
              <w:rPr>
                <w:rFonts w:cs="Arial"/>
                <w:b/>
                <w:bCs/>
                <w:sz w:val="18"/>
                <w:szCs w:val="18"/>
              </w:rPr>
            </w:pPr>
            <w:r w:rsidRPr="000D6D04">
              <w:rPr>
                <w:rFonts w:cs="Arial"/>
                <w:b/>
                <w:bCs/>
                <w:sz w:val="18"/>
                <w:szCs w:val="18"/>
              </w:rPr>
              <w:t>Risques</w:t>
            </w:r>
          </w:p>
        </w:tc>
        <w:tc>
          <w:tcPr>
            <w:tcW w:w="4786" w:type="dxa"/>
            <w:shd w:val="clear" w:color="auto" w:fill="C6D9F1" w:themeFill="text2" w:themeFillTint="33"/>
            <w:vAlign w:val="center"/>
          </w:tcPr>
          <w:p w14:paraId="6055E231" w14:textId="77777777" w:rsidR="00355559" w:rsidRPr="000D6D04" w:rsidRDefault="00355559" w:rsidP="00986700">
            <w:pPr>
              <w:keepNext/>
              <w:keepLines/>
              <w:jc w:val="center"/>
              <w:rPr>
                <w:rFonts w:cs="Arial"/>
                <w:b/>
                <w:bCs/>
                <w:sz w:val="18"/>
                <w:szCs w:val="18"/>
              </w:rPr>
            </w:pPr>
            <w:r w:rsidRPr="000D6D04">
              <w:rPr>
                <w:rFonts w:cs="Arial"/>
                <w:b/>
                <w:bCs/>
                <w:sz w:val="18"/>
                <w:szCs w:val="18"/>
              </w:rPr>
              <w:t>Mesures d’atténuation</w:t>
            </w:r>
          </w:p>
        </w:tc>
      </w:tr>
      <w:tr w:rsidR="00355559" w:rsidRPr="00355559" w14:paraId="65C38912" w14:textId="77777777" w:rsidTr="00355559">
        <w:trPr>
          <w:cantSplit/>
        </w:trPr>
        <w:tc>
          <w:tcPr>
            <w:tcW w:w="4785" w:type="dxa"/>
            <w:shd w:val="clear" w:color="auto" w:fill="auto"/>
            <w:tcMar>
              <w:top w:w="57" w:type="dxa"/>
              <w:bottom w:w="57" w:type="dxa"/>
            </w:tcMar>
          </w:tcPr>
          <w:p w14:paraId="1C346B4B" w14:textId="77777777" w:rsidR="00355559" w:rsidRPr="00355559" w:rsidRDefault="00355559" w:rsidP="00986700">
            <w:pPr>
              <w:keepNext/>
              <w:keepLines/>
              <w:rPr>
                <w:sz w:val="16"/>
                <w:szCs w:val="16"/>
                <w:lang w:val="fr-CH"/>
              </w:rPr>
            </w:pPr>
            <w:r w:rsidRPr="00355559">
              <w:rPr>
                <w:rFonts w:cs="Arial"/>
                <w:sz w:val="16"/>
                <w:szCs w:val="16"/>
                <w:lang w:val="fr-CH"/>
              </w:rPr>
              <w:t>Le manque de volonté des membres ou partenaires des programmes WIPO Re:Search et WIPO GREEN pourraient avoir pour résultat un nombre insuffisant de données et, donc, une donc baisse de crédibilité des plateformes.</w:t>
            </w:r>
          </w:p>
        </w:tc>
        <w:tc>
          <w:tcPr>
            <w:tcW w:w="4786" w:type="dxa"/>
            <w:shd w:val="clear" w:color="auto" w:fill="auto"/>
            <w:tcMar>
              <w:top w:w="57" w:type="dxa"/>
              <w:bottom w:w="57" w:type="dxa"/>
            </w:tcMar>
          </w:tcPr>
          <w:p w14:paraId="2204D98A" w14:textId="77777777" w:rsidR="00355559" w:rsidRPr="00355559" w:rsidRDefault="00355559" w:rsidP="00986700">
            <w:pPr>
              <w:keepNext/>
              <w:keepLines/>
              <w:rPr>
                <w:rFonts w:cs="Arial"/>
                <w:sz w:val="16"/>
                <w:szCs w:val="16"/>
                <w:lang w:val="fr-CH"/>
              </w:rPr>
            </w:pPr>
            <w:r w:rsidRPr="00355559">
              <w:rPr>
                <w:rFonts w:cs="Arial"/>
                <w:sz w:val="16"/>
                <w:szCs w:val="16"/>
                <w:lang w:val="fr-CH"/>
              </w:rPr>
              <w:t>WIPO Re:Search : intensifier les efforts pour accroître les ressources et renforcer les activités du centre de partenariat.</w:t>
            </w:r>
          </w:p>
          <w:p w14:paraId="2F1A4CF0" w14:textId="77777777" w:rsidR="00355559" w:rsidRPr="00355559" w:rsidRDefault="00355559" w:rsidP="00986700">
            <w:pPr>
              <w:keepNext/>
              <w:keepLines/>
              <w:rPr>
                <w:rFonts w:cs="Arial"/>
                <w:sz w:val="16"/>
                <w:szCs w:val="16"/>
                <w:lang w:val="fr-CH"/>
              </w:rPr>
            </w:pPr>
          </w:p>
          <w:p w14:paraId="5415DCC6" w14:textId="3497E8EA" w:rsidR="00355559" w:rsidRPr="00355559" w:rsidRDefault="00355559" w:rsidP="00986700">
            <w:pPr>
              <w:keepNext/>
              <w:keepLines/>
              <w:rPr>
                <w:sz w:val="16"/>
                <w:szCs w:val="16"/>
                <w:lang w:val="fr-CH"/>
              </w:rPr>
            </w:pPr>
            <w:r w:rsidRPr="00355559">
              <w:rPr>
                <w:rFonts w:cs="Arial"/>
                <w:sz w:val="16"/>
                <w:szCs w:val="16"/>
                <w:lang w:val="fr-CH"/>
              </w:rPr>
              <w:t>WIPO GREEN : veiller à ce que les services proposés correspondent aux besoins des clients et à une commercialisation efficace, et poursuivre la collaboration étroite avec les partenaires et les parties prenantes actuelles.</w:t>
            </w:r>
          </w:p>
        </w:tc>
      </w:tr>
    </w:tbl>
    <w:p w14:paraId="196E5C05" w14:textId="77777777" w:rsidR="00355559" w:rsidRDefault="00355559" w:rsidP="00986700">
      <w:pPr>
        <w:rPr>
          <w:rFonts w:cs="Arial"/>
          <w:szCs w:val="20"/>
          <w:lang w:val="fr-CH"/>
        </w:rPr>
      </w:pPr>
    </w:p>
    <w:p w14:paraId="019DC15C" w14:textId="77777777" w:rsidR="00355559" w:rsidRPr="000D6D04" w:rsidRDefault="00355559" w:rsidP="00986700">
      <w:pPr>
        <w:rPr>
          <w:rFonts w:cs="Arial"/>
          <w:szCs w:val="20"/>
          <w:lang w:val="fr-CH"/>
        </w:rPr>
      </w:pPr>
    </w:p>
    <w:tbl>
      <w:tblPr>
        <w:tblW w:w="5000" w:type="pct"/>
        <w:tblCellMar>
          <w:top w:w="57" w:type="dxa"/>
          <w:bottom w:w="57" w:type="dxa"/>
        </w:tblCellMar>
        <w:tblLook w:val="04A0" w:firstRow="1" w:lastRow="0" w:firstColumn="1" w:lastColumn="0" w:noHBand="0" w:noVBand="1"/>
      </w:tblPr>
      <w:tblGrid>
        <w:gridCol w:w="2304"/>
        <w:gridCol w:w="2366"/>
        <w:gridCol w:w="2306"/>
        <w:gridCol w:w="2311"/>
      </w:tblGrid>
      <w:tr w:rsidR="00355559" w:rsidRPr="000D6D04" w14:paraId="05E7A499" w14:textId="77777777" w:rsidTr="00355559">
        <w:trPr>
          <w:cantSplit/>
          <w:tblHeader/>
        </w:trPr>
        <w:tc>
          <w:tcPr>
            <w:tcW w:w="2392" w:type="dxa"/>
            <w:shd w:val="clear" w:color="000000" w:fill="C5D9F1"/>
            <w:vAlign w:val="center"/>
            <w:hideMark/>
          </w:tcPr>
          <w:p w14:paraId="39CCF58C" w14:textId="77777777" w:rsidR="00355559" w:rsidRPr="000D6D04" w:rsidRDefault="00355559" w:rsidP="00986700">
            <w:pPr>
              <w:jc w:val="center"/>
              <w:rPr>
                <w:rFonts w:eastAsia="Times New Roman" w:cs="Arial"/>
                <w:b/>
                <w:bCs/>
                <w:sz w:val="18"/>
                <w:szCs w:val="18"/>
                <w:lang w:eastAsia="en-US"/>
              </w:rPr>
            </w:pPr>
            <w:r w:rsidRPr="000D6D04">
              <w:rPr>
                <w:rFonts w:eastAsia="Times New Roman" w:cs="Arial"/>
                <w:b/>
                <w:bCs/>
                <w:sz w:val="18"/>
                <w:szCs w:val="18"/>
                <w:lang w:eastAsia="en-US"/>
              </w:rPr>
              <w:t>Résultat escompté</w:t>
            </w:r>
          </w:p>
        </w:tc>
        <w:tc>
          <w:tcPr>
            <w:tcW w:w="2393" w:type="dxa"/>
            <w:shd w:val="clear" w:color="000000" w:fill="C5D9F1"/>
            <w:vAlign w:val="center"/>
            <w:hideMark/>
          </w:tcPr>
          <w:p w14:paraId="06F4CB83" w14:textId="77777777" w:rsidR="00355559" w:rsidRPr="000D6D04" w:rsidRDefault="00355559" w:rsidP="00986700">
            <w:pPr>
              <w:jc w:val="center"/>
              <w:rPr>
                <w:rFonts w:eastAsia="Times New Roman" w:cs="Arial"/>
                <w:b/>
                <w:bCs/>
                <w:sz w:val="18"/>
                <w:szCs w:val="18"/>
                <w:lang w:eastAsia="en-US"/>
              </w:rPr>
            </w:pPr>
            <w:r w:rsidRPr="000D6D04">
              <w:rPr>
                <w:rFonts w:eastAsia="Times New Roman" w:cs="Arial"/>
                <w:b/>
                <w:bCs/>
                <w:sz w:val="18"/>
                <w:szCs w:val="18"/>
                <w:lang w:eastAsia="en-US"/>
              </w:rPr>
              <w:t>Indicateurs d’exécution</w:t>
            </w:r>
          </w:p>
        </w:tc>
        <w:tc>
          <w:tcPr>
            <w:tcW w:w="2393" w:type="dxa"/>
            <w:shd w:val="clear" w:color="000000" w:fill="C5D9F1"/>
            <w:vAlign w:val="center"/>
            <w:hideMark/>
          </w:tcPr>
          <w:p w14:paraId="78301749" w14:textId="77777777" w:rsidR="00355559" w:rsidRPr="000D6D04" w:rsidRDefault="00355559" w:rsidP="00986700">
            <w:pPr>
              <w:jc w:val="center"/>
              <w:rPr>
                <w:rFonts w:eastAsia="Times New Roman" w:cs="Arial"/>
                <w:b/>
                <w:bCs/>
                <w:sz w:val="18"/>
                <w:szCs w:val="18"/>
                <w:lang w:eastAsia="en-US"/>
              </w:rPr>
            </w:pPr>
            <w:r w:rsidRPr="000D6D04">
              <w:rPr>
                <w:rFonts w:eastAsia="Times New Roman" w:cs="Arial"/>
                <w:b/>
                <w:bCs/>
                <w:sz w:val="18"/>
                <w:szCs w:val="18"/>
                <w:lang w:eastAsia="en-US"/>
              </w:rPr>
              <w:t>Niveaux de référence</w:t>
            </w:r>
          </w:p>
        </w:tc>
        <w:tc>
          <w:tcPr>
            <w:tcW w:w="2393" w:type="dxa"/>
            <w:shd w:val="clear" w:color="000000" w:fill="C5D9F1"/>
            <w:vAlign w:val="center"/>
            <w:hideMark/>
          </w:tcPr>
          <w:p w14:paraId="67FA3C49" w14:textId="77777777" w:rsidR="00355559" w:rsidRPr="000D6D04" w:rsidRDefault="00355559" w:rsidP="00986700">
            <w:pPr>
              <w:jc w:val="center"/>
              <w:rPr>
                <w:rFonts w:eastAsia="Times New Roman" w:cs="Arial"/>
                <w:b/>
                <w:bCs/>
                <w:sz w:val="18"/>
                <w:szCs w:val="18"/>
                <w:lang w:eastAsia="en-US"/>
              </w:rPr>
            </w:pPr>
            <w:r w:rsidRPr="000D6D04">
              <w:rPr>
                <w:rFonts w:eastAsia="Times New Roman" w:cs="Arial"/>
                <w:b/>
                <w:bCs/>
                <w:sz w:val="18"/>
                <w:szCs w:val="18"/>
                <w:lang w:eastAsia="en-US"/>
              </w:rPr>
              <w:t>Objectifs visés</w:t>
            </w:r>
          </w:p>
        </w:tc>
      </w:tr>
      <w:tr w:rsidR="00355559" w:rsidRPr="000D6D04" w14:paraId="30CE1494" w14:textId="77777777" w:rsidTr="00355559">
        <w:trPr>
          <w:cantSplit/>
        </w:trPr>
        <w:tc>
          <w:tcPr>
            <w:tcW w:w="2392" w:type="dxa"/>
            <w:vMerge w:val="restart"/>
            <w:shd w:val="clear" w:color="000000" w:fill="FFFFFF"/>
            <w:tcMar>
              <w:top w:w="113" w:type="dxa"/>
            </w:tcMar>
            <w:hideMark/>
          </w:tcPr>
          <w:p w14:paraId="22A24086"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I.2 Cadres législatifs, réglementaires et politiques de propriété intellectuelle adaptés et équilibrés</w:t>
            </w:r>
          </w:p>
          <w:p w14:paraId="45921E56" w14:textId="77777777" w:rsidR="00355559" w:rsidRPr="000D6D04" w:rsidRDefault="00355559" w:rsidP="00986700">
            <w:pPr>
              <w:jc w:val="right"/>
              <w:rPr>
                <w:rFonts w:eastAsia="Times New Roman" w:cs="Arial"/>
                <w:sz w:val="16"/>
                <w:szCs w:val="16"/>
                <w:lang w:val="fr-CH" w:eastAsia="en-US"/>
              </w:rPr>
            </w:pPr>
          </w:p>
        </w:tc>
        <w:tc>
          <w:tcPr>
            <w:tcW w:w="2393" w:type="dxa"/>
            <w:shd w:val="clear" w:color="000000" w:fill="FFFFFF"/>
            <w:tcMar>
              <w:top w:w="113" w:type="dxa"/>
            </w:tcMar>
            <w:hideMark/>
          </w:tcPr>
          <w:p w14:paraId="11A291ED"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xml:space="preserve">Nombre de pays demandant à l’OMPI une contribution dans le domaine de la propriété intellectuelle en rapport avec des questions relatives à la politique en matière de concurrence </w:t>
            </w:r>
          </w:p>
        </w:tc>
        <w:tc>
          <w:tcPr>
            <w:tcW w:w="2393" w:type="dxa"/>
            <w:shd w:val="clear" w:color="000000" w:fill="FFFFFF"/>
            <w:tcMar>
              <w:top w:w="113" w:type="dxa"/>
            </w:tcMar>
            <w:hideMark/>
          </w:tcPr>
          <w:p w14:paraId="24C4EBEB"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2 pays (2016)</w:t>
            </w:r>
          </w:p>
        </w:tc>
        <w:tc>
          <w:tcPr>
            <w:tcW w:w="2393" w:type="dxa"/>
            <w:shd w:val="clear" w:color="000000" w:fill="FFFFFF"/>
            <w:tcMar>
              <w:top w:w="113" w:type="dxa"/>
            </w:tcMar>
            <w:hideMark/>
          </w:tcPr>
          <w:p w14:paraId="319B6067"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5 pays par an</w:t>
            </w:r>
          </w:p>
        </w:tc>
      </w:tr>
      <w:tr w:rsidR="00355559" w:rsidRPr="000D6D04" w14:paraId="1F66E6D2" w14:textId="77777777" w:rsidTr="00355559">
        <w:trPr>
          <w:cantSplit/>
        </w:trPr>
        <w:tc>
          <w:tcPr>
            <w:tcW w:w="2392" w:type="dxa"/>
            <w:vMerge/>
            <w:shd w:val="clear" w:color="000000" w:fill="FFFFFF"/>
            <w:tcMar>
              <w:top w:w="113" w:type="dxa"/>
            </w:tcMar>
            <w:vAlign w:val="bottom"/>
            <w:hideMark/>
          </w:tcPr>
          <w:p w14:paraId="6CF83E57" w14:textId="77777777" w:rsidR="00355559" w:rsidRPr="000D6D04" w:rsidRDefault="00355559" w:rsidP="00986700">
            <w:pPr>
              <w:jc w:val="right"/>
              <w:rPr>
                <w:rFonts w:eastAsia="Times New Roman" w:cs="Arial"/>
                <w:sz w:val="16"/>
                <w:szCs w:val="16"/>
                <w:lang w:eastAsia="en-US"/>
              </w:rPr>
            </w:pPr>
          </w:p>
        </w:tc>
        <w:tc>
          <w:tcPr>
            <w:tcW w:w="2393" w:type="dxa"/>
            <w:shd w:val="clear" w:color="000000" w:fill="FFFFFF"/>
            <w:tcMar>
              <w:top w:w="113" w:type="dxa"/>
            </w:tcMar>
            <w:hideMark/>
          </w:tcPr>
          <w:p w14:paraId="0A7C81E0"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Pourcentage de participants à des activités de formation et de renforcement des capacités dans les domaines de la propriété intellectuelle et de la politique en matière de concurrence qui appliquent des connaissances nouvelles et des compétences améliorées dans le cadre de leurs activités professionnelles</w:t>
            </w:r>
          </w:p>
        </w:tc>
        <w:tc>
          <w:tcPr>
            <w:tcW w:w="2393" w:type="dxa"/>
            <w:shd w:val="clear" w:color="000000" w:fill="FFFFFF"/>
            <w:tcMar>
              <w:top w:w="113" w:type="dxa"/>
            </w:tcMar>
            <w:hideMark/>
          </w:tcPr>
          <w:p w14:paraId="658F2200"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À déterminer</w:t>
            </w:r>
          </w:p>
        </w:tc>
        <w:tc>
          <w:tcPr>
            <w:tcW w:w="2393" w:type="dxa"/>
            <w:shd w:val="clear" w:color="000000" w:fill="FFFFFF"/>
            <w:tcMar>
              <w:top w:w="113" w:type="dxa"/>
            </w:tcMar>
            <w:hideMark/>
          </w:tcPr>
          <w:p w14:paraId="3F18399C"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50% de participants</w:t>
            </w:r>
            <w:r w:rsidRPr="000D6D04">
              <w:rPr>
                <w:rFonts w:eastAsia="Times New Roman" w:cs="Arial"/>
                <w:sz w:val="16"/>
                <w:szCs w:val="16"/>
                <w:lang w:eastAsia="en-US"/>
              </w:rPr>
              <w:br/>
              <w:t>(50% de responsables)</w:t>
            </w:r>
          </w:p>
        </w:tc>
      </w:tr>
      <w:tr w:rsidR="00355559" w:rsidRPr="000D6D04" w14:paraId="473F9436" w14:textId="77777777" w:rsidTr="00355559">
        <w:trPr>
          <w:cantSplit/>
        </w:trPr>
        <w:tc>
          <w:tcPr>
            <w:tcW w:w="2392" w:type="dxa"/>
            <w:shd w:val="clear" w:color="000000" w:fill="FFFFFF"/>
            <w:tcMar>
              <w:top w:w="113" w:type="dxa"/>
            </w:tcMar>
            <w:hideMark/>
          </w:tcPr>
          <w:p w14:paraId="49B1D543"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lastRenderedPageBreak/>
              <w:t>III.2 Mise en valeur des ressources humaines pour répondre aux diverses exigences en matière d’utilisation efficace de la propriété intellectuelle au service du développement dans les pays en développement, les PMA et les pays en transition</w:t>
            </w:r>
          </w:p>
        </w:tc>
        <w:tc>
          <w:tcPr>
            <w:tcW w:w="2393" w:type="dxa"/>
            <w:shd w:val="clear" w:color="000000" w:fill="FFFFFF"/>
            <w:tcMar>
              <w:top w:w="113" w:type="dxa"/>
            </w:tcMar>
            <w:hideMark/>
          </w:tcPr>
          <w:p w14:paraId="464F566A"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de dispositions prises pour l’hébergement de scientifiques de pays en développement</w:t>
            </w:r>
          </w:p>
        </w:tc>
        <w:tc>
          <w:tcPr>
            <w:tcW w:w="2393" w:type="dxa"/>
            <w:shd w:val="clear" w:color="000000" w:fill="FFFFFF"/>
            <w:tcMar>
              <w:top w:w="113" w:type="dxa"/>
            </w:tcMar>
            <w:hideMark/>
          </w:tcPr>
          <w:p w14:paraId="6CB2E9A3"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6 en tout (fin 2016)</w:t>
            </w:r>
          </w:p>
        </w:tc>
        <w:tc>
          <w:tcPr>
            <w:tcW w:w="2393" w:type="dxa"/>
            <w:shd w:val="clear" w:color="000000" w:fill="FFFFFF"/>
            <w:tcMar>
              <w:top w:w="113" w:type="dxa"/>
            </w:tcMar>
            <w:hideMark/>
          </w:tcPr>
          <w:p w14:paraId="26B9F6D8"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4 dispositions supplémentaires pour l’hébergement</w:t>
            </w:r>
          </w:p>
        </w:tc>
      </w:tr>
      <w:tr w:rsidR="00355559" w:rsidRPr="000D6D04" w14:paraId="633B31D6" w14:textId="77777777" w:rsidTr="00355559">
        <w:trPr>
          <w:cantSplit/>
        </w:trPr>
        <w:tc>
          <w:tcPr>
            <w:tcW w:w="2392" w:type="dxa"/>
            <w:vMerge w:val="restart"/>
            <w:shd w:val="clear" w:color="000000" w:fill="FFFFFF"/>
            <w:tcMar>
              <w:top w:w="113" w:type="dxa"/>
            </w:tcMar>
            <w:hideMark/>
          </w:tcPr>
          <w:p w14:paraId="6D25A9FD"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VII.1 Plateformes et instruments fondés sur la propriété intellectuelle pour le transfert de connaissances et l’adaptation et la diffusion de la technologie entre les pays développés et les pays en développement, notamment les PMA, pour relever des défis mondiaux</w:t>
            </w:r>
          </w:p>
          <w:p w14:paraId="58F74EF6" w14:textId="77777777" w:rsidR="00355559" w:rsidRPr="000D6D04" w:rsidRDefault="00355559" w:rsidP="00986700">
            <w:pPr>
              <w:jc w:val="right"/>
              <w:rPr>
                <w:rFonts w:eastAsia="Times New Roman" w:cs="Arial"/>
                <w:sz w:val="16"/>
                <w:szCs w:val="16"/>
                <w:lang w:val="fr-CH" w:eastAsia="en-US"/>
              </w:rPr>
            </w:pPr>
          </w:p>
        </w:tc>
        <w:tc>
          <w:tcPr>
            <w:tcW w:w="2393" w:type="dxa"/>
            <w:shd w:val="clear" w:color="000000" w:fill="FFFFFF"/>
            <w:tcMar>
              <w:top w:w="113" w:type="dxa"/>
            </w:tcMar>
            <w:hideMark/>
          </w:tcPr>
          <w:p w14:paraId="229D1D8B"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Augmentation du nombre de participants à WIPO Re:Search, y compris dans les pays en développement et les PMA</w:t>
            </w:r>
          </w:p>
        </w:tc>
        <w:tc>
          <w:tcPr>
            <w:tcW w:w="2393" w:type="dxa"/>
            <w:shd w:val="clear" w:color="000000" w:fill="FFFFFF"/>
            <w:tcMar>
              <w:top w:w="113" w:type="dxa"/>
            </w:tcMar>
            <w:hideMark/>
          </w:tcPr>
          <w:p w14:paraId="00831FBD" w14:textId="56BAFB6E" w:rsidR="00355559" w:rsidRPr="000D6D04" w:rsidRDefault="000B1950" w:rsidP="000B1950">
            <w:pPr>
              <w:rPr>
                <w:rFonts w:eastAsia="Times New Roman" w:cs="Arial"/>
                <w:sz w:val="16"/>
                <w:szCs w:val="16"/>
                <w:lang w:val="fr-CH" w:eastAsia="en-US"/>
              </w:rPr>
            </w:pPr>
            <w:r>
              <w:rPr>
                <w:rFonts w:eastAsia="Times New Roman" w:cs="Arial"/>
                <w:sz w:val="16"/>
                <w:szCs w:val="16"/>
                <w:lang w:val="fr-CH" w:eastAsia="en-US"/>
              </w:rPr>
              <w:t>108</w:t>
            </w:r>
            <w:r w:rsidR="00355559" w:rsidRPr="000D6D04">
              <w:rPr>
                <w:rFonts w:eastAsia="Times New Roman" w:cs="Arial"/>
                <w:sz w:val="16"/>
                <w:szCs w:val="16"/>
                <w:lang w:val="fr-CH" w:eastAsia="en-US"/>
              </w:rPr>
              <w:t xml:space="preserve"> participants dont </w:t>
            </w:r>
            <w:r>
              <w:rPr>
                <w:rFonts w:eastAsia="Times New Roman" w:cs="Arial"/>
                <w:sz w:val="16"/>
                <w:szCs w:val="16"/>
                <w:lang w:val="fr-CH" w:eastAsia="en-US"/>
              </w:rPr>
              <w:t>41</w:t>
            </w:r>
            <w:r w:rsidR="00355559" w:rsidRPr="000D6D04">
              <w:rPr>
                <w:rFonts w:eastAsia="Times New Roman" w:cs="Arial"/>
                <w:sz w:val="16"/>
                <w:szCs w:val="16"/>
                <w:lang w:val="fr-CH" w:eastAsia="en-US"/>
              </w:rPr>
              <w:t xml:space="preserve"> de pays en développement (au total à la fin de 2016)</w:t>
            </w:r>
          </w:p>
        </w:tc>
        <w:tc>
          <w:tcPr>
            <w:tcW w:w="2393" w:type="dxa"/>
            <w:shd w:val="clear" w:color="000000" w:fill="FFFFFF"/>
            <w:tcMar>
              <w:top w:w="113" w:type="dxa"/>
            </w:tcMar>
            <w:hideMark/>
          </w:tcPr>
          <w:p w14:paraId="416538A7"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6 nouveaux participants, dont 4 de pays en développement, et 1 nouveau participant du secteur privé</w:t>
            </w:r>
          </w:p>
        </w:tc>
      </w:tr>
      <w:tr w:rsidR="00355559" w:rsidRPr="000D6D04" w14:paraId="5BE49C07" w14:textId="77777777" w:rsidTr="00355559">
        <w:trPr>
          <w:cantSplit/>
        </w:trPr>
        <w:tc>
          <w:tcPr>
            <w:tcW w:w="2392" w:type="dxa"/>
            <w:vMerge/>
            <w:shd w:val="clear" w:color="000000" w:fill="FFFFFF"/>
            <w:tcMar>
              <w:top w:w="113" w:type="dxa"/>
            </w:tcMar>
            <w:vAlign w:val="bottom"/>
            <w:hideMark/>
          </w:tcPr>
          <w:p w14:paraId="70F3DBDF" w14:textId="77777777" w:rsidR="00355559" w:rsidRPr="000D6D04" w:rsidRDefault="00355559" w:rsidP="00986700">
            <w:pPr>
              <w:jc w:val="right"/>
              <w:rPr>
                <w:rFonts w:eastAsia="Times New Roman" w:cs="Arial"/>
                <w:sz w:val="16"/>
                <w:szCs w:val="16"/>
                <w:lang w:val="fr-CH" w:eastAsia="en-US"/>
              </w:rPr>
            </w:pPr>
          </w:p>
        </w:tc>
        <w:tc>
          <w:tcPr>
            <w:tcW w:w="2393" w:type="dxa"/>
            <w:shd w:val="clear" w:color="000000" w:fill="FFFFFF"/>
            <w:tcMar>
              <w:top w:w="113" w:type="dxa"/>
            </w:tcMar>
            <w:hideMark/>
          </w:tcPr>
          <w:p w14:paraId="5646E0E3" w14:textId="549F03F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d’accords au titre de WIPO Re:Search qui mènent à des activités nouvelles ou accélérées de recherche</w:t>
            </w:r>
            <w:r w:rsidR="00B441CA">
              <w:rPr>
                <w:rFonts w:eastAsia="Times New Roman" w:cs="Arial"/>
                <w:sz w:val="16"/>
                <w:szCs w:val="16"/>
                <w:lang w:val="fr-CH" w:eastAsia="en-US"/>
              </w:rPr>
              <w:noBreakHyphen/>
            </w:r>
            <w:r w:rsidRPr="000D6D04">
              <w:rPr>
                <w:rFonts w:eastAsia="Times New Roman" w:cs="Arial"/>
                <w:sz w:val="16"/>
                <w:szCs w:val="16"/>
                <w:lang w:val="fr-CH" w:eastAsia="en-US"/>
              </w:rPr>
              <w:t>développement dans le domaine des maladies tropicales négligées, du paludisme et de la tuberculose</w:t>
            </w:r>
          </w:p>
        </w:tc>
        <w:tc>
          <w:tcPr>
            <w:tcW w:w="2393" w:type="dxa"/>
            <w:shd w:val="clear" w:color="000000" w:fill="FFFFFF"/>
            <w:tcMar>
              <w:top w:w="113" w:type="dxa"/>
            </w:tcMar>
            <w:hideMark/>
          </w:tcPr>
          <w:p w14:paraId="782E4D70" w14:textId="163F1A21" w:rsidR="00355559" w:rsidRPr="000D6D04" w:rsidRDefault="000B1950" w:rsidP="00986700">
            <w:pPr>
              <w:rPr>
                <w:rFonts w:eastAsia="Times New Roman" w:cs="Arial"/>
                <w:sz w:val="16"/>
                <w:szCs w:val="16"/>
                <w:lang w:val="fr-CH" w:eastAsia="en-US"/>
              </w:rPr>
            </w:pPr>
            <w:r>
              <w:rPr>
                <w:rFonts w:eastAsia="Times New Roman" w:cs="Arial"/>
                <w:sz w:val="16"/>
                <w:szCs w:val="16"/>
                <w:lang w:val="fr-CH" w:eastAsia="en-US"/>
              </w:rPr>
              <w:t>108</w:t>
            </w:r>
            <w:r w:rsidR="00355559" w:rsidRPr="000D6D04">
              <w:rPr>
                <w:rFonts w:eastAsia="Times New Roman" w:cs="Arial"/>
                <w:sz w:val="16"/>
                <w:szCs w:val="16"/>
                <w:lang w:val="fr-CH" w:eastAsia="en-US"/>
              </w:rPr>
              <w:t xml:space="preserve"> accords dont 3 accords de suivi (au total à la fin de 2016)</w:t>
            </w:r>
          </w:p>
        </w:tc>
        <w:tc>
          <w:tcPr>
            <w:tcW w:w="2393" w:type="dxa"/>
            <w:shd w:val="clear" w:color="000000" w:fill="FFFFFF"/>
            <w:tcMar>
              <w:top w:w="113" w:type="dxa"/>
            </w:tcMar>
            <w:hideMark/>
          </w:tcPr>
          <w:p w14:paraId="235DADE3"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20 nouveaux accords dont 8 accords de suivi</w:t>
            </w:r>
          </w:p>
        </w:tc>
      </w:tr>
      <w:tr w:rsidR="00355559" w:rsidRPr="000D6D04" w14:paraId="489A3829" w14:textId="77777777" w:rsidTr="00355559">
        <w:trPr>
          <w:cantSplit/>
        </w:trPr>
        <w:tc>
          <w:tcPr>
            <w:tcW w:w="2392" w:type="dxa"/>
            <w:vMerge/>
            <w:shd w:val="clear" w:color="000000" w:fill="FFFFFF"/>
            <w:tcMar>
              <w:top w:w="113" w:type="dxa"/>
            </w:tcMar>
            <w:vAlign w:val="bottom"/>
            <w:hideMark/>
          </w:tcPr>
          <w:p w14:paraId="6C42AC14" w14:textId="77777777" w:rsidR="00355559" w:rsidRPr="000D6D04" w:rsidRDefault="00355559" w:rsidP="00986700">
            <w:pPr>
              <w:jc w:val="right"/>
              <w:rPr>
                <w:rFonts w:eastAsia="Times New Roman" w:cs="Arial"/>
                <w:sz w:val="16"/>
                <w:szCs w:val="16"/>
                <w:lang w:val="fr-CH" w:eastAsia="en-US"/>
              </w:rPr>
            </w:pPr>
          </w:p>
        </w:tc>
        <w:tc>
          <w:tcPr>
            <w:tcW w:w="2393" w:type="dxa"/>
            <w:shd w:val="clear" w:color="000000" w:fill="FFFFFF"/>
            <w:tcMar>
              <w:top w:w="113" w:type="dxa"/>
            </w:tcMar>
            <w:hideMark/>
          </w:tcPr>
          <w:p w14:paraId="54D07EEA"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Augmentation du nombre de membres de WIPO GREEN</w:t>
            </w:r>
          </w:p>
        </w:tc>
        <w:tc>
          <w:tcPr>
            <w:tcW w:w="2393" w:type="dxa"/>
            <w:shd w:val="clear" w:color="000000" w:fill="FFFFFF"/>
            <w:tcMar>
              <w:top w:w="113" w:type="dxa"/>
            </w:tcMar>
            <w:hideMark/>
          </w:tcPr>
          <w:p w14:paraId="5DA1B664" w14:textId="09727ED0" w:rsidR="00355559" w:rsidRPr="000D6D04" w:rsidRDefault="00355559" w:rsidP="000B1950">
            <w:pPr>
              <w:rPr>
                <w:rFonts w:eastAsia="Times New Roman" w:cs="Arial"/>
                <w:sz w:val="16"/>
                <w:szCs w:val="16"/>
                <w:lang w:val="fr-CH" w:eastAsia="en-US"/>
              </w:rPr>
            </w:pPr>
            <w:r w:rsidRPr="000D6D04">
              <w:rPr>
                <w:rFonts w:eastAsia="Times New Roman" w:cs="Arial"/>
                <w:sz w:val="16"/>
                <w:szCs w:val="16"/>
                <w:lang w:val="fr-CH" w:eastAsia="en-US"/>
              </w:rPr>
              <w:t xml:space="preserve">74 partenaires et </w:t>
            </w:r>
            <w:r w:rsidR="000B1950">
              <w:rPr>
                <w:rFonts w:eastAsia="Times New Roman" w:cs="Arial"/>
                <w:sz w:val="16"/>
                <w:szCs w:val="16"/>
                <w:lang w:val="fr-CH" w:eastAsia="en-US"/>
              </w:rPr>
              <w:t>808</w:t>
            </w:r>
            <w:r w:rsidRPr="000D6D04">
              <w:rPr>
                <w:rFonts w:eastAsia="Times New Roman" w:cs="Arial"/>
                <w:sz w:val="16"/>
                <w:szCs w:val="16"/>
                <w:lang w:val="fr-CH" w:eastAsia="en-US"/>
              </w:rPr>
              <w:t> utilisateurs (au total à la fin de 2016)</w:t>
            </w:r>
          </w:p>
        </w:tc>
        <w:tc>
          <w:tcPr>
            <w:tcW w:w="2393" w:type="dxa"/>
            <w:shd w:val="clear" w:color="000000" w:fill="FFFFFF"/>
            <w:tcMar>
              <w:top w:w="113" w:type="dxa"/>
            </w:tcMar>
            <w:hideMark/>
          </w:tcPr>
          <w:p w14:paraId="1FDEFCF0" w14:textId="77777777"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14 partenaires supplémentaires;  200 utilisateurs supplémentaires</w:t>
            </w:r>
          </w:p>
        </w:tc>
      </w:tr>
      <w:tr w:rsidR="00355559" w:rsidRPr="000D6D04" w14:paraId="4DCEA284" w14:textId="77777777" w:rsidTr="00355559">
        <w:trPr>
          <w:cantSplit/>
        </w:trPr>
        <w:tc>
          <w:tcPr>
            <w:tcW w:w="2392" w:type="dxa"/>
            <w:vMerge/>
            <w:shd w:val="clear" w:color="000000" w:fill="FFFFFF"/>
            <w:tcMar>
              <w:top w:w="113" w:type="dxa"/>
            </w:tcMar>
            <w:vAlign w:val="bottom"/>
            <w:hideMark/>
          </w:tcPr>
          <w:p w14:paraId="5F6966D7" w14:textId="77777777" w:rsidR="00355559" w:rsidRPr="000D6D04" w:rsidRDefault="00355559" w:rsidP="00986700">
            <w:pPr>
              <w:jc w:val="right"/>
              <w:rPr>
                <w:rFonts w:eastAsia="Times New Roman" w:cs="Arial"/>
                <w:sz w:val="16"/>
                <w:szCs w:val="16"/>
                <w:lang w:eastAsia="en-US"/>
              </w:rPr>
            </w:pPr>
          </w:p>
        </w:tc>
        <w:tc>
          <w:tcPr>
            <w:tcW w:w="2393" w:type="dxa"/>
            <w:shd w:val="clear" w:color="000000" w:fill="FFFFFF"/>
            <w:tcMar>
              <w:top w:w="113" w:type="dxa"/>
            </w:tcMar>
            <w:hideMark/>
          </w:tcPr>
          <w:p w14:paraId="699B4029"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de données dans la base WIPO GREEN</w:t>
            </w:r>
          </w:p>
        </w:tc>
        <w:tc>
          <w:tcPr>
            <w:tcW w:w="2393" w:type="dxa"/>
            <w:shd w:val="clear" w:color="000000" w:fill="FFFFFF"/>
            <w:tcMar>
              <w:top w:w="113" w:type="dxa"/>
            </w:tcMar>
            <w:hideMark/>
          </w:tcPr>
          <w:p w14:paraId="03F960FB" w14:textId="374BD9CD" w:rsidR="00355559" w:rsidRPr="000D6D04" w:rsidRDefault="00355559" w:rsidP="000B1950">
            <w:pPr>
              <w:rPr>
                <w:rFonts w:eastAsia="Times New Roman" w:cs="Arial"/>
                <w:sz w:val="16"/>
                <w:szCs w:val="16"/>
                <w:lang w:val="fr-CH" w:eastAsia="en-US"/>
              </w:rPr>
            </w:pPr>
            <w:r w:rsidRPr="000D6D04">
              <w:rPr>
                <w:rFonts w:eastAsia="Times New Roman" w:cs="Arial"/>
                <w:sz w:val="16"/>
                <w:szCs w:val="16"/>
                <w:lang w:val="fr-CH" w:eastAsia="en-US"/>
              </w:rPr>
              <w:t>2 </w:t>
            </w:r>
            <w:r w:rsidR="000B1950">
              <w:rPr>
                <w:rFonts w:eastAsia="Times New Roman" w:cs="Arial"/>
                <w:sz w:val="16"/>
                <w:szCs w:val="16"/>
                <w:lang w:val="fr-CH" w:eastAsia="en-US"/>
              </w:rPr>
              <w:t>621</w:t>
            </w:r>
            <w:r w:rsidRPr="000D6D04">
              <w:rPr>
                <w:rFonts w:eastAsia="Times New Roman" w:cs="Arial"/>
                <w:sz w:val="16"/>
                <w:szCs w:val="16"/>
                <w:lang w:val="fr-CH" w:eastAsia="en-US"/>
              </w:rPr>
              <w:t xml:space="preserve"> données (au total à la fin de 2016)</w:t>
            </w:r>
          </w:p>
        </w:tc>
        <w:tc>
          <w:tcPr>
            <w:tcW w:w="2393" w:type="dxa"/>
            <w:shd w:val="clear" w:color="000000" w:fill="FFFFFF"/>
            <w:tcMar>
              <w:top w:w="113" w:type="dxa"/>
            </w:tcMar>
            <w:hideMark/>
          </w:tcPr>
          <w:p w14:paraId="110A28DF" w14:textId="75CDDA54" w:rsidR="00355559" w:rsidRPr="000D6D04" w:rsidRDefault="00355559" w:rsidP="00986700">
            <w:pPr>
              <w:rPr>
                <w:rFonts w:eastAsia="Times New Roman" w:cs="Arial"/>
                <w:sz w:val="16"/>
                <w:szCs w:val="16"/>
                <w:lang w:eastAsia="en-US"/>
              </w:rPr>
            </w:pPr>
            <w:r w:rsidRPr="000D6D04">
              <w:rPr>
                <w:rFonts w:eastAsia="Times New Roman" w:cs="Arial"/>
                <w:sz w:val="16"/>
                <w:szCs w:val="16"/>
                <w:lang w:eastAsia="en-US"/>
              </w:rPr>
              <w:t>1 200 données supplémentaires pour l’exercice 2018</w:t>
            </w:r>
            <w:r w:rsidR="00B441CA">
              <w:rPr>
                <w:rFonts w:eastAsia="Times New Roman" w:cs="Arial"/>
                <w:sz w:val="16"/>
                <w:szCs w:val="16"/>
                <w:lang w:eastAsia="en-US"/>
              </w:rPr>
              <w:noBreakHyphen/>
            </w:r>
            <w:r w:rsidRPr="000D6D04">
              <w:rPr>
                <w:rFonts w:eastAsia="Times New Roman" w:cs="Arial"/>
                <w:sz w:val="16"/>
                <w:szCs w:val="16"/>
                <w:lang w:eastAsia="en-US"/>
              </w:rPr>
              <w:t>2019</w:t>
            </w:r>
          </w:p>
        </w:tc>
      </w:tr>
      <w:tr w:rsidR="00355559" w:rsidRPr="000D6D04" w14:paraId="0604CDC9" w14:textId="77777777" w:rsidTr="00355559">
        <w:trPr>
          <w:cantSplit/>
        </w:trPr>
        <w:tc>
          <w:tcPr>
            <w:tcW w:w="2392" w:type="dxa"/>
            <w:vMerge/>
            <w:shd w:val="clear" w:color="000000" w:fill="FFFFFF"/>
            <w:tcMar>
              <w:top w:w="113" w:type="dxa"/>
            </w:tcMar>
            <w:vAlign w:val="bottom"/>
            <w:hideMark/>
          </w:tcPr>
          <w:p w14:paraId="0B3D81F1" w14:textId="77777777" w:rsidR="00355559" w:rsidRPr="000D6D04" w:rsidRDefault="00355559" w:rsidP="00986700">
            <w:pPr>
              <w:jc w:val="right"/>
              <w:rPr>
                <w:rFonts w:eastAsia="Times New Roman" w:cs="Arial"/>
                <w:sz w:val="16"/>
                <w:szCs w:val="16"/>
                <w:lang w:eastAsia="en-US"/>
              </w:rPr>
            </w:pPr>
          </w:p>
        </w:tc>
        <w:tc>
          <w:tcPr>
            <w:tcW w:w="2393" w:type="dxa"/>
            <w:shd w:val="clear" w:color="000000" w:fill="FFFFFF"/>
            <w:tcMar>
              <w:top w:w="113" w:type="dxa"/>
            </w:tcMar>
            <w:hideMark/>
          </w:tcPr>
          <w:p w14:paraId="51AEA1D0"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d’accords favorisés par WIPO GREEN qui facilitent le transfert de connaissances, et l’adaptation, le transfert ou la diffusion des technologies</w:t>
            </w:r>
          </w:p>
        </w:tc>
        <w:tc>
          <w:tcPr>
            <w:tcW w:w="2393" w:type="dxa"/>
            <w:shd w:val="clear" w:color="000000" w:fill="FFFFFF"/>
            <w:tcMar>
              <w:top w:w="113" w:type="dxa"/>
            </w:tcMar>
            <w:hideMark/>
          </w:tcPr>
          <w:p w14:paraId="3382894C"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sur les échanges de données : 9</w:t>
            </w:r>
          </w:p>
          <w:p w14:paraId="31D9EF31"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formels : 26 (25 lettres d’intention signées, 1 mémorandum d’accord)</w:t>
            </w:r>
          </w:p>
          <w:p w14:paraId="10BA08B0"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favorisés : 0 (au total à la fin de 2016)</w:t>
            </w:r>
          </w:p>
        </w:tc>
        <w:tc>
          <w:tcPr>
            <w:tcW w:w="2393" w:type="dxa"/>
            <w:shd w:val="clear" w:color="000000" w:fill="FFFFFF"/>
            <w:tcMar>
              <w:top w:w="113" w:type="dxa"/>
            </w:tcMar>
            <w:hideMark/>
          </w:tcPr>
          <w:p w14:paraId="4BEC1244"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sur les échanges de données : 2 supplémentaires</w:t>
            </w:r>
          </w:p>
          <w:p w14:paraId="3A859BBC"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formels : 8 supplémentaires</w:t>
            </w:r>
          </w:p>
          <w:p w14:paraId="32B45DC1"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Accords favorisés : 2</w:t>
            </w:r>
          </w:p>
          <w:p w14:paraId="4C7D8284"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(d’ici à la fin de 2019)</w:t>
            </w:r>
          </w:p>
        </w:tc>
      </w:tr>
      <w:tr w:rsidR="00355559" w:rsidRPr="000D6D04" w14:paraId="60689067" w14:textId="77777777" w:rsidTr="00355559">
        <w:trPr>
          <w:cantSplit/>
        </w:trPr>
        <w:tc>
          <w:tcPr>
            <w:tcW w:w="2392" w:type="dxa"/>
            <w:vMerge/>
            <w:shd w:val="clear" w:color="000000" w:fill="FFFFFF"/>
            <w:tcMar>
              <w:top w:w="113" w:type="dxa"/>
            </w:tcMar>
            <w:vAlign w:val="bottom"/>
            <w:hideMark/>
          </w:tcPr>
          <w:p w14:paraId="0157449B" w14:textId="77777777" w:rsidR="00355559" w:rsidRPr="000D6D04" w:rsidRDefault="00355559" w:rsidP="00986700">
            <w:pPr>
              <w:jc w:val="right"/>
              <w:rPr>
                <w:rFonts w:eastAsia="Times New Roman" w:cs="Arial"/>
                <w:sz w:val="16"/>
                <w:szCs w:val="16"/>
                <w:lang w:val="fr-CH" w:eastAsia="en-US"/>
              </w:rPr>
            </w:pPr>
          </w:p>
        </w:tc>
        <w:tc>
          <w:tcPr>
            <w:tcW w:w="2393" w:type="dxa"/>
            <w:shd w:val="clear" w:color="000000" w:fill="FFFFFF"/>
            <w:tcMar>
              <w:top w:w="113" w:type="dxa"/>
            </w:tcMar>
            <w:hideMark/>
          </w:tcPr>
          <w:p w14:paraId="0BEFA4B6"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de consultations des bases de données WIPO Re:Search WIPO GREEN</w:t>
            </w:r>
          </w:p>
        </w:tc>
        <w:tc>
          <w:tcPr>
            <w:tcW w:w="2393" w:type="dxa"/>
            <w:shd w:val="clear" w:color="000000" w:fill="FFFFFF"/>
            <w:tcMar>
              <w:top w:w="113" w:type="dxa"/>
            </w:tcMar>
            <w:hideMark/>
          </w:tcPr>
          <w:p w14:paraId="038E88A7"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Base de données WIPO Re:Search : 4581 consultations uniques (2016) Base de données WIPO GREEN : 48 447 consultations uniques (2016)</w:t>
            </w:r>
          </w:p>
        </w:tc>
        <w:tc>
          <w:tcPr>
            <w:tcW w:w="2393" w:type="dxa"/>
            <w:shd w:val="clear" w:color="000000" w:fill="FFFFFF"/>
            <w:tcMar>
              <w:top w:w="113" w:type="dxa"/>
            </w:tcMar>
            <w:hideMark/>
          </w:tcPr>
          <w:p w14:paraId="0E1D25EE"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WIPO Re:Search : augmentation de 10% sur l’exercice biennal</w:t>
            </w:r>
          </w:p>
          <w:p w14:paraId="0F44E096"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WIPO GREEN : augmentation de 10% sur l’exercice biennal</w:t>
            </w:r>
          </w:p>
        </w:tc>
      </w:tr>
      <w:tr w:rsidR="00355559" w:rsidRPr="000D6D04" w14:paraId="328D1EF9" w14:textId="77777777" w:rsidTr="00355559">
        <w:trPr>
          <w:cantSplit/>
        </w:trPr>
        <w:tc>
          <w:tcPr>
            <w:tcW w:w="2392" w:type="dxa"/>
            <w:shd w:val="clear" w:color="000000" w:fill="FFFFFF"/>
            <w:tcMar>
              <w:top w:w="113" w:type="dxa"/>
            </w:tcMar>
            <w:vAlign w:val="bottom"/>
            <w:hideMark/>
          </w:tcPr>
          <w:p w14:paraId="2678A090" w14:textId="77777777" w:rsidR="00355559" w:rsidRPr="000D6D04" w:rsidRDefault="00355559" w:rsidP="00986700">
            <w:pPr>
              <w:jc w:val="right"/>
              <w:rPr>
                <w:rFonts w:eastAsia="Times New Roman" w:cs="Arial"/>
                <w:sz w:val="16"/>
                <w:szCs w:val="16"/>
                <w:lang w:val="fr-CH" w:eastAsia="en-US"/>
              </w:rPr>
            </w:pPr>
            <w:r w:rsidRPr="000D6D04">
              <w:rPr>
                <w:rFonts w:eastAsia="Times New Roman" w:cs="Arial"/>
                <w:sz w:val="16"/>
                <w:szCs w:val="16"/>
                <w:lang w:val="fr-CH" w:eastAsia="en-US"/>
              </w:rPr>
              <w:t> </w:t>
            </w:r>
          </w:p>
        </w:tc>
        <w:tc>
          <w:tcPr>
            <w:tcW w:w="2393" w:type="dxa"/>
            <w:shd w:val="clear" w:color="000000" w:fill="FFFFFF"/>
            <w:tcMar>
              <w:top w:w="113" w:type="dxa"/>
            </w:tcMar>
            <w:hideMark/>
          </w:tcPr>
          <w:p w14:paraId="7CB48E13"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de consultations du site Web consacré aux défis mondiaux</w:t>
            </w:r>
          </w:p>
        </w:tc>
        <w:tc>
          <w:tcPr>
            <w:tcW w:w="2393" w:type="dxa"/>
            <w:shd w:val="clear" w:color="000000" w:fill="FFFFFF"/>
            <w:tcMar>
              <w:top w:w="113" w:type="dxa"/>
            </w:tcMar>
            <w:hideMark/>
          </w:tcPr>
          <w:p w14:paraId="35BB5FF8" w14:textId="666BA8E8"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Nombre de consultations uniques en </w:t>
            </w:r>
            <w:r w:rsidR="000B1950">
              <w:rPr>
                <w:rFonts w:eastAsia="Times New Roman" w:cs="Arial"/>
                <w:sz w:val="16"/>
                <w:szCs w:val="16"/>
                <w:lang w:val="fr-CH" w:eastAsia="en-US"/>
              </w:rPr>
              <w:t>2016</w:t>
            </w:r>
            <w:r w:rsidRPr="000D6D04">
              <w:rPr>
                <w:rFonts w:eastAsia="Times New Roman" w:cs="Arial"/>
                <w:sz w:val="16"/>
                <w:szCs w:val="16"/>
                <w:lang w:val="fr-CH" w:eastAsia="en-US"/>
              </w:rPr>
              <w:t> :</w:t>
            </w:r>
          </w:p>
          <w:p w14:paraId="705D8AAD" w14:textId="62263A7C"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xml:space="preserve">– Division des défis mondiaux : </w:t>
            </w:r>
            <w:r w:rsidR="000B1950">
              <w:rPr>
                <w:rFonts w:eastAsia="Times New Roman" w:cs="Arial"/>
                <w:sz w:val="16"/>
                <w:szCs w:val="16"/>
                <w:lang w:val="fr-CH" w:eastAsia="en-US"/>
              </w:rPr>
              <w:t>742</w:t>
            </w:r>
          </w:p>
          <w:p w14:paraId="4F9E0A07" w14:textId="5B6E733B"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xml:space="preserve">– Santé mondiale et propriété intellectuelle : </w:t>
            </w:r>
            <w:r w:rsidR="000B1950">
              <w:rPr>
                <w:rFonts w:eastAsia="Times New Roman" w:cs="Arial"/>
                <w:sz w:val="16"/>
                <w:szCs w:val="16"/>
                <w:lang w:val="fr-CH" w:eastAsia="en-US"/>
              </w:rPr>
              <w:t>4566</w:t>
            </w:r>
          </w:p>
          <w:p w14:paraId="7CF3A00E" w14:textId="0B2F8635"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xml:space="preserve">– Changement climatique et propriété intellectuelle : </w:t>
            </w:r>
            <w:r w:rsidR="000B1950">
              <w:rPr>
                <w:rFonts w:eastAsia="Times New Roman" w:cs="Arial"/>
                <w:sz w:val="16"/>
                <w:szCs w:val="16"/>
                <w:lang w:val="fr-CH" w:eastAsia="en-US"/>
              </w:rPr>
              <w:t>2709</w:t>
            </w:r>
          </w:p>
          <w:p w14:paraId="29504068" w14:textId="0A416326" w:rsidR="00355559" w:rsidRPr="00591A2F" w:rsidRDefault="00355559" w:rsidP="00986700">
            <w:pPr>
              <w:rPr>
                <w:rFonts w:eastAsia="Times New Roman" w:cs="Arial"/>
                <w:sz w:val="16"/>
                <w:szCs w:val="16"/>
                <w:lang w:val="en-US" w:eastAsia="en-US"/>
              </w:rPr>
            </w:pPr>
            <w:r w:rsidRPr="00591A2F">
              <w:rPr>
                <w:rFonts w:eastAsia="Times New Roman" w:cs="Arial"/>
                <w:sz w:val="16"/>
                <w:szCs w:val="16"/>
                <w:lang w:val="en-US" w:eastAsia="en-US"/>
              </w:rPr>
              <w:t xml:space="preserve">– WIPO Re:Search : </w:t>
            </w:r>
            <w:r w:rsidR="000B1950" w:rsidRPr="00591A2F">
              <w:rPr>
                <w:rFonts w:eastAsia="Times New Roman" w:cs="Arial"/>
                <w:sz w:val="16"/>
                <w:szCs w:val="16"/>
                <w:lang w:val="en-US" w:eastAsia="en-US"/>
              </w:rPr>
              <w:t>18 345</w:t>
            </w:r>
          </w:p>
          <w:p w14:paraId="06C3B146" w14:textId="6A64B22A" w:rsidR="00355559" w:rsidRPr="00591A2F" w:rsidRDefault="00355559" w:rsidP="00986700">
            <w:pPr>
              <w:rPr>
                <w:rFonts w:eastAsia="Times New Roman" w:cs="Arial"/>
                <w:sz w:val="16"/>
                <w:szCs w:val="16"/>
                <w:lang w:val="en-US" w:eastAsia="en-US"/>
              </w:rPr>
            </w:pPr>
            <w:r w:rsidRPr="00591A2F">
              <w:rPr>
                <w:rFonts w:eastAsia="Times New Roman" w:cs="Arial"/>
                <w:sz w:val="16"/>
                <w:szCs w:val="16"/>
                <w:lang w:val="en-US" w:eastAsia="en-US"/>
              </w:rPr>
              <w:t xml:space="preserve">– WIPO GREEN : </w:t>
            </w:r>
            <w:r w:rsidR="000B1950" w:rsidRPr="00591A2F">
              <w:rPr>
                <w:rFonts w:eastAsia="Times New Roman" w:cs="Arial"/>
                <w:sz w:val="16"/>
                <w:szCs w:val="16"/>
                <w:lang w:val="en-US" w:eastAsia="en-US"/>
              </w:rPr>
              <w:t>117 176</w:t>
            </w:r>
          </w:p>
          <w:p w14:paraId="1C747597" w14:textId="62D43885" w:rsidR="00355559" w:rsidRPr="000D6D04" w:rsidRDefault="00355559" w:rsidP="000B1950">
            <w:pPr>
              <w:rPr>
                <w:rFonts w:eastAsia="Times New Roman" w:cs="Arial"/>
                <w:sz w:val="16"/>
                <w:szCs w:val="16"/>
                <w:lang w:val="fr-CH" w:eastAsia="en-US"/>
              </w:rPr>
            </w:pPr>
            <w:r w:rsidRPr="000D6D04">
              <w:rPr>
                <w:rFonts w:eastAsia="Times New Roman" w:cs="Arial"/>
                <w:sz w:val="16"/>
                <w:szCs w:val="16"/>
                <w:lang w:val="fr-CH" w:eastAsia="en-US"/>
              </w:rPr>
              <w:t xml:space="preserve">– Téléchargement de fichiers pdf : </w:t>
            </w:r>
            <w:r w:rsidR="000B1950">
              <w:rPr>
                <w:rFonts w:eastAsia="Times New Roman" w:cs="Arial"/>
                <w:sz w:val="16"/>
                <w:szCs w:val="16"/>
                <w:lang w:val="fr-CH" w:eastAsia="en-US"/>
              </w:rPr>
              <w:t>37 868</w:t>
            </w:r>
          </w:p>
        </w:tc>
        <w:tc>
          <w:tcPr>
            <w:tcW w:w="2393" w:type="dxa"/>
            <w:shd w:val="clear" w:color="000000" w:fill="FFFFFF"/>
            <w:tcMar>
              <w:top w:w="113" w:type="dxa"/>
            </w:tcMar>
            <w:hideMark/>
          </w:tcPr>
          <w:p w14:paraId="3ACFED4F"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Augmentations pour l’exercice biennal :</w:t>
            </w:r>
          </w:p>
          <w:p w14:paraId="55CFC62A"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Division des défis mondiaux : 10%</w:t>
            </w:r>
          </w:p>
          <w:p w14:paraId="1EF22AA0"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Santé mondiale et propriété intellectuelle : 10%</w:t>
            </w:r>
          </w:p>
          <w:p w14:paraId="4B5A0F25"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Changement climatique et propriété intellectuelle : 10% – WIPO Re:Search : 20%</w:t>
            </w:r>
          </w:p>
          <w:p w14:paraId="5903E22B"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WIPO GREEN : 10%</w:t>
            </w:r>
          </w:p>
          <w:p w14:paraId="050882C3"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 xml:space="preserve">– Téléchargement de fichiers pdf : 10% </w:t>
            </w:r>
          </w:p>
        </w:tc>
      </w:tr>
      <w:tr w:rsidR="00355559" w:rsidRPr="000D6D04" w14:paraId="255AB70E" w14:textId="77777777" w:rsidTr="00355559">
        <w:trPr>
          <w:cantSplit/>
        </w:trPr>
        <w:tc>
          <w:tcPr>
            <w:tcW w:w="2392" w:type="dxa"/>
            <w:shd w:val="clear" w:color="000000" w:fill="FFFFFF"/>
            <w:tcMar>
              <w:top w:w="113" w:type="dxa"/>
            </w:tcMar>
            <w:vAlign w:val="bottom"/>
            <w:hideMark/>
          </w:tcPr>
          <w:p w14:paraId="6AEA0FC5" w14:textId="77777777" w:rsidR="00355559" w:rsidRPr="000D6D04" w:rsidRDefault="00355559" w:rsidP="00986700">
            <w:pPr>
              <w:jc w:val="right"/>
              <w:rPr>
                <w:rFonts w:eastAsia="Times New Roman" w:cs="Arial"/>
                <w:sz w:val="16"/>
                <w:szCs w:val="16"/>
                <w:lang w:val="fr-CH" w:eastAsia="en-US"/>
              </w:rPr>
            </w:pPr>
            <w:r w:rsidRPr="000D6D04">
              <w:rPr>
                <w:rFonts w:eastAsia="Times New Roman" w:cs="Arial"/>
                <w:sz w:val="16"/>
                <w:szCs w:val="16"/>
                <w:lang w:val="fr-CH" w:eastAsia="en-US"/>
              </w:rPr>
              <w:t> </w:t>
            </w:r>
          </w:p>
        </w:tc>
        <w:tc>
          <w:tcPr>
            <w:tcW w:w="2393" w:type="dxa"/>
            <w:shd w:val="clear" w:color="000000" w:fill="FFFFFF"/>
            <w:tcMar>
              <w:top w:w="113" w:type="dxa"/>
            </w:tcMar>
            <w:hideMark/>
          </w:tcPr>
          <w:p w14:paraId="306BE630"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Progrès dans l’élaboration d’un cadre de collaboration aux fins d’une contribution efficace de la propriété intellectuelle à la sécurité alimentaire grâce à un processus de consultation</w:t>
            </w:r>
          </w:p>
        </w:tc>
        <w:tc>
          <w:tcPr>
            <w:tcW w:w="2393" w:type="dxa"/>
            <w:shd w:val="clear" w:color="000000" w:fill="FFFFFF"/>
            <w:tcMar>
              <w:top w:w="113" w:type="dxa"/>
            </w:tcMar>
            <w:hideMark/>
          </w:tcPr>
          <w:p w14:paraId="366A8F63"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Aucun projet de cadre</w:t>
            </w:r>
          </w:p>
        </w:tc>
        <w:tc>
          <w:tcPr>
            <w:tcW w:w="2393" w:type="dxa"/>
            <w:shd w:val="clear" w:color="000000" w:fill="FFFFFF"/>
            <w:tcMar>
              <w:top w:w="113" w:type="dxa"/>
            </w:tcMar>
            <w:hideMark/>
          </w:tcPr>
          <w:p w14:paraId="310B9B89" w14:textId="77777777" w:rsidR="00355559" w:rsidRPr="000D6D04" w:rsidRDefault="00355559" w:rsidP="00986700">
            <w:pPr>
              <w:rPr>
                <w:rFonts w:eastAsia="Times New Roman" w:cs="Arial"/>
                <w:sz w:val="16"/>
                <w:szCs w:val="16"/>
                <w:lang w:val="fr-CH" w:eastAsia="en-US"/>
              </w:rPr>
            </w:pPr>
            <w:r w:rsidRPr="000D6D04">
              <w:rPr>
                <w:rFonts w:eastAsia="Times New Roman" w:cs="Arial"/>
                <w:sz w:val="16"/>
                <w:szCs w:val="16"/>
                <w:lang w:val="fr-CH" w:eastAsia="en-US"/>
              </w:rPr>
              <w:t>Élaboration d’un projet de cadre</w:t>
            </w:r>
          </w:p>
        </w:tc>
      </w:tr>
    </w:tbl>
    <w:p w14:paraId="242D5739" w14:textId="77777777" w:rsidR="00355559" w:rsidRPr="000D6D04" w:rsidRDefault="00355559" w:rsidP="00986700">
      <w:pPr>
        <w:rPr>
          <w:rFonts w:cs="Arial"/>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55B7B429" w14:textId="77777777" w:rsidTr="001A722F">
        <w:trPr>
          <w:cantSplit/>
        </w:trPr>
        <w:tc>
          <w:tcPr>
            <w:tcW w:w="9571" w:type="dxa"/>
            <w:shd w:val="clear" w:color="auto" w:fill="C6D9F1" w:themeFill="text2" w:themeFillTint="33"/>
            <w:vAlign w:val="center"/>
          </w:tcPr>
          <w:p w14:paraId="48FAB9D3" w14:textId="77777777" w:rsidR="00277197" w:rsidRPr="00821D15" w:rsidRDefault="00277197" w:rsidP="00637026">
            <w:pPr>
              <w:keepNext/>
              <w:jc w:val="center"/>
              <w:rPr>
                <w:rFonts w:cs="Arial"/>
                <w:b/>
                <w:szCs w:val="20"/>
              </w:rPr>
            </w:pPr>
            <w:r w:rsidRPr="00821D15">
              <w:rPr>
                <w:rFonts w:cs="Arial"/>
                <w:b/>
                <w:szCs w:val="20"/>
              </w:rPr>
              <w:lastRenderedPageBreak/>
              <w:t>Ressources allouées au programme 18</w:t>
            </w:r>
          </w:p>
        </w:tc>
      </w:tr>
    </w:tbl>
    <w:p w14:paraId="038760F0" w14:textId="77777777" w:rsidR="00277197" w:rsidRPr="00821D15" w:rsidRDefault="00277197" w:rsidP="00637026">
      <w:pPr>
        <w:keepNext/>
        <w:rPr>
          <w:rFonts w:cs="Arial"/>
          <w:szCs w:val="20"/>
        </w:rPr>
      </w:pPr>
    </w:p>
    <w:p w14:paraId="7B9E9B12" w14:textId="77777777" w:rsidR="00277197" w:rsidRPr="00821D15" w:rsidRDefault="00277197" w:rsidP="00616FD3">
      <w:pPr>
        <w:numPr>
          <w:ilvl w:val="0"/>
          <w:numId w:val="80"/>
        </w:numPr>
        <w:ind w:left="0" w:firstLine="0"/>
        <w:jc w:val="both"/>
        <w:rPr>
          <w:rFonts w:cs="Arial"/>
          <w:szCs w:val="20"/>
        </w:rPr>
      </w:pPr>
      <w:r w:rsidRPr="00821D15">
        <w:rPr>
          <w:rFonts w:cs="Arial"/>
          <w:szCs w:val="20"/>
        </w:rPr>
        <w:t>Les dépenses globales allouées au programme au cours de l’exercice biennal 2018</w:t>
      </w:r>
      <w:r w:rsidRPr="00821D15">
        <w:rPr>
          <w:rFonts w:cs="Arial"/>
          <w:szCs w:val="20"/>
        </w:rPr>
        <w:noBreakHyphen/>
        <w:t>2019 indiquent une diminution de 10,7% par rapport au budget approuvé pour 2016</w:t>
      </w:r>
      <w:r w:rsidRPr="00821D15">
        <w:rPr>
          <w:rFonts w:cs="Arial"/>
          <w:szCs w:val="20"/>
        </w:rPr>
        <w:noBreakHyphen/>
        <w:t>2017.  Cette diminution est due à la baisse des dépenses de personnel à la suite de la réaffectation d’un agent temporaire pour répondre à des priorités dans d’autres secteurs de l’Organisation, ce dont il est rendu compte sous le résultat escompté I.2 (conseils en matière de législation).</w:t>
      </w:r>
    </w:p>
    <w:p w14:paraId="0EAFF11C" w14:textId="77777777" w:rsidR="00277197" w:rsidRPr="00821D15" w:rsidRDefault="00277197" w:rsidP="00986700">
      <w:pPr>
        <w:rPr>
          <w:rFonts w:cs="Arial"/>
          <w:szCs w:val="20"/>
        </w:rPr>
      </w:pPr>
    </w:p>
    <w:p w14:paraId="0EC1847C" w14:textId="77777777" w:rsidR="00277197" w:rsidRPr="00821D15" w:rsidRDefault="00277197" w:rsidP="00616FD3">
      <w:pPr>
        <w:numPr>
          <w:ilvl w:val="0"/>
          <w:numId w:val="80"/>
        </w:numPr>
        <w:ind w:left="0" w:firstLine="0"/>
        <w:jc w:val="both"/>
        <w:rPr>
          <w:rFonts w:cs="Arial"/>
          <w:szCs w:val="20"/>
        </w:rPr>
      </w:pPr>
      <w:r w:rsidRPr="00821D15">
        <w:rPr>
          <w:rFonts w:cs="Arial"/>
          <w:szCs w:val="20"/>
        </w:rPr>
        <w:t>La diminution des ressources allouées au titre du résultat escompté III.2 (</w:t>
      </w:r>
      <w:r w:rsidRPr="00821D15">
        <w:rPr>
          <w:rFonts w:cs="Arial"/>
          <w:color w:val="000000"/>
          <w:szCs w:val="20"/>
        </w:rPr>
        <w:t>mise en valeur des ressources humaines</w:t>
      </w:r>
      <w:r w:rsidRPr="00821D15">
        <w:rPr>
          <w:rFonts w:cs="Arial"/>
          <w:szCs w:val="20"/>
        </w:rPr>
        <w:t>) correspond à la fin du cours DL sur la propriété intellectuelle et les défis mondiaux, dont la mise en œuvre relève de l’Académie de l’OMPI en 2018</w:t>
      </w:r>
      <w:r w:rsidRPr="00821D15">
        <w:rPr>
          <w:rFonts w:cs="Arial"/>
          <w:szCs w:val="20"/>
        </w:rPr>
        <w:noBreakHyphen/>
        <w:t>2019.  L’augmentation des ressources allouées au titre du résultat escompté VII.1 (plateformes fondées sur la propriété intellectuelle) répond à une volonté de mettre l’accent sur le renforcement des plateformes mondiales de propriété intellectuelle de l’OMPI et notamment sur les activités de promotion et de sensibilisation.</w:t>
      </w:r>
    </w:p>
    <w:p w14:paraId="31043D33" w14:textId="77777777" w:rsidR="00277197" w:rsidRPr="00821D15" w:rsidRDefault="00277197" w:rsidP="00986700">
      <w:pPr>
        <w:rPr>
          <w:rFonts w:cs="Arial"/>
          <w:szCs w:val="20"/>
        </w:rPr>
      </w:pPr>
    </w:p>
    <w:p w14:paraId="0AAC9131" w14:textId="77777777" w:rsidR="00277197" w:rsidRPr="00821D15" w:rsidRDefault="00277197" w:rsidP="00616FD3">
      <w:pPr>
        <w:numPr>
          <w:ilvl w:val="0"/>
          <w:numId w:val="80"/>
        </w:numPr>
        <w:ind w:left="0" w:firstLine="0"/>
        <w:jc w:val="both"/>
        <w:rPr>
          <w:rFonts w:cs="Arial"/>
          <w:szCs w:val="20"/>
        </w:rPr>
      </w:pPr>
      <w:r w:rsidRPr="00821D15">
        <w:rPr>
          <w:rFonts w:cs="Arial"/>
          <w:szCs w:val="20"/>
        </w:rPr>
        <w:t>Les ressources liées aux résultats escomptés I.1, VI.1, VI.2 et VIII.5 dans le cadre de ce programme correspondent aux efforts déployés par le bureau du sous</w:t>
      </w:r>
      <w:r w:rsidRPr="00821D15">
        <w:rPr>
          <w:rFonts w:cs="Arial"/>
          <w:szCs w:val="20"/>
        </w:rPr>
        <w:noBreakHyphen/>
        <w:t>directeur général du Secteur des questions mondiales en faveur des activités relevant des programmes 4, 17 et 20, respectivement.</w:t>
      </w:r>
    </w:p>
    <w:p w14:paraId="6B0C2602" w14:textId="77777777" w:rsidR="00674550" w:rsidRDefault="00674550" w:rsidP="00986700">
      <w:pPr>
        <w:rPr>
          <w:lang w:eastAsia="en-US"/>
        </w:rPr>
      </w:pPr>
    </w:p>
    <w:p w14:paraId="469A3192" w14:textId="726EF6DD"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18 : </w:t>
      </w:r>
      <w:r w:rsidRPr="00674550">
        <w:rPr>
          <w:rFonts w:eastAsia="Times New Roman" w:cs="Arial"/>
          <w:b/>
          <w:szCs w:val="20"/>
          <w:lang w:eastAsia="en-US"/>
        </w:rPr>
        <w:t>Ressources par résultat</w:t>
      </w:r>
    </w:p>
    <w:p w14:paraId="246C8675"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4C1B18FB" w14:textId="77777777" w:rsidR="00674550" w:rsidRDefault="00674550" w:rsidP="00986700">
      <w:pPr>
        <w:keepNext/>
        <w:rPr>
          <w:lang w:eastAsia="en-US"/>
        </w:rPr>
      </w:pPr>
    </w:p>
    <w:p w14:paraId="34FD6622" w14:textId="323677A5" w:rsidR="00717231" w:rsidRDefault="00717231" w:rsidP="00986700">
      <w:pPr>
        <w:jc w:val="center"/>
        <w:rPr>
          <w:lang w:eastAsia="en-US"/>
        </w:rPr>
      </w:pPr>
      <w:r w:rsidRPr="00717231">
        <w:rPr>
          <w:noProof/>
          <w:lang w:val="en-US" w:eastAsia="en-US"/>
        </w:rPr>
        <w:drawing>
          <wp:inline distT="0" distB="0" distL="0" distR="0" wp14:anchorId="3FCC0A30" wp14:editId="7A06C596">
            <wp:extent cx="5400000" cy="4761368"/>
            <wp:effectExtent l="0" t="0" r="0"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0000" cy="4761368"/>
                    </a:xfrm>
                    <a:prstGeom prst="rect">
                      <a:avLst/>
                    </a:prstGeom>
                    <a:noFill/>
                    <a:ln>
                      <a:noFill/>
                    </a:ln>
                  </pic:spPr>
                </pic:pic>
              </a:graphicData>
            </a:graphic>
          </wp:inline>
        </w:drawing>
      </w:r>
    </w:p>
    <w:p w14:paraId="02E8CA12" w14:textId="77777777" w:rsidR="00B55ECC" w:rsidRDefault="00B55ECC" w:rsidP="00986700">
      <w:pPr>
        <w:rPr>
          <w:lang w:eastAsia="en-US"/>
        </w:rPr>
      </w:pPr>
    </w:p>
    <w:p w14:paraId="39E7C7AB"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18</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B403F04" w14:textId="0BE3BFCB"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1ABE7936" w14:textId="77777777" w:rsidR="008778B5" w:rsidRDefault="008778B5" w:rsidP="00986700">
      <w:pPr>
        <w:keepNext/>
        <w:rPr>
          <w:lang w:eastAsia="en-US"/>
        </w:rPr>
      </w:pPr>
    </w:p>
    <w:p w14:paraId="4FA73228" w14:textId="105F7C2E" w:rsidR="00B55ECC" w:rsidRDefault="008778B5" w:rsidP="00986700">
      <w:pPr>
        <w:jc w:val="center"/>
        <w:rPr>
          <w:lang w:eastAsia="en-US"/>
        </w:rPr>
      </w:pPr>
      <w:r w:rsidRPr="008778B5">
        <w:rPr>
          <w:noProof/>
          <w:lang w:val="en-US" w:eastAsia="en-US"/>
        </w:rPr>
        <w:drawing>
          <wp:inline distT="0" distB="0" distL="0" distR="0" wp14:anchorId="2D8B742B" wp14:editId="6D8DE2FB">
            <wp:extent cx="5400000" cy="6044739"/>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000" cy="6044739"/>
                    </a:xfrm>
                    <a:prstGeom prst="rect">
                      <a:avLst/>
                    </a:prstGeom>
                    <a:noFill/>
                    <a:ln>
                      <a:noFill/>
                    </a:ln>
                  </pic:spPr>
                </pic:pic>
              </a:graphicData>
            </a:graphic>
          </wp:inline>
        </w:drawing>
      </w:r>
    </w:p>
    <w:p w14:paraId="5C3C0272" w14:textId="77777777" w:rsidR="00B55ECC" w:rsidRPr="00E16214" w:rsidRDefault="00B55ECC" w:rsidP="00986700">
      <w:pPr>
        <w:rPr>
          <w:lang w:eastAsia="en-US"/>
        </w:rPr>
      </w:pPr>
    </w:p>
    <w:p w14:paraId="1292E9F0" w14:textId="42104B00" w:rsidR="00426A7C" w:rsidRDefault="00426A7C" w:rsidP="00986700">
      <w:pPr>
        <w:rPr>
          <w:lang w:eastAsia="en-US"/>
        </w:rPr>
      </w:pPr>
      <w:r>
        <w:rPr>
          <w:lang w:eastAsia="en-US"/>
        </w:rPr>
        <w:br w:type="page"/>
      </w:r>
    </w:p>
    <w:p w14:paraId="618AA5D2" w14:textId="09944459" w:rsidR="0031700C" w:rsidRPr="00014D84" w:rsidRDefault="0031700C" w:rsidP="00986700">
      <w:pPr>
        <w:pStyle w:val="Heading4"/>
      </w:pPr>
      <w:bookmarkStart w:id="69" w:name="_Toc367350598"/>
      <w:bookmarkStart w:id="70" w:name="_Toc481222402"/>
      <w:bookmarkStart w:id="71" w:name="_Toc482979502"/>
      <w:r w:rsidRPr="00014D84">
        <w:lastRenderedPageBreak/>
        <w:t>Objectif stratégique VIII</w:t>
      </w:r>
      <w:r w:rsidRPr="00014D84">
        <w:tab/>
      </w:r>
      <w:bookmarkEnd w:id="69"/>
      <w:bookmarkEnd w:id="70"/>
      <w:r w:rsidRPr="00014D84">
        <w:t>Interface de communication dynamique entre l’OMPI, ses états membres et l’ensemble des parties prenantes</w:t>
      </w:r>
      <w:bookmarkEnd w:id="71"/>
    </w:p>
    <w:p w14:paraId="1F084A06" w14:textId="77777777" w:rsidR="0031700C" w:rsidRPr="00014D84" w:rsidRDefault="0031700C" w:rsidP="00986700"/>
    <w:p w14:paraId="1C0C8EC4" w14:textId="77777777" w:rsidR="0031700C" w:rsidRPr="00014D84" w:rsidRDefault="0031700C" w:rsidP="00986700"/>
    <w:tbl>
      <w:tblPr>
        <w:tblStyle w:val="TableGrid"/>
        <w:tblW w:w="49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841"/>
        <w:gridCol w:w="2427"/>
      </w:tblGrid>
      <w:tr w:rsidR="0031700C" w:rsidRPr="00014D84" w14:paraId="2F7C6206" w14:textId="77777777" w:rsidTr="0031700C">
        <w:trPr>
          <w:cantSplit/>
        </w:trPr>
        <w:tc>
          <w:tcPr>
            <w:tcW w:w="2936" w:type="dxa"/>
            <w:shd w:val="clear" w:color="auto" w:fill="B8CCE4" w:themeFill="accent1" w:themeFillTint="66"/>
            <w:vAlign w:val="center"/>
            <w:hideMark/>
          </w:tcPr>
          <w:p w14:paraId="28CDACBA" w14:textId="77777777" w:rsidR="0031700C" w:rsidRPr="00014D84" w:rsidRDefault="0031700C" w:rsidP="00986700">
            <w:pPr>
              <w:tabs>
                <w:tab w:val="left" w:pos="588"/>
                <w:tab w:val="center" w:pos="1353"/>
              </w:tabs>
              <w:jc w:val="center"/>
              <w:rPr>
                <w:b/>
                <w:bCs/>
                <w:sz w:val="18"/>
                <w:szCs w:val="18"/>
              </w:rPr>
            </w:pPr>
            <w:r w:rsidRPr="00014D84">
              <w:rPr>
                <w:b/>
                <w:bCs/>
                <w:sz w:val="18"/>
                <w:szCs w:val="18"/>
              </w:rPr>
              <w:t>Résultats escomptés</w:t>
            </w:r>
          </w:p>
        </w:tc>
        <w:tc>
          <w:tcPr>
            <w:tcW w:w="3848" w:type="dxa"/>
            <w:shd w:val="clear" w:color="auto" w:fill="B8CCE4" w:themeFill="accent1" w:themeFillTint="66"/>
            <w:vAlign w:val="center"/>
            <w:hideMark/>
          </w:tcPr>
          <w:p w14:paraId="756825E5" w14:textId="77777777" w:rsidR="0031700C" w:rsidRPr="00014D84" w:rsidRDefault="0031700C" w:rsidP="00986700">
            <w:pPr>
              <w:jc w:val="center"/>
              <w:rPr>
                <w:b/>
                <w:bCs/>
                <w:sz w:val="18"/>
                <w:szCs w:val="18"/>
              </w:rPr>
            </w:pPr>
            <w:r w:rsidRPr="00014D84">
              <w:rPr>
                <w:b/>
                <w:sz w:val="18"/>
                <w:szCs w:val="18"/>
              </w:rPr>
              <w:t>Indicateurs d’exécution</w:t>
            </w:r>
          </w:p>
        </w:tc>
        <w:tc>
          <w:tcPr>
            <w:tcW w:w="2430" w:type="dxa"/>
            <w:shd w:val="clear" w:color="auto" w:fill="B8CCE4" w:themeFill="accent1" w:themeFillTint="66"/>
            <w:vAlign w:val="center"/>
            <w:hideMark/>
          </w:tcPr>
          <w:p w14:paraId="3782C996" w14:textId="77777777" w:rsidR="0031700C" w:rsidRPr="00014D84" w:rsidRDefault="0031700C" w:rsidP="00986700">
            <w:pPr>
              <w:jc w:val="center"/>
              <w:rPr>
                <w:b/>
                <w:bCs/>
                <w:sz w:val="16"/>
                <w:szCs w:val="16"/>
              </w:rPr>
            </w:pPr>
            <w:r w:rsidRPr="00014D84">
              <w:rPr>
                <w:b/>
                <w:sz w:val="18"/>
                <w:szCs w:val="16"/>
              </w:rPr>
              <w:t>Programme(s) concerné(s)</w:t>
            </w:r>
          </w:p>
        </w:tc>
      </w:tr>
      <w:tr w:rsidR="0031700C" w:rsidRPr="00014D84" w14:paraId="3ACC06E6" w14:textId="77777777" w:rsidTr="0031700C">
        <w:trPr>
          <w:cantSplit/>
        </w:trPr>
        <w:tc>
          <w:tcPr>
            <w:tcW w:w="2936" w:type="dxa"/>
            <w:hideMark/>
          </w:tcPr>
          <w:p w14:paraId="51C9548C" w14:textId="77777777" w:rsidR="0031700C" w:rsidRPr="00014D84" w:rsidRDefault="0031700C" w:rsidP="00986700">
            <w:pPr>
              <w:rPr>
                <w:sz w:val="16"/>
                <w:szCs w:val="16"/>
                <w:lang w:val="fr-CH"/>
              </w:rPr>
            </w:pPr>
            <w:r w:rsidRPr="00014D84">
              <w:rPr>
                <w:sz w:val="16"/>
                <w:szCs w:val="16"/>
              </w:rPr>
              <w:t>VIII.1 Communication plus efficace avec un public large et varié concernant la propriété intellectuelle et le rôle de l’OMPI</w:t>
            </w:r>
          </w:p>
        </w:tc>
        <w:tc>
          <w:tcPr>
            <w:tcW w:w="3848" w:type="dxa"/>
            <w:hideMark/>
          </w:tcPr>
          <w:p w14:paraId="33BD6CEE" w14:textId="77777777" w:rsidR="0031700C" w:rsidRPr="00014D84" w:rsidRDefault="0031700C" w:rsidP="00986700">
            <w:pPr>
              <w:rPr>
                <w:sz w:val="16"/>
                <w:szCs w:val="16"/>
              </w:rPr>
            </w:pPr>
            <w:r w:rsidRPr="00014D84">
              <w:rPr>
                <w:sz w:val="16"/>
                <w:szCs w:val="16"/>
              </w:rPr>
              <w:t>Marque/réputation : les parties prenantes comprennent le positionnement de la marque de l’OMPI et perçoivent de manière positive la réputation de l’OMPI</w:t>
            </w:r>
          </w:p>
        </w:tc>
        <w:tc>
          <w:tcPr>
            <w:tcW w:w="2430" w:type="dxa"/>
            <w:hideMark/>
          </w:tcPr>
          <w:p w14:paraId="0508B9C9" w14:textId="77777777" w:rsidR="0031700C" w:rsidRPr="00014D84" w:rsidRDefault="0031700C" w:rsidP="00986700">
            <w:pPr>
              <w:jc w:val="center"/>
              <w:rPr>
                <w:sz w:val="16"/>
                <w:szCs w:val="16"/>
              </w:rPr>
            </w:pPr>
            <w:r w:rsidRPr="00014D84">
              <w:rPr>
                <w:sz w:val="16"/>
                <w:szCs w:val="16"/>
              </w:rPr>
              <w:t>Programme 19</w:t>
            </w:r>
          </w:p>
        </w:tc>
      </w:tr>
      <w:tr w:rsidR="0031700C" w:rsidRPr="00014D84" w14:paraId="1A43CB6F" w14:textId="77777777" w:rsidTr="0031700C">
        <w:trPr>
          <w:cantSplit/>
        </w:trPr>
        <w:tc>
          <w:tcPr>
            <w:tcW w:w="2936" w:type="dxa"/>
            <w:hideMark/>
          </w:tcPr>
          <w:p w14:paraId="403165D8" w14:textId="77777777" w:rsidR="0031700C" w:rsidRPr="00014D84" w:rsidRDefault="0031700C" w:rsidP="00986700">
            <w:pPr>
              <w:rPr>
                <w:sz w:val="16"/>
                <w:szCs w:val="16"/>
              </w:rPr>
            </w:pPr>
            <w:r w:rsidRPr="00014D84">
              <w:rPr>
                <w:sz w:val="16"/>
                <w:szCs w:val="16"/>
              </w:rPr>
              <w:t> </w:t>
            </w:r>
          </w:p>
        </w:tc>
        <w:tc>
          <w:tcPr>
            <w:tcW w:w="3848" w:type="dxa"/>
            <w:hideMark/>
          </w:tcPr>
          <w:p w14:paraId="421CE377" w14:textId="77777777" w:rsidR="0031700C" w:rsidRPr="00014D84" w:rsidRDefault="0031700C" w:rsidP="00986700">
            <w:pPr>
              <w:rPr>
                <w:sz w:val="16"/>
                <w:szCs w:val="16"/>
              </w:rPr>
            </w:pPr>
            <w:r w:rsidRPr="00014D84">
              <w:rPr>
                <w:sz w:val="16"/>
                <w:szCs w:val="16"/>
              </w:rPr>
              <w:t xml:space="preserve">Marque/réputation : nombre de lecteurs du bulletin d’information électronique qui consultent les contenus relatifs aux principaux événements, produits et activités de l’OMPI </w:t>
            </w:r>
          </w:p>
        </w:tc>
        <w:tc>
          <w:tcPr>
            <w:tcW w:w="2430" w:type="dxa"/>
            <w:hideMark/>
          </w:tcPr>
          <w:p w14:paraId="694F1775" w14:textId="77777777" w:rsidR="0031700C" w:rsidRPr="00014D84" w:rsidRDefault="0031700C" w:rsidP="00986700">
            <w:pPr>
              <w:jc w:val="center"/>
              <w:rPr>
                <w:sz w:val="16"/>
                <w:szCs w:val="16"/>
              </w:rPr>
            </w:pPr>
            <w:r w:rsidRPr="00014D84">
              <w:rPr>
                <w:sz w:val="16"/>
                <w:szCs w:val="16"/>
              </w:rPr>
              <w:t>Programme 19</w:t>
            </w:r>
          </w:p>
        </w:tc>
      </w:tr>
      <w:tr w:rsidR="0031700C" w:rsidRPr="00014D84" w14:paraId="47EE74EA" w14:textId="77777777" w:rsidTr="0031700C">
        <w:trPr>
          <w:cantSplit/>
        </w:trPr>
        <w:tc>
          <w:tcPr>
            <w:tcW w:w="2936" w:type="dxa"/>
            <w:hideMark/>
          </w:tcPr>
          <w:p w14:paraId="35E01254" w14:textId="77777777" w:rsidR="0031700C" w:rsidRPr="00014D84" w:rsidRDefault="0031700C" w:rsidP="00986700">
            <w:pPr>
              <w:rPr>
                <w:sz w:val="16"/>
                <w:szCs w:val="16"/>
              </w:rPr>
            </w:pPr>
            <w:r w:rsidRPr="00014D84">
              <w:rPr>
                <w:sz w:val="16"/>
                <w:szCs w:val="16"/>
              </w:rPr>
              <w:t> </w:t>
            </w:r>
          </w:p>
        </w:tc>
        <w:tc>
          <w:tcPr>
            <w:tcW w:w="3848" w:type="dxa"/>
            <w:hideMark/>
          </w:tcPr>
          <w:p w14:paraId="702BF269" w14:textId="77777777" w:rsidR="0031700C" w:rsidRPr="00014D84" w:rsidRDefault="0031700C" w:rsidP="00986700">
            <w:pPr>
              <w:rPr>
                <w:sz w:val="16"/>
                <w:szCs w:val="16"/>
              </w:rPr>
            </w:pPr>
            <w:r w:rsidRPr="00014D84">
              <w:rPr>
                <w:sz w:val="16"/>
                <w:szCs w:val="16"/>
              </w:rPr>
              <w:t>Participation : participation à la campagne de la Journée mondiale de la propriété intellectuelle</w:t>
            </w:r>
          </w:p>
        </w:tc>
        <w:tc>
          <w:tcPr>
            <w:tcW w:w="2430" w:type="dxa"/>
            <w:hideMark/>
          </w:tcPr>
          <w:p w14:paraId="60FF9470" w14:textId="77777777" w:rsidR="0031700C" w:rsidRPr="00014D84" w:rsidRDefault="0031700C" w:rsidP="00986700">
            <w:pPr>
              <w:jc w:val="center"/>
              <w:rPr>
                <w:sz w:val="16"/>
                <w:szCs w:val="16"/>
              </w:rPr>
            </w:pPr>
            <w:r w:rsidRPr="00014D84">
              <w:rPr>
                <w:sz w:val="16"/>
                <w:szCs w:val="16"/>
              </w:rPr>
              <w:t>Programme 19</w:t>
            </w:r>
          </w:p>
        </w:tc>
      </w:tr>
      <w:tr w:rsidR="0031700C" w:rsidRPr="00014D84" w14:paraId="7A37DAC2" w14:textId="77777777" w:rsidTr="0031700C">
        <w:trPr>
          <w:cantSplit/>
        </w:trPr>
        <w:tc>
          <w:tcPr>
            <w:tcW w:w="2936" w:type="dxa"/>
            <w:hideMark/>
          </w:tcPr>
          <w:p w14:paraId="220801E3" w14:textId="77777777" w:rsidR="0031700C" w:rsidRPr="00014D84" w:rsidRDefault="0031700C" w:rsidP="00986700">
            <w:pPr>
              <w:rPr>
                <w:sz w:val="16"/>
                <w:szCs w:val="16"/>
              </w:rPr>
            </w:pPr>
            <w:r w:rsidRPr="00014D84">
              <w:rPr>
                <w:sz w:val="16"/>
                <w:szCs w:val="16"/>
              </w:rPr>
              <w:t> </w:t>
            </w:r>
          </w:p>
        </w:tc>
        <w:tc>
          <w:tcPr>
            <w:tcW w:w="3848" w:type="dxa"/>
            <w:hideMark/>
          </w:tcPr>
          <w:p w14:paraId="283D22E1" w14:textId="099C55FC" w:rsidR="0031700C" w:rsidRPr="00014D84" w:rsidRDefault="0031700C" w:rsidP="00986700">
            <w:pPr>
              <w:rPr>
                <w:sz w:val="16"/>
                <w:szCs w:val="16"/>
              </w:rPr>
            </w:pPr>
            <w:r w:rsidRPr="00014D84">
              <w:rPr>
                <w:sz w:val="16"/>
                <w:szCs w:val="16"/>
              </w:rPr>
              <w:t xml:space="preserve">Participation : amélioration de l’accès aux publications et supports promotionnels de l’OMPI dans différentes langues et différents formats, y compris pour les publics </w:t>
            </w:r>
            <w:r w:rsidR="00560330">
              <w:rPr>
                <w:sz w:val="16"/>
                <w:szCs w:val="16"/>
              </w:rPr>
              <w:t>dont la couverture est insuffisante</w:t>
            </w:r>
          </w:p>
        </w:tc>
        <w:tc>
          <w:tcPr>
            <w:tcW w:w="2430" w:type="dxa"/>
            <w:hideMark/>
          </w:tcPr>
          <w:p w14:paraId="4C6FDB2B" w14:textId="77777777" w:rsidR="0031700C" w:rsidRPr="00014D84" w:rsidRDefault="0031700C" w:rsidP="00986700">
            <w:pPr>
              <w:jc w:val="center"/>
              <w:rPr>
                <w:sz w:val="16"/>
                <w:szCs w:val="16"/>
              </w:rPr>
            </w:pPr>
            <w:r w:rsidRPr="00014D84">
              <w:rPr>
                <w:sz w:val="16"/>
                <w:szCs w:val="16"/>
              </w:rPr>
              <w:t>Programme 19</w:t>
            </w:r>
          </w:p>
        </w:tc>
      </w:tr>
      <w:tr w:rsidR="0031700C" w:rsidRPr="00014D84" w14:paraId="15168083" w14:textId="77777777" w:rsidTr="0031700C">
        <w:trPr>
          <w:cantSplit/>
        </w:trPr>
        <w:tc>
          <w:tcPr>
            <w:tcW w:w="2936" w:type="dxa"/>
            <w:hideMark/>
          </w:tcPr>
          <w:p w14:paraId="4BD03205" w14:textId="77777777" w:rsidR="0031700C" w:rsidRPr="00014D84" w:rsidRDefault="0031700C" w:rsidP="00986700">
            <w:pPr>
              <w:rPr>
                <w:sz w:val="16"/>
                <w:szCs w:val="16"/>
              </w:rPr>
            </w:pPr>
            <w:r w:rsidRPr="00014D84">
              <w:rPr>
                <w:sz w:val="16"/>
                <w:szCs w:val="16"/>
              </w:rPr>
              <w:t> </w:t>
            </w:r>
          </w:p>
        </w:tc>
        <w:tc>
          <w:tcPr>
            <w:tcW w:w="3848" w:type="dxa"/>
            <w:hideMark/>
          </w:tcPr>
          <w:p w14:paraId="0D1BD917" w14:textId="0A65F717" w:rsidR="0031700C" w:rsidRPr="00014D84" w:rsidRDefault="0031700C" w:rsidP="00986700">
            <w:pPr>
              <w:rPr>
                <w:sz w:val="16"/>
                <w:szCs w:val="16"/>
              </w:rPr>
            </w:pPr>
            <w:r w:rsidRPr="00014D84">
              <w:rPr>
                <w:sz w:val="16"/>
                <w:szCs w:val="16"/>
              </w:rPr>
              <w:t xml:space="preserve">Participation : </w:t>
            </w:r>
            <w:r w:rsidR="00560330" w:rsidRPr="00014D84">
              <w:rPr>
                <w:sz w:val="16"/>
                <w:szCs w:val="16"/>
              </w:rPr>
              <w:t xml:space="preserve">vaste </w:t>
            </w:r>
            <w:r w:rsidRPr="00014D84">
              <w:rPr>
                <w:sz w:val="16"/>
                <w:szCs w:val="16"/>
              </w:rPr>
              <w:t>portée du contenu affiché sur le Web et efficacité des pages Web de premier niveau en tant que moyen d’accès à davantage d’informations</w:t>
            </w:r>
          </w:p>
        </w:tc>
        <w:tc>
          <w:tcPr>
            <w:tcW w:w="2430" w:type="dxa"/>
            <w:hideMark/>
          </w:tcPr>
          <w:p w14:paraId="0063F0B8" w14:textId="77777777" w:rsidR="0031700C" w:rsidRPr="00014D84" w:rsidRDefault="0031700C" w:rsidP="00986700">
            <w:pPr>
              <w:jc w:val="center"/>
              <w:rPr>
                <w:sz w:val="16"/>
                <w:szCs w:val="16"/>
              </w:rPr>
            </w:pPr>
            <w:r w:rsidRPr="00014D84">
              <w:rPr>
                <w:sz w:val="16"/>
                <w:szCs w:val="16"/>
              </w:rPr>
              <w:t>Programme 19</w:t>
            </w:r>
          </w:p>
        </w:tc>
      </w:tr>
      <w:tr w:rsidR="0031700C" w:rsidRPr="00014D84" w14:paraId="2336D868" w14:textId="77777777" w:rsidTr="0031700C">
        <w:trPr>
          <w:cantSplit/>
        </w:trPr>
        <w:tc>
          <w:tcPr>
            <w:tcW w:w="2936" w:type="dxa"/>
            <w:hideMark/>
          </w:tcPr>
          <w:p w14:paraId="1B4CE7E0" w14:textId="77777777" w:rsidR="0031700C" w:rsidRPr="00014D84" w:rsidRDefault="0031700C" w:rsidP="00986700">
            <w:pPr>
              <w:rPr>
                <w:sz w:val="16"/>
                <w:szCs w:val="16"/>
              </w:rPr>
            </w:pPr>
            <w:r w:rsidRPr="00014D84">
              <w:rPr>
                <w:sz w:val="16"/>
                <w:szCs w:val="16"/>
              </w:rPr>
              <w:t> </w:t>
            </w:r>
          </w:p>
        </w:tc>
        <w:tc>
          <w:tcPr>
            <w:tcW w:w="3848" w:type="dxa"/>
            <w:hideMark/>
          </w:tcPr>
          <w:p w14:paraId="70684CC0" w14:textId="77777777" w:rsidR="0031700C" w:rsidRPr="00014D84" w:rsidRDefault="0031700C" w:rsidP="00986700">
            <w:pPr>
              <w:rPr>
                <w:sz w:val="16"/>
                <w:szCs w:val="16"/>
              </w:rPr>
            </w:pPr>
            <w:r w:rsidRPr="00014D84">
              <w:rPr>
                <w:sz w:val="16"/>
                <w:szCs w:val="16"/>
              </w:rPr>
              <w:t>Augmentation de la fréquentation du site Web des bureaux extérieurs de l’OMPI</w:t>
            </w:r>
          </w:p>
        </w:tc>
        <w:tc>
          <w:tcPr>
            <w:tcW w:w="2430" w:type="dxa"/>
            <w:hideMark/>
          </w:tcPr>
          <w:p w14:paraId="6C5565FF" w14:textId="77777777" w:rsidR="0031700C" w:rsidRPr="00014D84" w:rsidRDefault="0031700C" w:rsidP="00986700">
            <w:pPr>
              <w:jc w:val="center"/>
              <w:rPr>
                <w:sz w:val="16"/>
                <w:szCs w:val="16"/>
              </w:rPr>
            </w:pPr>
            <w:r w:rsidRPr="00014D84">
              <w:rPr>
                <w:sz w:val="16"/>
                <w:szCs w:val="16"/>
              </w:rPr>
              <w:t>Programme 20</w:t>
            </w:r>
          </w:p>
        </w:tc>
      </w:tr>
      <w:tr w:rsidR="0031700C" w:rsidRPr="00014D84" w14:paraId="33AE187E" w14:textId="77777777" w:rsidTr="0031700C">
        <w:trPr>
          <w:cantSplit/>
        </w:trPr>
        <w:tc>
          <w:tcPr>
            <w:tcW w:w="2936" w:type="dxa"/>
            <w:hideMark/>
          </w:tcPr>
          <w:p w14:paraId="0A18CF7F" w14:textId="77777777" w:rsidR="0031700C" w:rsidRPr="00014D84" w:rsidRDefault="0031700C" w:rsidP="00986700">
            <w:pPr>
              <w:rPr>
                <w:sz w:val="16"/>
                <w:szCs w:val="16"/>
              </w:rPr>
            </w:pPr>
            <w:r w:rsidRPr="00014D84">
              <w:rPr>
                <w:sz w:val="16"/>
                <w:szCs w:val="16"/>
              </w:rPr>
              <w:t> </w:t>
            </w:r>
          </w:p>
        </w:tc>
        <w:tc>
          <w:tcPr>
            <w:tcW w:w="3848" w:type="dxa"/>
            <w:hideMark/>
          </w:tcPr>
          <w:p w14:paraId="74DCFA13" w14:textId="77777777" w:rsidR="0031700C" w:rsidRPr="00014D84" w:rsidRDefault="0031700C" w:rsidP="00986700">
            <w:pPr>
              <w:rPr>
                <w:sz w:val="16"/>
                <w:szCs w:val="16"/>
              </w:rPr>
            </w:pPr>
            <w:r w:rsidRPr="00014D84">
              <w:rPr>
                <w:sz w:val="16"/>
                <w:szCs w:val="16"/>
              </w:rPr>
              <w:t>Nombre d’États membres participant au programme d’attribution de prix de l’OMPI</w:t>
            </w:r>
          </w:p>
        </w:tc>
        <w:tc>
          <w:tcPr>
            <w:tcW w:w="2430" w:type="dxa"/>
            <w:hideMark/>
          </w:tcPr>
          <w:p w14:paraId="5C729AEB" w14:textId="77777777" w:rsidR="0031700C" w:rsidRPr="00014D84" w:rsidRDefault="0031700C" w:rsidP="00986700">
            <w:pPr>
              <w:jc w:val="center"/>
              <w:rPr>
                <w:sz w:val="16"/>
                <w:szCs w:val="16"/>
              </w:rPr>
            </w:pPr>
            <w:r w:rsidRPr="00014D84">
              <w:rPr>
                <w:sz w:val="16"/>
                <w:szCs w:val="16"/>
              </w:rPr>
              <w:t>Programme 21</w:t>
            </w:r>
          </w:p>
        </w:tc>
      </w:tr>
      <w:tr w:rsidR="0031700C" w:rsidRPr="00014D84" w14:paraId="40DE9494" w14:textId="77777777" w:rsidTr="0031700C">
        <w:trPr>
          <w:cantSplit/>
        </w:trPr>
        <w:tc>
          <w:tcPr>
            <w:tcW w:w="2936" w:type="dxa"/>
            <w:hideMark/>
          </w:tcPr>
          <w:p w14:paraId="38EE5B90" w14:textId="77777777" w:rsidR="0031700C" w:rsidRPr="00014D84" w:rsidRDefault="0031700C" w:rsidP="00986700">
            <w:pPr>
              <w:rPr>
                <w:sz w:val="16"/>
                <w:szCs w:val="16"/>
              </w:rPr>
            </w:pPr>
            <w:r w:rsidRPr="00014D84">
              <w:rPr>
                <w:sz w:val="16"/>
                <w:szCs w:val="16"/>
              </w:rPr>
              <w:t> </w:t>
            </w:r>
          </w:p>
        </w:tc>
        <w:tc>
          <w:tcPr>
            <w:tcW w:w="3848" w:type="dxa"/>
            <w:hideMark/>
          </w:tcPr>
          <w:p w14:paraId="2B3B6939" w14:textId="77777777" w:rsidR="0031700C" w:rsidRPr="00014D84" w:rsidRDefault="0031700C" w:rsidP="00986700">
            <w:pPr>
              <w:rPr>
                <w:sz w:val="16"/>
                <w:szCs w:val="16"/>
              </w:rPr>
            </w:pPr>
            <w:r w:rsidRPr="00014D84">
              <w:rPr>
                <w:sz w:val="16"/>
                <w:szCs w:val="16"/>
              </w:rPr>
              <w:t>Marque/réputation : couverture positive des grandes activités et réalisations de l’OMPI par les organes de presse dans le monde entier</w:t>
            </w:r>
          </w:p>
        </w:tc>
        <w:tc>
          <w:tcPr>
            <w:tcW w:w="2430" w:type="dxa"/>
            <w:hideMark/>
          </w:tcPr>
          <w:p w14:paraId="2140753E" w14:textId="77777777" w:rsidR="0031700C" w:rsidRPr="00014D84" w:rsidRDefault="0031700C" w:rsidP="00986700">
            <w:pPr>
              <w:jc w:val="center"/>
              <w:rPr>
                <w:sz w:val="16"/>
                <w:szCs w:val="16"/>
              </w:rPr>
            </w:pPr>
            <w:r w:rsidRPr="00014D84">
              <w:rPr>
                <w:sz w:val="16"/>
                <w:szCs w:val="16"/>
              </w:rPr>
              <w:t>Programme 19</w:t>
            </w:r>
          </w:p>
        </w:tc>
      </w:tr>
      <w:tr w:rsidR="0031700C" w:rsidRPr="00014D84" w14:paraId="700547F7" w14:textId="77777777" w:rsidTr="0031700C">
        <w:trPr>
          <w:cantSplit/>
        </w:trPr>
        <w:tc>
          <w:tcPr>
            <w:tcW w:w="2936" w:type="dxa"/>
            <w:hideMark/>
          </w:tcPr>
          <w:p w14:paraId="35F6CF6D" w14:textId="77777777" w:rsidR="0031700C" w:rsidRPr="00014D84" w:rsidRDefault="0031700C" w:rsidP="00986700">
            <w:pPr>
              <w:rPr>
                <w:sz w:val="16"/>
                <w:szCs w:val="16"/>
              </w:rPr>
            </w:pPr>
            <w:r w:rsidRPr="00014D84">
              <w:rPr>
                <w:sz w:val="16"/>
                <w:szCs w:val="16"/>
              </w:rPr>
              <w:t> </w:t>
            </w:r>
          </w:p>
        </w:tc>
        <w:tc>
          <w:tcPr>
            <w:tcW w:w="3848" w:type="dxa"/>
            <w:hideMark/>
          </w:tcPr>
          <w:p w14:paraId="58806462" w14:textId="77777777" w:rsidR="0031700C" w:rsidRPr="00014D84" w:rsidRDefault="0031700C" w:rsidP="00986700">
            <w:pPr>
              <w:rPr>
                <w:sz w:val="16"/>
                <w:szCs w:val="16"/>
              </w:rPr>
            </w:pPr>
            <w:r w:rsidRPr="00014D84">
              <w:rPr>
                <w:sz w:val="16"/>
                <w:szCs w:val="16"/>
              </w:rPr>
              <w:t>Participation : activité de l’OMPI sur les réseaux sociaux et numériques</w:t>
            </w:r>
          </w:p>
        </w:tc>
        <w:tc>
          <w:tcPr>
            <w:tcW w:w="2430" w:type="dxa"/>
            <w:hideMark/>
          </w:tcPr>
          <w:p w14:paraId="5097F0FF" w14:textId="77777777" w:rsidR="0031700C" w:rsidRPr="00014D84" w:rsidRDefault="0031700C" w:rsidP="00986700">
            <w:pPr>
              <w:jc w:val="center"/>
              <w:rPr>
                <w:sz w:val="16"/>
                <w:szCs w:val="16"/>
              </w:rPr>
            </w:pPr>
            <w:r w:rsidRPr="00014D84">
              <w:rPr>
                <w:sz w:val="16"/>
                <w:szCs w:val="16"/>
              </w:rPr>
              <w:t>Programme 19</w:t>
            </w:r>
          </w:p>
        </w:tc>
      </w:tr>
      <w:tr w:rsidR="0031700C" w:rsidRPr="00014D84" w14:paraId="04A32934" w14:textId="77777777" w:rsidTr="0031700C">
        <w:trPr>
          <w:cantSplit/>
        </w:trPr>
        <w:tc>
          <w:tcPr>
            <w:tcW w:w="2936" w:type="dxa"/>
            <w:hideMark/>
          </w:tcPr>
          <w:p w14:paraId="15A6CD10" w14:textId="77777777" w:rsidR="0031700C" w:rsidRPr="00014D84" w:rsidRDefault="0031700C" w:rsidP="00986700">
            <w:pPr>
              <w:rPr>
                <w:sz w:val="16"/>
                <w:szCs w:val="16"/>
              </w:rPr>
            </w:pPr>
            <w:r w:rsidRPr="00014D84">
              <w:rPr>
                <w:sz w:val="16"/>
                <w:szCs w:val="16"/>
              </w:rPr>
              <w:t> </w:t>
            </w:r>
          </w:p>
        </w:tc>
        <w:tc>
          <w:tcPr>
            <w:tcW w:w="3848" w:type="dxa"/>
            <w:hideMark/>
          </w:tcPr>
          <w:p w14:paraId="3B159BBB" w14:textId="77777777" w:rsidR="0031700C" w:rsidRPr="00014D84" w:rsidRDefault="0031700C" w:rsidP="00986700">
            <w:pPr>
              <w:rPr>
                <w:sz w:val="16"/>
                <w:szCs w:val="16"/>
              </w:rPr>
            </w:pPr>
            <w:r w:rsidRPr="00014D84">
              <w:rPr>
                <w:sz w:val="16"/>
                <w:szCs w:val="16"/>
              </w:rPr>
              <w:t>Utilisation des contenus multimédias de l’OMPI</w:t>
            </w:r>
          </w:p>
        </w:tc>
        <w:tc>
          <w:tcPr>
            <w:tcW w:w="2430" w:type="dxa"/>
            <w:hideMark/>
          </w:tcPr>
          <w:p w14:paraId="47042242" w14:textId="77777777" w:rsidR="0031700C" w:rsidRPr="00014D84" w:rsidRDefault="0031700C" w:rsidP="00986700">
            <w:pPr>
              <w:jc w:val="center"/>
              <w:rPr>
                <w:sz w:val="16"/>
                <w:szCs w:val="16"/>
              </w:rPr>
            </w:pPr>
            <w:r w:rsidRPr="00014D84">
              <w:rPr>
                <w:sz w:val="16"/>
                <w:szCs w:val="16"/>
              </w:rPr>
              <w:t>Programme 19</w:t>
            </w:r>
          </w:p>
        </w:tc>
      </w:tr>
      <w:tr w:rsidR="0031700C" w:rsidRPr="00014D84" w14:paraId="04731BF1" w14:textId="77777777" w:rsidTr="0031700C">
        <w:trPr>
          <w:cantSplit/>
        </w:trPr>
        <w:tc>
          <w:tcPr>
            <w:tcW w:w="2936" w:type="dxa"/>
            <w:hideMark/>
          </w:tcPr>
          <w:p w14:paraId="02706099" w14:textId="77777777" w:rsidR="0031700C" w:rsidRPr="00014D84" w:rsidRDefault="0031700C" w:rsidP="00986700">
            <w:pPr>
              <w:rPr>
                <w:sz w:val="16"/>
                <w:szCs w:val="16"/>
                <w:lang w:val="fr-CH"/>
              </w:rPr>
            </w:pPr>
            <w:r w:rsidRPr="00014D84">
              <w:rPr>
                <w:sz w:val="16"/>
                <w:szCs w:val="16"/>
              </w:rPr>
              <w:t xml:space="preserve">VIII.2 </w:t>
            </w:r>
            <w:r w:rsidRPr="00014D84">
              <w:rPr>
                <w:sz w:val="16"/>
                <w:szCs w:val="16"/>
                <w:lang w:val="fr-CH"/>
              </w:rPr>
              <w:t>Amélioration de l’orientation vers les services et de la réactivité à la demande</w:t>
            </w:r>
          </w:p>
        </w:tc>
        <w:tc>
          <w:tcPr>
            <w:tcW w:w="3848" w:type="dxa"/>
            <w:hideMark/>
          </w:tcPr>
          <w:p w14:paraId="2C36839B" w14:textId="77777777" w:rsidR="0031700C" w:rsidRPr="00014D84" w:rsidRDefault="0031700C" w:rsidP="00986700">
            <w:pPr>
              <w:rPr>
                <w:sz w:val="16"/>
                <w:szCs w:val="16"/>
              </w:rPr>
            </w:pPr>
            <w:r w:rsidRPr="00014D84">
              <w:rPr>
                <w:sz w:val="16"/>
                <w:szCs w:val="16"/>
              </w:rPr>
              <w:t>Service : niveau de satisfaction globale à l’égard des services fournis par l’OMPI</w:t>
            </w:r>
          </w:p>
        </w:tc>
        <w:tc>
          <w:tcPr>
            <w:tcW w:w="2430" w:type="dxa"/>
            <w:hideMark/>
          </w:tcPr>
          <w:p w14:paraId="4263A9BA" w14:textId="77777777" w:rsidR="0031700C" w:rsidRPr="00014D84" w:rsidRDefault="0031700C" w:rsidP="00986700">
            <w:pPr>
              <w:jc w:val="center"/>
              <w:rPr>
                <w:sz w:val="16"/>
                <w:szCs w:val="16"/>
              </w:rPr>
            </w:pPr>
            <w:r w:rsidRPr="00014D84">
              <w:rPr>
                <w:sz w:val="16"/>
                <w:szCs w:val="16"/>
              </w:rPr>
              <w:t>Programme 19</w:t>
            </w:r>
          </w:p>
        </w:tc>
      </w:tr>
      <w:tr w:rsidR="0031700C" w:rsidRPr="00014D84" w14:paraId="12709E3F" w14:textId="77777777" w:rsidTr="0031700C">
        <w:trPr>
          <w:cantSplit/>
        </w:trPr>
        <w:tc>
          <w:tcPr>
            <w:tcW w:w="2936" w:type="dxa"/>
            <w:hideMark/>
          </w:tcPr>
          <w:p w14:paraId="4F039815" w14:textId="77777777" w:rsidR="0031700C" w:rsidRPr="00014D84" w:rsidRDefault="0031700C" w:rsidP="00986700">
            <w:pPr>
              <w:rPr>
                <w:sz w:val="16"/>
                <w:szCs w:val="16"/>
              </w:rPr>
            </w:pPr>
            <w:r w:rsidRPr="00014D84">
              <w:rPr>
                <w:sz w:val="16"/>
                <w:szCs w:val="16"/>
              </w:rPr>
              <w:t> </w:t>
            </w:r>
          </w:p>
        </w:tc>
        <w:tc>
          <w:tcPr>
            <w:tcW w:w="3848" w:type="dxa"/>
            <w:hideMark/>
          </w:tcPr>
          <w:p w14:paraId="57EE4BEC" w14:textId="77777777" w:rsidR="0031700C" w:rsidRPr="00014D84" w:rsidRDefault="0031700C" w:rsidP="00986700">
            <w:pPr>
              <w:rPr>
                <w:sz w:val="16"/>
                <w:szCs w:val="16"/>
              </w:rPr>
            </w:pPr>
            <w:r w:rsidRPr="00014D84">
              <w:rPr>
                <w:sz w:val="16"/>
                <w:szCs w:val="16"/>
              </w:rPr>
              <w:t>Service : niveau de satisfaction des utilisateurs à l’égard des services fournis par la Bibliothèque</w:t>
            </w:r>
          </w:p>
        </w:tc>
        <w:tc>
          <w:tcPr>
            <w:tcW w:w="2430" w:type="dxa"/>
            <w:hideMark/>
          </w:tcPr>
          <w:p w14:paraId="6BE384F5" w14:textId="77777777" w:rsidR="0031700C" w:rsidRPr="00014D84" w:rsidRDefault="0031700C" w:rsidP="00986700">
            <w:pPr>
              <w:jc w:val="center"/>
              <w:rPr>
                <w:sz w:val="16"/>
                <w:szCs w:val="16"/>
              </w:rPr>
            </w:pPr>
            <w:r w:rsidRPr="00014D84">
              <w:rPr>
                <w:sz w:val="16"/>
                <w:szCs w:val="16"/>
              </w:rPr>
              <w:t>Programme 19</w:t>
            </w:r>
          </w:p>
        </w:tc>
      </w:tr>
      <w:tr w:rsidR="0031700C" w:rsidRPr="00014D84" w14:paraId="01A0DD23" w14:textId="77777777" w:rsidTr="0031700C">
        <w:trPr>
          <w:cantSplit/>
        </w:trPr>
        <w:tc>
          <w:tcPr>
            <w:tcW w:w="2936" w:type="dxa"/>
            <w:hideMark/>
          </w:tcPr>
          <w:p w14:paraId="0573984E" w14:textId="77777777" w:rsidR="0031700C" w:rsidRPr="00014D84" w:rsidRDefault="0031700C" w:rsidP="00986700">
            <w:pPr>
              <w:rPr>
                <w:sz w:val="16"/>
                <w:szCs w:val="16"/>
              </w:rPr>
            </w:pPr>
            <w:r w:rsidRPr="00014D84">
              <w:rPr>
                <w:sz w:val="16"/>
                <w:szCs w:val="16"/>
              </w:rPr>
              <w:t> </w:t>
            </w:r>
          </w:p>
        </w:tc>
        <w:tc>
          <w:tcPr>
            <w:tcW w:w="3848" w:type="dxa"/>
            <w:hideMark/>
          </w:tcPr>
          <w:p w14:paraId="3EA68B67" w14:textId="77777777" w:rsidR="0031700C" w:rsidRPr="00014D84" w:rsidRDefault="0031700C" w:rsidP="00986700">
            <w:pPr>
              <w:rPr>
                <w:sz w:val="16"/>
                <w:szCs w:val="16"/>
              </w:rPr>
            </w:pPr>
            <w:r w:rsidRPr="00014D84">
              <w:rPr>
                <w:sz w:val="16"/>
                <w:szCs w:val="16"/>
              </w:rPr>
              <w:t xml:space="preserve">Délai de traitement des demandes </w:t>
            </w:r>
          </w:p>
        </w:tc>
        <w:tc>
          <w:tcPr>
            <w:tcW w:w="2430" w:type="dxa"/>
            <w:hideMark/>
          </w:tcPr>
          <w:p w14:paraId="163EC88F" w14:textId="77777777" w:rsidR="0031700C" w:rsidRPr="00014D84" w:rsidRDefault="0031700C" w:rsidP="00986700">
            <w:pPr>
              <w:jc w:val="center"/>
              <w:rPr>
                <w:sz w:val="16"/>
                <w:szCs w:val="16"/>
              </w:rPr>
            </w:pPr>
            <w:r w:rsidRPr="00014D84">
              <w:rPr>
                <w:sz w:val="16"/>
                <w:szCs w:val="16"/>
              </w:rPr>
              <w:t>Programme 20</w:t>
            </w:r>
          </w:p>
        </w:tc>
      </w:tr>
      <w:tr w:rsidR="0031700C" w:rsidRPr="00014D84" w14:paraId="12BA19E2" w14:textId="77777777" w:rsidTr="0031700C">
        <w:trPr>
          <w:cantSplit/>
        </w:trPr>
        <w:tc>
          <w:tcPr>
            <w:tcW w:w="2936" w:type="dxa"/>
            <w:hideMark/>
          </w:tcPr>
          <w:p w14:paraId="13502A43" w14:textId="77777777" w:rsidR="0031700C" w:rsidRPr="00014D84" w:rsidRDefault="0031700C" w:rsidP="00986700">
            <w:pPr>
              <w:rPr>
                <w:sz w:val="16"/>
                <w:szCs w:val="16"/>
                <w:lang w:val="fr-CH"/>
              </w:rPr>
            </w:pPr>
            <w:r w:rsidRPr="00014D84">
              <w:rPr>
                <w:sz w:val="16"/>
                <w:szCs w:val="16"/>
              </w:rPr>
              <w:t xml:space="preserve">VIII.3 </w:t>
            </w:r>
            <w:r w:rsidRPr="00014D84">
              <w:rPr>
                <w:sz w:val="16"/>
                <w:szCs w:val="16"/>
                <w:lang w:val="fr-CH"/>
              </w:rPr>
              <w:t>Engagement réel auprès des États membres</w:t>
            </w:r>
          </w:p>
        </w:tc>
        <w:tc>
          <w:tcPr>
            <w:tcW w:w="3848" w:type="dxa"/>
            <w:hideMark/>
          </w:tcPr>
          <w:p w14:paraId="0571F5B5" w14:textId="77777777" w:rsidR="0031700C" w:rsidRPr="00014D84" w:rsidRDefault="0031700C" w:rsidP="00986700">
            <w:pPr>
              <w:rPr>
                <w:sz w:val="16"/>
                <w:szCs w:val="16"/>
              </w:rPr>
            </w:pPr>
            <w:r w:rsidRPr="00014D84">
              <w:rPr>
                <w:sz w:val="16"/>
                <w:szCs w:val="16"/>
              </w:rPr>
              <w:t>Pourcentage de réunions de comités pour lesquelles des réunions d’information préalables sont tenues à l’intention des États membres</w:t>
            </w:r>
          </w:p>
        </w:tc>
        <w:tc>
          <w:tcPr>
            <w:tcW w:w="2430" w:type="dxa"/>
            <w:hideMark/>
          </w:tcPr>
          <w:p w14:paraId="7FEBC38E" w14:textId="77777777" w:rsidR="0031700C" w:rsidRPr="00014D84" w:rsidRDefault="0031700C" w:rsidP="00986700">
            <w:pPr>
              <w:jc w:val="center"/>
              <w:rPr>
                <w:sz w:val="16"/>
                <w:szCs w:val="16"/>
              </w:rPr>
            </w:pPr>
            <w:r w:rsidRPr="00014D84">
              <w:rPr>
                <w:sz w:val="16"/>
                <w:szCs w:val="16"/>
              </w:rPr>
              <w:t>Programme 21</w:t>
            </w:r>
          </w:p>
        </w:tc>
      </w:tr>
      <w:tr w:rsidR="0031700C" w:rsidRPr="00014D84" w14:paraId="0A69C50C" w14:textId="77777777" w:rsidTr="0031700C">
        <w:trPr>
          <w:cantSplit/>
        </w:trPr>
        <w:tc>
          <w:tcPr>
            <w:tcW w:w="2936" w:type="dxa"/>
            <w:hideMark/>
          </w:tcPr>
          <w:p w14:paraId="087FB591" w14:textId="77777777" w:rsidR="0031700C" w:rsidRPr="00014D84" w:rsidRDefault="0031700C" w:rsidP="00986700">
            <w:pPr>
              <w:rPr>
                <w:sz w:val="16"/>
                <w:szCs w:val="16"/>
              </w:rPr>
            </w:pPr>
            <w:r w:rsidRPr="00014D84">
              <w:rPr>
                <w:sz w:val="16"/>
                <w:szCs w:val="16"/>
              </w:rPr>
              <w:t> </w:t>
            </w:r>
          </w:p>
        </w:tc>
        <w:tc>
          <w:tcPr>
            <w:tcW w:w="3848" w:type="dxa"/>
            <w:hideMark/>
          </w:tcPr>
          <w:p w14:paraId="26653393" w14:textId="77777777" w:rsidR="0031700C" w:rsidRPr="00014D84" w:rsidRDefault="0031700C" w:rsidP="00986700">
            <w:pPr>
              <w:rPr>
                <w:sz w:val="16"/>
                <w:szCs w:val="16"/>
              </w:rPr>
            </w:pPr>
            <w:r w:rsidRPr="00014D84">
              <w:rPr>
                <w:sz w:val="16"/>
                <w:szCs w:val="16"/>
              </w:rPr>
              <w:t>Pourcentage des documents officiels élaborés par le Bureau du conseiller juridique publiés dans les délais impartis</w:t>
            </w:r>
          </w:p>
        </w:tc>
        <w:tc>
          <w:tcPr>
            <w:tcW w:w="2430" w:type="dxa"/>
            <w:hideMark/>
          </w:tcPr>
          <w:p w14:paraId="13785536" w14:textId="77777777" w:rsidR="0031700C" w:rsidRPr="00014D84" w:rsidRDefault="0031700C" w:rsidP="00986700">
            <w:pPr>
              <w:jc w:val="center"/>
              <w:rPr>
                <w:sz w:val="16"/>
                <w:szCs w:val="16"/>
              </w:rPr>
            </w:pPr>
            <w:r w:rsidRPr="00014D84">
              <w:rPr>
                <w:sz w:val="16"/>
                <w:szCs w:val="16"/>
              </w:rPr>
              <w:t>Programme 21</w:t>
            </w:r>
          </w:p>
        </w:tc>
      </w:tr>
      <w:tr w:rsidR="0031700C" w:rsidRPr="00014D84" w14:paraId="130F9C2C" w14:textId="77777777" w:rsidTr="0031700C">
        <w:trPr>
          <w:cantSplit/>
        </w:trPr>
        <w:tc>
          <w:tcPr>
            <w:tcW w:w="2936" w:type="dxa"/>
            <w:hideMark/>
          </w:tcPr>
          <w:p w14:paraId="16B91B54" w14:textId="77777777" w:rsidR="0031700C" w:rsidRPr="00014D84" w:rsidRDefault="0031700C" w:rsidP="00986700">
            <w:pPr>
              <w:rPr>
                <w:sz w:val="16"/>
                <w:szCs w:val="16"/>
              </w:rPr>
            </w:pPr>
            <w:r w:rsidRPr="00014D84">
              <w:rPr>
                <w:sz w:val="16"/>
                <w:szCs w:val="16"/>
              </w:rPr>
              <w:t> </w:t>
            </w:r>
          </w:p>
        </w:tc>
        <w:tc>
          <w:tcPr>
            <w:tcW w:w="3848" w:type="dxa"/>
            <w:hideMark/>
          </w:tcPr>
          <w:p w14:paraId="565A214F" w14:textId="77777777" w:rsidR="0031700C" w:rsidRPr="00014D84" w:rsidRDefault="0031700C" w:rsidP="00986700">
            <w:pPr>
              <w:rPr>
                <w:sz w:val="16"/>
                <w:szCs w:val="16"/>
              </w:rPr>
            </w:pPr>
            <w:r w:rsidRPr="00014D84">
              <w:rPr>
                <w:sz w:val="16"/>
                <w:szCs w:val="16"/>
              </w:rPr>
              <w:t>Délais de publication des documents des assemblées</w:t>
            </w:r>
          </w:p>
        </w:tc>
        <w:tc>
          <w:tcPr>
            <w:tcW w:w="2430" w:type="dxa"/>
            <w:hideMark/>
          </w:tcPr>
          <w:p w14:paraId="5ABCAB97" w14:textId="77777777" w:rsidR="0031700C" w:rsidRPr="00014D84" w:rsidRDefault="0031700C" w:rsidP="00986700">
            <w:pPr>
              <w:jc w:val="center"/>
              <w:rPr>
                <w:sz w:val="16"/>
                <w:szCs w:val="16"/>
              </w:rPr>
            </w:pPr>
            <w:r w:rsidRPr="00014D84">
              <w:rPr>
                <w:sz w:val="16"/>
                <w:szCs w:val="16"/>
              </w:rPr>
              <w:t>Programme 21</w:t>
            </w:r>
          </w:p>
        </w:tc>
      </w:tr>
      <w:tr w:rsidR="0031700C" w:rsidRPr="00014D84" w14:paraId="10E32A33" w14:textId="77777777" w:rsidTr="0031700C">
        <w:trPr>
          <w:cantSplit/>
        </w:trPr>
        <w:tc>
          <w:tcPr>
            <w:tcW w:w="2936" w:type="dxa"/>
            <w:hideMark/>
          </w:tcPr>
          <w:p w14:paraId="58E6EF11" w14:textId="77777777" w:rsidR="0031700C" w:rsidRPr="00014D84" w:rsidRDefault="0031700C" w:rsidP="00986700">
            <w:pPr>
              <w:rPr>
                <w:sz w:val="16"/>
                <w:szCs w:val="16"/>
              </w:rPr>
            </w:pPr>
            <w:r w:rsidRPr="00014D84">
              <w:rPr>
                <w:sz w:val="16"/>
                <w:szCs w:val="16"/>
              </w:rPr>
              <w:t> </w:t>
            </w:r>
          </w:p>
        </w:tc>
        <w:tc>
          <w:tcPr>
            <w:tcW w:w="3848" w:type="dxa"/>
            <w:hideMark/>
          </w:tcPr>
          <w:p w14:paraId="2E6E4A06" w14:textId="77777777" w:rsidR="0031700C" w:rsidRPr="00014D84" w:rsidRDefault="0031700C" w:rsidP="00986700">
            <w:pPr>
              <w:rPr>
                <w:sz w:val="16"/>
                <w:szCs w:val="16"/>
              </w:rPr>
            </w:pPr>
            <w:r w:rsidRPr="00014D84">
              <w:rPr>
                <w:sz w:val="16"/>
                <w:szCs w:val="16"/>
              </w:rPr>
              <w:t>Taux de satisfaction des États membres et des parties prenantes en ce qui concerne l’organisation des événements</w:t>
            </w:r>
          </w:p>
        </w:tc>
        <w:tc>
          <w:tcPr>
            <w:tcW w:w="2430" w:type="dxa"/>
            <w:hideMark/>
          </w:tcPr>
          <w:p w14:paraId="581AA2C4" w14:textId="77777777" w:rsidR="0031700C" w:rsidRPr="00014D84" w:rsidRDefault="0031700C" w:rsidP="00986700">
            <w:pPr>
              <w:jc w:val="center"/>
              <w:rPr>
                <w:sz w:val="16"/>
                <w:szCs w:val="16"/>
              </w:rPr>
            </w:pPr>
            <w:r w:rsidRPr="00014D84">
              <w:rPr>
                <w:sz w:val="16"/>
                <w:szCs w:val="16"/>
              </w:rPr>
              <w:t>Programme 21</w:t>
            </w:r>
          </w:p>
        </w:tc>
      </w:tr>
      <w:tr w:rsidR="0031700C" w:rsidRPr="00014D84" w14:paraId="35643CB3" w14:textId="77777777" w:rsidTr="0031700C">
        <w:trPr>
          <w:cantSplit/>
        </w:trPr>
        <w:tc>
          <w:tcPr>
            <w:tcW w:w="2936" w:type="dxa"/>
            <w:hideMark/>
          </w:tcPr>
          <w:p w14:paraId="75D696B4" w14:textId="77777777" w:rsidR="0031700C" w:rsidRPr="00014D84" w:rsidRDefault="0031700C" w:rsidP="00986700">
            <w:pPr>
              <w:rPr>
                <w:sz w:val="16"/>
                <w:szCs w:val="16"/>
              </w:rPr>
            </w:pPr>
            <w:r w:rsidRPr="00014D84">
              <w:rPr>
                <w:sz w:val="16"/>
                <w:szCs w:val="16"/>
              </w:rPr>
              <w:t> </w:t>
            </w:r>
          </w:p>
        </w:tc>
        <w:tc>
          <w:tcPr>
            <w:tcW w:w="3848" w:type="dxa"/>
            <w:hideMark/>
          </w:tcPr>
          <w:p w14:paraId="44606FBA" w14:textId="77777777" w:rsidR="0031700C" w:rsidRPr="00014D84" w:rsidRDefault="0031700C" w:rsidP="00986700">
            <w:pPr>
              <w:rPr>
                <w:sz w:val="16"/>
                <w:szCs w:val="16"/>
              </w:rPr>
            </w:pPr>
            <w:r w:rsidRPr="00014D84">
              <w:rPr>
                <w:sz w:val="16"/>
                <w:szCs w:val="16"/>
              </w:rPr>
              <w:t>Niveau de satisfaction des délégués en ce qui concerne l’organisation des assemblées</w:t>
            </w:r>
          </w:p>
        </w:tc>
        <w:tc>
          <w:tcPr>
            <w:tcW w:w="2430" w:type="dxa"/>
            <w:hideMark/>
          </w:tcPr>
          <w:p w14:paraId="42AB0178" w14:textId="77777777" w:rsidR="0031700C" w:rsidRPr="00014D84" w:rsidRDefault="0031700C" w:rsidP="00986700">
            <w:pPr>
              <w:jc w:val="center"/>
              <w:rPr>
                <w:sz w:val="16"/>
                <w:szCs w:val="16"/>
              </w:rPr>
            </w:pPr>
            <w:r w:rsidRPr="00014D84">
              <w:rPr>
                <w:sz w:val="16"/>
                <w:szCs w:val="16"/>
              </w:rPr>
              <w:t>Programme 21</w:t>
            </w:r>
          </w:p>
        </w:tc>
      </w:tr>
      <w:tr w:rsidR="0031700C" w:rsidRPr="00014D84" w14:paraId="00DF65E0" w14:textId="77777777" w:rsidTr="0031700C">
        <w:trPr>
          <w:cantSplit/>
        </w:trPr>
        <w:tc>
          <w:tcPr>
            <w:tcW w:w="2936" w:type="dxa"/>
            <w:hideMark/>
          </w:tcPr>
          <w:p w14:paraId="61796C47" w14:textId="77777777" w:rsidR="0031700C" w:rsidRPr="00014D84" w:rsidRDefault="0031700C" w:rsidP="00986700">
            <w:pPr>
              <w:rPr>
                <w:sz w:val="16"/>
                <w:szCs w:val="16"/>
                <w:lang w:val="fr-CH"/>
              </w:rPr>
            </w:pPr>
            <w:r w:rsidRPr="00014D84">
              <w:rPr>
                <w:sz w:val="16"/>
                <w:szCs w:val="16"/>
              </w:rPr>
              <w:t>VIII.4</w:t>
            </w:r>
            <w:r w:rsidRPr="00014D84">
              <w:rPr>
                <w:sz w:val="16"/>
                <w:szCs w:val="16"/>
              </w:rPr>
              <w:tab/>
            </w:r>
            <w:r w:rsidRPr="00014D84">
              <w:rPr>
                <w:sz w:val="16"/>
                <w:szCs w:val="16"/>
                <w:lang w:val="fr-CH"/>
              </w:rPr>
              <w:t>Échanges ouverts, transparents et dynamiques avec les parties prenantes non gouvernementales</w:t>
            </w:r>
          </w:p>
        </w:tc>
        <w:tc>
          <w:tcPr>
            <w:tcW w:w="3848" w:type="dxa"/>
            <w:hideMark/>
          </w:tcPr>
          <w:p w14:paraId="0A3BC40D" w14:textId="77777777" w:rsidR="0031700C" w:rsidRPr="00014D84" w:rsidRDefault="0031700C" w:rsidP="00986700">
            <w:pPr>
              <w:rPr>
                <w:sz w:val="16"/>
                <w:szCs w:val="16"/>
              </w:rPr>
            </w:pPr>
            <w:r w:rsidRPr="00014D84">
              <w:rPr>
                <w:sz w:val="16"/>
                <w:szCs w:val="16"/>
              </w:rPr>
              <w:t>Nombre d’ONG ayant le statut d’observateur permanent qui participent aux travaux de l’OMPI et inversement</w:t>
            </w:r>
          </w:p>
        </w:tc>
        <w:tc>
          <w:tcPr>
            <w:tcW w:w="2430" w:type="dxa"/>
            <w:hideMark/>
          </w:tcPr>
          <w:p w14:paraId="31DCDB8C" w14:textId="77777777" w:rsidR="0031700C" w:rsidRPr="00014D84" w:rsidRDefault="0031700C" w:rsidP="00986700">
            <w:pPr>
              <w:jc w:val="center"/>
              <w:rPr>
                <w:sz w:val="16"/>
                <w:szCs w:val="16"/>
              </w:rPr>
            </w:pPr>
            <w:r w:rsidRPr="00014D84">
              <w:rPr>
                <w:sz w:val="16"/>
                <w:szCs w:val="16"/>
              </w:rPr>
              <w:t>Programme 20</w:t>
            </w:r>
          </w:p>
        </w:tc>
      </w:tr>
      <w:tr w:rsidR="0031700C" w:rsidRPr="00014D84" w14:paraId="11A35AB9" w14:textId="77777777" w:rsidTr="0031700C">
        <w:trPr>
          <w:cantSplit/>
        </w:trPr>
        <w:tc>
          <w:tcPr>
            <w:tcW w:w="2936" w:type="dxa"/>
            <w:hideMark/>
          </w:tcPr>
          <w:p w14:paraId="1553F7F4" w14:textId="77777777" w:rsidR="0031700C" w:rsidRPr="00014D84" w:rsidRDefault="0031700C" w:rsidP="00986700">
            <w:pPr>
              <w:rPr>
                <w:sz w:val="16"/>
                <w:szCs w:val="16"/>
                <w:lang w:val="fr-CH"/>
              </w:rPr>
            </w:pPr>
            <w:r w:rsidRPr="00014D84">
              <w:rPr>
                <w:sz w:val="16"/>
                <w:szCs w:val="16"/>
              </w:rPr>
              <w:lastRenderedPageBreak/>
              <w:t xml:space="preserve">VIII.5 </w:t>
            </w:r>
            <w:r w:rsidRPr="00014D84">
              <w:rPr>
                <w:sz w:val="16"/>
                <w:szCs w:val="16"/>
                <w:lang w:val="fr-CH"/>
              </w:rPr>
              <w:t>L’OMPI collabore efficacement avec d’autres processus et instances de négociation de l’ONU et d’autres organisations intergouvernementales</w:t>
            </w:r>
          </w:p>
        </w:tc>
        <w:tc>
          <w:tcPr>
            <w:tcW w:w="3848" w:type="dxa"/>
            <w:hideMark/>
          </w:tcPr>
          <w:p w14:paraId="515BFA3F" w14:textId="77777777" w:rsidR="0031700C" w:rsidRPr="00014D84" w:rsidRDefault="0031700C" w:rsidP="00986700">
            <w:pPr>
              <w:rPr>
                <w:sz w:val="16"/>
                <w:szCs w:val="16"/>
              </w:rPr>
            </w:pPr>
            <w:r w:rsidRPr="00014D84">
              <w:rPr>
                <w:sz w:val="16"/>
                <w:szCs w:val="16"/>
              </w:rPr>
              <w:t>Contributions de l’OMPI reprises dans des rapports, des résolutions et des documents de l’ONU et d’organisations intergouvernementales concernant des processus pertinents et ciblés</w:t>
            </w:r>
          </w:p>
        </w:tc>
        <w:tc>
          <w:tcPr>
            <w:tcW w:w="2430" w:type="dxa"/>
            <w:hideMark/>
          </w:tcPr>
          <w:p w14:paraId="509C277A" w14:textId="77777777" w:rsidR="0031700C" w:rsidRPr="00014D84" w:rsidRDefault="0031700C" w:rsidP="00986700">
            <w:pPr>
              <w:jc w:val="center"/>
              <w:rPr>
                <w:sz w:val="16"/>
                <w:szCs w:val="16"/>
              </w:rPr>
            </w:pPr>
            <w:r w:rsidRPr="00014D84">
              <w:rPr>
                <w:sz w:val="16"/>
                <w:szCs w:val="16"/>
              </w:rPr>
              <w:t>Programme 20</w:t>
            </w:r>
          </w:p>
        </w:tc>
      </w:tr>
      <w:tr w:rsidR="0031700C" w:rsidRPr="00014D84" w14:paraId="7C0A11F5" w14:textId="77777777" w:rsidTr="0031700C">
        <w:trPr>
          <w:cantSplit/>
        </w:trPr>
        <w:tc>
          <w:tcPr>
            <w:tcW w:w="2936" w:type="dxa"/>
            <w:hideMark/>
          </w:tcPr>
          <w:p w14:paraId="42DC3829" w14:textId="77777777" w:rsidR="0031700C" w:rsidRPr="00014D84" w:rsidRDefault="0031700C" w:rsidP="00986700">
            <w:pPr>
              <w:rPr>
                <w:sz w:val="16"/>
                <w:szCs w:val="16"/>
              </w:rPr>
            </w:pPr>
            <w:r w:rsidRPr="00014D84">
              <w:rPr>
                <w:sz w:val="16"/>
                <w:szCs w:val="16"/>
              </w:rPr>
              <w:t> </w:t>
            </w:r>
          </w:p>
        </w:tc>
        <w:tc>
          <w:tcPr>
            <w:tcW w:w="3848" w:type="dxa"/>
            <w:hideMark/>
          </w:tcPr>
          <w:p w14:paraId="15634547" w14:textId="77777777" w:rsidR="0031700C" w:rsidRPr="00014D84" w:rsidRDefault="0031700C" w:rsidP="00986700">
            <w:pPr>
              <w:rPr>
                <w:sz w:val="16"/>
                <w:szCs w:val="16"/>
              </w:rPr>
            </w:pPr>
            <w:r w:rsidRPr="00014D84">
              <w:rPr>
                <w:sz w:val="16"/>
                <w:szCs w:val="16"/>
              </w:rPr>
              <w:t>Nouvelles initiatives communes avec d’autres institutions des Nations Unies ou organisations intergouvernementales</w:t>
            </w:r>
          </w:p>
        </w:tc>
        <w:tc>
          <w:tcPr>
            <w:tcW w:w="2430" w:type="dxa"/>
            <w:hideMark/>
          </w:tcPr>
          <w:p w14:paraId="1C657A1B" w14:textId="77777777" w:rsidR="0031700C" w:rsidRPr="00014D84" w:rsidRDefault="0031700C" w:rsidP="00986700">
            <w:pPr>
              <w:jc w:val="center"/>
              <w:rPr>
                <w:sz w:val="16"/>
                <w:szCs w:val="16"/>
              </w:rPr>
            </w:pPr>
            <w:r w:rsidRPr="00014D84">
              <w:rPr>
                <w:sz w:val="16"/>
                <w:szCs w:val="16"/>
              </w:rPr>
              <w:t>Programme 21</w:t>
            </w:r>
          </w:p>
        </w:tc>
      </w:tr>
      <w:tr w:rsidR="0031700C" w:rsidRPr="00014D84" w14:paraId="410EC682" w14:textId="77777777" w:rsidTr="0031700C">
        <w:trPr>
          <w:cantSplit/>
        </w:trPr>
        <w:tc>
          <w:tcPr>
            <w:tcW w:w="2936" w:type="dxa"/>
            <w:hideMark/>
          </w:tcPr>
          <w:p w14:paraId="295FCE07" w14:textId="77777777" w:rsidR="0031700C" w:rsidRPr="00014D84" w:rsidRDefault="0031700C" w:rsidP="00986700">
            <w:pPr>
              <w:rPr>
                <w:sz w:val="16"/>
                <w:szCs w:val="16"/>
              </w:rPr>
            </w:pPr>
            <w:r w:rsidRPr="00014D84">
              <w:rPr>
                <w:sz w:val="16"/>
                <w:szCs w:val="16"/>
              </w:rPr>
              <w:t> </w:t>
            </w:r>
          </w:p>
        </w:tc>
        <w:tc>
          <w:tcPr>
            <w:tcW w:w="3848" w:type="dxa"/>
            <w:hideMark/>
          </w:tcPr>
          <w:p w14:paraId="5B6FBD48" w14:textId="77777777" w:rsidR="0031700C" w:rsidRPr="00014D84" w:rsidRDefault="0031700C" w:rsidP="00986700">
            <w:pPr>
              <w:rPr>
                <w:sz w:val="16"/>
                <w:szCs w:val="16"/>
              </w:rPr>
            </w:pPr>
            <w:r w:rsidRPr="00014D84">
              <w:rPr>
                <w:sz w:val="16"/>
                <w:szCs w:val="16"/>
              </w:rPr>
              <w:t xml:space="preserve">Pourcentage de dépenses effectuées dans le cadre de la coopération avec l’ONU </w:t>
            </w:r>
          </w:p>
        </w:tc>
        <w:tc>
          <w:tcPr>
            <w:tcW w:w="2430" w:type="dxa"/>
            <w:hideMark/>
          </w:tcPr>
          <w:p w14:paraId="68BD4BB8" w14:textId="77777777" w:rsidR="0031700C" w:rsidRPr="00014D84" w:rsidRDefault="0031700C" w:rsidP="00986700">
            <w:pPr>
              <w:jc w:val="center"/>
              <w:rPr>
                <w:sz w:val="16"/>
                <w:szCs w:val="16"/>
              </w:rPr>
            </w:pPr>
            <w:r w:rsidRPr="00014D84">
              <w:rPr>
                <w:sz w:val="16"/>
                <w:szCs w:val="16"/>
              </w:rPr>
              <w:t>Programme 24</w:t>
            </w:r>
          </w:p>
        </w:tc>
      </w:tr>
      <w:tr w:rsidR="0031700C" w:rsidRPr="00014D84" w14:paraId="1EB1EF9E" w14:textId="77777777" w:rsidTr="0031700C">
        <w:trPr>
          <w:cantSplit/>
        </w:trPr>
        <w:tc>
          <w:tcPr>
            <w:tcW w:w="2936" w:type="dxa"/>
            <w:hideMark/>
          </w:tcPr>
          <w:p w14:paraId="6EE23BF2" w14:textId="77777777" w:rsidR="0031700C" w:rsidRPr="00014D84" w:rsidRDefault="0031700C" w:rsidP="00986700">
            <w:pPr>
              <w:rPr>
                <w:sz w:val="16"/>
                <w:szCs w:val="16"/>
              </w:rPr>
            </w:pPr>
            <w:r w:rsidRPr="00014D84">
              <w:rPr>
                <w:sz w:val="16"/>
                <w:szCs w:val="16"/>
              </w:rPr>
              <w:t> </w:t>
            </w:r>
          </w:p>
        </w:tc>
        <w:tc>
          <w:tcPr>
            <w:tcW w:w="3848" w:type="dxa"/>
            <w:hideMark/>
          </w:tcPr>
          <w:p w14:paraId="7822A121" w14:textId="77777777" w:rsidR="0031700C" w:rsidRPr="00014D84" w:rsidRDefault="0031700C" w:rsidP="00986700">
            <w:pPr>
              <w:rPr>
                <w:sz w:val="16"/>
                <w:szCs w:val="16"/>
              </w:rPr>
            </w:pPr>
            <w:r w:rsidRPr="00014D84">
              <w:rPr>
                <w:sz w:val="16"/>
                <w:szCs w:val="16"/>
              </w:rPr>
              <w:t>Nombre d’initiatives menées par l’OMPI en partenariat avec l’ONU et d’autres organisations intergouvernementales aux fins de la mise en œuvre des objectifs de développement durable</w:t>
            </w:r>
          </w:p>
        </w:tc>
        <w:tc>
          <w:tcPr>
            <w:tcW w:w="2430" w:type="dxa"/>
            <w:hideMark/>
          </w:tcPr>
          <w:p w14:paraId="638C76AE" w14:textId="77777777" w:rsidR="0031700C" w:rsidRPr="00014D84" w:rsidRDefault="0031700C" w:rsidP="00986700">
            <w:pPr>
              <w:jc w:val="center"/>
              <w:rPr>
                <w:sz w:val="16"/>
                <w:szCs w:val="16"/>
              </w:rPr>
            </w:pPr>
            <w:r w:rsidRPr="00014D84">
              <w:rPr>
                <w:sz w:val="16"/>
                <w:szCs w:val="16"/>
              </w:rPr>
              <w:t>Programme 20</w:t>
            </w:r>
          </w:p>
        </w:tc>
      </w:tr>
      <w:tr w:rsidR="0031700C" w:rsidRPr="00014D84" w14:paraId="7AE7DB61" w14:textId="77777777" w:rsidTr="0031700C">
        <w:trPr>
          <w:cantSplit/>
        </w:trPr>
        <w:tc>
          <w:tcPr>
            <w:tcW w:w="2936" w:type="dxa"/>
            <w:hideMark/>
          </w:tcPr>
          <w:p w14:paraId="2B424449" w14:textId="77777777" w:rsidR="0031700C" w:rsidRPr="00014D84" w:rsidRDefault="0031700C" w:rsidP="00986700">
            <w:pPr>
              <w:rPr>
                <w:sz w:val="16"/>
                <w:szCs w:val="16"/>
              </w:rPr>
            </w:pPr>
            <w:r w:rsidRPr="00014D84">
              <w:rPr>
                <w:sz w:val="16"/>
                <w:szCs w:val="16"/>
              </w:rPr>
              <w:t> </w:t>
            </w:r>
          </w:p>
        </w:tc>
        <w:tc>
          <w:tcPr>
            <w:tcW w:w="3848" w:type="dxa"/>
            <w:hideMark/>
          </w:tcPr>
          <w:p w14:paraId="28426DBA" w14:textId="77777777" w:rsidR="0031700C" w:rsidRPr="00014D84" w:rsidRDefault="0031700C" w:rsidP="00986700">
            <w:pPr>
              <w:rPr>
                <w:sz w:val="16"/>
                <w:szCs w:val="16"/>
              </w:rPr>
            </w:pPr>
            <w:r w:rsidRPr="00014D84">
              <w:rPr>
                <w:sz w:val="16"/>
                <w:szCs w:val="16"/>
              </w:rPr>
              <w:t>Pourcentage de biens et services provenant de sources locales par rapport au montant total acquis aux fins d’activités de développement</w:t>
            </w:r>
          </w:p>
        </w:tc>
        <w:tc>
          <w:tcPr>
            <w:tcW w:w="2430" w:type="dxa"/>
            <w:hideMark/>
          </w:tcPr>
          <w:p w14:paraId="17783DCF" w14:textId="77777777" w:rsidR="0031700C" w:rsidRPr="00014D84" w:rsidRDefault="0031700C" w:rsidP="00986700">
            <w:pPr>
              <w:jc w:val="center"/>
              <w:rPr>
                <w:sz w:val="16"/>
                <w:szCs w:val="16"/>
              </w:rPr>
            </w:pPr>
            <w:r w:rsidRPr="00014D84">
              <w:rPr>
                <w:sz w:val="16"/>
                <w:szCs w:val="16"/>
              </w:rPr>
              <w:t>Programme 24</w:t>
            </w:r>
          </w:p>
        </w:tc>
      </w:tr>
    </w:tbl>
    <w:p w14:paraId="2BD80662" w14:textId="77777777" w:rsidR="0031700C" w:rsidRPr="00014D84" w:rsidRDefault="0031700C" w:rsidP="00986700"/>
    <w:p w14:paraId="6D907AF2" w14:textId="77777777" w:rsidR="0031700C" w:rsidRDefault="0031700C" w:rsidP="00986700">
      <w:pPr>
        <w:rPr>
          <w:b/>
          <w:caps/>
          <w:sz w:val="22"/>
        </w:rPr>
      </w:pPr>
      <w:r>
        <w:br w:type="page"/>
      </w:r>
    </w:p>
    <w:p w14:paraId="38DF572F" w14:textId="1979B7E5" w:rsidR="00426A7C" w:rsidRPr="0060494B" w:rsidRDefault="0060494B" w:rsidP="00986700">
      <w:pPr>
        <w:pStyle w:val="Heading2"/>
      </w:pPr>
      <w:bookmarkStart w:id="72" w:name="_Toc482979503"/>
      <w:r w:rsidRPr="0060494B">
        <w:lastRenderedPageBreak/>
        <w:t>Programme </w:t>
      </w:r>
      <w:r w:rsidR="00426A7C" w:rsidRPr="0060494B">
        <w:t>19</w:t>
      </w:r>
      <w:r w:rsidR="00426A7C" w:rsidRPr="0060494B">
        <w:tab/>
      </w:r>
      <w:r w:rsidRPr="0060494B">
        <w:t>Communications</w:t>
      </w:r>
      <w:bookmarkEnd w:id="72"/>
    </w:p>
    <w:p w14:paraId="6B206935" w14:textId="77777777" w:rsidR="00426A7C" w:rsidRPr="00655AF8" w:rsidRDefault="00426A7C" w:rsidP="00986700"/>
    <w:p w14:paraId="55710CDD" w14:textId="77777777" w:rsidR="00426A7C" w:rsidRPr="005F3C0A" w:rsidRDefault="00426A7C" w:rsidP="00986700"/>
    <w:tbl>
      <w:tblPr>
        <w:tblW w:w="5000" w:type="pct"/>
        <w:tblCellMar>
          <w:top w:w="57" w:type="dxa"/>
          <w:bottom w:w="57" w:type="dxa"/>
        </w:tblCellMar>
        <w:tblLook w:val="01E0" w:firstRow="1" w:lastRow="1" w:firstColumn="1" w:lastColumn="1" w:noHBand="0" w:noVBand="0"/>
      </w:tblPr>
      <w:tblGrid>
        <w:gridCol w:w="9287"/>
      </w:tblGrid>
      <w:tr w:rsidR="00426A7C" w:rsidRPr="005F3C0A" w14:paraId="504C7D9A" w14:textId="77777777" w:rsidTr="00426A7C">
        <w:tc>
          <w:tcPr>
            <w:tcW w:w="9571" w:type="dxa"/>
            <w:shd w:val="clear" w:color="auto" w:fill="C6D9F1" w:themeFill="text2" w:themeFillTint="33"/>
            <w:vAlign w:val="center"/>
          </w:tcPr>
          <w:p w14:paraId="6D0768CD" w14:textId="77777777" w:rsidR="00426A7C" w:rsidRPr="005F3C0A" w:rsidRDefault="00426A7C" w:rsidP="00986700">
            <w:pPr>
              <w:keepNext/>
              <w:keepLines/>
              <w:jc w:val="center"/>
              <w:rPr>
                <w:rFonts w:eastAsia="Times New Roman" w:cs="Arial"/>
                <w:b/>
                <w:bCs/>
                <w:szCs w:val="20"/>
                <w:lang w:eastAsia="en-US"/>
              </w:rPr>
            </w:pPr>
            <w:r w:rsidRPr="005F3C0A">
              <w:rPr>
                <w:rFonts w:eastAsia="Times New Roman" w:cs="Arial"/>
                <w:b/>
                <w:bCs/>
                <w:szCs w:val="20"/>
                <w:lang w:eastAsia="en-US"/>
              </w:rPr>
              <w:t xml:space="preserve">Stratégies de mise en œuvre </w:t>
            </w:r>
          </w:p>
        </w:tc>
      </w:tr>
    </w:tbl>
    <w:p w14:paraId="217B63F9" w14:textId="77777777" w:rsidR="00426A7C" w:rsidRPr="005F3C0A" w:rsidRDefault="00426A7C" w:rsidP="00986700">
      <w:pPr>
        <w:jc w:val="both"/>
        <w:rPr>
          <w:rFonts w:cs="Arial"/>
          <w:szCs w:val="20"/>
        </w:rPr>
      </w:pPr>
    </w:p>
    <w:p w14:paraId="15B717EF" w14:textId="77777777" w:rsidR="00426A7C" w:rsidRPr="005F3C0A" w:rsidRDefault="00426A7C" w:rsidP="00986700">
      <w:pPr>
        <w:pStyle w:val="ListParagraph"/>
        <w:numPr>
          <w:ilvl w:val="0"/>
          <w:numId w:val="7"/>
        </w:numPr>
        <w:jc w:val="both"/>
        <w:rPr>
          <w:rFonts w:cs="Arial"/>
          <w:szCs w:val="20"/>
        </w:rPr>
      </w:pPr>
      <w:r w:rsidRPr="005F3C0A">
        <w:rPr>
          <w:rFonts w:cs="Arial"/>
          <w:szCs w:val="20"/>
        </w:rPr>
        <w:t>Mettre en œuvre des stratégies intégrées de marketing, de communication et de relations avec la presse fondées sur des ressources en contenu multimédia, afin de soutenir les activités et les services proposés dans le cadre des programmes de l’OMPI;</w:t>
      </w:r>
    </w:p>
    <w:p w14:paraId="2C1DE273" w14:textId="77777777" w:rsidR="00426A7C" w:rsidRPr="005F3C0A" w:rsidRDefault="00426A7C" w:rsidP="00986700">
      <w:pPr>
        <w:ind w:left="567" w:hanging="567"/>
        <w:jc w:val="both"/>
        <w:rPr>
          <w:rFonts w:cs="Arial"/>
          <w:szCs w:val="20"/>
        </w:rPr>
      </w:pPr>
    </w:p>
    <w:p w14:paraId="11851937" w14:textId="77777777" w:rsidR="00426A7C" w:rsidRPr="005F3C0A" w:rsidRDefault="00426A7C" w:rsidP="00986700">
      <w:pPr>
        <w:pStyle w:val="ListParagraph"/>
        <w:numPr>
          <w:ilvl w:val="0"/>
          <w:numId w:val="7"/>
        </w:numPr>
        <w:jc w:val="both"/>
        <w:rPr>
          <w:rFonts w:cs="Arial"/>
          <w:szCs w:val="20"/>
        </w:rPr>
      </w:pPr>
      <w:r w:rsidRPr="005F3C0A">
        <w:rPr>
          <w:rFonts w:cs="Arial"/>
          <w:szCs w:val="20"/>
        </w:rPr>
        <w:t>Produire des contenus multimédia</w:t>
      </w:r>
      <w:r>
        <w:rPr>
          <w:rFonts w:cs="Arial"/>
          <w:szCs w:val="20"/>
        </w:rPr>
        <w:t xml:space="preserve">s </w:t>
      </w:r>
      <w:r w:rsidRPr="005F3C0A">
        <w:rPr>
          <w:rFonts w:cs="Arial"/>
          <w:szCs w:val="20"/>
        </w:rPr>
        <w:t>intéressants et des données d’actualité à diffuser auprès des différents publics cibles, notamment les jeunes et le public des régions non desservies ou mal desservies, via les canaux de diffusion de l’OMPI (p. ex. le site Web de l’OMPI et les médias sociaux, WIPO Wire, le Magazine de l’OMPI, les bulletins d’information de l’OMPI, etc.);</w:t>
      </w:r>
    </w:p>
    <w:p w14:paraId="3A2518BD" w14:textId="77777777" w:rsidR="00426A7C" w:rsidRPr="005F3C0A" w:rsidRDefault="00426A7C" w:rsidP="00986700">
      <w:pPr>
        <w:ind w:left="567" w:hanging="567"/>
        <w:jc w:val="both"/>
        <w:rPr>
          <w:rFonts w:cs="Arial"/>
          <w:szCs w:val="20"/>
        </w:rPr>
      </w:pPr>
    </w:p>
    <w:p w14:paraId="3C32E89F" w14:textId="77777777" w:rsidR="00426A7C" w:rsidRPr="005F3C0A" w:rsidRDefault="00426A7C" w:rsidP="00986700">
      <w:pPr>
        <w:pStyle w:val="ListParagraph"/>
        <w:numPr>
          <w:ilvl w:val="0"/>
          <w:numId w:val="7"/>
        </w:numPr>
        <w:jc w:val="both"/>
        <w:rPr>
          <w:rFonts w:cs="Arial"/>
          <w:szCs w:val="20"/>
        </w:rPr>
      </w:pPr>
      <w:r w:rsidRPr="005F3C0A">
        <w:rPr>
          <w:rFonts w:cs="Arial"/>
          <w:szCs w:val="20"/>
        </w:rPr>
        <w:t>Superviser, élaborer, publier, diffuser et promouvoir les principaux rapports économiques et statistiques annuels et autres publications de l’OMPI par les différents canaux et services disponibles (supports papier, supports numériques, systèmes de stockage de données);</w:t>
      </w:r>
    </w:p>
    <w:p w14:paraId="0812ED10" w14:textId="77777777" w:rsidR="00426A7C" w:rsidRPr="005F3C0A" w:rsidRDefault="00426A7C" w:rsidP="00986700">
      <w:pPr>
        <w:ind w:left="567" w:hanging="567"/>
        <w:jc w:val="both"/>
        <w:rPr>
          <w:rFonts w:cs="Arial"/>
          <w:szCs w:val="20"/>
        </w:rPr>
      </w:pPr>
    </w:p>
    <w:p w14:paraId="591D355C" w14:textId="5C8A908C" w:rsidR="00426A7C" w:rsidRPr="005F3C0A" w:rsidRDefault="00426A7C" w:rsidP="00986700">
      <w:pPr>
        <w:pStyle w:val="ListParagraph"/>
        <w:numPr>
          <w:ilvl w:val="0"/>
          <w:numId w:val="7"/>
        </w:numPr>
        <w:jc w:val="both"/>
        <w:rPr>
          <w:rFonts w:cs="Arial"/>
          <w:szCs w:val="20"/>
        </w:rPr>
      </w:pPr>
      <w:r w:rsidRPr="005F3C0A">
        <w:rPr>
          <w:rFonts w:cs="Arial"/>
          <w:szCs w:val="20"/>
        </w:rPr>
        <w:t>Soutenir et promouvoir les principales initiatives public</w:t>
      </w:r>
      <w:r w:rsidR="00B441CA">
        <w:rPr>
          <w:rFonts w:cs="Arial"/>
          <w:szCs w:val="20"/>
        </w:rPr>
        <w:noBreakHyphen/>
      </w:r>
      <w:r w:rsidRPr="005F3C0A">
        <w:rPr>
          <w:rFonts w:cs="Arial"/>
          <w:szCs w:val="20"/>
        </w:rPr>
        <w:t>privé de l’OMPI, telles que le Consortium pour des livres accessibles, WIPO Green, WIPO Re:Search, etc.;</w:t>
      </w:r>
    </w:p>
    <w:p w14:paraId="5094ED40" w14:textId="77777777" w:rsidR="00426A7C" w:rsidRPr="005F3C0A" w:rsidRDefault="00426A7C" w:rsidP="00986700">
      <w:pPr>
        <w:ind w:left="567" w:hanging="567"/>
        <w:jc w:val="both"/>
        <w:rPr>
          <w:rFonts w:cs="Arial"/>
          <w:szCs w:val="20"/>
        </w:rPr>
      </w:pPr>
    </w:p>
    <w:p w14:paraId="7C5EA07D" w14:textId="77777777" w:rsidR="00426A7C" w:rsidRPr="005F3C0A" w:rsidRDefault="00426A7C" w:rsidP="00986700">
      <w:pPr>
        <w:pStyle w:val="ListParagraph"/>
        <w:numPr>
          <w:ilvl w:val="0"/>
          <w:numId w:val="7"/>
        </w:numPr>
        <w:jc w:val="both"/>
        <w:rPr>
          <w:rFonts w:cs="Arial"/>
          <w:szCs w:val="20"/>
        </w:rPr>
      </w:pPr>
      <w:r w:rsidRPr="005F3C0A">
        <w:rPr>
          <w:rFonts w:cs="Arial"/>
          <w:szCs w:val="20"/>
        </w:rPr>
        <w:t>Renforcer la présence de l’OMPI dans les médias sociaux et numériques, notamment en créant une nouvelle application mobile et en développant les contenus interactifs dans des formats multiples, afin d’augmenter la visibilité de l’Organisation auprès du public actuel et des nouveaux publics cibles dans le monde entier;</w:t>
      </w:r>
    </w:p>
    <w:p w14:paraId="553FDF5C" w14:textId="77777777" w:rsidR="00426A7C" w:rsidRPr="005F3C0A" w:rsidRDefault="00426A7C" w:rsidP="00986700">
      <w:pPr>
        <w:ind w:left="567" w:hanging="567"/>
        <w:jc w:val="both"/>
        <w:rPr>
          <w:rFonts w:cs="Arial"/>
          <w:szCs w:val="20"/>
        </w:rPr>
      </w:pPr>
    </w:p>
    <w:p w14:paraId="0E68A152" w14:textId="77777777" w:rsidR="00426A7C" w:rsidRPr="005F3C0A" w:rsidRDefault="00426A7C" w:rsidP="00986700">
      <w:pPr>
        <w:pStyle w:val="ListParagraph"/>
        <w:numPr>
          <w:ilvl w:val="0"/>
          <w:numId w:val="7"/>
        </w:numPr>
        <w:jc w:val="both"/>
        <w:rPr>
          <w:rFonts w:cs="Arial"/>
          <w:szCs w:val="20"/>
        </w:rPr>
      </w:pPr>
      <w:r w:rsidRPr="005F3C0A">
        <w:rPr>
          <w:rFonts w:cs="Arial"/>
          <w:szCs w:val="20"/>
        </w:rPr>
        <w:t>Élaborer, coordonner et mettre en œuvre des normes en matière de qualité de service, y compris des outils d’évaluation, afin d’améliorer l’expérience vécue par les parties prenantes et les clients de l’OMPI qui entrent en relation avec l’OMPI et utilisent ses services;</w:t>
      </w:r>
    </w:p>
    <w:p w14:paraId="5F01728C" w14:textId="77777777" w:rsidR="00426A7C" w:rsidRPr="005F3C0A" w:rsidRDefault="00426A7C" w:rsidP="00986700">
      <w:pPr>
        <w:ind w:left="567" w:hanging="567"/>
        <w:jc w:val="both"/>
        <w:rPr>
          <w:rFonts w:cs="Arial"/>
          <w:szCs w:val="20"/>
        </w:rPr>
      </w:pPr>
    </w:p>
    <w:p w14:paraId="559441B2" w14:textId="77777777" w:rsidR="00426A7C" w:rsidRPr="005F3C0A" w:rsidRDefault="00426A7C" w:rsidP="00986700">
      <w:pPr>
        <w:pStyle w:val="ListParagraph"/>
        <w:numPr>
          <w:ilvl w:val="0"/>
          <w:numId w:val="7"/>
        </w:numPr>
        <w:jc w:val="both"/>
        <w:rPr>
          <w:rFonts w:cs="Arial"/>
          <w:szCs w:val="20"/>
        </w:rPr>
      </w:pPr>
      <w:r w:rsidRPr="005F3C0A">
        <w:rPr>
          <w:rFonts w:cs="Arial"/>
          <w:szCs w:val="20"/>
        </w:rPr>
        <w:t>Préserver la réputation, l’image de marque et l’identité visuelle de l’OMPI dans le cadre des relations avec les principales parties prenantes et auprès des différents publics cibles;</w:t>
      </w:r>
    </w:p>
    <w:p w14:paraId="33A92587" w14:textId="77777777" w:rsidR="00426A7C" w:rsidRPr="005F3C0A" w:rsidRDefault="00426A7C" w:rsidP="00986700">
      <w:pPr>
        <w:ind w:left="567" w:hanging="567"/>
        <w:jc w:val="both"/>
        <w:rPr>
          <w:rFonts w:cs="Arial"/>
          <w:szCs w:val="20"/>
        </w:rPr>
      </w:pPr>
    </w:p>
    <w:p w14:paraId="7B117A0A" w14:textId="77777777" w:rsidR="00426A7C" w:rsidRPr="005F3C0A" w:rsidRDefault="00426A7C" w:rsidP="00986700">
      <w:pPr>
        <w:pStyle w:val="ListParagraph"/>
        <w:numPr>
          <w:ilvl w:val="0"/>
          <w:numId w:val="7"/>
        </w:numPr>
        <w:jc w:val="both"/>
        <w:rPr>
          <w:rFonts w:cs="Arial"/>
          <w:szCs w:val="20"/>
        </w:rPr>
      </w:pPr>
      <w:r w:rsidRPr="005F3C0A">
        <w:rPr>
          <w:rFonts w:cs="Arial"/>
          <w:szCs w:val="20"/>
        </w:rPr>
        <w:t>Veiller à la convivialité et au bon fonctionnement du site Web et des autres canaux de communication de l’OMPI afin que les informations de l’OMPI soient diffusées en temps opportun auprès des différents publics cibles dans le monde entier.</w:t>
      </w:r>
    </w:p>
    <w:p w14:paraId="6883D534" w14:textId="77777777" w:rsidR="00426A7C" w:rsidRPr="005F3C0A" w:rsidRDefault="00426A7C" w:rsidP="00986700">
      <w:pPr>
        <w:jc w:val="both"/>
        <w:rPr>
          <w:rFonts w:cs="Arial"/>
          <w:szCs w:val="20"/>
        </w:rPr>
      </w:pPr>
    </w:p>
    <w:p w14:paraId="24972A99" w14:textId="77777777" w:rsidR="00426A7C" w:rsidRPr="005F3C0A" w:rsidRDefault="00426A7C"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4640"/>
        <w:gridCol w:w="4647"/>
      </w:tblGrid>
      <w:tr w:rsidR="00426A7C" w:rsidRPr="005F3C0A" w14:paraId="5D659403" w14:textId="77777777" w:rsidTr="00426A7C">
        <w:tc>
          <w:tcPr>
            <w:tcW w:w="4785" w:type="dxa"/>
            <w:shd w:val="clear" w:color="auto" w:fill="C6D9F1" w:themeFill="text2" w:themeFillTint="33"/>
            <w:tcMar>
              <w:top w:w="57" w:type="dxa"/>
              <w:left w:w="108" w:type="dxa"/>
              <w:bottom w:w="57" w:type="dxa"/>
              <w:right w:w="108" w:type="dxa"/>
            </w:tcMar>
            <w:vAlign w:val="center"/>
            <w:hideMark/>
          </w:tcPr>
          <w:p w14:paraId="5649E8FA" w14:textId="77777777" w:rsidR="00426A7C" w:rsidRPr="005F3C0A" w:rsidRDefault="00426A7C" w:rsidP="00986700">
            <w:pPr>
              <w:jc w:val="center"/>
              <w:rPr>
                <w:rFonts w:eastAsiaTheme="minorHAnsi" w:cs="Arial"/>
                <w:b/>
                <w:bCs/>
                <w:sz w:val="18"/>
                <w:szCs w:val="18"/>
                <w:lang w:eastAsia="en-US"/>
              </w:rPr>
            </w:pPr>
            <w:r w:rsidRPr="005F3C0A">
              <w:rPr>
                <w:rFonts w:eastAsia="Times New Roman" w:cs="Arial"/>
                <w:b/>
                <w:bCs/>
                <w:sz w:val="18"/>
                <w:szCs w:val="18"/>
                <w:lang w:eastAsia="en-US"/>
              </w:rPr>
              <w:t>Risques</w:t>
            </w:r>
          </w:p>
        </w:tc>
        <w:tc>
          <w:tcPr>
            <w:tcW w:w="4786" w:type="dxa"/>
            <w:shd w:val="clear" w:color="auto" w:fill="C6D9F1" w:themeFill="text2" w:themeFillTint="33"/>
            <w:tcMar>
              <w:top w:w="57" w:type="dxa"/>
              <w:left w:w="108" w:type="dxa"/>
              <w:bottom w:w="57" w:type="dxa"/>
              <w:right w:w="108" w:type="dxa"/>
            </w:tcMar>
            <w:vAlign w:val="center"/>
            <w:hideMark/>
          </w:tcPr>
          <w:p w14:paraId="6C7B9DE7" w14:textId="77777777" w:rsidR="00426A7C" w:rsidRPr="005F3C0A" w:rsidRDefault="00426A7C" w:rsidP="00986700">
            <w:pPr>
              <w:jc w:val="center"/>
              <w:rPr>
                <w:rFonts w:eastAsiaTheme="minorHAnsi" w:cs="Arial"/>
                <w:b/>
                <w:bCs/>
                <w:sz w:val="18"/>
                <w:szCs w:val="18"/>
                <w:lang w:eastAsia="en-US"/>
              </w:rPr>
            </w:pPr>
            <w:r w:rsidRPr="005F3C0A">
              <w:rPr>
                <w:rFonts w:eastAsia="Times New Roman" w:cs="Arial"/>
                <w:b/>
                <w:bCs/>
                <w:sz w:val="18"/>
                <w:szCs w:val="18"/>
                <w:lang w:eastAsia="en-US"/>
              </w:rPr>
              <w:t>Mesures d’atténuation</w:t>
            </w:r>
          </w:p>
        </w:tc>
      </w:tr>
      <w:tr w:rsidR="00426A7C" w:rsidRPr="005F3C0A" w14:paraId="7D42D37F" w14:textId="77777777" w:rsidTr="00426A7C">
        <w:tc>
          <w:tcPr>
            <w:tcW w:w="4785" w:type="dxa"/>
            <w:tcMar>
              <w:top w:w="57" w:type="dxa"/>
              <w:left w:w="108" w:type="dxa"/>
              <w:bottom w:w="57" w:type="dxa"/>
              <w:right w:w="108" w:type="dxa"/>
            </w:tcMar>
          </w:tcPr>
          <w:p w14:paraId="1CEC22EA" w14:textId="77777777" w:rsidR="00426A7C" w:rsidRPr="005F3C0A" w:rsidRDefault="00426A7C" w:rsidP="00986700">
            <w:pPr>
              <w:rPr>
                <w:rFonts w:eastAsiaTheme="minorHAnsi" w:cs="Arial"/>
                <w:sz w:val="16"/>
                <w:szCs w:val="16"/>
                <w:lang w:eastAsia="en-US"/>
              </w:rPr>
            </w:pPr>
            <w:r w:rsidRPr="005F3C0A">
              <w:rPr>
                <w:rFonts w:eastAsiaTheme="minorHAnsi" w:cs="Arial"/>
                <w:sz w:val="16"/>
                <w:szCs w:val="16"/>
                <w:lang w:eastAsia="en-US"/>
              </w:rPr>
              <w:t>Toute publicité négative portant atteinte à la réputation de l’Organisation peut avoir une incidence considérable sur la crédibilité et l’image de marque de l’OMPI et nuire aux activités de l’Organisation et au moral du personnel.</w:t>
            </w:r>
          </w:p>
        </w:tc>
        <w:tc>
          <w:tcPr>
            <w:tcW w:w="4786" w:type="dxa"/>
            <w:tcMar>
              <w:top w:w="57" w:type="dxa"/>
              <w:left w:w="108" w:type="dxa"/>
              <w:bottom w:w="57" w:type="dxa"/>
              <w:right w:w="108" w:type="dxa"/>
            </w:tcMar>
          </w:tcPr>
          <w:p w14:paraId="2A042D19" w14:textId="77777777" w:rsidR="00426A7C" w:rsidRPr="005F3C0A" w:rsidRDefault="00426A7C" w:rsidP="00986700">
            <w:pPr>
              <w:rPr>
                <w:rFonts w:eastAsiaTheme="minorHAnsi" w:cs="Arial"/>
                <w:sz w:val="16"/>
                <w:szCs w:val="16"/>
                <w:lang w:eastAsia="en-US"/>
              </w:rPr>
            </w:pPr>
            <w:r w:rsidRPr="005F3C0A">
              <w:rPr>
                <w:rFonts w:eastAsiaTheme="minorHAnsi" w:cs="Arial"/>
                <w:sz w:val="16"/>
                <w:szCs w:val="16"/>
                <w:lang w:eastAsia="en-US"/>
              </w:rPr>
              <w:t>Divulgation publique, diffusion anticipée d’informations, sensibilisation des médias et esprit d’ouverture pour répondre aux demandes.  Suivi constant de la couverture par la presse et les médias sociaux afin de pouvoir réagir rapidement si cela est nécessaire.</w:t>
            </w:r>
          </w:p>
        </w:tc>
      </w:tr>
    </w:tbl>
    <w:p w14:paraId="07B8B0EB" w14:textId="77777777" w:rsidR="00426A7C" w:rsidRPr="005F3C0A" w:rsidRDefault="00426A7C" w:rsidP="00986700">
      <w:pPr>
        <w:jc w:val="both"/>
        <w:rPr>
          <w:rFonts w:cs="Arial"/>
          <w:szCs w:val="20"/>
        </w:rPr>
      </w:pPr>
    </w:p>
    <w:p w14:paraId="5367CB90" w14:textId="77777777" w:rsidR="00426A7C" w:rsidRPr="005F3C0A" w:rsidRDefault="00426A7C"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299"/>
        <w:gridCol w:w="2299"/>
        <w:gridCol w:w="2363"/>
        <w:gridCol w:w="2326"/>
      </w:tblGrid>
      <w:tr w:rsidR="00426A7C" w:rsidRPr="005F3C0A" w14:paraId="00399AFD" w14:textId="77777777" w:rsidTr="00094A7D">
        <w:trPr>
          <w:cantSplit/>
          <w:tblHeader/>
        </w:trPr>
        <w:tc>
          <w:tcPr>
            <w:tcW w:w="2392" w:type="dxa"/>
            <w:shd w:val="clear" w:color="000000" w:fill="C5D9F1"/>
            <w:vAlign w:val="center"/>
            <w:hideMark/>
          </w:tcPr>
          <w:p w14:paraId="4FF922E3" w14:textId="77777777" w:rsidR="00426A7C" w:rsidRPr="005F3C0A" w:rsidRDefault="00426A7C" w:rsidP="00986700">
            <w:pPr>
              <w:jc w:val="center"/>
              <w:rPr>
                <w:rFonts w:eastAsia="Times New Roman" w:cs="Arial"/>
                <w:b/>
                <w:bCs/>
                <w:color w:val="000000"/>
                <w:sz w:val="18"/>
                <w:szCs w:val="18"/>
                <w:lang w:eastAsia="en-US"/>
              </w:rPr>
            </w:pPr>
            <w:r w:rsidRPr="005F3C0A">
              <w:rPr>
                <w:rFonts w:eastAsia="Times New Roman" w:cs="Arial"/>
                <w:b/>
                <w:bCs/>
                <w:color w:val="000000"/>
                <w:sz w:val="18"/>
                <w:szCs w:val="18"/>
                <w:lang w:eastAsia="en-US"/>
              </w:rPr>
              <w:t>Résultat escompté</w:t>
            </w:r>
          </w:p>
        </w:tc>
        <w:tc>
          <w:tcPr>
            <w:tcW w:w="2393" w:type="dxa"/>
            <w:shd w:val="clear" w:color="000000" w:fill="C5D9F1"/>
            <w:vAlign w:val="center"/>
            <w:hideMark/>
          </w:tcPr>
          <w:p w14:paraId="23BC348F" w14:textId="77777777" w:rsidR="00426A7C" w:rsidRPr="005F3C0A" w:rsidRDefault="00426A7C" w:rsidP="00986700">
            <w:pPr>
              <w:jc w:val="center"/>
              <w:rPr>
                <w:rFonts w:eastAsia="Times New Roman" w:cs="Arial"/>
                <w:b/>
                <w:bCs/>
                <w:color w:val="000000"/>
                <w:sz w:val="18"/>
                <w:szCs w:val="18"/>
                <w:lang w:eastAsia="en-US"/>
              </w:rPr>
            </w:pPr>
            <w:r w:rsidRPr="005F3C0A">
              <w:rPr>
                <w:rFonts w:eastAsia="Times New Roman" w:cs="Arial"/>
                <w:b/>
                <w:bCs/>
                <w:color w:val="000000"/>
                <w:sz w:val="18"/>
                <w:szCs w:val="18"/>
                <w:lang w:eastAsia="en-US"/>
              </w:rPr>
              <w:t>Indicateurs d’exécution</w:t>
            </w:r>
          </w:p>
        </w:tc>
        <w:tc>
          <w:tcPr>
            <w:tcW w:w="2393" w:type="dxa"/>
            <w:shd w:val="clear" w:color="000000" w:fill="C5D9F1"/>
            <w:vAlign w:val="center"/>
            <w:hideMark/>
          </w:tcPr>
          <w:p w14:paraId="0639207A" w14:textId="77777777" w:rsidR="00426A7C" w:rsidRPr="005F3C0A" w:rsidRDefault="00426A7C" w:rsidP="00986700">
            <w:pPr>
              <w:jc w:val="center"/>
              <w:rPr>
                <w:rFonts w:eastAsia="Times New Roman" w:cs="Arial"/>
                <w:b/>
                <w:bCs/>
                <w:color w:val="000000"/>
                <w:sz w:val="18"/>
                <w:szCs w:val="18"/>
                <w:lang w:eastAsia="en-US"/>
              </w:rPr>
            </w:pPr>
            <w:r w:rsidRPr="005F3C0A">
              <w:rPr>
                <w:rFonts w:eastAsia="Times New Roman" w:cs="Arial"/>
                <w:b/>
                <w:bCs/>
                <w:color w:val="000000"/>
                <w:sz w:val="18"/>
                <w:szCs w:val="18"/>
                <w:lang w:eastAsia="en-US"/>
              </w:rPr>
              <w:t>Niveaux de référence</w:t>
            </w:r>
          </w:p>
        </w:tc>
        <w:tc>
          <w:tcPr>
            <w:tcW w:w="2393" w:type="dxa"/>
            <w:shd w:val="clear" w:color="000000" w:fill="C5D9F1"/>
            <w:vAlign w:val="center"/>
            <w:hideMark/>
          </w:tcPr>
          <w:p w14:paraId="589FA995" w14:textId="77777777" w:rsidR="00426A7C" w:rsidRPr="005F3C0A" w:rsidRDefault="00426A7C" w:rsidP="00986700">
            <w:pPr>
              <w:jc w:val="center"/>
              <w:rPr>
                <w:rFonts w:eastAsia="Times New Roman" w:cs="Arial"/>
                <w:b/>
                <w:bCs/>
                <w:color w:val="000000"/>
                <w:sz w:val="18"/>
                <w:szCs w:val="18"/>
                <w:lang w:eastAsia="en-US"/>
              </w:rPr>
            </w:pPr>
            <w:r w:rsidRPr="005F3C0A">
              <w:rPr>
                <w:rFonts w:eastAsia="Times New Roman" w:cs="Arial"/>
                <w:b/>
                <w:bCs/>
                <w:color w:val="000000"/>
                <w:sz w:val="18"/>
                <w:szCs w:val="18"/>
                <w:lang w:eastAsia="en-US"/>
              </w:rPr>
              <w:t>Objectifs visés</w:t>
            </w:r>
          </w:p>
        </w:tc>
      </w:tr>
      <w:tr w:rsidR="00426A7C" w:rsidRPr="005F3C0A" w14:paraId="2EB486BF" w14:textId="77777777" w:rsidTr="00094A7D">
        <w:trPr>
          <w:cantSplit/>
        </w:trPr>
        <w:tc>
          <w:tcPr>
            <w:tcW w:w="2392" w:type="dxa"/>
            <w:shd w:val="clear" w:color="000000" w:fill="FFFFFF"/>
            <w:tcMar>
              <w:top w:w="57" w:type="dxa"/>
            </w:tcMar>
            <w:hideMark/>
          </w:tcPr>
          <w:p w14:paraId="3CFB97EE" w14:textId="4B5C9511" w:rsidR="00426A7C" w:rsidRPr="005F3C0A" w:rsidRDefault="00165F8F" w:rsidP="00986700">
            <w:pPr>
              <w:rPr>
                <w:rFonts w:eastAsia="Times New Roman" w:cs="Arial"/>
                <w:color w:val="000000"/>
                <w:sz w:val="16"/>
                <w:szCs w:val="16"/>
                <w:lang w:eastAsia="en-US"/>
              </w:rPr>
            </w:pPr>
            <w:r>
              <w:rPr>
                <w:rFonts w:eastAsia="Times New Roman" w:cs="Arial"/>
                <w:color w:val="000000"/>
                <w:sz w:val="16"/>
                <w:szCs w:val="16"/>
                <w:lang w:eastAsia="en-US"/>
              </w:rPr>
              <w:t>VIII.1</w:t>
            </w:r>
            <w:r w:rsidR="00426A7C" w:rsidRPr="005F3C0A">
              <w:rPr>
                <w:rFonts w:eastAsia="Times New Roman" w:cs="Arial"/>
                <w:color w:val="000000"/>
                <w:sz w:val="16"/>
                <w:szCs w:val="16"/>
                <w:lang w:eastAsia="en-US"/>
              </w:rPr>
              <w:t xml:space="preserve"> Communication plus efficace avec un public large et varié concernant la propriété intellectuelle et le rôle de l’OMPI</w:t>
            </w:r>
          </w:p>
        </w:tc>
        <w:tc>
          <w:tcPr>
            <w:tcW w:w="2393" w:type="dxa"/>
            <w:shd w:val="clear" w:color="000000" w:fill="FFFFFF"/>
            <w:tcMar>
              <w:top w:w="57" w:type="dxa"/>
            </w:tcMar>
            <w:hideMark/>
          </w:tcPr>
          <w:p w14:paraId="1B004BE6"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Image de marque et réputation : les parties prenantes comprennent le positionnement de l’image de marque de l’OMPI et ont une image positive de l’OMPI</w:t>
            </w:r>
          </w:p>
        </w:tc>
        <w:tc>
          <w:tcPr>
            <w:tcW w:w="2393" w:type="dxa"/>
            <w:shd w:val="clear" w:color="000000" w:fill="FFFFFF"/>
            <w:tcMar>
              <w:top w:w="57" w:type="dxa"/>
            </w:tcMar>
            <w:hideMark/>
          </w:tcPr>
          <w:p w14:paraId="756C6E86"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74% des personnes ayant participé à l’enquête ont considéré l’OMPI comme l’instance mondiale pour les questions de propriété intellectuelle (enquête menée auprès des parties prenantes de l’OMPI en 2016</w:t>
            </w:r>
            <w:r>
              <w:rPr>
                <w:rFonts w:eastAsia="Times New Roman" w:cs="Arial"/>
                <w:color w:val="000000"/>
                <w:sz w:val="16"/>
                <w:szCs w:val="16"/>
                <w:lang w:eastAsia="en-US"/>
              </w:rPr>
              <w:t>)</w:t>
            </w:r>
          </w:p>
        </w:tc>
        <w:tc>
          <w:tcPr>
            <w:tcW w:w="2393" w:type="dxa"/>
            <w:shd w:val="clear" w:color="000000" w:fill="FFFFFF"/>
            <w:tcMar>
              <w:top w:w="57" w:type="dxa"/>
            </w:tcMar>
            <w:hideMark/>
          </w:tcPr>
          <w:p w14:paraId="5BD8FED1"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 xml:space="preserve">75% des parties prenantes considèrent l’OMPI comme l’instance mondiale pour les questions de propriété intellectuelle </w:t>
            </w:r>
          </w:p>
        </w:tc>
      </w:tr>
      <w:tr w:rsidR="00426A7C" w:rsidRPr="005F3C0A" w14:paraId="65066542" w14:textId="77777777" w:rsidTr="00094A7D">
        <w:trPr>
          <w:cantSplit/>
        </w:trPr>
        <w:tc>
          <w:tcPr>
            <w:tcW w:w="2392" w:type="dxa"/>
            <w:shd w:val="clear" w:color="000000" w:fill="FFFFFF"/>
            <w:tcMar>
              <w:top w:w="57" w:type="dxa"/>
            </w:tcMar>
            <w:vAlign w:val="bottom"/>
            <w:hideMark/>
          </w:tcPr>
          <w:p w14:paraId="5EA219AA" w14:textId="77777777" w:rsidR="00426A7C" w:rsidRPr="005F3C0A" w:rsidRDefault="00426A7C" w:rsidP="00986700">
            <w:pPr>
              <w:jc w:val="right"/>
              <w:rPr>
                <w:rFonts w:eastAsia="Times New Roman" w:cs="Arial"/>
                <w:color w:val="000000"/>
                <w:sz w:val="16"/>
                <w:szCs w:val="16"/>
                <w:lang w:eastAsia="en-US"/>
              </w:rPr>
            </w:pPr>
            <w:r w:rsidRPr="005F3C0A">
              <w:rPr>
                <w:rFonts w:eastAsia="Times New Roman" w:cs="Arial"/>
                <w:color w:val="000000"/>
                <w:sz w:val="16"/>
                <w:szCs w:val="16"/>
                <w:lang w:eastAsia="en-US"/>
              </w:rPr>
              <w:t> </w:t>
            </w:r>
          </w:p>
        </w:tc>
        <w:tc>
          <w:tcPr>
            <w:tcW w:w="2393" w:type="dxa"/>
            <w:shd w:val="clear" w:color="000000" w:fill="FFFFFF"/>
            <w:tcMar>
              <w:top w:w="57" w:type="dxa"/>
            </w:tcMar>
            <w:hideMark/>
          </w:tcPr>
          <w:p w14:paraId="0BBF6527"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Image de marque et réputation : couverture positive des principales activités et réalisations de l’OMPI par les médias du monde entier</w:t>
            </w:r>
          </w:p>
        </w:tc>
        <w:tc>
          <w:tcPr>
            <w:tcW w:w="2393" w:type="dxa"/>
            <w:shd w:val="clear" w:color="000000" w:fill="FFFFFF"/>
            <w:tcMar>
              <w:top w:w="57" w:type="dxa"/>
            </w:tcMar>
            <w:hideMark/>
          </w:tcPr>
          <w:p w14:paraId="48984D34" w14:textId="2A0A718F"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97% des articles sur l’OMPI ont été rédigés sur un ton positif ou neutre (en 2016)</w:t>
            </w:r>
          </w:p>
        </w:tc>
        <w:tc>
          <w:tcPr>
            <w:tcW w:w="2393" w:type="dxa"/>
            <w:shd w:val="clear" w:color="000000" w:fill="FFFFFF"/>
            <w:tcMar>
              <w:top w:w="57" w:type="dxa"/>
            </w:tcMar>
            <w:hideMark/>
          </w:tcPr>
          <w:p w14:paraId="15D69B09"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Au moins 95% des articles sur l’OMPI sont rédigés sur un ton positif ou neutre</w:t>
            </w:r>
          </w:p>
        </w:tc>
      </w:tr>
      <w:tr w:rsidR="00426A7C" w:rsidRPr="005F3C0A" w14:paraId="21894142" w14:textId="77777777" w:rsidTr="00094A7D">
        <w:trPr>
          <w:cantSplit/>
        </w:trPr>
        <w:tc>
          <w:tcPr>
            <w:tcW w:w="2392" w:type="dxa"/>
            <w:shd w:val="clear" w:color="000000" w:fill="FFFFFF"/>
            <w:tcMar>
              <w:top w:w="57" w:type="dxa"/>
            </w:tcMar>
            <w:vAlign w:val="bottom"/>
            <w:hideMark/>
          </w:tcPr>
          <w:p w14:paraId="41678FA2" w14:textId="77777777" w:rsidR="00426A7C" w:rsidRPr="005F3C0A" w:rsidRDefault="00426A7C" w:rsidP="00986700">
            <w:pPr>
              <w:jc w:val="right"/>
              <w:rPr>
                <w:rFonts w:eastAsia="Times New Roman" w:cs="Arial"/>
                <w:color w:val="000000"/>
                <w:sz w:val="16"/>
                <w:szCs w:val="16"/>
                <w:lang w:eastAsia="en-US"/>
              </w:rPr>
            </w:pPr>
            <w:r w:rsidRPr="005F3C0A">
              <w:rPr>
                <w:rFonts w:eastAsia="Times New Roman" w:cs="Arial"/>
                <w:color w:val="000000"/>
                <w:sz w:val="16"/>
                <w:szCs w:val="16"/>
                <w:lang w:eastAsia="en-US"/>
              </w:rPr>
              <w:lastRenderedPageBreak/>
              <w:t> </w:t>
            </w:r>
          </w:p>
        </w:tc>
        <w:tc>
          <w:tcPr>
            <w:tcW w:w="2393" w:type="dxa"/>
            <w:shd w:val="clear" w:color="000000" w:fill="FFFFFF"/>
            <w:tcMar>
              <w:top w:w="57" w:type="dxa"/>
            </w:tcMar>
            <w:hideMark/>
          </w:tcPr>
          <w:p w14:paraId="3CFE20F4"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Engagement : interactions avec l’OMPI sur les médias sociaux et numériques</w:t>
            </w:r>
          </w:p>
        </w:tc>
        <w:tc>
          <w:tcPr>
            <w:tcW w:w="2393" w:type="dxa"/>
            <w:shd w:val="clear" w:color="000000" w:fill="FFFFFF"/>
            <w:tcMar>
              <w:top w:w="57" w:type="dxa"/>
            </w:tcMar>
            <w:hideMark/>
          </w:tcPr>
          <w:p w14:paraId="0C3E6091"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2016 :</w:t>
            </w:r>
          </w:p>
          <w:p w14:paraId="5BD08AB4" w14:textId="677808F1"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w:t>
            </w:r>
            <w:r>
              <w:rPr>
                <w:rFonts w:eastAsia="Times New Roman" w:cs="Arial"/>
                <w:color w:val="000000"/>
                <w:sz w:val="16"/>
                <w:szCs w:val="16"/>
                <w:lang w:eastAsia="en-US"/>
              </w:rPr>
              <w:t> </w:t>
            </w:r>
            <w:r w:rsidR="003313BC">
              <w:rPr>
                <w:rFonts w:eastAsia="Times New Roman" w:cs="Arial"/>
                <w:color w:val="000000"/>
                <w:sz w:val="16"/>
                <w:szCs w:val="16"/>
                <w:lang w:eastAsia="en-US"/>
              </w:rPr>
              <w:t>13 289</w:t>
            </w:r>
            <w:r w:rsidRPr="005F3C0A">
              <w:rPr>
                <w:rFonts w:eastAsia="Times New Roman" w:cs="Arial"/>
                <w:color w:val="000000"/>
                <w:sz w:val="16"/>
                <w:szCs w:val="16"/>
                <w:lang w:eastAsia="en-US"/>
              </w:rPr>
              <w:t xml:space="preserve"> “J’aime”;  </w:t>
            </w:r>
            <w:r w:rsidR="003313BC">
              <w:rPr>
                <w:rFonts w:eastAsia="Times New Roman" w:cs="Arial"/>
                <w:color w:val="000000"/>
                <w:sz w:val="16"/>
                <w:szCs w:val="16"/>
                <w:lang w:eastAsia="en-US"/>
              </w:rPr>
              <w:t>19 715</w:t>
            </w:r>
            <w:r>
              <w:rPr>
                <w:rFonts w:eastAsia="Times New Roman" w:cs="Arial"/>
                <w:color w:val="000000"/>
                <w:sz w:val="16"/>
                <w:szCs w:val="16"/>
                <w:lang w:eastAsia="en-US"/>
              </w:rPr>
              <w:t> </w:t>
            </w:r>
            <w:r w:rsidRPr="005F3C0A">
              <w:rPr>
                <w:rFonts w:eastAsia="Times New Roman" w:cs="Arial"/>
                <w:color w:val="000000"/>
                <w:sz w:val="16"/>
                <w:szCs w:val="16"/>
                <w:lang w:eastAsia="en-US"/>
              </w:rPr>
              <w:t>retweets</w:t>
            </w:r>
          </w:p>
          <w:p w14:paraId="7C430814" w14:textId="500B47DB" w:rsidR="00426A7C" w:rsidRPr="005F3C0A" w:rsidRDefault="00426A7C" w:rsidP="00986700">
            <w:pPr>
              <w:rPr>
                <w:rFonts w:eastAsia="Times New Roman" w:cs="Arial"/>
                <w:color w:val="000000"/>
                <w:sz w:val="16"/>
                <w:szCs w:val="16"/>
                <w:lang w:eastAsia="en-US"/>
              </w:rPr>
            </w:pPr>
          </w:p>
          <w:p w14:paraId="648EE954" w14:textId="77777777" w:rsidR="00094A7D" w:rsidRDefault="00094A7D" w:rsidP="00986700">
            <w:pPr>
              <w:rPr>
                <w:rFonts w:eastAsia="Times New Roman" w:cs="Arial"/>
                <w:color w:val="000000"/>
                <w:sz w:val="16"/>
                <w:szCs w:val="16"/>
                <w:lang w:eastAsia="en-US"/>
              </w:rPr>
            </w:pPr>
          </w:p>
          <w:p w14:paraId="092BFEF9" w14:textId="77777777" w:rsidR="00094A7D" w:rsidRDefault="00094A7D" w:rsidP="00986700">
            <w:pPr>
              <w:rPr>
                <w:rFonts w:eastAsia="Times New Roman" w:cs="Arial"/>
                <w:color w:val="000000"/>
                <w:sz w:val="16"/>
                <w:szCs w:val="16"/>
                <w:lang w:eastAsia="en-US"/>
              </w:rPr>
            </w:pPr>
          </w:p>
          <w:p w14:paraId="1956E211" w14:textId="77777777" w:rsidR="00094A7D" w:rsidRDefault="00094A7D" w:rsidP="00986700">
            <w:pPr>
              <w:rPr>
                <w:rFonts w:eastAsia="Times New Roman" w:cs="Arial"/>
                <w:color w:val="000000"/>
                <w:sz w:val="16"/>
                <w:szCs w:val="16"/>
                <w:lang w:eastAsia="en-US"/>
              </w:rPr>
            </w:pPr>
          </w:p>
          <w:p w14:paraId="3299E67F" w14:textId="77E14D14" w:rsidR="00426A7C" w:rsidRPr="005F3C0A"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ii) </w:t>
            </w:r>
            <w:r w:rsidRPr="005F3C0A">
              <w:rPr>
                <w:rFonts w:eastAsia="Times New Roman" w:cs="Arial"/>
                <w:color w:val="000000"/>
                <w:sz w:val="16"/>
                <w:szCs w:val="16"/>
                <w:lang w:eastAsia="en-US"/>
              </w:rPr>
              <w:t>nombre d’utilisateurs satisfaits de l’application pour les délégués (à déterminer)</w:t>
            </w:r>
          </w:p>
        </w:tc>
        <w:tc>
          <w:tcPr>
            <w:tcW w:w="2393" w:type="dxa"/>
            <w:shd w:val="clear" w:color="000000" w:fill="FFFFFF"/>
            <w:tcMar>
              <w:top w:w="57" w:type="dxa"/>
            </w:tcMar>
            <w:hideMark/>
          </w:tcPr>
          <w:p w14:paraId="5DD88DC8"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w:t>
            </w:r>
            <w:r>
              <w:rPr>
                <w:rFonts w:eastAsia="Times New Roman" w:cs="Arial"/>
                <w:color w:val="000000"/>
                <w:sz w:val="16"/>
                <w:szCs w:val="16"/>
                <w:lang w:eastAsia="en-US"/>
              </w:rPr>
              <w:t> </w:t>
            </w:r>
            <w:r w:rsidRPr="005F3C0A">
              <w:rPr>
                <w:rFonts w:eastAsia="Times New Roman" w:cs="Arial"/>
                <w:color w:val="000000"/>
                <w:sz w:val="16"/>
                <w:szCs w:val="16"/>
                <w:lang w:eastAsia="en-US"/>
              </w:rPr>
              <w:t>augmentation de 15% au cours de l’exercice biennal du nombre de “J’aime” et de retweets concernant des contenus de l’OMPI sur T</w:t>
            </w:r>
            <w:r>
              <w:rPr>
                <w:rFonts w:eastAsia="Times New Roman" w:cs="Arial"/>
                <w:color w:val="000000"/>
                <w:sz w:val="16"/>
                <w:szCs w:val="16"/>
                <w:lang w:eastAsia="en-US"/>
              </w:rPr>
              <w:t>witter</w:t>
            </w:r>
          </w:p>
          <w:p w14:paraId="1B71E557" w14:textId="77777777" w:rsidR="00094A7D" w:rsidRDefault="00094A7D" w:rsidP="00986700">
            <w:pPr>
              <w:rPr>
                <w:rFonts w:eastAsia="Times New Roman" w:cs="Arial"/>
                <w:color w:val="000000"/>
                <w:sz w:val="16"/>
                <w:szCs w:val="16"/>
                <w:lang w:eastAsia="en-US"/>
              </w:rPr>
            </w:pPr>
          </w:p>
          <w:p w14:paraId="552C5A19" w14:textId="57C42951" w:rsidR="00426A7C" w:rsidRPr="005F3C0A"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ii) </w:t>
            </w:r>
            <w:r w:rsidRPr="005F3C0A">
              <w:rPr>
                <w:rFonts w:eastAsia="Times New Roman" w:cs="Arial"/>
                <w:color w:val="000000"/>
                <w:sz w:val="16"/>
                <w:szCs w:val="16"/>
                <w:lang w:eastAsia="en-US"/>
              </w:rPr>
              <w:t>au moins 80% des utilisateurs sont satisfaits de l’application pour les délégués</w:t>
            </w:r>
          </w:p>
        </w:tc>
      </w:tr>
      <w:tr w:rsidR="00426A7C" w:rsidRPr="005F3C0A" w14:paraId="195ECA6E" w14:textId="77777777" w:rsidTr="00094A7D">
        <w:trPr>
          <w:cantSplit/>
        </w:trPr>
        <w:tc>
          <w:tcPr>
            <w:tcW w:w="2392" w:type="dxa"/>
            <w:shd w:val="clear" w:color="000000" w:fill="FFFFFF"/>
            <w:tcMar>
              <w:top w:w="57" w:type="dxa"/>
            </w:tcMar>
            <w:vAlign w:val="bottom"/>
            <w:hideMark/>
          </w:tcPr>
          <w:p w14:paraId="29994217" w14:textId="77777777" w:rsidR="00426A7C" w:rsidRPr="005F3C0A" w:rsidRDefault="00426A7C" w:rsidP="00986700">
            <w:pPr>
              <w:jc w:val="right"/>
              <w:rPr>
                <w:rFonts w:eastAsia="Times New Roman" w:cs="Arial"/>
                <w:color w:val="000000"/>
                <w:sz w:val="16"/>
                <w:szCs w:val="16"/>
                <w:lang w:eastAsia="en-US"/>
              </w:rPr>
            </w:pPr>
            <w:r w:rsidRPr="005F3C0A">
              <w:rPr>
                <w:rFonts w:eastAsia="Times New Roman" w:cs="Arial"/>
                <w:color w:val="000000"/>
                <w:sz w:val="16"/>
                <w:szCs w:val="16"/>
                <w:lang w:eastAsia="en-US"/>
              </w:rPr>
              <w:t> </w:t>
            </w:r>
          </w:p>
        </w:tc>
        <w:tc>
          <w:tcPr>
            <w:tcW w:w="2393" w:type="dxa"/>
            <w:shd w:val="clear" w:color="000000" w:fill="FFFFFF"/>
            <w:tcMar>
              <w:top w:w="57" w:type="dxa"/>
            </w:tcMar>
            <w:hideMark/>
          </w:tcPr>
          <w:p w14:paraId="77894046"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 xml:space="preserve">Image de marque et réputation : nombre de lecteurs des bulletins d’information électroniques contenant des informations sur les principaux produits et les principales activités et manifestations de l’OMPI </w:t>
            </w:r>
          </w:p>
        </w:tc>
        <w:tc>
          <w:tcPr>
            <w:tcW w:w="2393" w:type="dxa"/>
            <w:shd w:val="clear" w:color="000000" w:fill="FFFFFF"/>
            <w:tcMar>
              <w:top w:w="57" w:type="dxa"/>
            </w:tcMar>
            <w:hideMark/>
          </w:tcPr>
          <w:p w14:paraId="6773A80D" w14:textId="7B77F712"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12</w:t>
            </w:r>
            <w:r>
              <w:rPr>
                <w:rFonts w:eastAsia="Times New Roman" w:cs="Arial"/>
                <w:color w:val="000000"/>
                <w:sz w:val="16"/>
                <w:szCs w:val="16"/>
                <w:lang w:eastAsia="en-US"/>
              </w:rPr>
              <w:t> 762 </w:t>
            </w:r>
            <w:r w:rsidRPr="005F3C0A">
              <w:rPr>
                <w:rFonts w:eastAsia="Times New Roman" w:cs="Arial"/>
                <w:color w:val="000000"/>
                <w:sz w:val="16"/>
                <w:szCs w:val="16"/>
                <w:lang w:eastAsia="en-US"/>
              </w:rPr>
              <w:t xml:space="preserve">abonnés à </w:t>
            </w:r>
            <w:r>
              <w:rPr>
                <w:rFonts w:eastAsia="Times New Roman" w:cs="Arial"/>
                <w:color w:val="000000"/>
                <w:sz w:val="16"/>
                <w:szCs w:val="16"/>
                <w:lang w:eastAsia="en-US"/>
              </w:rPr>
              <w:t>WI</w:t>
            </w:r>
            <w:r w:rsidRPr="005F3C0A">
              <w:rPr>
                <w:rFonts w:eastAsia="Times New Roman" w:cs="Arial"/>
                <w:color w:val="000000"/>
                <w:sz w:val="16"/>
                <w:szCs w:val="16"/>
                <w:lang w:eastAsia="en-US"/>
              </w:rPr>
              <w:t>PO Wire dans toutes les langues (en 2016)</w:t>
            </w:r>
          </w:p>
        </w:tc>
        <w:tc>
          <w:tcPr>
            <w:tcW w:w="2393" w:type="dxa"/>
            <w:shd w:val="clear" w:color="000000" w:fill="FFFFFF"/>
            <w:tcMar>
              <w:top w:w="57" w:type="dxa"/>
            </w:tcMar>
            <w:hideMark/>
          </w:tcPr>
          <w:p w14:paraId="5B02E6D8"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Augmentation de 10% du nombre d’abonnés au bulletin d’information WIPO Wire au cours de l’exercice biennal (toutes langues confondues)</w:t>
            </w:r>
          </w:p>
        </w:tc>
      </w:tr>
      <w:tr w:rsidR="00426A7C" w:rsidRPr="005F3C0A" w14:paraId="5A65EFFF" w14:textId="77777777" w:rsidTr="00094A7D">
        <w:trPr>
          <w:cantSplit/>
        </w:trPr>
        <w:tc>
          <w:tcPr>
            <w:tcW w:w="2392" w:type="dxa"/>
            <w:shd w:val="clear" w:color="000000" w:fill="FFFFFF"/>
            <w:tcMar>
              <w:top w:w="57" w:type="dxa"/>
            </w:tcMar>
            <w:vAlign w:val="bottom"/>
            <w:hideMark/>
          </w:tcPr>
          <w:p w14:paraId="6488AF42" w14:textId="4E230764" w:rsidR="00426A7C" w:rsidRPr="005F3C0A" w:rsidRDefault="00426A7C" w:rsidP="00986700">
            <w:pPr>
              <w:jc w:val="right"/>
              <w:rPr>
                <w:rFonts w:eastAsia="Times New Roman" w:cs="Arial"/>
                <w:color w:val="000000"/>
                <w:sz w:val="16"/>
                <w:szCs w:val="16"/>
                <w:lang w:eastAsia="en-US"/>
              </w:rPr>
            </w:pPr>
          </w:p>
        </w:tc>
        <w:tc>
          <w:tcPr>
            <w:tcW w:w="2393" w:type="dxa"/>
            <w:shd w:val="clear" w:color="000000" w:fill="FFFFFF"/>
            <w:tcMar>
              <w:top w:w="57" w:type="dxa"/>
            </w:tcMar>
            <w:hideMark/>
          </w:tcPr>
          <w:p w14:paraId="6AB853E3"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Nombre de consultations des contenus multimédias de l’OMPI</w:t>
            </w:r>
          </w:p>
        </w:tc>
        <w:tc>
          <w:tcPr>
            <w:tcW w:w="2393" w:type="dxa"/>
            <w:shd w:val="clear" w:color="000000" w:fill="FFFFFF"/>
            <w:tcMar>
              <w:top w:w="57" w:type="dxa"/>
            </w:tcMar>
            <w:hideMark/>
          </w:tcPr>
          <w:p w14:paraId="3C770E4C"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238 </w:t>
            </w:r>
            <w:r>
              <w:rPr>
                <w:rFonts w:eastAsia="Times New Roman" w:cs="Arial"/>
                <w:color w:val="000000"/>
                <w:sz w:val="16"/>
                <w:szCs w:val="16"/>
                <w:lang w:eastAsia="en-US"/>
              </w:rPr>
              <w:t>734 v</w:t>
            </w:r>
            <w:r w:rsidRPr="005F3C0A">
              <w:rPr>
                <w:rFonts w:eastAsia="Times New Roman" w:cs="Arial"/>
                <w:color w:val="000000"/>
                <w:sz w:val="16"/>
                <w:szCs w:val="16"/>
                <w:lang w:eastAsia="en-US"/>
              </w:rPr>
              <w:t xml:space="preserve">ues sur la chaîne YouTube de l’OMPI en 2016 (vidéos destinées aux enfants non comprises) </w:t>
            </w:r>
          </w:p>
        </w:tc>
        <w:tc>
          <w:tcPr>
            <w:tcW w:w="2393" w:type="dxa"/>
            <w:shd w:val="clear" w:color="000000" w:fill="FFFFFF"/>
            <w:tcMar>
              <w:top w:w="57" w:type="dxa"/>
            </w:tcMar>
            <w:hideMark/>
          </w:tcPr>
          <w:p w14:paraId="3E6C437D"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Augmentation de 8% du nombre total de vues sur la chaîne YouTube de l’OMPI (vidéos destinées aux enfants non comprises)</w:t>
            </w:r>
          </w:p>
        </w:tc>
      </w:tr>
      <w:tr w:rsidR="00426A7C" w:rsidRPr="005F3C0A" w14:paraId="5EAFBD93" w14:textId="77777777" w:rsidTr="00094A7D">
        <w:trPr>
          <w:cantSplit/>
        </w:trPr>
        <w:tc>
          <w:tcPr>
            <w:tcW w:w="2392" w:type="dxa"/>
            <w:shd w:val="clear" w:color="000000" w:fill="FFFFFF"/>
            <w:tcMar>
              <w:top w:w="57" w:type="dxa"/>
            </w:tcMar>
            <w:hideMark/>
          </w:tcPr>
          <w:p w14:paraId="13B4DE75" w14:textId="6169F35C" w:rsidR="00426A7C" w:rsidRPr="005F3C0A" w:rsidRDefault="00426A7C" w:rsidP="00986700">
            <w:pPr>
              <w:rPr>
                <w:rFonts w:eastAsia="Times New Roman" w:cs="Arial"/>
                <w:color w:val="000000"/>
                <w:sz w:val="16"/>
                <w:szCs w:val="16"/>
                <w:lang w:eastAsia="en-US"/>
              </w:rPr>
            </w:pPr>
          </w:p>
        </w:tc>
        <w:tc>
          <w:tcPr>
            <w:tcW w:w="2393" w:type="dxa"/>
            <w:shd w:val="clear" w:color="000000" w:fill="FFFFFF"/>
            <w:tcMar>
              <w:top w:w="57" w:type="dxa"/>
            </w:tcMar>
            <w:hideMark/>
          </w:tcPr>
          <w:p w14:paraId="1CC6F9A9"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Engagement : niveau de participation à l’échelle mondiale à la Journée mondiale de la propriété intellectuelle</w:t>
            </w:r>
          </w:p>
        </w:tc>
        <w:tc>
          <w:tcPr>
            <w:tcW w:w="2393" w:type="dxa"/>
            <w:shd w:val="clear" w:color="000000" w:fill="FFFFFF"/>
            <w:tcMar>
              <w:top w:w="57" w:type="dxa"/>
            </w:tcMar>
            <w:hideMark/>
          </w:tcPr>
          <w:p w14:paraId="186482FE" w14:textId="77777777" w:rsidR="00426A7C" w:rsidRPr="005F3C0A"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450 </w:t>
            </w:r>
            <w:r w:rsidRPr="005F3C0A">
              <w:rPr>
                <w:rFonts w:eastAsia="Times New Roman" w:cs="Arial"/>
                <w:color w:val="000000"/>
                <w:sz w:val="16"/>
                <w:szCs w:val="16"/>
                <w:lang w:eastAsia="en-US"/>
              </w:rPr>
              <w:t>manifestations ont été rapportées dans 122</w:t>
            </w:r>
            <w:r>
              <w:rPr>
                <w:rFonts w:eastAsia="Times New Roman" w:cs="Arial"/>
                <w:color w:val="000000"/>
                <w:sz w:val="16"/>
                <w:szCs w:val="16"/>
                <w:lang w:eastAsia="en-US"/>
              </w:rPr>
              <w:t> </w:t>
            </w:r>
            <w:r w:rsidRPr="005F3C0A">
              <w:rPr>
                <w:rFonts w:eastAsia="Times New Roman" w:cs="Arial"/>
                <w:color w:val="000000"/>
                <w:sz w:val="16"/>
                <w:szCs w:val="16"/>
                <w:lang w:eastAsia="en-US"/>
              </w:rPr>
              <w:t>pays (en 2016)</w:t>
            </w:r>
          </w:p>
        </w:tc>
        <w:tc>
          <w:tcPr>
            <w:tcW w:w="2393" w:type="dxa"/>
            <w:shd w:val="clear" w:color="000000" w:fill="FFFFFF"/>
            <w:tcMar>
              <w:top w:w="57" w:type="dxa"/>
            </w:tcMar>
            <w:hideMark/>
          </w:tcPr>
          <w:p w14:paraId="6301FF65"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Niveau de participation constant à l’échelle mondiale, y compris en ce qui concerne la représentation dans chacune des régions géographiques</w:t>
            </w:r>
          </w:p>
        </w:tc>
      </w:tr>
      <w:tr w:rsidR="00426A7C" w:rsidRPr="005F3C0A" w14:paraId="5DB95364" w14:textId="77777777" w:rsidTr="00094A7D">
        <w:trPr>
          <w:cantSplit/>
        </w:trPr>
        <w:tc>
          <w:tcPr>
            <w:tcW w:w="2392" w:type="dxa"/>
            <w:shd w:val="clear" w:color="000000" w:fill="FFFFFF"/>
            <w:tcMar>
              <w:top w:w="57" w:type="dxa"/>
            </w:tcMar>
            <w:vAlign w:val="bottom"/>
            <w:hideMark/>
          </w:tcPr>
          <w:p w14:paraId="1708A239" w14:textId="6B198C2A" w:rsidR="00426A7C" w:rsidRPr="005F3C0A" w:rsidRDefault="00426A7C" w:rsidP="00986700">
            <w:pPr>
              <w:jc w:val="right"/>
              <w:rPr>
                <w:rFonts w:eastAsia="Times New Roman" w:cs="Arial"/>
                <w:color w:val="000000"/>
                <w:sz w:val="16"/>
                <w:szCs w:val="16"/>
                <w:lang w:eastAsia="en-US"/>
              </w:rPr>
            </w:pPr>
          </w:p>
        </w:tc>
        <w:tc>
          <w:tcPr>
            <w:tcW w:w="2393" w:type="dxa"/>
            <w:shd w:val="clear" w:color="000000" w:fill="FFFFFF"/>
            <w:tcMar>
              <w:top w:w="57" w:type="dxa"/>
            </w:tcMar>
            <w:hideMark/>
          </w:tcPr>
          <w:p w14:paraId="414414D0"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Engagement : accès amélioré aux publications et au matériel promotionnel de l’OMPI dans les différentes langues et les différents formats, y compris en ce qui concerne les publics les moins favorisés</w:t>
            </w:r>
          </w:p>
        </w:tc>
        <w:tc>
          <w:tcPr>
            <w:tcW w:w="2393" w:type="dxa"/>
            <w:shd w:val="clear" w:color="000000" w:fill="FFFFFF"/>
            <w:tcMar>
              <w:top w:w="57" w:type="dxa"/>
            </w:tcMar>
            <w:hideMark/>
          </w:tcPr>
          <w:p w14:paraId="6BDF3A90" w14:textId="02892AF3" w:rsidR="00426A7C" w:rsidRPr="005F3C0A" w:rsidRDefault="00426A7C" w:rsidP="000B1950">
            <w:pPr>
              <w:rPr>
                <w:rFonts w:eastAsia="Times New Roman" w:cs="Arial"/>
                <w:color w:val="000000"/>
                <w:sz w:val="16"/>
                <w:szCs w:val="16"/>
                <w:lang w:eastAsia="en-US"/>
              </w:rPr>
            </w:pPr>
            <w:r w:rsidRPr="005F3C0A">
              <w:rPr>
                <w:rFonts w:eastAsia="Times New Roman" w:cs="Arial"/>
                <w:color w:val="000000"/>
                <w:sz w:val="16"/>
                <w:szCs w:val="16"/>
                <w:lang w:eastAsia="en-US"/>
              </w:rPr>
              <w:t xml:space="preserve">Nombre total de téléchargements de publications de l’OMPI (toutes langues confondues) </w:t>
            </w:r>
            <w:r w:rsidRPr="005F3C0A">
              <w:rPr>
                <w:rFonts w:eastAsia="Times New Roman" w:cs="Arial"/>
                <w:color w:val="000000"/>
                <w:sz w:val="16"/>
                <w:szCs w:val="16"/>
                <w:lang w:eastAsia="en-US"/>
              </w:rPr>
              <w:br/>
              <w:t>(à déterminer)</w:t>
            </w:r>
          </w:p>
        </w:tc>
        <w:tc>
          <w:tcPr>
            <w:tcW w:w="2393" w:type="dxa"/>
            <w:shd w:val="clear" w:color="000000" w:fill="FFFFFF"/>
            <w:tcMar>
              <w:top w:w="57" w:type="dxa"/>
            </w:tcMar>
            <w:hideMark/>
          </w:tcPr>
          <w:p w14:paraId="6DD69FB2"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Augmentation de 5% du nombre total de téléchargements de publications de l’OMPI (à la fin de 2019)</w:t>
            </w:r>
          </w:p>
        </w:tc>
      </w:tr>
      <w:tr w:rsidR="00426A7C" w:rsidRPr="005F3C0A" w14:paraId="53C83E32" w14:textId="77777777" w:rsidTr="00094A7D">
        <w:trPr>
          <w:cantSplit/>
        </w:trPr>
        <w:tc>
          <w:tcPr>
            <w:tcW w:w="2392" w:type="dxa"/>
            <w:shd w:val="clear" w:color="000000" w:fill="FFFFFF"/>
            <w:tcMar>
              <w:top w:w="57" w:type="dxa"/>
            </w:tcMar>
            <w:hideMark/>
          </w:tcPr>
          <w:p w14:paraId="29C11A8A" w14:textId="38A9F49A" w:rsidR="00426A7C" w:rsidRPr="005F3C0A" w:rsidRDefault="00426A7C" w:rsidP="00986700">
            <w:pPr>
              <w:rPr>
                <w:rFonts w:eastAsia="Times New Roman" w:cs="Arial"/>
                <w:color w:val="000000"/>
                <w:sz w:val="16"/>
                <w:szCs w:val="16"/>
                <w:lang w:eastAsia="en-US"/>
              </w:rPr>
            </w:pPr>
          </w:p>
        </w:tc>
        <w:tc>
          <w:tcPr>
            <w:tcW w:w="2393" w:type="dxa"/>
            <w:shd w:val="clear" w:color="000000" w:fill="FFFFFF"/>
            <w:tcMar>
              <w:top w:w="57" w:type="dxa"/>
            </w:tcMar>
            <w:hideMark/>
          </w:tcPr>
          <w:p w14:paraId="7023F998"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Engagement : large diffusion des contenus sur le Web et efficacité des pages Web de premier niveau en tant que passerelles vers d’autres informations</w:t>
            </w:r>
          </w:p>
        </w:tc>
        <w:tc>
          <w:tcPr>
            <w:tcW w:w="2393" w:type="dxa"/>
            <w:shd w:val="clear" w:color="000000" w:fill="FFFFFF"/>
            <w:tcMar>
              <w:top w:w="57" w:type="dxa"/>
            </w:tcMar>
            <w:hideMark/>
          </w:tcPr>
          <w:p w14:paraId="0D709F3F" w14:textId="149E5750" w:rsidR="00094A7D"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 </w:t>
            </w:r>
            <w:r w:rsidRPr="005F3C0A">
              <w:rPr>
                <w:rFonts w:eastAsia="Times New Roman" w:cs="Arial"/>
                <w:color w:val="000000"/>
                <w:sz w:val="16"/>
                <w:szCs w:val="16"/>
                <w:lang w:eastAsia="en-US"/>
              </w:rPr>
              <w:t>8 914</w:t>
            </w:r>
            <w:r>
              <w:rPr>
                <w:rFonts w:eastAsia="Times New Roman" w:cs="Arial"/>
                <w:color w:val="000000"/>
                <w:sz w:val="16"/>
                <w:szCs w:val="16"/>
                <w:lang w:eastAsia="en-US"/>
              </w:rPr>
              <w:t> 297 </w:t>
            </w:r>
            <w:r w:rsidRPr="005F3C0A">
              <w:rPr>
                <w:rFonts w:eastAsia="Times New Roman" w:cs="Arial"/>
                <w:color w:val="000000"/>
                <w:sz w:val="16"/>
                <w:szCs w:val="16"/>
                <w:lang w:eastAsia="en-US"/>
              </w:rPr>
              <w:t>consultations uniques des pages transversales et de premier niveau sur les sites Web de l’OMPI</w:t>
            </w:r>
          </w:p>
          <w:p w14:paraId="0E8D1520" w14:textId="77777777" w:rsidR="00094A7D" w:rsidRDefault="00094A7D" w:rsidP="00986700">
            <w:pPr>
              <w:rPr>
                <w:rFonts w:eastAsia="Times New Roman" w:cs="Arial"/>
                <w:color w:val="000000"/>
                <w:sz w:val="16"/>
                <w:szCs w:val="16"/>
                <w:lang w:eastAsia="en-US"/>
              </w:rPr>
            </w:pPr>
          </w:p>
          <w:p w14:paraId="2F2B37C7" w14:textId="3499E258" w:rsidR="00426A7C" w:rsidRPr="005F3C0A"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ii) </w:t>
            </w:r>
            <w:r w:rsidRPr="005F3C0A">
              <w:rPr>
                <w:rFonts w:eastAsia="Times New Roman" w:cs="Arial"/>
                <w:color w:val="000000"/>
                <w:sz w:val="16"/>
                <w:szCs w:val="16"/>
                <w:lang w:eastAsia="en-US"/>
              </w:rPr>
              <w:t xml:space="preserve">En moyenne, 80% des personnes consultant les “pages d’accueil” de premier niveau (EN) ont consulté par la suite d’autres pages </w:t>
            </w:r>
            <w:r w:rsidRPr="005F3C0A">
              <w:rPr>
                <w:rFonts w:eastAsia="Times New Roman" w:cs="Arial"/>
                <w:color w:val="000000"/>
                <w:sz w:val="16"/>
                <w:szCs w:val="16"/>
                <w:lang w:eastAsia="en-US"/>
              </w:rPr>
              <w:br/>
              <w:t>(en 2016)</w:t>
            </w:r>
          </w:p>
        </w:tc>
        <w:tc>
          <w:tcPr>
            <w:tcW w:w="2393" w:type="dxa"/>
            <w:shd w:val="clear" w:color="000000" w:fill="FFFFFF"/>
            <w:tcMar>
              <w:top w:w="57" w:type="dxa"/>
            </w:tcMar>
            <w:hideMark/>
          </w:tcPr>
          <w:p w14:paraId="4A9D6AD5" w14:textId="77777777" w:rsidR="00094A7D"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 </w:t>
            </w:r>
            <w:r w:rsidRPr="005F3C0A">
              <w:rPr>
                <w:rFonts w:eastAsia="Times New Roman" w:cs="Arial"/>
                <w:color w:val="000000"/>
                <w:sz w:val="16"/>
                <w:szCs w:val="16"/>
                <w:lang w:eastAsia="en-US"/>
              </w:rPr>
              <w:t xml:space="preserve">augmentation de 10% au cours de l’exercice biennal du nombre de vues par page </w:t>
            </w:r>
          </w:p>
          <w:p w14:paraId="0131EF60" w14:textId="77777777" w:rsidR="00094A7D" w:rsidRDefault="00094A7D" w:rsidP="00986700">
            <w:pPr>
              <w:rPr>
                <w:rFonts w:eastAsia="Times New Roman" w:cs="Arial"/>
                <w:color w:val="000000"/>
                <w:sz w:val="16"/>
                <w:szCs w:val="16"/>
                <w:lang w:eastAsia="en-US"/>
              </w:rPr>
            </w:pPr>
          </w:p>
          <w:p w14:paraId="28079500" w14:textId="14183EE7" w:rsidR="00426A7C" w:rsidRPr="005F3C0A" w:rsidRDefault="00426A7C" w:rsidP="00986700">
            <w:pPr>
              <w:rPr>
                <w:rFonts w:eastAsia="Times New Roman" w:cs="Arial"/>
                <w:color w:val="000000"/>
                <w:sz w:val="16"/>
                <w:szCs w:val="16"/>
                <w:lang w:eastAsia="en-US"/>
              </w:rPr>
            </w:pPr>
          </w:p>
          <w:p w14:paraId="45EBF452" w14:textId="77777777" w:rsidR="00426A7C" w:rsidRPr="005F3C0A" w:rsidRDefault="00426A7C" w:rsidP="00986700">
            <w:pPr>
              <w:rPr>
                <w:rFonts w:eastAsia="Times New Roman" w:cs="Arial"/>
                <w:color w:val="000000"/>
                <w:sz w:val="16"/>
                <w:szCs w:val="16"/>
                <w:lang w:eastAsia="en-US"/>
              </w:rPr>
            </w:pPr>
          </w:p>
          <w:p w14:paraId="0808C708" w14:textId="77777777" w:rsidR="00426A7C" w:rsidRPr="005F3C0A"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ii) </w:t>
            </w:r>
            <w:r w:rsidRPr="005F3C0A">
              <w:rPr>
                <w:rFonts w:eastAsia="Times New Roman" w:cs="Arial"/>
                <w:color w:val="000000"/>
                <w:sz w:val="16"/>
                <w:szCs w:val="16"/>
                <w:lang w:eastAsia="en-US"/>
              </w:rPr>
              <w:t>Nombre constant (environ 80%) de personnes consultant les pages d’accueil consultant par la suite d’autres pages</w:t>
            </w:r>
          </w:p>
        </w:tc>
      </w:tr>
      <w:tr w:rsidR="00426A7C" w:rsidRPr="005F3C0A" w14:paraId="40E055BC" w14:textId="77777777" w:rsidTr="00094A7D">
        <w:trPr>
          <w:cantSplit/>
        </w:trPr>
        <w:tc>
          <w:tcPr>
            <w:tcW w:w="2392" w:type="dxa"/>
            <w:shd w:val="clear" w:color="000000" w:fill="FFFFFF"/>
            <w:tcMar>
              <w:top w:w="57" w:type="dxa"/>
            </w:tcMar>
            <w:hideMark/>
          </w:tcPr>
          <w:p w14:paraId="4406D829" w14:textId="307DB3DD" w:rsidR="00426A7C" w:rsidRPr="005F3C0A" w:rsidRDefault="00165F8F" w:rsidP="00986700">
            <w:pPr>
              <w:rPr>
                <w:rFonts w:eastAsia="Times New Roman" w:cs="Arial"/>
                <w:color w:val="000000"/>
                <w:sz w:val="16"/>
                <w:szCs w:val="16"/>
                <w:lang w:eastAsia="en-US"/>
              </w:rPr>
            </w:pPr>
            <w:r>
              <w:rPr>
                <w:rFonts w:eastAsia="Times New Roman" w:cs="Arial"/>
                <w:color w:val="000000"/>
                <w:sz w:val="16"/>
                <w:szCs w:val="16"/>
                <w:lang w:eastAsia="en-US"/>
              </w:rPr>
              <w:t>VIII.2</w:t>
            </w:r>
            <w:r w:rsidR="00426A7C" w:rsidRPr="005F3C0A">
              <w:rPr>
                <w:rFonts w:eastAsia="Times New Roman" w:cs="Arial"/>
                <w:color w:val="000000"/>
                <w:sz w:val="16"/>
                <w:szCs w:val="16"/>
                <w:lang w:eastAsia="en-US"/>
              </w:rPr>
              <w:t xml:space="preserve"> Amélioration de l’orientation vers les services et de la réactivité à la demande</w:t>
            </w:r>
          </w:p>
        </w:tc>
        <w:tc>
          <w:tcPr>
            <w:tcW w:w="2393" w:type="dxa"/>
            <w:shd w:val="clear" w:color="000000" w:fill="FFFFFF"/>
            <w:tcMar>
              <w:top w:w="57" w:type="dxa"/>
            </w:tcMar>
            <w:hideMark/>
          </w:tcPr>
          <w:p w14:paraId="559F681F"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Services : niveau de satisfaction des clients en ce qui concerne les services de l’OMPI</w:t>
            </w:r>
          </w:p>
        </w:tc>
        <w:tc>
          <w:tcPr>
            <w:tcW w:w="2393" w:type="dxa"/>
            <w:shd w:val="clear" w:color="000000" w:fill="FFFFFF"/>
            <w:tcMar>
              <w:top w:w="57" w:type="dxa"/>
            </w:tcMar>
            <w:hideMark/>
          </w:tcPr>
          <w:p w14:paraId="175B9931"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Indice de satisfaction des clients de l’OMPI :</w:t>
            </w:r>
            <w:r>
              <w:rPr>
                <w:rFonts w:eastAsia="Times New Roman" w:cs="Arial"/>
                <w:color w:val="000000"/>
                <w:sz w:val="16"/>
                <w:szCs w:val="16"/>
                <w:lang w:eastAsia="en-US"/>
              </w:rPr>
              <w:t xml:space="preserve"> 51% </w:t>
            </w:r>
          </w:p>
          <w:p w14:paraId="0993CD73" w14:textId="77777777" w:rsidR="00094A7D" w:rsidRDefault="00094A7D" w:rsidP="00986700">
            <w:pPr>
              <w:rPr>
                <w:rFonts w:eastAsia="Times New Roman" w:cs="Arial"/>
                <w:color w:val="000000"/>
                <w:sz w:val="16"/>
                <w:szCs w:val="16"/>
                <w:lang w:eastAsia="en-US"/>
              </w:rPr>
            </w:pPr>
          </w:p>
          <w:p w14:paraId="7EB8418E"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Indicateurs secondaires :</w:t>
            </w:r>
          </w:p>
          <w:p w14:paraId="127AAF03" w14:textId="670298F3"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Professionnalisme : 59%</w:t>
            </w:r>
          </w:p>
          <w:p w14:paraId="0B58673A" w14:textId="00A66D2F"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Fiabilité : 57%</w:t>
            </w:r>
          </w:p>
          <w:p w14:paraId="25DC6C65" w14:textId="14D46052"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Réactivité : 48%</w:t>
            </w:r>
          </w:p>
          <w:p w14:paraId="20450759" w14:textId="6E653ACA"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Aptitude à fournir des informations utiles : 54%</w:t>
            </w:r>
          </w:p>
          <w:p w14:paraId="5F6A5530" w14:textId="156D16E2" w:rsidR="00426A7C" w:rsidRPr="005F3C0A"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Orientation vers les services : 49%</w:t>
            </w:r>
          </w:p>
        </w:tc>
        <w:tc>
          <w:tcPr>
            <w:tcW w:w="2393" w:type="dxa"/>
            <w:shd w:val="clear" w:color="000000" w:fill="FFFFFF"/>
            <w:tcMar>
              <w:top w:w="57" w:type="dxa"/>
            </w:tcMar>
            <w:hideMark/>
          </w:tcPr>
          <w:p w14:paraId="569997C4"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Indice de satisfaction des clients de l’OMPI : 53%</w:t>
            </w:r>
          </w:p>
          <w:p w14:paraId="4C496082" w14:textId="77777777" w:rsidR="00094A7D" w:rsidRDefault="00094A7D" w:rsidP="00986700">
            <w:pPr>
              <w:rPr>
                <w:rFonts w:eastAsia="Times New Roman" w:cs="Arial"/>
                <w:color w:val="000000"/>
                <w:sz w:val="16"/>
                <w:szCs w:val="16"/>
                <w:lang w:eastAsia="en-US"/>
              </w:rPr>
            </w:pPr>
          </w:p>
          <w:p w14:paraId="76610265" w14:textId="77777777" w:rsidR="00094A7D"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 xml:space="preserve">Indicateurs secondaires : </w:t>
            </w:r>
          </w:p>
          <w:p w14:paraId="2C63799E" w14:textId="29611EFC"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Professionnalisme : 61%</w:t>
            </w:r>
          </w:p>
          <w:p w14:paraId="72A3920D" w14:textId="0ECC45D3"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Fiabilité : 59%</w:t>
            </w:r>
          </w:p>
          <w:p w14:paraId="590735C2" w14:textId="79C13718"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Réactivité : 50%</w:t>
            </w:r>
          </w:p>
          <w:p w14:paraId="7A3E7EE4" w14:textId="2AE91B02"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Aptitude à fournir des informations utiles : 56%</w:t>
            </w:r>
          </w:p>
          <w:p w14:paraId="0D52E9CF" w14:textId="4DFED5D3" w:rsidR="00426A7C" w:rsidRPr="005F3C0A"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F3C0A">
              <w:rPr>
                <w:rFonts w:eastAsia="Times New Roman" w:cs="Arial"/>
                <w:color w:val="000000"/>
                <w:sz w:val="16"/>
                <w:szCs w:val="16"/>
                <w:lang w:eastAsia="en-US"/>
              </w:rPr>
              <w:t>Orientation vers les services : 51%</w:t>
            </w:r>
          </w:p>
        </w:tc>
      </w:tr>
      <w:tr w:rsidR="00426A7C" w:rsidRPr="005F3C0A" w14:paraId="3E626FF9" w14:textId="77777777" w:rsidTr="00094A7D">
        <w:trPr>
          <w:cantSplit/>
        </w:trPr>
        <w:tc>
          <w:tcPr>
            <w:tcW w:w="2392" w:type="dxa"/>
            <w:shd w:val="clear" w:color="000000" w:fill="FFFFFF"/>
            <w:tcMar>
              <w:top w:w="57" w:type="dxa"/>
            </w:tcMar>
            <w:hideMark/>
          </w:tcPr>
          <w:p w14:paraId="7945D53A"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 </w:t>
            </w:r>
          </w:p>
        </w:tc>
        <w:tc>
          <w:tcPr>
            <w:tcW w:w="2393" w:type="dxa"/>
            <w:shd w:val="clear" w:color="000000" w:fill="FFFFFF"/>
            <w:tcMar>
              <w:top w:w="57" w:type="dxa"/>
            </w:tcMar>
            <w:hideMark/>
          </w:tcPr>
          <w:p w14:paraId="0711FA4D"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Services : niveau de satisfaction des clients en ce qui concerne les services de la Bibliothèque</w:t>
            </w:r>
          </w:p>
        </w:tc>
        <w:tc>
          <w:tcPr>
            <w:tcW w:w="2393" w:type="dxa"/>
            <w:shd w:val="clear" w:color="000000" w:fill="FFFFFF"/>
            <w:tcMar>
              <w:top w:w="57" w:type="dxa"/>
            </w:tcMar>
            <w:hideMark/>
          </w:tcPr>
          <w:p w14:paraId="57BC028F" w14:textId="48AD4994" w:rsidR="00426A7C" w:rsidRPr="005F3C0A" w:rsidRDefault="0056581C" w:rsidP="00986700">
            <w:pPr>
              <w:rPr>
                <w:rFonts w:eastAsia="Times New Roman" w:cs="Arial"/>
                <w:color w:val="000000"/>
                <w:sz w:val="16"/>
                <w:szCs w:val="16"/>
                <w:lang w:eastAsia="en-US"/>
              </w:rPr>
            </w:pPr>
            <w:r w:rsidRPr="0056581C">
              <w:rPr>
                <w:rFonts w:eastAsia="Times New Roman"/>
                <w:sz w:val="16"/>
                <w:lang w:eastAsia="en-US"/>
              </w:rPr>
              <w:t>70% des clients étaient très satisfaits (“excellent”) (2016)</w:t>
            </w:r>
          </w:p>
        </w:tc>
        <w:tc>
          <w:tcPr>
            <w:tcW w:w="2393" w:type="dxa"/>
            <w:shd w:val="clear" w:color="000000" w:fill="FFFFFF"/>
            <w:tcMar>
              <w:top w:w="57" w:type="dxa"/>
            </w:tcMar>
            <w:hideMark/>
          </w:tcPr>
          <w:p w14:paraId="62BB16B1" w14:textId="77777777" w:rsidR="00426A7C" w:rsidRPr="005F3C0A" w:rsidRDefault="00426A7C" w:rsidP="00986700">
            <w:pPr>
              <w:rPr>
                <w:rFonts w:eastAsia="Times New Roman" w:cs="Arial"/>
                <w:color w:val="000000"/>
                <w:sz w:val="16"/>
                <w:szCs w:val="16"/>
                <w:lang w:eastAsia="en-US"/>
              </w:rPr>
            </w:pPr>
            <w:r w:rsidRPr="005F3C0A">
              <w:rPr>
                <w:rFonts w:eastAsia="Times New Roman" w:cs="Arial"/>
                <w:color w:val="000000"/>
                <w:sz w:val="16"/>
                <w:szCs w:val="16"/>
                <w:lang w:eastAsia="en-US"/>
              </w:rPr>
              <w:t>Au moins 80% des personnes ayant répondu sont satisfaites des services de la Bibliothèque</w:t>
            </w:r>
          </w:p>
        </w:tc>
      </w:tr>
    </w:tbl>
    <w:p w14:paraId="616E7DF8" w14:textId="111F168D" w:rsidR="00426A7C" w:rsidRDefault="00426A7C" w:rsidP="00986700"/>
    <w:tbl>
      <w:tblPr>
        <w:tblW w:w="5000" w:type="pct"/>
        <w:tblCellMar>
          <w:top w:w="57" w:type="dxa"/>
          <w:bottom w:w="57" w:type="dxa"/>
        </w:tblCellMar>
        <w:tblLook w:val="01E0" w:firstRow="1" w:lastRow="1" w:firstColumn="1" w:lastColumn="1" w:noHBand="0" w:noVBand="0"/>
      </w:tblPr>
      <w:tblGrid>
        <w:gridCol w:w="9287"/>
      </w:tblGrid>
      <w:tr w:rsidR="00277197" w:rsidRPr="00821D15" w14:paraId="6A85AAEE" w14:textId="77777777" w:rsidTr="001A722F">
        <w:trPr>
          <w:cantSplit/>
        </w:trPr>
        <w:tc>
          <w:tcPr>
            <w:tcW w:w="9571" w:type="dxa"/>
            <w:shd w:val="clear" w:color="auto" w:fill="C6D9F1" w:themeFill="text2" w:themeFillTint="33"/>
            <w:vAlign w:val="center"/>
          </w:tcPr>
          <w:p w14:paraId="1A4F2D33" w14:textId="77777777" w:rsidR="00277197" w:rsidRPr="00821D15" w:rsidRDefault="00277197" w:rsidP="00986700">
            <w:pPr>
              <w:keepNext/>
              <w:jc w:val="center"/>
              <w:rPr>
                <w:rFonts w:cs="Arial"/>
                <w:b/>
                <w:szCs w:val="20"/>
              </w:rPr>
            </w:pPr>
            <w:r w:rsidRPr="00821D15">
              <w:rPr>
                <w:rFonts w:cs="Arial"/>
                <w:b/>
                <w:szCs w:val="20"/>
              </w:rPr>
              <w:lastRenderedPageBreak/>
              <w:t>Ressources allouées au programme 19</w:t>
            </w:r>
          </w:p>
        </w:tc>
      </w:tr>
    </w:tbl>
    <w:p w14:paraId="24FB6F83" w14:textId="77777777" w:rsidR="00277197" w:rsidRPr="00821D15" w:rsidRDefault="00277197" w:rsidP="00986700">
      <w:pPr>
        <w:keepNext/>
        <w:rPr>
          <w:rFonts w:cs="Arial"/>
          <w:szCs w:val="20"/>
        </w:rPr>
      </w:pPr>
    </w:p>
    <w:p w14:paraId="5CF1C284" w14:textId="77777777" w:rsidR="00277197" w:rsidRPr="00821D15" w:rsidRDefault="00277197" w:rsidP="00616FD3">
      <w:pPr>
        <w:numPr>
          <w:ilvl w:val="0"/>
          <w:numId w:val="81"/>
        </w:numPr>
        <w:ind w:left="0"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légère baisse, de 0,4%, par rapport au budget approuvé pour 2016</w:t>
      </w:r>
      <w:r w:rsidRPr="00821D15">
        <w:rPr>
          <w:rFonts w:cs="Arial"/>
          <w:szCs w:val="20"/>
        </w:rPr>
        <w:noBreakHyphen/>
        <w:t>2017.</w:t>
      </w:r>
    </w:p>
    <w:p w14:paraId="41C01832" w14:textId="77777777" w:rsidR="00277197" w:rsidRPr="00821D15" w:rsidRDefault="00277197" w:rsidP="00986700">
      <w:pPr>
        <w:rPr>
          <w:rFonts w:cs="Arial"/>
          <w:szCs w:val="20"/>
        </w:rPr>
      </w:pPr>
    </w:p>
    <w:p w14:paraId="016D12A1" w14:textId="77777777" w:rsidR="00277197" w:rsidRPr="00821D15" w:rsidRDefault="00277197" w:rsidP="00616FD3">
      <w:pPr>
        <w:numPr>
          <w:ilvl w:val="0"/>
          <w:numId w:val="81"/>
        </w:numPr>
        <w:ind w:left="0" w:firstLine="0"/>
        <w:jc w:val="both"/>
        <w:rPr>
          <w:rFonts w:cs="Arial"/>
          <w:szCs w:val="20"/>
        </w:rPr>
      </w:pPr>
      <w:r w:rsidRPr="00821D15">
        <w:rPr>
          <w:rFonts w:cs="Arial"/>
          <w:szCs w:val="20"/>
        </w:rPr>
        <w:t>La légère baisse des dépenses de personnel est le résultat net i) de la création d’un poste supplémentaire (régularisation d’une fonction de nature continue) pour renforcer la Section des services à la clientèle et ii) de changements dans les coûts relatifs aux dépenses de personnel.</w:t>
      </w:r>
    </w:p>
    <w:p w14:paraId="50706382" w14:textId="77777777" w:rsidR="00277197" w:rsidRPr="00821D15" w:rsidRDefault="00277197" w:rsidP="00986700">
      <w:pPr>
        <w:rPr>
          <w:rFonts w:cs="Arial"/>
          <w:szCs w:val="20"/>
        </w:rPr>
      </w:pPr>
    </w:p>
    <w:p w14:paraId="02A654D6" w14:textId="77777777" w:rsidR="00277197" w:rsidRPr="00821D15" w:rsidRDefault="00277197" w:rsidP="00616FD3">
      <w:pPr>
        <w:numPr>
          <w:ilvl w:val="0"/>
          <w:numId w:val="81"/>
        </w:numPr>
        <w:ind w:left="0" w:firstLine="0"/>
        <w:jc w:val="both"/>
        <w:rPr>
          <w:rFonts w:cs="Arial"/>
          <w:szCs w:val="20"/>
        </w:rPr>
      </w:pPr>
      <w:r w:rsidRPr="00821D15">
        <w:rPr>
          <w:rFonts w:cs="Arial"/>
          <w:szCs w:val="20"/>
        </w:rPr>
        <w:t>Les dépenses autres que les dépenses de personnel restent au même niveau que dans le budget approuvé pour 2016</w:t>
      </w:r>
      <w:r w:rsidRPr="00821D15">
        <w:rPr>
          <w:rFonts w:cs="Arial"/>
          <w:szCs w:val="20"/>
        </w:rPr>
        <w:noBreakHyphen/>
        <w:t>2017.</w:t>
      </w:r>
    </w:p>
    <w:p w14:paraId="26017D9D" w14:textId="77777777" w:rsidR="00674550" w:rsidRDefault="00674550" w:rsidP="00986700"/>
    <w:p w14:paraId="0E4AC862" w14:textId="2A2DDA49"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t xml:space="preserve">Programme 19 : </w:t>
      </w:r>
      <w:r w:rsidRPr="00674550">
        <w:rPr>
          <w:rFonts w:eastAsia="Times New Roman" w:cs="Arial"/>
          <w:b/>
          <w:szCs w:val="20"/>
          <w:lang w:eastAsia="en-US"/>
        </w:rPr>
        <w:t>Ressources par résultat</w:t>
      </w:r>
    </w:p>
    <w:p w14:paraId="65F60515"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223CB725" w14:textId="77777777" w:rsidR="00674550" w:rsidRDefault="00674550" w:rsidP="00986700"/>
    <w:p w14:paraId="6E98BEBE" w14:textId="7BBA6A2D" w:rsidR="00717231" w:rsidRDefault="00717231" w:rsidP="00986700">
      <w:pPr>
        <w:jc w:val="center"/>
      </w:pPr>
      <w:r w:rsidRPr="00717231">
        <w:rPr>
          <w:noProof/>
          <w:lang w:val="en-US" w:eastAsia="en-US"/>
        </w:rPr>
        <w:drawing>
          <wp:inline distT="0" distB="0" distL="0" distR="0" wp14:anchorId="3A7BD8E5" wp14:editId="52BAE5BF">
            <wp:extent cx="5400000" cy="1369014"/>
            <wp:effectExtent l="0" t="0" r="0" b="317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7C474E9F" w14:textId="77777777" w:rsidR="00B55ECC" w:rsidRDefault="00B55ECC" w:rsidP="00986700"/>
    <w:p w14:paraId="5CA34591"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19</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2250EB72" w14:textId="7EB0A669"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15654929" w14:textId="77777777" w:rsidR="008778B5" w:rsidRDefault="008778B5" w:rsidP="00986700">
      <w:pPr>
        <w:keepNext/>
        <w:rPr>
          <w:lang w:eastAsia="en-US"/>
        </w:rPr>
      </w:pPr>
    </w:p>
    <w:p w14:paraId="212A3CFF" w14:textId="309FB592" w:rsidR="00B55ECC" w:rsidRDefault="008778B5" w:rsidP="00986700">
      <w:pPr>
        <w:jc w:val="center"/>
        <w:rPr>
          <w:lang w:eastAsia="en-US"/>
        </w:rPr>
      </w:pPr>
      <w:r w:rsidRPr="008778B5">
        <w:rPr>
          <w:noProof/>
          <w:lang w:val="en-US" w:eastAsia="en-US"/>
        </w:rPr>
        <w:drawing>
          <wp:inline distT="0" distB="0" distL="0" distR="0" wp14:anchorId="2B302F8C" wp14:editId="6C9EC02E">
            <wp:extent cx="5400000" cy="6031770"/>
            <wp:effectExtent l="0" t="0" r="0" b="762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6C72B9DB" w14:textId="77777777" w:rsidR="00B55ECC" w:rsidRPr="00E16214" w:rsidRDefault="00B55ECC" w:rsidP="00986700">
      <w:pPr>
        <w:rPr>
          <w:lang w:eastAsia="en-US"/>
        </w:rPr>
      </w:pPr>
    </w:p>
    <w:p w14:paraId="690141FE" w14:textId="704D987E" w:rsidR="00655AF8" w:rsidRDefault="00655AF8" w:rsidP="00986700">
      <w:r>
        <w:br w:type="page"/>
      </w:r>
    </w:p>
    <w:p w14:paraId="764C451E" w14:textId="77777777" w:rsidR="004B040B" w:rsidRPr="00FC5849" w:rsidRDefault="004B040B" w:rsidP="00986700">
      <w:pPr>
        <w:pStyle w:val="Heading2"/>
      </w:pPr>
      <w:bookmarkStart w:id="73" w:name="_Toc482979504"/>
      <w:r w:rsidRPr="00FC5849">
        <w:lastRenderedPageBreak/>
        <w:t>Programme 20</w:t>
      </w:r>
      <w:r w:rsidRPr="00FC5849">
        <w:tab/>
        <w:t>Relations extérieures, partenariats et bureaux extérieurs</w:t>
      </w:r>
      <w:bookmarkEnd w:id="73"/>
    </w:p>
    <w:p w14:paraId="67048589" w14:textId="77777777" w:rsidR="004B040B" w:rsidRPr="004B040B" w:rsidRDefault="004B040B" w:rsidP="00986700"/>
    <w:p w14:paraId="3383B95A" w14:textId="77777777" w:rsidR="004B040B" w:rsidRPr="004B040B" w:rsidRDefault="004B040B" w:rsidP="00986700"/>
    <w:tbl>
      <w:tblPr>
        <w:tblW w:w="5000" w:type="pct"/>
        <w:tblCellMar>
          <w:top w:w="57" w:type="dxa"/>
          <w:bottom w:w="57" w:type="dxa"/>
        </w:tblCellMar>
        <w:tblLook w:val="01E0" w:firstRow="1" w:lastRow="1" w:firstColumn="1" w:lastColumn="1" w:noHBand="0" w:noVBand="0"/>
      </w:tblPr>
      <w:tblGrid>
        <w:gridCol w:w="9287"/>
      </w:tblGrid>
      <w:tr w:rsidR="004B040B" w:rsidRPr="00FC5849" w14:paraId="163E2F85" w14:textId="77777777" w:rsidTr="004B040B">
        <w:trPr>
          <w:cantSplit/>
        </w:trPr>
        <w:tc>
          <w:tcPr>
            <w:tcW w:w="9287" w:type="dxa"/>
            <w:shd w:val="clear" w:color="auto" w:fill="C6D9F1" w:themeFill="text2" w:themeFillTint="33"/>
            <w:vAlign w:val="center"/>
          </w:tcPr>
          <w:p w14:paraId="5F6A90B4" w14:textId="77777777" w:rsidR="004B040B" w:rsidRPr="00FC5849" w:rsidRDefault="004B040B" w:rsidP="00986700">
            <w:pPr>
              <w:jc w:val="center"/>
              <w:rPr>
                <w:rFonts w:eastAsia="Times New Roman" w:cs="Arial"/>
                <w:b/>
                <w:bCs/>
                <w:szCs w:val="20"/>
                <w:lang w:eastAsia="en-US"/>
              </w:rPr>
            </w:pPr>
            <w:r w:rsidRPr="00FC5849">
              <w:rPr>
                <w:rFonts w:eastAsia="Times New Roman" w:cs="Arial"/>
                <w:b/>
                <w:bCs/>
                <w:szCs w:val="20"/>
                <w:lang w:eastAsia="en-US"/>
              </w:rPr>
              <w:t>Stratégies de mise en œuvre – Relations extérieures et partenariats</w:t>
            </w:r>
          </w:p>
        </w:tc>
      </w:tr>
    </w:tbl>
    <w:p w14:paraId="6AB1CAE5" w14:textId="74EE3884" w:rsidR="004B040B" w:rsidRPr="00FC5849" w:rsidRDefault="004B040B" w:rsidP="00986700">
      <w:pPr>
        <w:rPr>
          <w:rFonts w:cs="Arial"/>
          <w:szCs w:val="20"/>
        </w:rPr>
      </w:pPr>
    </w:p>
    <w:p w14:paraId="41C19B44" w14:textId="2DA7C354"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Renforcer</w:t>
      </w:r>
      <w:r w:rsidR="00585B3C">
        <w:rPr>
          <w:rFonts w:cs="Arial"/>
          <w:szCs w:val="20"/>
        </w:rPr>
        <w:t>, par l’intermédiaire notamment du Bureau de coordination de l’OMPI auprès de l’ONU à New York,</w:t>
      </w:r>
      <w:r w:rsidRPr="00FC5849">
        <w:rPr>
          <w:rFonts w:cs="Arial"/>
          <w:szCs w:val="20"/>
        </w:rPr>
        <w:t xml:space="preserve"> les partenariats avec les organismes des Nations Unies et les organisations intergouvernementales pour appuyer la mise en œuvre du Programme de développement durable à l’horizon 2030, du Programme d’action d’Addis-Abeba et d’autres objectifs mondiaux communs;</w:t>
      </w:r>
    </w:p>
    <w:p w14:paraId="3B6E6502" w14:textId="77777777" w:rsidR="004B040B" w:rsidRPr="00FC5849" w:rsidRDefault="004B040B" w:rsidP="00986700">
      <w:pPr>
        <w:ind w:left="567" w:hanging="567"/>
        <w:jc w:val="both"/>
        <w:rPr>
          <w:rFonts w:cs="Arial"/>
          <w:szCs w:val="20"/>
        </w:rPr>
      </w:pPr>
    </w:p>
    <w:p w14:paraId="1525C762" w14:textId="77777777"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Travailler en étroite collaboration avec d’autres programmes pour permettre la fourniture en temps voulu de la contribution technique de l’OMPI et de l’information relative aux différents processus et projets menés dans un cadre multilatéral, afin que les connaissances et les compétences de l’OMPI puissent être pleinement exploitées dans la mise en œuvre de ces projets;</w:t>
      </w:r>
    </w:p>
    <w:p w14:paraId="655EC348" w14:textId="77777777" w:rsidR="004B040B" w:rsidRPr="00FC5849" w:rsidRDefault="004B040B" w:rsidP="00986700">
      <w:pPr>
        <w:ind w:left="567" w:hanging="567"/>
        <w:jc w:val="both"/>
        <w:rPr>
          <w:rFonts w:cs="Arial"/>
          <w:szCs w:val="20"/>
        </w:rPr>
      </w:pPr>
    </w:p>
    <w:p w14:paraId="7F768256" w14:textId="12BB7917" w:rsidR="004B040B" w:rsidRPr="00FC5849" w:rsidRDefault="004B040B" w:rsidP="00EF37CE">
      <w:pPr>
        <w:pStyle w:val="ListParagraph"/>
        <w:numPr>
          <w:ilvl w:val="0"/>
          <w:numId w:val="51"/>
        </w:numPr>
        <w:ind w:left="567" w:hanging="567"/>
        <w:jc w:val="both"/>
        <w:rPr>
          <w:rFonts w:cs="Arial"/>
          <w:szCs w:val="20"/>
        </w:rPr>
      </w:pPr>
      <w:r w:rsidRPr="00FC5849">
        <w:rPr>
          <w:rFonts w:cs="Arial"/>
          <w:szCs w:val="20"/>
        </w:rPr>
        <w:t>Appuyer le processus relatif à la Convention-cadre des Nations Unies sur les changements climatiques (CCNUCC), notamment le mécanisme technologique de la CCNUCC, et faciliter la collaboration pratique entre la plateforme WIPO GREEN et le Centre et Réseau des technologies climatiques (CRTC);</w:t>
      </w:r>
      <w:r w:rsidR="00585B3C">
        <w:rPr>
          <w:rFonts w:cs="Arial"/>
          <w:szCs w:val="20"/>
        </w:rPr>
        <w:t xml:space="preserve">  le Bureau de coordination auprès de l’ONU à New York représente l’OMPI en qualité de membre du </w:t>
      </w:r>
      <w:r w:rsidR="00585B3C" w:rsidRPr="00585B3C">
        <w:rPr>
          <w:rFonts w:cs="Arial"/>
          <w:szCs w:val="20"/>
        </w:rPr>
        <w:t>groupe de travail interinstitutions des Nations Unies sur la science, la technologie et l’innovation pour la réalisation des objectifs de développement durable</w:t>
      </w:r>
      <w:r w:rsidR="00EF37CE">
        <w:rPr>
          <w:rFonts w:cs="Arial"/>
          <w:szCs w:val="20"/>
        </w:rPr>
        <w:t>;</w:t>
      </w:r>
    </w:p>
    <w:p w14:paraId="00730DA4" w14:textId="77777777" w:rsidR="004B040B" w:rsidRPr="00FC5849" w:rsidRDefault="004B040B" w:rsidP="00986700">
      <w:pPr>
        <w:ind w:left="567" w:hanging="567"/>
        <w:jc w:val="both"/>
        <w:rPr>
          <w:rFonts w:cs="Arial"/>
          <w:szCs w:val="20"/>
        </w:rPr>
      </w:pPr>
    </w:p>
    <w:p w14:paraId="58DEEB5F" w14:textId="77777777"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Participer au projet trilatéral OMPI-OMC-OMS sur la santé publique, l’innovation et la propriété intellectuelle, au groupe de travail interinstitutions des Nations Unies sur les maladies non transmissibles, au Sommet mondial sur la société de l’information (SMSI) et au Forum sur la gouvernance de l’Internet visant à réduire la fracture numérique;</w:t>
      </w:r>
    </w:p>
    <w:p w14:paraId="7AF88E73" w14:textId="77777777" w:rsidR="004B040B" w:rsidRPr="00FC5849" w:rsidRDefault="004B040B" w:rsidP="00986700">
      <w:pPr>
        <w:ind w:left="567" w:hanging="567"/>
        <w:jc w:val="both"/>
        <w:rPr>
          <w:rFonts w:cs="Arial"/>
          <w:szCs w:val="20"/>
        </w:rPr>
      </w:pPr>
    </w:p>
    <w:p w14:paraId="2C7DCF82" w14:textId="77777777"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Favoriser une meilleure connaissance des programmes et des services de l’OMPI par les partenaires actuels et potentiels en vue d’une utilisation efficace des services aux fins de la réalisation d’objectifs communs;</w:t>
      </w:r>
    </w:p>
    <w:p w14:paraId="718E801F" w14:textId="77777777" w:rsidR="004B040B" w:rsidRPr="00FC5849" w:rsidRDefault="004B040B" w:rsidP="00986700">
      <w:pPr>
        <w:ind w:left="567" w:hanging="567"/>
        <w:jc w:val="both"/>
        <w:rPr>
          <w:rFonts w:cs="Arial"/>
          <w:szCs w:val="20"/>
        </w:rPr>
      </w:pPr>
    </w:p>
    <w:p w14:paraId="02D6138F" w14:textId="77777777"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Créer de nouvelles perspectives de coopération stratégique avec les partenaires actuels et futurs et appuyer les efforts de mobilisation de ressources des programmes de l’OMPI;</w:t>
      </w:r>
    </w:p>
    <w:p w14:paraId="69B916CF" w14:textId="77777777" w:rsidR="004B040B" w:rsidRPr="00FC5849" w:rsidRDefault="004B040B" w:rsidP="00986700">
      <w:pPr>
        <w:pStyle w:val="ListParagraph"/>
        <w:ind w:left="567" w:hanging="567"/>
        <w:rPr>
          <w:rFonts w:cs="Arial"/>
          <w:szCs w:val="20"/>
        </w:rPr>
      </w:pPr>
    </w:p>
    <w:p w14:paraId="7CACF670" w14:textId="77777777" w:rsidR="004B040B" w:rsidRPr="00FC5849" w:rsidRDefault="004B040B" w:rsidP="00616FD3">
      <w:pPr>
        <w:pStyle w:val="ListParagraph"/>
        <w:numPr>
          <w:ilvl w:val="0"/>
          <w:numId w:val="51"/>
        </w:numPr>
        <w:ind w:left="567" w:hanging="567"/>
        <w:jc w:val="both"/>
        <w:rPr>
          <w:rFonts w:cs="Arial"/>
          <w:szCs w:val="20"/>
        </w:rPr>
      </w:pPr>
      <w:r w:rsidRPr="00FC5849">
        <w:rPr>
          <w:rFonts w:cs="Arial"/>
          <w:szCs w:val="20"/>
        </w:rPr>
        <w:t>Appuyer la mise en œuvre du Mécanisme de facilitation des technologies, notamment en tant que membre du groupe de travail interinstitutions des Nations Unies sur la science, la technologie et l’innovation pour la réalisation des objectifs de développement durable;</w:t>
      </w:r>
    </w:p>
    <w:p w14:paraId="12772578" w14:textId="77777777" w:rsidR="004B040B" w:rsidRPr="00FC5849" w:rsidRDefault="004B040B" w:rsidP="00986700">
      <w:pPr>
        <w:ind w:left="567" w:hanging="567"/>
        <w:jc w:val="both"/>
        <w:rPr>
          <w:rFonts w:cs="Arial"/>
          <w:szCs w:val="20"/>
        </w:rPr>
      </w:pPr>
    </w:p>
    <w:p w14:paraId="7FE52CF4" w14:textId="506A4D10" w:rsidR="004B040B" w:rsidRDefault="004B040B" w:rsidP="00616FD3">
      <w:pPr>
        <w:pStyle w:val="ListParagraph"/>
        <w:numPr>
          <w:ilvl w:val="0"/>
          <w:numId w:val="51"/>
        </w:numPr>
        <w:ind w:left="567" w:hanging="567"/>
        <w:jc w:val="both"/>
        <w:rPr>
          <w:rFonts w:cs="Arial"/>
          <w:szCs w:val="20"/>
        </w:rPr>
      </w:pPr>
      <w:r w:rsidRPr="00FC5849">
        <w:rPr>
          <w:rFonts w:cs="Arial"/>
          <w:szCs w:val="20"/>
        </w:rPr>
        <w:t>Participer</w:t>
      </w:r>
      <w:r w:rsidR="00EF37CE">
        <w:rPr>
          <w:rFonts w:cs="Arial"/>
          <w:szCs w:val="20"/>
        </w:rPr>
        <w:t>, en particulier par l’intermédiaire du Bureau de coordination de l’OMPI auprès de l’ONU à New York,</w:t>
      </w:r>
      <w:r w:rsidRPr="00FC5849">
        <w:rPr>
          <w:rFonts w:cs="Arial"/>
          <w:szCs w:val="20"/>
        </w:rPr>
        <w:t xml:space="preserve"> aux réunions pertinentes des principaux organismes des Nations Unies, de l’ECOSOC et de l’Assemblée générale des Nations Unies et prendre part aux processus interinstitutions des Nations Unies sur les questions relatives à la propriété intellectuelle et à l’innovation.</w:t>
      </w:r>
    </w:p>
    <w:p w14:paraId="15AEAF53" w14:textId="77777777" w:rsidR="0056581C" w:rsidRDefault="0056581C" w:rsidP="0056581C">
      <w:pPr>
        <w:pStyle w:val="ListParagraph"/>
        <w:ind w:left="567"/>
        <w:jc w:val="both"/>
        <w:rPr>
          <w:rFonts w:cs="Arial"/>
          <w:szCs w:val="20"/>
        </w:rPr>
      </w:pPr>
    </w:p>
    <w:p w14:paraId="14016C91" w14:textId="742A37C8" w:rsidR="0056581C" w:rsidRPr="00FC5849" w:rsidRDefault="0056581C" w:rsidP="00616FD3">
      <w:pPr>
        <w:pStyle w:val="ListParagraph"/>
        <w:numPr>
          <w:ilvl w:val="0"/>
          <w:numId w:val="51"/>
        </w:numPr>
        <w:ind w:left="567" w:hanging="567"/>
        <w:jc w:val="both"/>
        <w:rPr>
          <w:rFonts w:cs="Arial"/>
          <w:szCs w:val="20"/>
        </w:rPr>
      </w:pPr>
      <w:r w:rsidRPr="00E0439D">
        <w:t>S’efforcer de mettre en place une participation stratégique et efficace avec un large éventail de parties prenantes non gouvernementales, notamment des organisations non gouvernementales (ONG), des entreprises privées et la société civile dans son ensemble, en vue de favoriser un dialogue politique pouvant contribuer à l’utilisation de la propriété intellectuelle comme outil de développement par le biais d’une coopération multipartite et internationale.</w:t>
      </w:r>
    </w:p>
    <w:p w14:paraId="15FA8DF8" w14:textId="77777777" w:rsidR="004B040B" w:rsidRPr="00FC5849" w:rsidRDefault="004B040B" w:rsidP="00986700">
      <w:pPr>
        <w:jc w:val="both"/>
      </w:pPr>
    </w:p>
    <w:p w14:paraId="48252A33" w14:textId="77777777" w:rsidR="004B040B" w:rsidRPr="00FC5849" w:rsidRDefault="004B040B" w:rsidP="00986700">
      <w:pPr>
        <w:jc w:val="both"/>
      </w:pPr>
    </w:p>
    <w:tbl>
      <w:tblPr>
        <w:tblW w:w="5000" w:type="pct"/>
        <w:tblCellMar>
          <w:top w:w="57" w:type="dxa"/>
          <w:bottom w:w="57" w:type="dxa"/>
        </w:tblCellMar>
        <w:tblLook w:val="01E0" w:firstRow="1" w:lastRow="1" w:firstColumn="1" w:lastColumn="1" w:noHBand="0" w:noVBand="0"/>
      </w:tblPr>
      <w:tblGrid>
        <w:gridCol w:w="4643"/>
        <w:gridCol w:w="4644"/>
      </w:tblGrid>
      <w:tr w:rsidR="004B040B" w:rsidRPr="00FC5849" w14:paraId="0AF8D194" w14:textId="77777777" w:rsidTr="004B040B">
        <w:trPr>
          <w:cantSplit/>
        </w:trPr>
        <w:tc>
          <w:tcPr>
            <w:tcW w:w="4643" w:type="dxa"/>
            <w:shd w:val="clear" w:color="auto" w:fill="B8CCE4" w:themeFill="accent1" w:themeFillTint="66"/>
            <w:vAlign w:val="center"/>
          </w:tcPr>
          <w:p w14:paraId="54D0CED4" w14:textId="77777777" w:rsidR="004B040B" w:rsidRPr="00FC5849" w:rsidRDefault="004B040B" w:rsidP="00986700">
            <w:pPr>
              <w:keepNext/>
              <w:keepLines/>
              <w:jc w:val="center"/>
              <w:rPr>
                <w:rFonts w:cs="Arial"/>
                <w:b/>
                <w:bCs/>
                <w:sz w:val="18"/>
                <w:szCs w:val="18"/>
              </w:rPr>
            </w:pPr>
            <w:r w:rsidRPr="00FC5849">
              <w:rPr>
                <w:rFonts w:cs="Arial"/>
                <w:b/>
                <w:bCs/>
                <w:sz w:val="18"/>
                <w:szCs w:val="18"/>
              </w:rPr>
              <w:lastRenderedPageBreak/>
              <w:t>Risques</w:t>
            </w:r>
          </w:p>
        </w:tc>
        <w:tc>
          <w:tcPr>
            <w:tcW w:w="4644" w:type="dxa"/>
            <w:shd w:val="clear" w:color="auto" w:fill="B8CCE4" w:themeFill="accent1" w:themeFillTint="66"/>
            <w:vAlign w:val="center"/>
          </w:tcPr>
          <w:p w14:paraId="699B6EDC" w14:textId="77777777" w:rsidR="004B040B" w:rsidRPr="00FC5849" w:rsidRDefault="004B040B" w:rsidP="00986700">
            <w:pPr>
              <w:keepNext/>
              <w:keepLines/>
              <w:jc w:val="center"/>
              <w:rPr>
                <w:rFonts w:cs="Arial"/>
                <w:b/>
                <w:bCs/>
                <w:sz w:val="18"/>
                <w:szCs w:val="18"/>
              </w:rPr>
            </w:pPr>
            <w:r w:rsidRPr="00FC5849">
              <w:rPr>
                <w:rFonts w:cs="Arial"/>
                <w:b/>
                <w:bCs/>
                <w:sz w:val="18"/>
                <w:szCs w:val="18"/>
              </w:rPr>
              <w:t>Mesures d’atténuation</w:t>
            </w:r>
          </w:p>
        </w:tc>
      </w:tr>
      <w:tr w:rsidR="004B040B" w:rsidRPr="00FC5849" w14:paraId="0E3E5547" w14:textId="77777777" w:rsidTr="004B040B">
        <w:trPr>
          <w:cantSplit/>
        </w:trPr>
        <w:tc>
          <w:tcPr>
            <w:tcW w:w="4643" w:type="dxa"/>
            <w:shd w:val="clear" w:color="auto" w:fill="auto"/>
            <w:tcMar>
              <w:top w:w="57" w:type="dxa"/>
              <w:left w:w="108" w:type="dxa"/>
              <w:bottom w:w="57" w:type="dxa"/>
              <w:right w:w="108" w:type="dxa"/>
            </w:tcMar>
          </w:tcPr>
          <w:p w14:paraId="068CE493" w14:textId="77777777" w:rsidR="004B040B" w:rsidRPr="00FC5849" w:rsidRDefault="004B040B" w:rsidP="00986700">
            <w:pPr>
              <w:keepNext/>
              <w:keepLines/>
              <w:jc w:val="both"/>
              <w:rPr>
                <w:rFonts w:cs="Arial"/>
                <w:sz w:val="16"/>
                <w:szCs w:val="16"/>
              </w:rPr>
            </w:pPr>
            <w:r w:rsidRPr="00FC5849">
              <w:rPr>
                <w:rFonts w:cs="Arial"/>
                <w:sz w:val="16"/>
                <w:szCs w:val="16"/>
              </w:rPr>
              <w:t>Décisions et mesures prises dans le cadre des processus intergouvernementaux ayant une incidence négative sur le système international de propriété intellectuelle.</w:t>
            </w:r>
          </w:p>
        </w:tc>
        <w:tc>
          <w:tcPr>
            <w:tcW w:w="4644" w:type="dxa"/>
            <w:shd w:val="clear" w:color="auto" w:fill="auto"/>
            <w:tcMar>
              <w:top w:w="57" w:type="dxa"/>
              <w:left w:w="108" w:type="dxa"/>
              <w:bottom w:w="57" w:type="dxa"/>
              <w:right w:w="108" w:type="dxa"/>
            </w:tcMar>
          </w:tcPr>
          <w:p w14:paraId="66298BA7" w14:textId="77777777" w:rsidR="004B040B" w:rsidRPr="00FC5849" w:rsidRDefault="004B040B" w:rsidP="00986700">
            <w:pPr>
              <w:keepNext/>
              <w:keepLines/>
              <w:jc w:val="both"/>
              <w:rPr>
                <w:rFonts w:cs="Arial"/>
                <w:sz w:val="16"/>
                <w:szCs w:val="16"/>
              </w:rPr>
            </w:pPr>
            <w:r w:rsidRPr="00FC5849">
              <w:rPr>
                <w:rFonts w:cs="Arial"/>
                <w:sz w:val="16"/>
                <w:szCs w:val="16"/>
              </w:rPr>
              <w:t>Participer activement aux principaux processus intergouvernementaux et maintenir un réseau efficace de contacts entre les secrétariats et avec les parties prenantes.</w:t>
            </w:r>
          </w:p>
          <w:p w14:paraId="62DF84F8" w14:textId="77777777" w:rsidR="004B040B" w:rsidRPr="00FC5849" w:rsidRDefault="004B040B" w:rsidP="00986700">
            <w:pPr>
              <w:keepNext/>
              <w:keepLines/>
              <w:jc w:val="both"/>
              <w:rPr>
                <w:rFonts w:cs="Arial"/>
                <w:sz w:val="16"/>
                <w:szCs w:val="16"/>
              </w:rPr>
            </w:pPr>
          </w:p>
          <w:p w14:paraId="33FD0F3D" w14:textId="77777777" w:rsidR="004B040B" w:rsidRPr="00FC5849" w:rsidRDefault="004B040B" w:rsidP="00986700">
            <w:pPr>
              <w:keepNext/>
              <w:keepLines/>
              <w:jc w:val="both"/>
              <w:rPr>
                <w:rFonts w:cs="Arial"/>
                <w:sz w:val="16"/>
                <w:szCs w:val="16"/>
              </w:rPr>
            </w:pPr>
            <w:r w:rsidRPr="00FC5849">
              <w:rPr>
                <w:rFonts w:cs="Arial"/>
                <w:sz w:val="16"/>
                <w:szCs w:val="16"/>
              </w:rPr>
              <w:t>Favoriser des débats équilibrés et sans exclusive sur la propriété intellectuelle en permettant à toutes les parties prenantes de l’OMPI d’exprimer leur point de vue.</w:t>
            </w:r>
            <w:r w:rsidRPr="00FC5849">
              <w:rPr>
                <w:sz w:val="16"/>
              </w:rPr>
              <w:t xml:space="preserve"> </w:t>
            </w:r>
            <w:r w:rsidRPr="00FC5849">
              <w:rPr>
                <w:rFonts w:cs="Arial"/>
                <w:sz w:val="16"/>
                <w:szCs w:val="16"/>
              </w:rPr>
              <w:t xml:space="preserve"> </w:t>
            </w:r>
          </w:p>
        </w:tc>
      </w:tr>
    </w:tbl>
    <w:p w14:paraId="085A4E87" w14:textId="77777777" w:rsidR="004B040B" w:rsidRPr="00FC5849" w:rsidRDefault="004B040B" w:rsidP="00986700">
      <w:pPr>
        <w:jc w:val="both"/>
      </w:pPr>
    </w:p>
    <w:tbl>
      <w:tblPr>
        <w:tblW w:w="5000" w:type="pct"/>
        <w:tblLayout w:type="fixed"/>
        <w:tblCellMar>
          <w:top w:w="57" w:type="dxa"/>
          <w:bottom w:w="57" w:type="dxa"/>
        </w:tblCellMar>
        <w:tblLook w:val="04A0" w:firstRow="1" w:lastRow="0" w:firstColumn="1" w:lastColumn="0" w:noHBand="0" w:noVBand="1"/>
      </w:tblPr>
      <w:tblGrid>
        <w:gridCol w:w="2321"/>
        <w:gridCol w:w="2322"/>
        <w:gridCol w:w="2322"/>
        <w:gridCol w:w="2322"/>
      </w:tblGrid>
      <w:tr w:rsidR="004B040B" w:rsidRPr="00FC5849" w14:paraId="1CBE5819" w14:textId="77777777" w:rsidTr="004B040B">
        <w:trPr>
          <w:cantSplit/>
        </w:trPr>
        <w:tc>
          <w:tcPr>
            <w:tcW w:w="2321" w:type="dxa"/>
            <w:shd w:val="clear" w:color="auto" w:fill="B8CCE4" w:themeFill="accent1" w:themeFillTint="66"/>
            <w:noWrap/>
            <w:vAlign w:val="center"/>
            <w:hideMark/>
          </w:tcPr>
          <w:p w14:paraId="0B833A55" w14:textId="191561FA" w:rsidR="004B040B" w:rsidRPr="00FC5849" w:rsidRDefault="004B040B" w:rsidP="00EF37CE">
            <w:pPr>
              <w:keepNext/>
              <w:jc w:val="center"/>
              <w:rPr>
                <w:rFonts w:cs="Arial"/>
                <w:b/>
                <w:bCs/>
                <w:sz w:val="18"/>
                <w:szCs w:val="18"/>
              </w:rPr>
            </w:pPr>
            <w:r w:rsidRPr="00FC5849">
              <w:rPr>
                <w:rFonts w:cs="Arial"/>
                <w:b/>
                <w:bCs/>
                <w:sz w:val="18"/>
                <w:szCs w:val="18"/>
              </w:rPr>
              <w:t>Résultats escomptés</w:t>
            </w:r>
          </w:p>
        </w:tc>
        <w:tc>
          <w:tcPr>
            <w:tcW w:w="2322" w:type="dxa"/>
            <w:shd w:val="clear" w:color="auto" w:fill="B8CCE4" w:themeFill="accent1" w:themeFillTint="66"/>
            <w:noWrap/>
            <w:vAlign w:val="center"/>
            <w:hideMark/>
          </w:tcPr>
          <w:p w14:paraId="44618594" w14:textId="77777777" w:rsidR="004B040B" w:rsidRPr="00FC5849" w:rsidRDefault="004B040B" w:rsidP="00EF37CE">
            <w:pPr>
              <w:keepNext/>
              <w:jc w:val="center"/>
              <w:rPr>
                <w:rFonts w:cs="Arial"/>
                <w:b/>
                <w:bCs/>
                <w:sz w:val="18"/>
                <w:szCs w:val="18"/>
              </w:rPr>
            </w:pPr>
            <w:r w:rsidRPr="00FC5849">
              <w:rPr>
                <w:rFonts w:cs="Arial"/>
                <w:b/>
                <w:bCs/>
                <w:sz w:val="18"/>
                <w:szCs w:val="18"/>
              </w:rPr>
              <w:t>Indicateurs d’exécution</w:t>
            </w:r>
          </w:p>
        </w:tc>
        <w:tc>
          <w:tcPr>
            <w:tcW w:w="2322" w:type="dxa"/>
            <w:shd w:val="clear" w:color="auto" w:fill="B8CCE4" w:themeFill="accent1" w:themeFillTint="66"/>
            <w:noWrap/>
            <w:vAlign w:val="center"/>
            <w:hideMark/>
          </w:tcPr>
          <w:p w14:paraId="6C4E492B" w14:textId="68831014" w:rsidR="004B040B" w:rsidRPr="00FC5849" w:rsidRDefault="004B040B" w:rsidP="00EF37CE">
            <w:pPr>
              <w:keepNext/>
              <w:jc w:val="center"/>
              <w:rPr>
                <w:rFonts w:cs="Arial"/>
                <w:b/>
                <w:bCs/>
                <w:sz w:val="18"/>
                <w:szCs w:val="18"/>
              </w:rPr>
            </w:pPr>
            <w:r w:rsidRPr="00FC5849">
              <w:rPr>
                <w:rFonts w:cs="Arial"/>
                <w:b/>
                <w:bCs/>
                <w:sz w:val="18"/>
                <w:szCs w:val="18"/>
              </w:rPr>
              <w:t>Niveaux de référence</w:t>
            </w:r>
          </w:p>
        </w:tc>
        <w:tc>
          <w:tcPr>
            <w:tcW w:w="2322" w:type="dxa"/>
            <w:shd w:val="clear" w:color="auto" w:fill="B8CCE4" w:themeFill="accent1" w:themeFillTint="66"/>
            <w:noWrap/>
            <w:vAlign w:val="center"/>
            <w:hideMark/>
          </w:tcPr>
          <w:p w14:paraId="1259DEA0" w14:textId="5AF79E5C" w:rsidR="004B040B" w:rsidRPr="00FC5849" w:rsidRDefault="004B040B" w:rsidP="00EF37CE">
            <w:pPr>
              <w:keepNext/>
              <w:jc w:val="center"/>
              <w:rPr>
                <w:rFonts w:cs="Arial"/>
                <w:b/>
                <w:bCs/>
                <w:sz w:val="18"/>
                <w:szCs w:val="18"/>
              </w:rPr>
            </w:pPr>
            <w:r w:rsidRPr="00FC5849">
              <w:rPr>
                <w:rFonts w:cs="Arial"/>
                <w:b/>
                <w:bCs/>
                <w:sz w:val="18"/>
                <w:szCs w:val="18"/>
              </w:rPr>
              <w:t>Objectifs visés</w:t>
            </w:r>
          </w:p>
        </w:tc>
      </w:tr>
      <w:tr w:rsidR="004B040B" w:rsidRPr="00FC5849" w14:paraId="2E2FD24F" w14:textId="77777777" w:rsidTr="004B040B">
        <w:trPr>
          <w:cantSplit/>
        </w:trPr>
        <w:tc>
          <w:tcPr>
            <w:tcW w:w="2321" w:type="dxa"/>
            <w:shd w:val="clear" w:color="auto" w:fill="auto"/>
          </w:tcPr>
          <w:p w14:paraId="2563B43B" w14:textId="77777777" w:rsidR="004B040B" w:rsidRPr="00FC5849" w:rsidRDefault="004B040B" w:rsidP="00986700">
            <w:pPr>
              <w:rPr>
                <w:rFonts w:cs="Arial"/>
                <w:sz w:val="16"/>
                <w:szCs w:val="16"/>
              </w:rPr>
            </w:pPr>
            <w:r w:rsidRPr="00FC5849">
              <w:rPr>
                <w:rFonts w:cs="Arial"/>
                <w:sz w:val="16"/>
                <w:szCs w:val="16"/>
              </w:rPr>
              <w:t>VIII.4 Échanges ouverts, transparents et dynamiques avec les parties prenantes non gouvernementales</w:t>
            </w:r>
          </w:p>
        </w:tc>
        <w:tc>
          <w:tcPr>
            <w:tcW w:w="2322" w:type="dxa"/>
            <w:shd w:val="clear" w:color="auto" w:fill="auto"/>
          </w:tcPr>
          <w:p w14:paraId="694BFF90" w14:textId="77777777" w:rsidR="004B040B" w:rsidRPr="00FC5849" w:rsidRDefault="004B040B" w:rsidP="00986700">
            <w:pPr>
              <w:rPr>
                <w:rFonts w:cs="Arial"/>
                <w:sz w:val="16"/>
                <w:szCs w:val="16"/>
              </w:rPr>
            </w:pPr>
            <w:r w:rsidRPr="00FC5849">
              <w:rPr>
                <w:rFonts w:cs="Arial"/>
                <w:sz w:val="16"/>
                <w:szCs w:val="16"/>
              </w:rPr>
              <w:t>Nombre d’ONG ayant le statut d’observateur permanent qui participent aux travaux de l’OMPI et aux travaux desquelles l’OMPI participe</w:t>
            </w:r>
          </w:p>
        </w:tc>
        <w:tc>
          <w:tcPr>
            <w:tcW w:w="2322" w:type="dxa"/>
            <w:shd w:val="clear" w:color="000000" w:fill="FFFFFF"/>
          </w:tcPr>
          <w:p w14:paraId="3BF35AC4" w14:textId="3252445D" w:rsidR="004B040B" w:rsidRPr="00FC5849" w:rsidRDefault="004B040B" w:rsidP="00986700">
            <w:pPr>
              <w:rPr>
                <w:rFonts w:cs="Arial"/>
                <w:sz w:val="16"/>
                <w:szCs w:val="16"/>
              </w:rPr>
            </w:pPr>
            <w:r w:rsidRPr="00FC5849">
              <w:rPr>
                <w:rFonts w:cs="Arial"/>
                <w:sz w:val="16"/>
                <w:szCs w:val="16"/>
              </w:rPr>
              <w:t>À déterminer</w:t>
            </w:r>
          </w:p>
        </w:tc>
        <w:tc>
          <w:tcPr>
            <w:tcW w:w="2322" w:type="dxa"/>
            <w:shd w:val="clear" w:color="000000" w:fill="FFFFFF"/>
          </w:tcPr>
          <w:p w14:paraId="1E0E85CD" w14:textId="77777777" w:rsidR="004B040B" w:rsidRPr="00FC5849" w:rsidRDefault="004B040B" w:rsidP="00986700">
            <w:pPr>
              <w:rPr>
                <w:rFonts w:cs="Arial"/>
                <w:sz w:val="16"/>
                <w:szCs w:val="16"/>
              </w:rPr>
            </w:pPr>
            <w:r w:rsidRPr="00FC5849">
              <w:rPr>
                <w:rFonts w:cs="Arial"/>
                <w:sz w:val="16"/>
                <w:szCs w:val="16"/>
              </w:rPr>
              <w:t>Maintenir ou accroître la participation</w:t>
            </w:r>
          </w:p>
        </w:tc>
      </w:tr>
      <w:tr w:rsidR="004B040B" w:rsidRPr="00FC5849" w14:paraId="217DD6E9" w14:textId="77777777" w:rsidTr="004B040B">
        <w:trPr>
          <w:cantSplit/>
        </w:trPr>
        <w:tc>
          <w:tcPr>
            <w:tcW w:w="2321" w:type="dxa"/>
            <w:shd w:val="clear" w:color="000000" w:fill="FFFFFF"/>
            <w:hideMark/>
          </w:tcPr>
          <w:p w14:paraId="57F2A9CD" w14:textId="645C8484" w:rsidR="004B040B" w:rsidRPr="00FC5849" w:rsidRDefault="004B040B" w:rsidP="00986700">
            <w:pPr>
              <w:rPr>
                <w:rFonts w:cs="Arial"/>
                <w:sz w:val="16"/>
                <w:szCs w:val="16"/>
              </w:rPr>
            </w:pPr>
            <w:r w:rsidRPr="00FC5849">
              <w:rPr>
                <w:rFonts w:cs="Arial"/>
                <w:sz w:val="16"/>
                <w:szCs w:val="16"/>
              </w:rPr>
              <w:t>VIII.5 L’OMPI collabore efficacement avec d’autres processus et instances de négociation de l’ONU et d’autres organisations intergouvernementales</w:t>
            </w:r>
          </w:p>
        </w:tc>
        <w:tc>
          <w:tcPr>
            <w:tcW w:w="2322" w:type="dxa"/>
            <w:shd w:val="clear" w:color="000000" w:fill="FFFFFF"/>
            <w:hideMark/>
          </w:tcPr>
          <w:p w14:paraId="13690AA5" w14:textId="747DE64A" w:rsidR="004B040B" w:rsidRPr="00FC5849" w:rsidRDefault="004B040B" w:rsidP="00986700">
            <w:pPr>
              <w:rPr>
                <w:rFonts w:cs="Arial"/>
                <w:sz w:val="16"/>
                <w:szCs w:val="16"/>
              </w:rPr>
            </w:pPr>
            <w:r w:rsidRPr="00FC5849">
              <w:rPr>
                <w:rFonts w:cs="Arial"/>
                <w:sz w:val="16"/>
                <w:szCs w:val="16"/>
              </w:rPr>
              <w:t>Les contributions de l’OMPI qui figurent dans les rapports, les résolutions et les documents émanant de l’ONU et d’organisations intergouvernementales et concernant des processus pertinents et ciblés</w:t>
            </w:r>
          </w:p>
        </w:tc>
        <w:tc>
          <w:tcPr>
            <w:tcW w:w="2322" w:type="dxa"/>
            <w:shd w:val="clear" w:color="000000" w:fill="FFFFFF"/>
            <w:hideMark/>
          </w:tcPr>
          <w:p w14:paraId="2249647A" w14:textId="572BB27D" w:rsidR="004B040B" w:rsidRPr="00FC5849" w:rsidRDefault="004B040B" w:rsidP="00986700">
            <w:pPr>
              <w:rPr>
                <w:rFonts w:cs="Arial"/>
                <w:sz w:val="16"/>
                <w:szCs w:val="16"/>
              </w:rPr>
            </w:pPr>
            <w:r w:rsidRPr="00FC5849">
              <w:rPr>
                <w:rFonts w:cs="Arial"/>
                <w:sz w:val="16"/>
                <w:szCs w:val="16"/>
              </w:rPr>
              <w:t>80% des contributions de l’OMPI (26 communications sur 33) ont été prises en considération (fin 2016)</w:t>
            </w:r>
          </w:p>
        </w:tc>
        <w:tc>
          <w:tcPr>
            <w:tcW w:w="2322" w:type="dxa"/>
            <w:shd w:val="clear" w:color="000000" w:fill="FFFFFF"/>
            <w:hideMark/>
          </w:tcPr>
          <w:p w14:paraId="4A9717EE" w14:textId="15078D4D" w:rsidR="004B040B" w:rsidRPr="00FC5849" w:rsidRDefault="004B040B" w:rsidP="00986700">
            <w:pPr>
              <w:rPr>
                <w:rFonts w:cs="Arial"/>
                <w:sz w:val="16"/>
                <w:szCs w:val="16"/>
              </w:rPr>
            </w:pPr>
            <w:r w:rsidRPr="00FC5849">
              <w:rPr>
                <w:rFonts w:cs="Arial"/>
                <w:sz w:val="16"/>
                <w:szCs w:val="16"/>
              </w:rPr>
              <w:t>85%</w:t>
            </w:r>
          </w:p>
        </w:tc>
      </w:tr>
      <w:tr w:rsidR="004B040B" w:rsidRPr="00FC5849" w14:paraId="0450FFAC" w14:textId="77777777" w:rsidTr="004B040B">
        <w:trPr>
          <w:cantSplit/>
        </w:trPr>
        <w:tc>
          <w:tcPr>
            <w:tcW w:w="2321" w:type="dxa"/>
            <w:shd w:val="clear" w:color="000000" w:fill="FFFFFF"/>
          </w:tcPr>
          <w:p w14:paraId="73AA6D20" w14:textId="77777777" w:rsidR="004B040B" w:rsidRPr="00FC5849" w:rsidRDefault="004B040B" w:rsidP="00986700">
            <w:pPr>
              <w:rPr>
                <w:rFonts w:cs="Arial"/>
                <w:sz w:val="16"/>
                <w:szCs w:val="16"/>
              </w:rPr>
            </w:pPr>
          </w:p>
        </w:tc>
        <w:tc>
          <w:tcPr>
            <w:tcW w:w="2322" w:type="dxa"/>
            <w:shd w:val="clear" w:color="000000" w:fill="FFFFFF"/>
          </w:tcPr>
          <w:p w14:paraId="0B2AA979" w14:textId="77777777" w:rsidR="004B040B" w:rsidRPr="00FC5849" w:rsidRDefault="004B040B" w:rsidP="00986700">
            <w:pPr>
              <w:rPr>
                <w:rFonts w:cs="Arial"/>
                <w:sz w:val="16"/>
                <w:szCs w:val="16"/>
              </w:rPr>
            </w:pPr>
            <w:r w:rsidRPr="00FC5849">
              <w:rPr>
                <w:rFonts w:cs="Arial"/>
                <w:sz w:val="16"/>
                <w:szCs w:val="16"/>
              </w:rPr>
              <w:t>Nombre d’initiatives menées par l’OMPI en partenariat avec l’ONU et d’autres organisations intergouvernementales en vue de mettre en œuvre les objectifs de développement durable</w:t>
            </w:r>
          </w:p>
        </w:tc>
        <w:tc>
          <w:tcPr>
            <w:tcW w:w="2322" w:type="dxa"/>
            <w:shd w:val="clear" w:color="000000" w:fill="FFFFFF"/>
          </w:tcPr>
          <w:p w14:paraId="63C23F87" w14:textId="77777777" w:rsidR="004B040B" w:rsidRPr="00FC5849" w:rsidRDefault="004B040B" w:rsidP="00986700">
            <w:pPr>
              <w:rPr>
                <w:rFonts w:cs="Arial"/>
                <w:sz w:val="16"/>
                <w:szCs w:val="16"/>
              </w:rPr>
            </w:pPr>
            <w:r w:rsidRPr="00FC5849">
              <w:rPr>
                <w:rFonts w:cs="Arial"/>
                <w:sz w:val="16"/>
                <w:szCs w:val="16"/>
              </w:rPr>
              <w:t>3 initiatives</w:t>
            </w:r>
          </w:p>
          <w:p w14:paraId="4DC4BCC5" w14:textId="426B4911" w:rsidR="004B040B" w:rsidRPr="00FC5849" w:rsidRDefault="004B040B" w:rsidP="00986700">
            <w:pPr>
              <w:rPr>
                <w:rFonts w:cs="Arial"/>
                <w:sz w:val="16"/>
                <w:szCs w:val="16"/>
              </w:rPr>
            </w:pPr>
            <w:r w:rsidRPr="00FC5849">
              <w:rPr>
                <w:rFonts w:cs="Arial"/>
                <w:sz w:val="16"/>
                <w:szCs w:val="16"/>
              </w:rPr>
              <w:t>(en 2016)</w:t>
            </w:r>
          </w:p>
        </w:tc>
        <w:tc>
          <w:tcPr>
            <w:tcW w:w="2322" w:type="dxa"/>
            <w:shd w:val="clear" w:color="000000" w:fill="FFFFFF"/>
          </w:tcPr>
          <w:p w14:paraId="549F74CF" w14:textId="77777777" w:rsidR="004B040B" w:rsidRPr="00FC5849" w:rsidRDefault="004B040B" w:rsidP="00986700">
            <w:pPr>
              <w:rPr>
                <w:rFonts w:cs="Arial"/>
                <w:sz w:val="16"/>
                <w:szCs w:val="16"/>
              </w:rPr>
            </w:pPr>
            <w:r w:rsidRPr="00FC5849">
              <w:rPr>
                <w:rFonts w:cs="Arial"/>
                <w:sz w:val="16"/>
                <w:szCs w:val="16"/>
              </w:rPr>
              <w:t xml:space="preserve">6 initiatives </w:t>
            </w:r>
          </w:p>
        </w:tc>
      </w:tr>
    </w:tbl>
    <w:p w14:paraId="471E9501" w14:textId="77777777" w:rsidR="004B040B" w:rsidRDefault="004B040B" w:rsidP="00986700"/>
    <w:p w14:paraId="7B472C5D" w14:textId="77777777" w:rsidR="004B040B" w:rsidRPr="00FC5849" w:rsidRDefault="004B040B" w:rsidP="00986700"/>
    <w:tbl>
      <w:tblPr>
        <w:tblW w:w="5000" w:type="pct"/>
        <w:tblCellMar>
          <w:top w:w="57" w:type="dxa"/>
          <w:bottom w:w="57" w:type="dxa"/>
        </w:tblCellMar>
        <w:tblLook w:val="01E0" w:firstRow="1" w:lastRow="1" w:firstColumn="1" w:lastColumn="1" w:noHBand="0" w:noVBand="0"/>
      </w:tblPr>
      <w:tblGrid>
        <w:gridCol w:w="9287"/>
      </w:tblGrid>
      <w:tr w:rsidR="004B040B" w:rsidRPr="00FC5849" w14:paraId="1CC3B4A6" w14:textId="77777777" w:rsidTr="004B040B">
        <w:trPr>
          <w:cantSplit/>
        </w:trPr>
        <w:tc>
          <w:tcPr>
            <w:tcW w:w="9272" w:type="dxa"/>
            <w:shd w:val="clear" w:color="auto" w:fill="C6D9F1" w:themeFill="text2" w:themeFillTint="33"/>
            <w:vAlign w:val="center"/>
          </w:tcPr>
          <w:p w14:paraId="326D0E20" w14:textId="77777777" w:rsidR="004B040B" w:rsidRPr="00FC5849" w:rsidRDefault="004B040B" w:rsidP="00986700">
            <w:pPr>
              <w:keepNext/>
              <w:keepLines/>
              <w:jc w:val="center"/>
              <w:rPr>
                <w:rFonts w:eastAsia="Times New Roman" w:cs="Arial"/>
                <w:b/>
                <w:bCs/>
                <w:szCs w:val="20"/>
                <w:lang w:eastAsia="en-US"/>
              </w:rPr>
            </w:pPr>
            <w:r w:rsidRPr="00FC5849">
              <w:rPr>
                <w:rFonts w:eastAsia="Times New Roman" w:cs="Arial"/>
                <w:b/>
                <w:bCs/>
                <w:szCs w:val="20"/>
                <w:lang w:eastAsia="en-US"/>
              </w:rPr>
              <w:t>Stratégies de mise en œuvre – Bureaux extérieurs</w:t>
            </w:r>
          </w:p>
        </w:tc>
      </w:tr>
    </w:tbl>
    <w:p w14:paraId="1AF601AC" w14:textId="77777777" w:rsidR="004B040B" w:rsidRPr="00FC5849" w:rsidRDefault="004B040B" w:rsidP="00986700">
      <w:pPr>
        <w:tabs>
          <w:tab w:val="left" w:pos="7680"/>
        </w:tabs>
        <w:jc w:val="both"/>
        <w:rPr>
          <w:rFonts w:cs="Arial"/>
          <w:b/>
        </w:rPr>
      </w:pPr>
    </w:p>
    <w:p w14:paraId="6AAAF441" w14:textId="77777777" w:rsidR="004B040B" w:rsidRPr="00FC5849" w:rsidRDefault="004B040B" w:rsidP="00616FD3">
      <w:pPr>
        <w:pStyle w:val="ListParagraph"/>
        <w:numPr>
          <w:ilvl w:val="0"/>
          <w:numId w:val="52"/>
        </w:numPr>
        <w:ind w:left="567" w:hanging="567"/>
        <w:jc w:val="both"/>
        <w:rPr>
          <w:rFonts w:cs="Arial"/>
          <w:szCs w:val="20"/>
        </w:rPr>
      </w:pPr>
      <w:r w:rsidRPr="00FC5849">
        <w:rPr>
          <w:rFonts w:cs="Arial"/>
          <w:szCs w:val="20"/>
        </w:rPr>
        <w:t>S’assurer que les cinq bureaux extérieurs existants (Bureau de l’OMPI au Brésil, Bureau de l’OMPI en Chine, Bureau de l’OMPI au Japon, Bureau de l’OMPI à Singapour et Bureau de l’OMPI en Fédération de Russie) constituent une extension homogène de l’Organisation sur le terrain et sont totalement intégrés dans les activités quotidiennes de l’Organisation;</w:t>
      </w:r>
    </w:p>
    <w:p w14:paraId="3B695A79" w14:textId="2E497A74" w:rsidR="004B040B" w:rsidRPr="00FC5849" w:rsidRDefault="004B040B" w:rsidP="00986700">
      <w:pPr>
        <w:tabs>
          <w:tab w:val="left" w:pos="5040"/>
        </w:tabs>
        <w:ind w:left="567" w:hanging="567"/>
        <w:jc w:val="both"/>
        <w:rPr>
          <w:rFonts w:cs="Arial"/>
          <w:szCs w:val="20"/>
        </w:rPr>
      </w:pPr>
    </w:p>
    <w:p w14:paraId="53C0AD45" w14:textId="77777777" w:rsidR="004B040B" w:rsidRDefault="004B040B" w:rsidP="00616FD3">
      <w:pPr>
        <w:pStyle w:val="ListParagraph"/>
        <w:numPr>
          <w:ilvl w:val="0"/>
          <w:numId w:val="52"/>
        </w:numPr>
        <w:ind w:left="567" w:hanging="567"/>
        <w:jc w:val="both"/>
        <w:rPr>
          <w:rFonts w:cs="Arial"/>
          <w:szCs w:val="20"/>
        </w:rPr>
      </w:pPr>
      <w:r w:rsidRPr="00FC5849">
        <w:rPr>
          <w:rFonts w:cs="Arial"/>
          <w:szCs w:val="20"/>
        </w:rPr>
        <w:t>Faciliter la création des nouveaux bureaux extérieurs prévus en Algérie et au Nigéria, et de tout autre bureau extérieur supplémentaire, conformément à la décision des États membres;</w:t>
      </w:r>
    </w:p>
    <w:p w14:paraId="7F53CE7B" w14:textId="77777777" w:rsidR="0056581C" w:rsidRDefault="0056581C" w:rsidP="0056581C">
      <w:pPr>
        <w:pStyle w:val="ListParagraph"/>
        <w:ind w:left="567"/>
        <w:jc w:val="both"/>
        <w:rPr>
          <w:rFonts w:cs="Arial"/>
          <w:szCs w:val="20"/>
        </w:rPr>
      </w:pPr>
    </w:p>
    <w:p w14:paraId="3A0C277E" w14:textId="61DB6BD7" w:rsidR="0056581C" w:rsidRPr="00FC5849" w:rsidRDefault="0056581C" w:rsidP="00616FD3">
      <w:pPr>
        <w:pStyle w:val="ListParagraph"/>
        <w:numPr>
          <w:ilvl w:val="0"/>
          <w:numId w:val="52"/>
        </w:numPr>
        <w:ind w:left="567" w:hanging="567"/>
        <w:jc w:val="both"/>
        <w:rPr>
          <w:rFonts w:cs="Arial"/>
          <w:szCs w:val="20"/>
        </w:rPr>
      </w:pPr>
      <w:r w:rsidRPr="00E0439D">
        <w:t>Faire en sorte que le réseau de bureaux extérieurs de l’OMPI continue de fonctionner sur la base des principes fondamentaux suivants : ajouter de la valeur aux activités de l’Organisation;  fonctionner efficacement;  contribuer à l’exercice des missions d’une manière complémentaire et en évitant la répétition des travaux;  fonctionner comme des unités administratives pleinement intégrées dans le cadre des résultats de l’Organisation;  et agir dans un souci de durabilité;</w:t>
      </w:r>
    </w:p>
    <w:p w14:paraId="21C41DB0" w14:textId="77777777" w:rsidR="004B040B" w:rsidRPr="00FC5849" w:rsidRDefault="004B040B" w:rsidP="00986700">
      <w:pPr>
        <w:pStyle w:val="ListParagraph"/>
        <w:ind w:left="567" w:hanging="567"/>
        <w:jc w:val="both"/>
        <w:rPr>
          <w:rFonts w:cs="Arial"/>
          <w:szCs w:val="20"/>
        </w:rPr>
      </w:pPr>
    </w:p>
    <w:p w14:paraId="7BB3B8CF" w14:textId="77777777" w:rsidR="004B040B" w:rsidRPr="00FC5849" w:rsidRDefault="004B040B" w:rsidP="00616FD3">
      <w:pPr>
        <w:pStyle w:val="ListParagraph"/>
        <w:numPr>
          <w:ilvl w:val="0"/>
          <w:numId w:val="52"/>
        </w:numPr>
        <w:ind w:left="567" w:hanging="567"/>
        <w:jc w:val="both"/>
        <w:rPr>
          <w:rFonts w:cs="Arial"/>
          <w:szCs w:val="20"/>
        </w:rPr>
      </w:pPr>
      <w:r w:rsidRPr="00FC5849">
        <w:rPr>
          <w:rFonts w:cs="Arial"/>
          <w:szCs w:val="20"/>
        </w:rPr>
        <w:t>Axer les activités des bureaux extérieurs sur les résultats escomptés auxquels ils peuvent apporter un avantage comparatif compte tenu de l’étendue de leur couverture géographique, des relations solides qu’ils entretiennent avec des parties prenantes très diverses, de leur position unique qui leur permet de mesurer l’évolution sur le terrain et d’y faire face rapidement, et de leur connaissance approfondie des besoins, des nécessités et des langues à l’échelle locale :</w:t>
      </w:r>
    </w:p>
    <w:p w14:paraId="38C5CF2A" w14:textId="77777777" w:rsidR="004B040B" w:rsidRPr="00FC5849" w:rsidRDefault="004B040B" w:rsidP="00986700">
      <w:pPr>
        <w:pStyle w:val="ListParagraph"/>
        <w:ind w:left="360"/>
        <w:jc w:val="both"/>
        <w:rPr>
          <w:rFonts w:cs="Arial"/>
          <w:szCs w:val="20"/>
        </w:rPr>
      </w:pPr>
    </w:p>
    <w:p w14:paraId="17A962BD" w14:textId="0E4E8393" w:rsidR="004B040B" w:rsidRPr="00FC5849" w:rsidRDefault="00EF37CE" w:rsidP="00616FD3">
      <w:pPr>
        <w:pStyle w:val="ListParagraph"/>
        <w:numPr>
          <w:ilvl w:val="0"/>
          <w:numId w:val="53"/>
        </w:numPr>
        <w:ind w:left="1134" w:hanging="567"/>
        <w:jc w:val="both"/>
        <w:rPr>
          <w:rFonts w:cs="Arial"/>
          <w:szCs w:val="20"/>
        </w:rPr>
      </w:pPr>
      <w:r>
        <w:rPr>
          <w:rFonts w:cs="Arial"/>
          <w:szCs w:val="20"/>
        </w:rPr>
        <w:t>Objectif stratégique I (Évolution équilibrée du cadre normatif international), o</w:t>
      </w:r>
      <w:r w:rsidR="004B040B" w:rsidRPr="00FC5849">
        <w:rPr>
          <w:rFonts w:cs="Arial"/>
          <w:szCs w:val="20"/>
        </w:rPr>
        <w:t>bjectif stratégique II (Prestation de services mondiaux de propriété intellectuelle de premier ordre), objectif stratégique IV (Coordination et développement de l’infrastructure mondiale en matière de propriété intellectuelle) et objectif stratégique VII (Propriété intellectuelle et enjeux mondiaux).</w:t>
      </w:r>
    </w:p>
    <w:p w14:paraId="583DB663" w14:textId="77777777" w:rsidR="004B040B" w:rsidRPr="00FC5849" w:rsidRDefault="004B040B" w:rsidP="00986700">
      <w:pPr>
        <w:ind w:left="1134" w:hanging="567"/>
        <w:jc w:val="both"/>
        <w:rPr>
          <w:rFonts w:cs="Arial"/>
          <w:szCs w:val="20"/>
        </w:rPr>
      </w:pPr>
    </w:p>
    <w:p w14:paraId="528AE9FA" w14:textId="77777777" w:rsidR="004B040B" w:rsidRPr="00FC5849" w:rsidRDefault="004B040B" w:rsidP="00616FD3">
      <w:pPr>
        <w:pStyle w:val="ListParagraph"/>
        <w:numPr>
          <w:ilvl w:val="0"/>
          <w:numId w:val="53"/>
        </w:numPr>
        <w:ind w:left="1134" w:hanging="567"/>
        <w:jc w:val="both"/>
        <w:rPr>
          <w:rFonts w:cs="Arial"/>
          <w:szCs w:val="20"/>
        </w:rPr>
      </w:pPr>
      <w:r w:rsidRPr="00FC5849">
        <w:rPr>
          <w:rFonts w:cs="Arial"/>
          <w:szCs w:val="20"/>
        </w:rPr>
        <w:lastRenderedPageBreak/>
        <w:t>Objectif stratégique III (Favoriser l’utilisation de la propriété intellectuelle au service du développement)</w:t>
      </w:r>
    </w:p>
    <w:p w14:paraId="363EF8E2" w14:textId="77777777" w:rsidR="004B040B" w:rsidRPr="00FC5849" w:rsidRDefault="004B040B" w:rsidP="00986700">
      <w:pPr>
        <w:pStyle w:val="ListParagraph"/>
        <w:ind w:left="1134" w:hanging="567"/>
        <w:jc w:val="both"/>
        <w:rPr>
          <w:rFonts w:cs="Arial"/>
          <w:szCs w:val="20"/>
        </w:rPr>
      </w:pPr>
    </w:p>
    <w:p w14:paraId="28DEC082" w14:textId="77777777" w:rsidR="004B040B" w:rsidRPr="00FC5849" w:rsidRDefault="004B040B" w:rsidP="00616FD3">
      <w:pPr>
        <w:pStyle w:val="ListParagraph"/>
        <w:numPr>
          <w:ilvl w:val="0"/>
          <w:numId w:val="53"/>
        </w:numPr>
        <w:ind w:left="1134" w:hanging="567"/>
        <w:jc w:val="both"/>
        <w:rPr>
          <w:rFonts w:cs="Arial"/>
          <w:szCs w:val="20"/>
        </w:rPr>
      </w:pPr>
      <w:r w:rsidRPr="00FC5849">
        <w:rPr>
          <w:rFonts w:cs="Arial"/>
          <w:szCs w:val="20"/>
        </w:rPr>
        <w:t>Objectif stratégique VIII (Interface de communication dynamique)</w:t>
      </w:r>
    </w:p>
    <w:p w14:paraId="048BFCDE" w14:textId="77777777" w:rsidR="004B040B" w:rsidRPr="00FC5849" w:rsidRDefault="004B040B" w:rsidP="00986700">
      <w:pPr>
        <w:jc w:val="both"/>
        <w:rPr>
          <w:rFonts w:cs="Arial"/>
          <w:szCs w:val="20"/>
          <w:u w:val="single"/>
        </w:rPr>
      </w:pPr>
    </w:p>
    <w:p w14:paraId="097088A0" w14:textId="77777777" w:rsidR="004B040B" w:rsidRPr="00FC5849" w:rsidRDefault="004B040B" w:rsidP="00986700">
      <w:pPr>
        <w:jc w:val="both"/>
        <w:rPr>
          <w:rFonts w:cs="Arial"/>
          <w:szCs w:val="20"/>
          <w:u w:val="single"/>
        </w:rPr>
      </w:pPr>
    </w:p>
    <w:p w14:paraId="3D36098A" w14:textId="77777777" w:rsidR="004B040B" w:rsidRPr="00FC5849" w:rsidRDefault="004B040B" w:rsidP="00986700">
      <w:pPr>
        <w:jc w:val="both"/>
        <w:rPr>
          <w:rFonts w:cs="Arial"/>
          <w:szCs w:val="20"/>
          <w:u w:val="single"/>
        </w:rPr>
      </w:pPr>
      <w:r w:rsidRPr="00FC5849">
        <w:rPr>
          <w:rFonts w:cs="Arial"/>
          <w:szCs w:val="20"/>
          <w:u w:val="single"/>
        </w:rPr>
        <w:t>Bureau de l’OMPI au Brésil</w:t>
      </w:r>
    </w:p>
    <w:p w14:paraId="5D18BB70" w14:textId="77777777" w:rsidR="004B040B" w:rsidRPr="00FC5849" w:rsidRDefault="004B040B" w:rsidP="00986700">
      <w:pPr>
        <w:jc w:val="both"/>
        <w:rPr>
          <w:rFonts w:cs="Arial"/>
          <w:szCs w:val="20"/>
        </w:rPr>
      </w:pPr>
    </w:p>
    <w:p w14:paraId="18DB9C65" w14:textId="74050358" w:rsidR="004B040B" w:rsidRPr="00FC5849" w:rsidRDefault="00EF37CE" w:rsidP="00616FD3">
      <w:pPr>
        <w:pStyle w:val="ListParagraph"/>
        <w:numPr>
          <w:ilvl w:val="0"/>
          <w:numId w:val="57"/>
        </w:numPr>
        <w:ind w:left="567" w:hanging="567"/>
        <w:jc w:val="both"/>
        <w:rPr>
          <w:rFonts w:cs="Arial"/>
          <w:szCs w:val="20"/>
        </w:rPr>
      </w:pPr>
      <w:r>
        <w:rPr>
          <w:rFonts w:cs="Arial"/>
          <w:szCs w:val="20"/>
        </w:rPr>
        <w:t xml:space="preserve">Fournir des </w:t>
      </w:r>
      <w:r w:rsidR="004B040B" w:rsidRPr="00FC5849">
        <w:rPr>
          <w:rFonts w:cs="Arial"/>
          <w:szCs w:val="20"/>
        </w:rPr>
        <w:t>conseils et une assistance au Gouvernement brésilien, sur demande, en vue de faciliter l’adhésion du Brésil au système de Madrid;</w:t>
      </w:r>
    </w:p>
    <w:p w14:paraId="3C0B86F7" w14:textId="77777777" w:rsidR="004B040B" w:rsidRPr="00FC5849" w:rsidRDefault="004B040B" w:rsidP="00986700">
      <w:pPr>
        <w:pStyle w:val="ListParagraph"/>
        <w:ind w:left="567" w:hanging="567"/>
        <w:jc w:val="both"/>
        <w:rPr>
          <w:rFonts w:cs="Arial"/>
          <w:szCs w:val="20"/>
        </w:rPr>
      </w:pPr>
    </w:p>
    <w:p w14:paraId="21457505" w14:textId="77777777" w:rsidR="004B040B" w:rsidRPr="00FC5849" w:rsidRDefault="004B040B" w:rsidP="00616FD3">
      <w:pPr>
        <w:pStyle w:val="ListParagraph"/>
        <w:numPr>
          <w:ilvl w:val="0"/>
          <w:numId w:val="57"/>
        </w:numPr>
        <w:ind w:left="567" w:hanging="567"/>
        <w:jc w:val="both"/>
        <w:rPr>
          <w:rFonts w:cs="Arial"/>
          <w:szCs w:val="20"/>
        </w:rPr>
      </w:pPr>
      <w:r w:rsidRPr="00FC5849">
        <w:rPr>
          <w:rFonts w:cs="Arial"/>
          <w:szCs w:val="20"/>
        </w:rPr>
        <w:t>Proposer des services (Centre de services) aux utilisateurs des services mondiaux de l’OMPI en matière de propriété intellectuelle et fournir des informations et des réponses aux questions en portugais;</w:t>
      </w:r>
    </w:p>
    <w:p w14:paraId="00A6F8A4" w14:textId="77777777" w:rsidR="004B040B" w:rsidRPr="00FC5849" w:rsidRDefault="004B040B" w:rsidP="00986700">
      <w:pPr>
        <w:pStyle w:val="ListParagraph"/>
        <w:ind w:left="567" w:hanging="567"/>
        <w:jc w:val="both"/>
        <w:rPr>
          <w:rFonts w:cs="Arial"/>
          <w:szCs w:val="20"/>
        </w:rPr>
      </w:pPr>
    </w:p>
    <w:p w14:paraId="209D6B6B" w14:textId="0E59FE2A" w:rsidR="004B040B" w:rsidRPr="00FC5849" w:rsidRDefault="004B040B" w:rsidP="00616FD3">
      <w:pPr>
        <w:pStyle w:val="ListParagraph"/>
        <w:numPr>
          <w:ilvl w:val="0"/>
          <w:numId w:val="57"/>
        </w:numPr>
        <w:ind w:left="567" w:hanging="567"/>
        <w:jc w:val="both"/>
        <w:rPr>
          <w:rFonts w:cs="Arial"/>
          <w:szCs w:val="20"/>
        </w:rPr>
      </w:pPr>
      <w:r w:rsidRPr="00FC5849">
        <w:rPr>
          <w:rFonts w:cs="Arial"/>
          <w:szCs w:val="20"/>
        </w:rPr>
        <w:t xml:space="preserve">Étendre l’utilisation des services mondiaux de l’OMPI en matière de propriété intellectuelle </w:t>
      </w:r>
      <w:r w:rsidR="00EF37CE">
        <w:rPr>
          <w:rFonts w:cs="Arial"/>
          <w:szCs w:val="20"/>
        </w:rPr>
        <w:t xml:space="preserve">de manière stratégique </w:t>
      </w:r>
      <w:r w:rsidRPr="00FC5849">
        <w:rPr>
          <w:rFonts w:cs="Arial"/>
          <w:szCs w:val="20"/>
        </w:rPr>
        <w:t>en s’adressant aux utilisateurs actuels et potentiels</w:t>
      </w:r>
      <w:r w:rsidR="00EF37CE">
        <w:rPr>
          <w:rFonts w:cs="Arial"/>
          <w:szCs w:val="20"/>
        </w:rPr>
        <w:t>, ainsi qu’aux administrations compétentes en matière de propriété intellectuelle,</w:t>
      </w:r>
      <w:r w:rsidRPr="00FC5849">
        <w:rPr>
          <w:rFonts w:cs="Arial"/>
          <w:szCs w:val="20"/>
        </w:rPr>
        <w:t xml:space="preserve"> dans le cadre d’activités ciblées, en favorisant et en dispensant des informations et des conseils adaptés relatifs à l’utilisation de ces services en portugais;</w:t>
      </w:r>
    </w:p>
    <w:p w14:paraId="522EB86B" w14:textId="77777777" w:rsidR="004B040B" w:rsidRPr="00FC5849" w:rsidRDefault="004B040B" w:rsidP="00986700">
      <w:pPr>
        <w:ind w:left="567" w:hanging="567"/>
        <w:jc w:val="both"/>
        <w:rPr>
          <w:rFonts w:cs="Arial"/>
          <w:szCs w:val="20"/>
        </w:rPr>
      </w:pPr>
    </w:p>
    <w:p w14:paraId="6565D053" w14:textId="77777777" w:rsidR="004B040B" w:rsidRPr="00FC5849" w:rsidRDefault="004B040B" w:rsidP="00616FD3">
      <w:pPr>
        <w:pStyle w:val="ListParagraph"/>
        <w:numPr>
          <w:ilvl w:val="0"/>
          <w:numId w:val="57"/>
        </w:numPr>
        <w:ind w:left="567" w:hanging="567"/>
        <w:jc w:val="both"/>
        <w:rPr>
          <w:rFonts w:cs="Arial"/>
          <w:szCs w:val="20"/>
        </w:rPr>
      </w:pPr>
      <w:r w:rsidRPr="00FC5849">
        <w:rPr>
          <w:rFonts w:cs="Arial"/>
          <w:szCs w:val="20"/>
        </w:rPr>
        <w:t>Favoriser l’utilisation de la propriété intellectuelle au service du développement en organisant des activités de renforcement des capacités en matière de ressources humaines dans le domaine de la propriété intellectuelle au Brésil et dans d’autres pays en développement ayant mis en place des programmes de coopération avec le Brésil, et participer à ces activités;</w:t>
      </w:r>
    </w:p>
    <w:p w14:paraId="0DF5F485" w14:textId="77777777" w:rsidR="004B040B" w:rsidRPr="00FC5849" w:rsidRDefault="004B040B" w:rsidP="00986700">
      <w:pPr>
        <w:ind w:left="567" w:hanging="567"/>
        <w:jc w:val="both"/>
        <w:rPr>
          <w:rFonts w:cs="Arial"/>
          <w:szCs w:val="20"/>
        </w:rPr>
      </w:pPr>
    </w:p>
    <w:p w14:paraId="2FB2492A" w14:textId="77777777" w:rsidR="004B040B" w:rsidRPr="00FC5849" w:rsidRDefault="004B040B" w:rsidP="00616FD3">
      <w:pPr>
        <w:pStyle w:val="ListParagraph"/>
        <w:numPr>
          <w:ilvl w:val="0"/>
          <w:numId w:val="57"/>
        </w:numPr>
        <w:ind w:left="567" w:hanging="567"/>
        <w:jc w:val="both"/>
        <w:rPr>
          <w:rFonts w:cs="Arial"/>
          <w:szCs w:val="20"/>
        </w:rPr>
      </w:pPr>
      <w:r w:rsidRPr="00FC5849">
        <w:rPr>
          <w:rFonts w:cs="Arial"/>
          <w:szCs w:val="20"/>
        </w:rPr>
        <w:t>Accroître les efforts déployés, notamment dans le domaine des services mondiaux de propriété intellectuelle, grâce à une collaboration étroite avec les institutions gouvernementales, les universités, les entreprises et d’autres parties prenantes avec lesquelles le bureau a tissé des liens forts;  étendre le réseau de contacts parmi les parties prenantes grâce à de nouveaux partenariats pour la promotion de la propriété intellectuelle.</w:t>
      </w:r>
    </w:p>
    <w:p w14:paraId="65ADA899" w14:textId="77777777" w:rsidR="004B040B" w:rsidRPr="00FC5849" w:rsidRDefault="004B040B" w:rsidP="00986700">
      <w:pPr>
        <w:jc w:val="both"/>
        <w:rPr>
          <w:rFonts w:cs="Arial"/>
          <w:szCs w:val="20"/>
        </w:rPr>
      </w:pPr>
    </w:p>
    <w:p w14:paraId="5229D557" w14:textId="77777777" w:rsidR="004B040B" w:rsidRPr="00FC5849" w:rsidRDefault="004B040B" w:rsidP="00986700">
      <w:pPr>
        <w:jc w:val="both"/>
        <w:rPr>
          <w:rFonts w:cs="Arial"/>
          <w:szCs w:val="20"/>
          <w:u w:val="single"/>
        </w:rPr>
      </w:pPr>
    </w:p>
    <w:p w14:paraId="29EA49B1" w14:textId="77777777" w:rsidR="004B040B" w:rsidRPr="00FC5849" w:rsidRDefault="004B040B" w:rsidP="00986700">
      <w:pPr>
        <w:jc w:val="both"/>
        <w:rPr>
          <w:rFonts w:cs="Arial"/>
          <w:szCs w:val="20"/>
          <w:u w:val="single"/>
        </w:rPr>
      </w:pPr>
      <w:r w:rsidRPr="00FC5849">
        <w:rPr>
          <w:rFonts w:cs="Arial"/>
          <w:szCs w:val="20"/>
          <w:u w:val="single"/>
        </w:rPr>
        <w:t>Bureau de l’OMPI en Chine</w:t>
      </w:r>
    </w:p>
    <w:p w14:paraId="1C19D209" w14:textId="77777777" w:rsidR="004B040B" w:rsidRPr="00FC5849" w:rsidRDefault="004B040B" w:rsidP="00986700">
      <w:pPr>
        <w:jc w:val="both"/>
        <w:rPr>
          <w:rFonts w:cs="Arial"/>
          <w:szCs w:val="20"/>
        </w:rPr>
      </w:pPr>
    </w:p>
    <w:p w14:paraId="44CE49C5" w14:textId="77777777" w:rsidR="0056581C" w:rsidRPr="0056581C" w:rsidRDefault="0056581C" w:rsidP="00616FD3">
      <w:pPr>
        <w:pStyle w:val="ListParagraph"/>
        <w:numPr>
          <w:ilvl w:val="0"/>
          <w:numId w:val="54"/>
        </w:numPr>
        <w:ind w:left="567" w:hanging="567"/>
        <w:jc w:val="both"/>
        <w:rPr>
          <w:rFonts w:cs="Arial"/>
          <w:szCs w:val="20"/>
        </w:rPr>
      </w:pPr>
      <w:r w:rsidRPr="00E0439D">
        <w:t>Proposer des services (Centre de services) aux utilisateurs des services mondiaux de l’OMPI en matière de propriété intellectuelle et fournir des informations et des réponses aux questions en chinois;</w:t>
      </w:r>
    </w:p>
    <w:p w14:paraId="0E4326C4" w14:textId="77777777" w:rsidR="0056581C" w:rsidRPr="0056581C" w:rsidRDefault="0056581C" w:rsidP="0056581C">
      <w:pPr>
        <w:pStyle w:val="ListParagraph"/>
        <w:ind w:left="567"/>
        <w:jc w:val="both"/>
        <w:rPr>
          <w:rFonts w:cs="Arial"/>
          <w:szCs w:val="20"/>
        </w:rPr>
      </w:pPr>
    </w:p>
    <w:p w14:paraId="259B68BB" w14:textId="38F0F065" w:rsidR="004B040B" w:rsidRPr="00FC5849" w:rsidRDefault="004B040B" w:rsidP="00616FD3">
      <w:pPr>
        <w:pStyle w:val="ListParagraph"/>
        <w:numPr>
          <w:ilvl w:val="0"/>
          <w:numId w:val="54"/>
        </w:numPr>
        <w:ind w:left="567" w:hanging="567"/>
        <w:jc w:val="both"/>
        <w:rPr>
          <w:rFonts w:cs="Arial"/>
          <w:szCs w:val="20"/>
        </w:rPr>
      </w:pPr>
      <w:r w:rsidRPr="00FC5849">
        <w:rPr>
          <w:rFonts w:cs="Arial"/>
          <w:szCs w:val="20"/>
        </w:rPr>
        <w:t>Étendre l’utilisation des services mondiaux de l’OMPI en matière de propriété intellectuelle d’une manière stratégique, en s’adressant aux utilisateurs actuels et potentiels</w:t>
      </w:r>
      <w:r w:rsidR="00EF37CE">
        <w:rPr>
          <w:rFonts w:cs="Arial"/>
          <w:szCs w:val="20"/>
        </w:rPr>
        <w:t>, ainsi qu’aux administrations compétentes en matière de propriété intellectuelle, grâce à des activités ciblées, et en fournissant des informations et des conseils personnalisés sur l’utilisation de ces services en chinois</w:t>
      </w:r>
      <w:r w:rsidRPr="00FC5849">
        <w:rPr>
          <w:rFonts w:cs="Arial"/>
          <w:szCs w:val="20"/>
        </w:rPr>
        <w:t>;</w:t>
      </w:r>
    </w:p>
    <w:p w14:paraId="560D9005" w14:textId="77777777" w:rsidR="004B040B" w:rsidRPr="00FC5849" w:rsidRDefault="004B040B" w:rsidP="00986700">
      <w:pPr>
        <w:pStyle w:val="ListParagraph"/>
        <w:ind w:left="567" w:hanging="567"/>
        <w:jc w:val="both"/>
        <w:rPr>
          <w:rFonts w:cs="Arial"/>
          <w:szCs w:val="20"/>
        </w:rPr>
      </w:pPr>
    </w:p>
    <w:p w14:paraId="372BB5D7" w14:textId="77777777" w:rsidR="004B040B" w:rsidRPr="00FC5849" w:rsidRDefault="004B040B" w:rsidP="00616FD3">
      <w:pPr>
        <w:pStyle w:val="ListParagraph"/>
        <w:numPr>
          <w:ilvl w:val="0"/>
          <w:numId w:val="54"/>
        </w:numPr>
        <w:ind w:left="567" w:hanging="567"/>
        <w:jc w:val="both"/>
        <w:rPr>
          <w:rFonts w:cs="Arial"/>
          <w:szCs w:val="20"/>
        </w:rPr>
      </w:pPr>
      <w:r w:rsidRPr="00FC5849">
        <w:rPr>
          <w:rFonts w:cs="Arial"/>
          <w:szCs w:val="20"/>
        </w:rPr>
        <w:t>Fournir des conseils et une assistance au Gouvernement chinois, sur demande, en vue de faciliter l’adhésion de la Chine au système de La Haye;</w:t>
      </w:r>
    </w:p>
    <w:p w14:paraId="22EBC383" w14:textId="77777777" w:rsidR="004B040B" w:rsidRPr="00FC5849" w:rsidRDefault="004B040B" w:rsidP="00986700">
      <w:pPr>
        <w:ind w:left="567" w:hanging="567"/>
        <w:jc w:val="both"/>
        <w:rPr>
          <w:rFonts w:cs="Arial"/>
          <w:szCs w:val="20"/>
        </w:rPr>
      </w:pPr>
    </w:p>
    <w:p w14:paraId="49B83A3A" w14:textId="77777777" w:rsidR="004B040B" w:rsidRPr="00FC5849" w:rsidRDefault="004B040B" w:rsidP="00616FD3">
      <w:pPr>
        <w:pStyle w:val="ListParagraph"/>
        <w:numPr>
          <w:ilvl w:val="0"/>
          <w:numId w:val="54"/>
        </w:numPr>
        <w:ind w:left="567" w:hanging="567"/>
        <w:jc w:val="both"/>
        <w:rPr>
          <w:rFonts w:cs="Arial"/>
          <w:szCs w:val="20"/>
        </w:rPr>
      </w:pPr>
      <w:r w:rsidRPr="00FC5849">
        <w:rPr>
          <w:rFonts w:cs="Arial"/>
          <w:szCs w:val="20"/>
        </w:rPr>
        <w:t>Répondre à la demande de croissante en matière de services de règlement extrajudiciaire des litiges en Chine au moyen d’activités promotionnelles ciblées et de partenariats institutionnalisés en vue d’encourager l’utilisation accrue du Centre d’arbitrage et de médiation;</w:t>
      </w:r>
    </w:p>
    <w:p w14:paraId="3B9EA168" w14:textId="77777777" w:rsidR="004B040B" w:rsidRPr="00FC5849" w:rsidRDefault="004B040B" w:rsidP="00986700">
      <w:pPr>
        <w:ind w:left="567" w:hanging="567"/>
        <w:jc w:val="both"/>
        <w:rPr>
          <w:rFonts w:cs="Arial"/>
          <w:szCs w:val="20"/>
        </w:rPr>
      </w:pPr>
    </w:p>
    <w:p w14:paraId="4FA2E08E" w14:textId="77777777" w:rsidR="004B040B" w:rsidRPr="00FC5849" w:rsidRDefault="004B040B" w:rsidP="00616FD3">
      <w:pPr>
        <w:pStyle w:val="ListParagraph"/>
        <w:numPr>
          <w:ilvl w:val="0"/>
          <w:numId w:val="54"/>
        </w:numPr>
        <w:ind w:left="567" w:hanging="567"/>
        <w:jc w:val="both"/>
        <w:rPr>
          <w:rFonts w:cs="Arial"/>
          <w:szCs w:val="20"/>
        </w:rPr>
      </w:pPr>
      <w:r w:rsidRPr="00FC5849">
        <w:rPr>
          <w:rFonts w:cs="Arial"/>
          <w:szCs w:val="20"/>
        </w:rPr>
        <w:t>Mener des activités de sensibilisation ciblées dans les régions chinoises, en particulier dans les provinces du centre et de l’ouest, et communiquer sur la propriété intellectuelle et le rôle de l’OMPI avec un large éventail de parties prenantes, comme le gouvernement, le secteur privé, les établissements universitaires et les instituts de recherche;</w:t>
      </w:r>
    </w:p>
    <w:p w14:paraId="368D9642" w14:textId="77777777" w:rsidR="004B040B" w:rsidRPr="00FC5849" w:rsidRDefault="004B040B" w:rsidP="00986700">
      <w:pPr>
        <w:pStyle w:val="ListParagraph"/>
        <w:ind w:left="567" w:hanging="567"/>
        <w:jc w:val="both"/>
        <w:rPr>
          <w:rFonts w:cs="Arial"/>
          <w:szCs w:val="20"/>
        </w:rPr>
      </w:pPr>
    </w:p>
    <w:p w14:paraId="70CA2050" w14:textId="77777777" w:rsidR="004B040B" w:rsidRPr="00FC5849" w:rsidRDefault="004B040B" w:rsidP="00616FD3">
      <w:pPr>
        <w:pStyle w:val="ListParagraph"/>
        <w:numPr>
          <w:ilvl w:val="0"/>
          <w:numId w:val="54"/>
        </w:numPr>
        <w:ind w:left="567" w:hanging="567"/>
        <w:jc w:val="both"/>
        <w:rPr>
          <w:rFonts w:cs="Arial"/>
          <w:szCs w:val="20"/>
        </w:rPr>
      </w:pPr>
      <w:r w:rsidRPr="00FC5849">
        <w:rPr>
          <w:rFonts w:cs="Arial"/>
          <w:szCs w:val="20"/>
        </w:rPr>
        <w:t>Renforcer la coopération par le biais d’activités menées conjointement avec le Gouvernement chinois, en particulier les autorités chargées des questions de propriété intellectuelle, en s’appuyant sur les liens solides déjà créés.</w:t>
      </w:r>
    </w:p>
    <w:p w14:paraId="1546A210" w14:textId="77777777" w:rsidR="004B040B" w:rsidRPr="00FC5849" w:rsidRDefault="004B040B" w:rsidP="00986700">
      <w:pPr>
        <w:jc w:val="both"/>
        <w:rPr>
          <w:rFonts w:cs="Arial"/>
          <w:szCs w:val="20"/>
        </w:rPr>
      </w:pPr>
    </w:p>
    <w:p w14:paraId="51C4032C" w14:textId="77777777" w:rsidR="004B040B" w:rsidRPr="00FC5849" w:rsidRDefault="004B040B" w:rsidP="00986700">
      <w:pPr>
        <w:jc w:val="both"/>
        <w:rPr>
          <w:rFonts w:cs="Arial"/>
          <w:szCs w:val="20"/>
        </w:rPr>
      </w:pPr>
    </w:p>
    <w:p w14:paraId="67BA9423" w14:textId="77777777" w:rsidR="004B040B" w:rsidRPr="00FC5849" w:rsidRDefault="004B040B" w:rsidP="0056581C">
      <w:pPr>
        <w:keepNext/>
        <w:jc w:val="both"/>
        <w:rPr>
          <w:rFonts w:cs="Arial"/>
          <w:szCs w:val="20"/>
          <w:u w:val="single"/>
        </w:rPr>
      </w:pPr>
      <w:r w:rsidRPr="00FC5849">
        <w:rPr>
          <w:rFonts w:cs="Arial"/>
          <w:szCs w:val="20"/>
          <w:u w:val="single"/>
        </w:rPr>
        <w:lastRenderedPageBreak/>
        <w:t>Bureau de l’OMPI au Japon</w:t>
      </w:r>
    </w:p>
    <w:p w14:paraId="7BD1E4CB" w14:textId="77777777" w:rsidR="004B040B" w:rsidRPr="00FC5849" w:rsidRDefault="004B040B" w:rsidP="0056581C">
      <w:pPr>
        <w:keepNext/>
        <w:jc w:val="both"/>
        <w:rPr>
          <w:rFonts w:cs="Arial"/>
          <w:szCs w:val="20"/>
        </w:rPr>
      </w:pPr>
    </w:p>
    <w:p w14:paraId="3E433708" w14:textId="76C7B269" w:rsidR="004B040B" w:rsidRPr="00FC5849" w:rsidRDefault="000B1950" w:rsidP="00616FD3">
      <w:pPr>
        <w:pStyle w:val="ListParagraph"/>
        <w:numPr>
          <w:ilvl w:val="0"/>
          <w:numId w:val="55"/>
        </w:numPr>
        <w:ind w:left="567" w:hanging="567"/>
        <w:jc w:val="both"/>
        <w:rPr>
          <w:rFonts w:cs="Arial"/>
          <w:szCs w:val="20"/>
        </w:rPr>
      </w:pPr>
      <w:r>
        <w:rPr>
          <w:rFonts w:cs="Arial"/>
          <w:szCs w:val="20"/>
        </w:rPr>
        <w:t>P</w:t>
      </w:r>
      <w:r w:rsidR="004B040B" w:rsidRPr="00FC5849">
        <w:rPr>
          <w:rFonts w:cs="Arial"/>
          <w:szCs w:val="20"/>
        </w:rPr>
        <w:t>roposer des services (Centre de services) aux utilisateurs des services mondiaux de l’OMPI en matière de propriété intellectuelle en fournissant des informations et des réponses aux questions en japonais;</w:t>
      </w:r>
    </w:p>
    <w:p w14:paraId="33A30E57" w14:textId="77777777" w:rsidR="004B040B" w:rsidRPr="00FC5849" w:rsidRDefault="004B040B" w:rsidP="00986700">
      <w:pPr>
        <w:ind w:left="567" w:hanging="567"/>
        <w:jc w:val="both"/>
        <w:rPr>
          <w:rFonts w:cs="Arial"/>
          <w:szCs w:val="20"/>
        </w:rPr>
      </w:pPr>
    </w:p>
    <w:p w14:paraId="1169F0AE" w14:textId="1EA03318" w:rsidR="004B040B" w:rsidRPr="00FC5849" w:rsidRDefault="004B040B" w:rsidP="00616FD3">
      <w:pPr>
        <w:pStyle w:val="ListParagraph"/>
        <w:numPr>
          <w:ilvl w:val="0"/>
          <w:numId w:val="55"/>
        </w:numPr>
        <w:ind w:left="567" w:hanging="567"/>
        <w:jc w:val="both"/>
        <w:rPr>
          <w:rFonts w:cs="Arial"/>
          <w:szCs w:val="20"/>
        </w:rPr>
      </w:pPr>
      <w:r w:rsidRPr="00FC5849">
        <w:rPr>
          <w:rFonts w:cs="Arial"/>
          <w:szCs w:val="20"/>
        </w:rPr>
        <w:t xml:space="preserve">Étendre l’utilisation des services mondiaux de l’OMPI en matière de propriété intellectuelle </w:t>
      </w:r>
      <w:r w:rsidR="002362ED">
        <w:rPr>
          <w:rFonts w:cs="Arial"/>
          <w:szCs w:val="20"/>
        </w:rPr>
        <w:t xml:space="preserve">d’une manière stratégique </w:t>
      </w:r>
      <w:r w:rsidRPr="00FC5849">
        <w:rPr>
          <w:rFonts w:cs="Arial"/>
          <w:szCs w:val="20"/>
        </w:rPr>
        <w:t xml:space="preserve">en s’adressant aux utilisateurs actuels et potentiels, </w:t>
      </w:r>
      <w:r w:rsidR="002362ED">
        <w:rPr>
          <w:rFonts w:cs="Arial"/>
          <w:szCs w:val="20"/>
        </w:rPr>
        <w:t xml:space="preserve">ainsi qu’aux administrations compétentes en matière de propriété intellectuelle, </w:t>
      </w:r>
      <w:r w:rsidRPr="00FC5849">
        <w:rPr>
          <w:rFonts w:cs="Arial"/>
          <w:szCs w:val="20"/>
        </w:rPr>
        <w:t xml:space="preserve">en </w:t>
      </w:r>
      <w:r w:rsidR="002362ED">
        <w:rPr>
          <w:rFonts w:cs="Arial"/>
          <w:szCs w:val="20"/>
        </w:rPr>
        <w:t>fournissant</w:t>
      </w:r>
      <w:r w:rsidRPr="00FC5849">
        <w:rPr>
          <w:rFonts w:cs="Arial"/>
          <w:szCs w:val="20"/>
        </w:rPr>
        <w:t xml:space="preserve"> des informations et des conseils </w:t>
      </w:r>
      <w:r w:rsidR="002362ED">
        <w:rPr>
          <w:rFonts w:cs="Arial"/>
          <w:szCs w:val="20"/>
        </w:rPr>
        <w:t>personnalisés</w:t>
      </w:r>
      <w:r w:rsidRPr="00FC5849">
        <w:rPr>
          <w:rFonts w:cs="Arial"/>
          <w:szCs w:val="20"/>
        </w:rPr>
        <w:t xml:space="preserve"> </w:t>
      </w:r>
      <w:r w:rsidR="002362ED">
        <w:rPr>
          <w:rFonts w:cs="Arial"/>
          <w:szCs w:val="20"/>
        </w:rPr>
        <w:t xml:space="preserve">sur </w:t>
      </w:r>
      <w:r w:rsidRPr="00FC5849">
        <w:rPr>
          <w:rFonts w:cs="Arial"/>
          <w:szCs w:val="20"/>
        </w:rPr>
        <w:t>l’utilisation de ces services en japonais;</w:t>
      </w:r>
    </w:p>
    <w:p w14:paraId="28430B38" w14:textId="77777777" w:rsidR="004B040B" w:rsidRPr="00FC5849" w:rsidRDefault="004B040B" w:rsidP="00986700">
      <w:pPr>
        <w:ind w:left="567" w:hanging="567"/>
        <w:jc w:val="both"/>
        <w:rPr>
          <w:rFonts w:cs="Arial"/>
          <w:szCs w:val="20"/>
        </w:rPr>
      </w:pPr>
    </w:p>
    <w:p w14:paraId="2F122C2D" w14:textId="77777777" w:rsidR="004B040B" w:rsidRPr="00FC5849" w:rsidRDefault="004B040B" w:rsidP="00616FD3">
      <w:pPr>
        <w:pStyle w:val="ListParagraph"/>
        <w:numPr>
          <w:ilvl w:val="0"/>
          <w:numId w:val="55"/>
        </w:numPr>
        <w:ind w:left="567" w:hanging="567"/>
        <w:jc w:val="both"/>
        <w:rPr>
          <w:rFonts w:cs="Arial"/>
          <w:szCs w:val="20"/>
        </w:rPr>
      </w:pPr>
      <w:r w:rsidRPr="00FC5849">
        <w:rPr>
          <w:rFonts w:cs="Arial"/>
          <w:szCs w:val="20"/>
        </w:rPr>
        <w:t>Promouvoir l’utilisation du système de La Haye suite à l’adhésion du Japon au système en 2015;</w:t>
      </w:r>
    </w:p>
    <w:p w14:paraId="6735831A" w14:textId="77777777" w:rsidR="004B040B" w:rsidRPr="00FC5849" w:rsidRDefault="004B040B" w:rsidP="00986700">
      <w:pPr>
        <w:ind w:left="567" w:hanging="567"/>
        <w:jc w:val="both"/>
        <w:rPr>
          <w:rFonts w:cs="Arial"/>
          <w:szCs w:val="20"/>
        </w:rPr>
      </w:pPr>
    </w:p>
    <w:p w14:paraId="0AF36499" w14:textId="77777777" w:rsidR="004B040B" w:rsidRPr="00FC5849" w:rsidRDefault="004B040B" w:rsidP="00616FD3">
      <w:pPr>
        <w:pStyle w:val="ListParagraph"/>
        <w:numPr>
          <w:ilvl w:val="0"/>
          <w:numId w:val="55"/>
        </w:numPr>
        <w:ind w:left="567" w:hanging="567"/>
        <w:jc w:val="both"/>
        <w:rPr>
          <w:rFonts w:cs="Arial"/>
          <w:szCs w:val="20"/>
        </w:rPr>
      </w:pPr>
      <w:r w:rsidRPr="00FC5849">
        <w:rPr>
          <w:rFonts w:cs="Arial"/>
          <w:szCs w:val="20"/>
        </w:rPr>
        <w:t>Promouvoir une utilisation élargie de la plateforme WIPO GREEN par les entreprises japonaises qui se concentrent sur les techniques respectueuses de l’environnement, en s’appuyant sur les relations solides établies avec un grand nombre de parties prenantes, notamment des associations spécialisées en propriété intellectuelle;</w:t>
      </w:r>
    </w:p>
    <w:p w14:paraId="3667077E" w14:textId="77777777" w:rsidR="004B040B" w:rsidRPr="00FC5849" w:rsidRDefault="004B040B" w:rsidP="00986700">
      <w:pPr>
        <w:ind w:left="567" w:hanging="567"/>
        <w:jc w:val="both"/>
        <w:rPr>
          <w:rFonts w:cs="Arial"/>
          <w:szCs w:val="20"/>
        </w:rPr>
      </w:pPr>
    </w:p>
    <w:p w14:paraId="2997324F" w14:textId="77777777" w:rsidR="004B040B" w:rsidRPr="00FC5849" w:rsidRDefault="004B040B" w:rsidP="00616FD3">
      <w:pPr>
        <w:pStyle w:val="ListParagraph"/>
        <w:numPr>
          <w:ilvl w:val="0"/>
          <w:numId w:val="55"/>
        </w:numPr>
        <w:ind w:left="567" w:hanging="567"/>
        <w:jc w:val="both"/>
        <w:rPr>
          <w:rFonts w:cs="Arial"/>
          <w:szCs w:val="20"/>
        </w:rPr>
      </w:pPr>
      <w:r w:rsidRPr="00FC5849">
        <w:rPr>
          <w:rFonts w:cs="Arial"/>
          <w:szCs w:val="20"/>
        </w:rPr>
        <w:t>Administrer les éléments du fonds fiduciaire du Japon qui ont trait au renforcement des capacités et de l’utilisation de la propriété intellectuelle dans les entreprises des pays en développement et des pays les moins avancés, principalement dans la région Asie et Pacifique, en tirant parti de la proximité du Bureau de l’OMPI au Japon et de ses échanges constructifs avec le Gouvernement japonais et plus particulièrement l’Office japonais des brevets.  Cela supposera la mise en œuvre de projets tels que le développement de la base de données IP Advantage et des cours de formation pratique à l’intention des fonctionnaires des offices de propriété intellectuelle et des utilisateurs des services de l’OMPI et de l’infrastructure en matière de propriété intellectuelle dans les pays visés.</w:t>
      </w:r>
    </w:p>
    <w:p w14:paraId="2871C9C2" w14:textId="77777777" w:rsidR="004B040B" w:rsidRPr="00FC5849" w:rsidRDefault="004B040B" w:rsidP="00986700">
      <w:pPr>
        <w:jc w:val="both"/>
        <w:rPr>
          <w:rFonts w:cs="Arial"/>
          <w:szCs w:val="20"/>
        </w:rPr>
      </w:pPr>
    </w:p>
    <w:p w14:paraId="3055CEC6" w14:textId="77777777" w:rsidR="004B040B" w:rsidRPr="00FC5849" w:rsidRDefault="004B040B" w:rsidP="00986700">
      <w:pPr>
        <w:jc w:val="both"/>
        <w:rPr>
          <w:rFonts w:cs="Arial"/>
          <w:szCs w:val="20"/>
        </w:rPr>
      </w:pPr>
    </w:p>
    <w:p w14:paraId="66EA5DB7" w14:textId="77777777" w:rsidR="004B040B" w:rsidRPr="00FC5849" w:rsidRDefault="004B040B" w:rsidP="00986700">
      <w:pPr>
        <w:jc w:val="both"/>
        <w:rPr>
          <w:rFonts w:cs="Arial"/>
          <w:szCs w:val="20"/>
          <w:u w:val="single"/>
        </w:rPr>
      </w:pPr>
      <w:r w:rsidRPr="00FC5849">
        <w:rPr>
          <w:rFonts w:cs="Arial"/>
          <w:szCs w:val="20"/>
          <w:u w:val="single"/>
        </w:rPr>
        <w:t>Bureau de l’OMPI en Fédération de Russie</w:t>
      </w:r>
    </w:p>
    <w:p w14:paraId="481A22E0" w14:textId="77777777" w:rsidR="004B040B" w:rsidRPr="00FC5849" w:rsidRDefault="004B040B" w:rsidP="00986700">
      <w:pPr>
        <w:jc w:val="both"/>
        <w:rPr>
          <w:rFonts w:cs="Arial"/>
          <w:szCs w:val="20"/>
        </w:rPr>
      </w:pPr>
    </w:p>
    <w:p w14:paraId="2DB8CCB5"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Proposer des services (Centre de services) aux utilisateurs des services mondiaux de l’OMPI en matière de propriété intellectuelle en fournissant des informations et des réponses aux questions en russe;</w:t>
      </w:r>
    </w:p>
    <w:p w14:paraId="259213B9" w14:textId="77777777" w:rsidR="004B040B" w:rsidRPr="00FC5849" w:rsidRDefault="004B040B" w:rsidP="00986700">
      <w:pPr>
        <w:ind w:left="567" w:hanging="567"/>
        <w:jc w:val="both"/>
        <w:rPr>
          <w:rFonts w:cs="Arial"/>
          <w:szCs w:val="20"/>
        </w:rPr>
      </w:pPr>
    </w:p>
    <w:p w14:paraId="700B5D1F" w14:textId="4E440F66"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 xml:space="preserve">Promouvoir l’utilisation des services mondiaux de l’OMPI en matière de propriété intellectuelle </w:t>
      </w:r>
      <w:r w:rsidR="002362ED">
        <w:rPr>
          <w:rFonts w:cs="Arial"/>
          <w:szCs w:val="20"/>
        </w:rPr>
        <w:t xml:space="preserve">d’une manière stratégique </w:t>
      </w:r>
      <w:r w:rsidRPr="00FC5849">
        <w:rPr>
          <w:rFonts w:cs="Arial"/>
          <w:szCs w:val="20"/>
        </w:rPr>
        <w:t>en s’adressant aux uti</w:t>
      </w:r>
      <w:r w:rsidR="002362ED">
        <w:rPr>
          <w:rFonts w:cs="Arial"/>
          <w:szCs w:val="20"/>
        </w:rPr>
        <w:t xml:space="preserve">lisateurs actuels et potentiels, ainsi qu’aux administrations compétentes en matière de propriété intellectuelle, grâce à des activités ciblées </w:t>
      </w:r>
      <w:r w:rsidRPr="00FC5849">
        <w:rPr>
          <w:rFonts w:cs="Arial"/>
          <w:szCs w:val="20"/>
        </w:rPr>
        <w:t xml:space="preserve">et en </w:t>
      </w:r>
      <w:r w:rsidR="002362ED">
        <w:rPr>
          <w:rFonts w:cs="Arial"/>
          <w:szCs w:val="20"/>
        </w:rPr>
        <w:t xml:space="preserve">fournissant </w:t>
      </w:r>
      <w:r w:rsidRPr="00FC5849">
        <w:rPr>
          <w:rFonts w:cs="Arial"/>
          <w:szCs w:val="20"/>
        </w:rPr>
        <w:t xml:space="preserve">des informations et des conseils </w:t>
      </w:r>
      <w:r w:rsidR="002362ED">
        <w:rPr>
          <w:rFonts w:cs="Arial"/>
          <w:szCs w:val="20"/>
        </w:rPr>
        <w:t xml:space="preserve">personnalisés sur </w:t>
      </w:r>
      <w:r w:rsidRPr="00FC5849">
        <w:rPr>
          <w:rFonts w:cs="Arial"/>
          <w:szCs w:val="20"/>
        </w:rPr>
        <w:t>l’utilisation de ces services en russe;</w:t>
      </w:r>
    </w:p>
    <w:p w14:paraId="7F0061F3" w14:textId="77777777" w:rsidR="004B040B" w:rsidRPr="00FC5849" w:rsidRDefault="004B040B" w:rsidP="00986700">
      <w:pPr>
        <w:ind w:left="567" w:hanging="567"/>
        <w:jc w:val="both"/>
        <w:rPr>
          <w:rFonts w:cs="Arial"/>
          <w:szCs w:val="20"/>
        </w:rPr>
      </w:pPr>
    </w:p>
    <w:p w14:paraId="4CBA9280"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Fournir des conseils et une assistance au Gouvernement russe, sur demande, en vue de faciliter l’adhésion de la Fédération de Russie au système de La Haye;</w:t>
      </w:r>
    </w:p>
    <w:p w14:paraId="2C930FA5" w14:textId="77777777" w:rsidR="004B040B" w:rsidRPr="00FC5849" w:rsidRDefault="004B040B" w:rsidP="00986700">
      <w:pPr>
        <w:ind w:left="567" w:hanging="567"/>
        <w:jc w:val="both"/>
        <w:rPr>
          <w:rFonts w:cs="Arial"/>
          <w:szCs w:val="20"/>
        </w:rPr>
      </w:pPr>
    </w:p>
    <w:p w14:paraId="20CBE9EF"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Étendre le réseau actuel de 140 CATI établis en Fédération de Russie pour élargir leur zone d’action en favorisant l’accès à l’information en matière de propriété intellectuelle et de son utilisation par un large éventail de parties prenantes venant à la fois du secteur privé et du secteur public;</w:t>
      </w:r>
    </w:p>
    <w:p w14:paraId="49DA4A1E" w14:textId="77777777" w:rsidR="004B040B" w:rsidRPr="00FC5849" w:rsidRDefault="004B040B" w:rsidP="00986700">
      <w:pPr>
        <w:ind w:left="567" w:hanging="567"/>
        <w:jc w:val="both"/>
        <w:rPr>
          <w:rFonts w:cs="Arial"/>
          <w:szCs w:val="20"/>
        </w:rPr>
      </w:pPr>
    </w:p>
    <w:p w14:paraId="565A4800"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Renforcer et améliorer la participation et la communication avec les instances gouvernementales, les milieux universitaires, les sociétés d’inventeurs et d’autres parties prenantes avec lesquelles le bureau a établi des relations solides et constructives;  créer de nouveaux partenariats et mener des activités de sensibilisation et de renforcement des capacités dans le domaine de la propriété intellectuelle, notamment auprès des établissements d’enseignement et des institutions scientifiques.</w:t>
      </w:r>
    </w:p>
    <w:p w14:paraId="6088FF71" w14:textId="77777777" w:rsidR="004B040B" w:rsidRPr="00FC5849" w:rsidRDefault="004B040B" w:rsidP="00986700">
      <w:pPr>
        <w:pStyle w:val="ListParagraph"/>
        <w:rPr>
          <w:rFonts w:cs="Arial"/>
          <w:szCs w:val="20"/>
        </w:rPr>
      </w:pPr>
    </w:p>
    <w:p w14:paraId="02BC6AEB" w14:textId="77777777" w:rsidR="004B040B" w:rsidRPr="00FC5849" w:rsidRDefault="004B040B" w:rsidP="00986700">
      <w:pPr>
        <w:jc w:val="both"/>
        <w:rPr>
          <w:rFonts w:cs="Arial"/>
          <w:szCs w:val="20"/>
        </w:rPr>
      </w:pPr>
    </w:p>
    <w:p w14:paraId="115E7D2F" w14:textId="77777777" w:rsidR="004B040B" w:rsidRPr="00FC5849" w:rsidRDefault="004B040B" w:rsidP="00986700">
      <w:pPr>
        <w:keepNext/>
        <w:keepLines/>
        <w:jc w:val="both"/>
        <w:rPr>
          <w:rFonts w:cs="Arial"/>
          <w:szCs w:val="20"/>
          <w:u w:val="single"/>
        </w:rPr>
      </w:pPr>
      <w:r w:rsidRPr="00FC5849">
        <w:rPr>
          <w:rFonts w:cs="Arial"/>
          <w:szCs w:val="20"/>
          <w:u w:val="single"/>
        </w:rPr>
        <w:t>Bureau de l’OMPI à Singapour</w:t>
      </w:r>
    </w:p>
    <w:p w14:paraId="70F5364F" w14:textId="77777777" w:rsidR="004B040B" w:rsidRPr="00FC5849" w:rsidRDefault="004B040B" w:rsidP="00986700">
      <w:pPr>
        <w:keepNext/>
        <w:keepLines/>
        <w:jc w:val="both"/>
        <w:rPr>
          <w:rFonts w:cs="Arial"/>
          <w:szCs w:val="20"/>
        </w:rPr>
      </w:pPr>
    </w:p>
    <w:p w14:paraId="0A317B6D"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 xml:space="preserve">Soutenir les efforts déployés par les pays de l’ASEAN pour mettre en œuvre le Plan d’action 2016-2025 de l’ASEAN pour les droits de propriété intellectuelle, notamment l’objectif </w:t>
      </w:r>
      <w:r w:rsidRPr="00FC5849">
        <w:rPr>
          <w:rFonts w:cs="Arial"/>
          <w:szCs w:val="20"/>
        </w:rPr>
        <w:lastRenderedPageBreak/>
        <w:t>stratégique 3 (“Mise au point d’un écosystème élargi et sans exclusive de l’ASEAN dans le domaine de la propriété intellectuelle”) en tirant parti des fortes relations de travail établies par le Bureau de l’OMPI à Singapour avec le secteur privé;  améliorer les systèmes informatiques externes et internes des offices de propriété intellectuelle dans la région pour faciliter la réalisation de l’objectif stratégique 2 (“Mise en place de plateformes et d’infrastructures régionales de propriété intellectuelle pour contribuer à l’amélioration de la Communauté économique de l’ASEAN”);</w:t>
      </w:r>
    </w:p>
    <w:p w14:paraId="2758A857" w14:textId="77777777" w:rsidR="004B040B" w:rsidRPr="00FC5849" w:rsidRDefault="004B040B" w:rsidP="00986700">
      <w:pPr>
        <w:ind w:left="567" w:hanging="567"/>
        <w:jc w:val="both"/>
        <w:rPr>
          <w:rFonts w:cs="Arial"/>
          <w:szCs w:val="20"/>
        </w:rPr>
      </w:pPr>
    </w:p>
    <w:p w14:paraId="0F3EDDBC" w14:textId="4ADD9DF5"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Proposer des services (Centre de services) aux utilisateurs des services mondiaux de l’OMPI en matière de propriété intellectuelle dans la région</w:t>
      </w:r>
      <w:r w:rsidR="002362ED">
        <w:rPr>
          <w:rFonts w:cs="Arial"/>
          <w:szCs w:val="20"/>
        </w:rPr>
        <w:t xml:space="preserve"> en diffusant des informations et en répondant aux demandes de renseignements</w:t>
      </w:r>
      <w:r w:rsidRPr="00FC5849">
        <w:rPr>
          <w:rFonts w:cs="Arial"/>
          <w:szCs w:val="20"/>
        </w:rPr>
        <w:t>;</w:t>
      </w:r>
    </w:p>
    <w:p w14:paraId="79CD3DC0" w14:textId="77777777" w:rsidR="004B040B" w:rsidRPr="00FC5849" w:rsidRDefault="004B040B" w:rsidP="00986700">
      <w:pPr>
        <w:ind w:left="567" w:hanging="567"/>
        <w:jc w:val="both"/>
        <w:rPr>
          <w:rFonts w:cs="Arial"/>
          <w:szCs w:val="20"/>
        </w:rPr>
      </w:pPr>
    </w:p>
    <w:p w14:paraId="4A79D298" w14:textId="77777777" w:rsidR="0056581C" w:rsidRPr="0056581C" w:rsidRDefault="0056581C" w:rsidP="00616FD3">
      <w:pPr>
        <w:pStyle w:val="ListParagraph"/>
        <w:numPr>
          <w:ilvl w:val="0"/>
          <w:numId w:val="56"/>
        </w:numPr>
        <w:ind w:left="567" w:hanging="567"/>
        <w:jc w:val="both"/>
        <w:rPr>
          <w:rFonts w:cs="Arial"/>
          <w:szCs w:val="20"/>
        </w:rPr>
      </w:pPr>
      <w:r w:rsidRPr="00E0439D">
        <w:t>Promouvoir l’utilisation des services mondiaux de l’OMPI en matière de propriété intellectuelle de manière stratégique, en s’adressant aux utilisateurs actuels et potentiels dans la région, ainsi qu’aux autorités compétentes en matière de propriété intellectuelle, par l’intermédiaire d’activités ciblées, en encourageant et en fournissant des informations et des conseils adaptés portant en particulier sur le système de Madrid après l’adhésion récente de plusieurs membres de l’ASEAN;</w:t>
      </w:r>
    </w:p>
    <w:p w14:paraId="595147B7" w14:textId="77777777" w:rsidR="0056581C" w:rsidRPr="0056581C" w:rsidRDefault="0056581C" w:rsidP="0056581C">
      <w:pPr>
        <w:pStyle w:val="ListParagraph"/>
        <w:ind w:left="567"/>
        <w:jc w:val="both"/>
        <w:rPr>
          <w:rFonts w:cs="Arial"/>
          <w:szCs w:val="20"/>
        </w:rPr>
      </w:pPr>
    </w:p>
    <w:p w14:paraId="51C6E164" w14:textId="3E90EFEE"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Promouvoir les services de règlement extrajudiciaire des litiges de l’OMPI proposés aussi par l’intermédiaire du Centre d’arbitrage et de médiation à Singapour;</w:t>
      </w:r>
    </w:p>
    <w:p w14:paraId="55C18FB8" w14:textId="77777777" w:rsidR="004B040B" w:rsidRPr="00FC5849" w:rsidRDefault="004B040B" w:rsidP="00986700">
      <w:pPr>
        <w:pStyle w:val="ListParagraph"/>
        <w:ind w:left="567" w:hanging="567"/>
        <w:jc w:val="both"/>
        <w:rPr>
          <w:rFonts w:cs="Arial"/>
          <w:szCs w:val="20"/>
        </w:rPr>
      </w:pPr>
    </w:p>
    <w:p w14:paraId="7DB3703D"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Promouvoir les plateformes, les outils et les publications de l’OMPI compte tenu de l’importance croissante de la propriété intellectuelle dans les pays de l’ASEAN;</w:t>
      </w:r>
    </w:p>
    <w:p w14:paraId="67E5D1AA" w14:textId="77777777" w:rsidR="004B040B" w:rsidRPr="00FC5849" w:rsidRDefault="004B040B" w:rsidP="00986700">
      <w:pPr>
        <w:pStyle w:val="ListParagraph"/>
        <w:ind w:left="567" w:hanging="567"/>
        <w:jc w:val="both"/>
        <w:rPr>
          <w:rFonts w:cs="Arial"/>
          <w:szCs w:val="20"/>
        </w:rPr>
      </w:pPr>
    </w:p>
    <w:p w14:paraId="76A94A2F"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Renforcer et améliorer les activités de promotion grâce à des communications stratégiques et ciblées en collaboration avec divers groupes de parties prenantes avec lesquels le Bureau de l’OMPI à Singapour a établi des relations solides;</w:t>
      </w:r>
    </w:p>
    <w:p w14:paraId="578FEEB3" w14:textId="77777777" w:rsidR="004B040B" w:rsidRPr="00FC5849" w:rsidRDefault="004B040B" w:rsidP="00986700">
      <w:pPr>
        <w:ind w:left="567" w:hanging="567"/>
        <w:jc w:val="both"/>
        <w:rPr>
          <w:rFonts w:cs="Arial"/>
          <w:szCs w:val="20"/>
        </w:rPr>
      </w:pPr>
    </w:p>
    <w:p w14:paraId="47C52C02" w14:textId="77777777" w:rsidR="004B040B" w:rsidRPr="00FC5849" w:rsidRDefault="004B040B" w:rsidP="00616FD3">
      <w:pPr>
        <w:pStyle w:val="ListParagraph"/>
        <w:numPr>
          <w:ilvl w:val="0"/>
          <w:numId w:val="56"/>
        </w:numPr>
        <w:ind w:left="567" w:hanging="567"/>
        <w:jc w:val="both"/>
        <w:rPr>
          <w:rFonts w:cs="Arial"/>
          <w:szCs w:val="20"/>
        </w:rPr>
      </w:pPr>
      <w:r w:rsidRPr="00FC5849">
        <w:rPr>
          <w:rFonts w:cs="Arial"/>
          <w:szCs w:val="20"/>
        </w:rPr>
        <w:t>Continuer à organiser et à mettre en œuvre des activités communes en coopération avec le Gouvernement de Singapour au titre du mémorandum d’accord entre l’OMPI et Singapour pour promouvoir la sensibilisation à la propriété intellectuelle et renforcer les capacités dans les pays de la région Asie et Pacifique.</w:t>
      </w:r>
    </w:p>
    <w:p w14:paraId="7236208A" w14:textId="77777777" w:rsidR="004B040B" w:rsidRPr="00FC5849" w:rsidRDefault="004B040B" w:rsidP="00986700"/>
    <w:p w14:paraId="218B49D7" w14:textId="77777777" w:rsidR="004B040B" w:rsidRPr="00FC5849" w:rsidRDefault="004B040B"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3"/>
        <w:gridCol w:w="4644"/>
      </w:tblGrid>
      <w:tr w:rsidR="004B040B" w:rsidRPr="00FC5849" w14:paraId="145E9102" w14:textId="77777777" w:rsidTr="004B040B">
        <w:trPr>
          <w:cantSplit/>
        </w:trPr>
        <w:tc>
          <w:tcPr>
            <w:tcW w:w="4643" w:type="dxa"/>
            <w:shd w:val="clear" w:color="auto" w:fill="C6D9F1" w:themeFill="text2" w:themeFillTint="33"/>
            <w:vAlign w:val="center"/>
            <w:hideMark/>
          </w:tcPr>
          <w:p w14:paraId="779C92BF" w14:textId="77777777" w:rsidR="004B040B" w:rsidRPr="00FC5849" w:rsidRDefault="004B040B" w:rsidP="00986700">
            <w:pPr>
              <w:jc w:val="center"/>
              <w:rPr>
                <w:rFonts w:cs="Arial"/>
                <w:b/>
                <w:bCs/>
                <w:sz w:val="18"/>
                <w:szCs w:val="18"/>
              </w:rPr>
            </w:pPr>
            <w:r w:rsidRPr="00FC5849">
              <w:rPr>
                <w:rFonts w:cs="Arial"/>
                <w:b/>
                <w:bCs/>
                <w:sz w:val="18"/>
                <w:szCs w:val="18"/>
              </w:rPr>
              <w:t>Risques</w:t>
            </w:r>
          </w:p>
        </w:tc>
        <w:tc>
          <w:tcPr>
            <w:tcW w:w="4644" w:type="dxa"/>
            <w:shd w:val="clear" w:color="auto" w:fill="C6D9F1" w:themeFill="text2" w:themeFillTint="33"/>
            <w:vAlign w:val="center"/>
            <w:hideMark/>
          </w:tcPr>
          <w:p w14:paraId="4CB69AD4" w14:textId="77777777" w:rsidR="004B040B" w:rsidRPr="00FC5849" w:rsidRDefault="004B040B" w:rsidP="00986700">
            <w:pPr>
              <w:jc w:val="center"/>
              <w:rPr>
                <w:rFonts w:cs="Arial"/>
                <w:b/>
                <w:bCs/>
                <w:sz w:val="18"/>
                <w:szCs w:val="18"/>
              </w:rPr>
            </w:pPr>
            <w:r w:rsidRPr="00FC5849">
              <w:rPr>
                <w:rFonts w:cs="Arial"/>
                <w:b/>
                <w:bCs/>
                <w:sz w:val="18"/>
                <w:szCs w:val="18"/>
              </w:rPr>
              <w:t>Mesures d’atténuation</w:t>
            </w:r>
          </w:p>
        </w:tc>
      </w:tr>
      <w:tr w:rsidR="004B040B" w:rsidRPr="00FC5849" w14:paraId="6BF25D3A" w14:textId="77777777" w:rsidTr="004B040B">
        <w:trPr>
          <w:cantSplit/>
        </w:trPr>
        <w:tc>
          <w:tcPr>
            <w:tcW w:w="4643" w:type="dxa"/>
            <w:tcMar>
              <w:top w:w="57" w:type="dxa"/>
              <w:left w:w="108" w:type="dxa"/>
              <w:bottom w:w="57" w:type="dxa"/>
              <w:right w:w="108" w:type="dxa"/>
            </w:tcMar>
            <w:hideMark/>
          </w:tcPr>
          <w:p w14:paraId="5BF7CB9A" w14:textId="6C7D616F" w:rsidR="004B040B" w:rsidRPr="00FC5849" w:rsidRDefault="004B040B" w:rsidP="00986700">
            <w:pPr>
              <w:rPr>
                <w:sz w:val="16"/>
                <w:szCs w:val="16"/>
              </w:rPr>
            </w:pPr>
            <w:r w:rsidRPr="00FC5849">
              <w:rPr>
                <w:rFonts w:cs="Arial"/>
                <w:sz w:val="16"/>
              </w:rPr>
              <w:t>L’éloignement géographique des bureaux extérieurs par rapport au siège pourrait entraîner une fragmentation en matière de coordination et de communication.</w:t>
            </w:r>
          </w:p>
        </w:tc>
        <w:tc>
          <w:tcPr>
            <w:tcW w:w="4644" w:type="dxa"/>
            <w:tcMar>
              <w:top w:w="57" w:type="dxa"/>
              <w:left w:w="108" w:type="dxa"/>
              <w:bottom w:w="57" w:type="dxa"/>
              <w:right w:w="108" w:type="dxa"/>
            </w:tcMar>
            <w:hideMark/>
          </w:tcPr>
          <w:p w14:paraId="4C4AC848" w14:textId="7693A138" w:rsidR="004B040B" w:rsidRPr="00FC5849" w:rsidRDefault="0056581C" w:rsidP="00986700">
            <w:pPr>
              <w:rPr>
                <w:rFonts w:cs="Arial"/>
                <w:sz w:val="16"/>
              </w:rPr>
            </w:pPr>
            <w:r w:rsidRPr="0056581C">
              <w:rPr>
                <w:sz w:val="16"/>
              </w:rPr>
              <w:t>Assurer une participation continue et structurée afin de veiller à ce que les activités des bureaux extérieurs soient pleinement intégrées dans un réseau cohérent et coordonné, conformément au cadre de résultats, aux plans de travail et aux activités quotidiennes de l’Organisation</w:t>
            </w:r>
            <w:r w:rsidRPr="0056581C">
              <w:rPr>
                <w:rStyle w:val="FootnoteReference"/>
                <w:sz w:val="16"/>
              </w:rPr>
              <w:footnoteReference w:id="37"/>
            </w:r>
            <w:r w:rsidRPr="0056581C">
              <w:rPr>
                <w:sz w:val="16"/>
              </w:rPr>
              <w:t>.</w:t>
            </w:r>
          </w:p>
        </w:tc>
      </w:tr>
    </w:tbl>
    <w:p w14:paraId="4BEF6990" w14:textId="77777777" w:rsidR="004B040B" w:rsidRDefault="004B040B" w:rsidP="00986700">
      <w:pPr>
        <w:jc w:val="both"/>
        <w:rPr>
          <w:rFonts w:cs="Arial"/>
          <w:szCs w:val="20"/>
        </w:rPr>
      </w:pPr>
    </w:p>
    <w:p w14:paraId="210FCB26" w14:textId="77777777" w:rsidR="004B040B" w:rsidRPr="00FC5849" w:rsidRDefault="004B040B" w:rsidP="00986700">
      <w:pPr>
        <w:jc w:val="both"/>
        <w:rPr>
          <w:rFonts w:cs="Arial"/>
          <w:szCs w:val="20"/>
        </w:rPr>
      </w:pPr>
    </w:p>
    <w:p w14:paraId="3AB19DF1" w14:textId="77777777" w:rsidR="004B040B" w:rsidRPr="00FC5849" w:rsidRDefault="004B040B" w:rsidP="00986700">
      <w:pPr>
        <w:jc w:val="both"/>
        <w:rPr>
          <w:rFonts w:cs="Arial"/>
          <w:szCs w:val="20"/>
        </w:rPr>
      </w:pPr>
    </w:p>
    <w:p w14:paraId="4B04FE37" w14:textId="77777777" w:rsidR="004B040B" w:rsidRPr="00FC5849" w:rsidRDefault="004B040B"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21"/>
        <w:gridCol w:w="2322"/>
        <w:gridCol w:w="2322"/>
        <w:gridCol w:w="2322"/>
      </w:tblGrid>
      <w:tr w:rsidR="004B040B" w:rsidRPr="00FC5849" w14:paraId="71A92D4B" w14:textId="77777777" w:rsidTr="004B040B">
        <w:trPr>
          <w:cantSplit/>
          <w:tblHeader/>
        </w:trPr>
        <w:tc>
          <w:tcPr>
            <w:tcW w:w="2321" w:type="dxa"/>
            <w:shd w:val="clear" w:color="auto" w:fill="C6D9F1" w:themeFill="text2" w:themeFillTint="33"/>
            <w:tcMar>
              <w:top w:w="57" w:type="dxa"/>
            </w:tcMar>
            <w:vAlign w:val="center"/>
            <w:hideMark/>
          </w:tcPr>
          <w:p w14:paraId="199971C1" w14:textId="77777777" w:rsidR="004B040B" w:rsidRPr="00FC5849" w:rsidRDefault="004B040B" w:rsidP="00986700">
            <w:pPr>
              <w:jc w:val="center"/>
              <w:rPr>
                <w:rFonts w:cs="Arial"/>
                <w:b/>
                <w:bCs/>
                <w:sz w:val="18"/>
                <w:szCs w:val="18"/>
              </w:rPr>
            </w:pPr>
            <w:r w:rsidRPr="00FC5849">
              <w:rPr>
                <w:rFonts w:cs="Arial"/>
                <w:b/>
                <w:bCs/>
                <w:sz w:val="18"/>
                <w:szCs w:val="18"/>
              </w:rPr>
              <w:t xml:space="preserve">Résultats escomptés </w:t>
            </w:r>
          </w:p>
        </w:tc>
        <w:tc>
          <w:tcPr>
            <w:tcW w:w="2322" w:type="dxa"/>
            <w:shd w:val="clear" w:color="auto" w:fill="C6D9F1" w:themeFill="text2" w:themeFillTint="33"/>
            <w:tcMar>
              <w:top w:w="57" w:type="dxa"/>
            </w:tcMar>
            <w:vAlign w:val="center"/>
            <w:hideMark/>
          </w:tcPr>
          <w:p w14:paraId="2EADB090" w14:textId="77777777" w:rsidR="004B040B" w:rsidRPr="00FC5849" w:rsidRDefault="004B040B" w:rsidP="00986700">
            <w:pPr>
              <w:jc w:val="center"/>
              <w:rPr>
                <w:rFonts w:cs="Arial"/>
                <w:b/>
                <w:bCs/>
                <w:sz w:val="18"/>
                <w:szCs w:val="18"/>
              </w:rPr>
            </w:pPr>
            <w:r w:rsidRPr="00FC5849">
              <w:rPr>
                <w:rFonts w:cs="Arial"/>
                <w:b/>
                <w:bCs/>
                <w:sz w:val="18"/>
                <w:szCs w:val="18"/>
              </w:rPr>
              <w:t>Indicateurs d’exécution</w:t>
            </w:r>
          </w:p>
        </w:tc>
        <w:tc>
          <w:tcPr>
            <w:tcW w:w="2322" w:type="dxa"/>
            <w:shd w:val="clear" w:color="auto" w:fill="C6D9F1" w:themeFill="text2" w:themeFillTint="33"/>
            <w:tcMar>
              <w:top w:w="57" w:type="dxa"/>
            </w:tcMar>
            <w:vAlign w:val="center"/>
            <w:hideMark/>
          </w:tcPr>
          <w:p w14:paraId="585B47AC" w14:textId="77777777" w:rsidR="004B040B" w:rsidRPr="00FC5849" w:rsidRDefault="004B040B" w:rsidP="00986700">
            <w:pPr>
              <w:jc w:val="center"/>
              <w:rPr>
                <w:rFonts w:cs="Arial"/>
                <w:b/>
                <w:bCs/>
                <w:sz w:val="18"/>
                <w:szCs w:val="18"/>
              </w:rPr>
            </w:pPr>
            <w:r w:rsidRPr="00FC5849">
              <w:rPr>
                <w:rFonts w:cs="Arial"/>
                <w:b/>
                <w:bCs/>
                <w:sz w:val="18"/>
                <w:szCs w:val="18"/>
              </w:rPr>
              <w:t>Niveaux de référence</w:t>
            </w:r>
          </w:p>
        </w:tc>
        <w:tc>
          <w:tcPr>
            <w:tcW w:w="2322" w:type="dxa"/>
            <w:shd w:val="clear" w:color="auto" w:fill="C6D9F1" w:themeFill="text2" w:themeFillTint="33"/>
            <w:tcMar>
              <w:top w:w="57" w:type="dxa"/>
            </w:tcMar>
            <w:vAlign w:val="center"/>
            <w:hideMark/>
          </w:tcPr>
          <w:p w14:paraId="40D976A3" w14:textId="77777777" w:rsidR="004B040B" w:rsidRPr="00FC5849" w:rsidRDefault="004B040B" w:rsidP="00986700">
            <w:pPr>
              <w:jc w:val="center"/>
              <w:rPr>
                <w:rFonts w:cs="Arial"/>
                <w:b/>
                <w:bCs/>
                <w:sz w:val="18"/>
                <w:szCs w:val="18"/>
              </w:rPr>
            </w:pPr>
            <w:r w:rsidRPr="00FC5849">
              <w:rPr>
                <w:rFonts w:cs="Arial"/>
                <w:b/>
                <w:bCs/>
                <w:sz w:val="18"/>
                <w:szCs w:val="18"/>
              </w:rPr>
              <w:t>Objectifs visés</w:t>
            </w:r>
          </w:p>
        </w:tc>
      </w:tr>
      <w:tr w:rsidR="004B040B" w:rsidRPr="00FC5849" w14:paraId="7F39F239" w14:textId="77777777" w:rsidTr="004B040B">
        <w:trPr>
          <w:cantSplit/>
        </w:trPr>
        <w:tc>
          <w:tcPr>
            <w:tcW w:w="2321" w:type="dxa"/>
            <w:shd w:val="clear" w:color="auto" w:fill="auto"/>
            <w:tcMar>
              <w:top w:w="57" w:type="dxa"/>
            </w:tcMar>
            <w:hideMark/>
          </w:tcPr>
          <w:p w14:paraId="023B8D89" w14:textId="77777777" w:rsidR="004B040B" w:rsidRPr="00FC5849" w:rsidRDefault="004B040B" w:rsidP="00986700">
            <w:pPr>
              <w:rPr>
                <w:rFonts w:cs="Arial"/>
                <w:sz w:val="16"/>
                <w:szCs w:val="16"/>
                <w:highlight w:val="yellow"/>
              </w:rPr>
            </w:pPr>
            <w:r w:rsidRPr="00FC5849">
              <w:rPr>
                <w:rFonts w:cs="Arial"/>
                <w:sz w:val="16"/>
                <w:szCs w:val="16"/>
              </w:rPr>
              <w:t>I.2 Cadres législatifs, réglementaires et politiques de propriété intellectuelle adaptés et équilibrés</w:t>
            </w:r>
          </w:p>
        </w:tc>
        <w:tc>
          <w:tcPr>
            <w:tcW w:w="2322" w:type="dxa"/>
            <w:shd w:val="clear" w:color="auto" w:fill="auto"/>
            <w:tcMar>
              <w:top w:w="57" w:type="dxa"/>
            </w:tcMar>
          </w:tcPr>
          <w:p w14:paraId="41B17AD7" w14:textId="77777777" w:rsidR="004B040B" w:rsidRPr="00FC5849" w:rsidRDefault="004B040B" w:rsidP="00986700">
            <w:pPr>
              <w:rPr>
                <w:rFonts w:cs="Arial"/>
                <w:sz w:val="16"/>
                <w:szCs w:val="16"/>
                <w:highlight w:val="yellow"/>
              </w:rPr>
            </w:pPr>
            <w:r w:rsidRPr="00FC5849">
              <w:rPr>
                <w:rFonts w:cs="Arial"/>
                <w:sz w:val="16"/>
                <w:szCs w:val="16"/>
              </w:rPr>
              <w:t>Nombre de pays ayant ratifié le Traité de l’OMPI sur le droit d’auteur (WCT), le Traité de l’OMPI sur les interprétations et exécutions et les phonogrammes (WPPT), le Traité de Beijing et le Traité de Marrakech, ou y ayant adhéré</w:t>
            </w:r>
          </w:p>
        </w:tc>
        <w:tc>
          <w:tcPr>
            <w:tcW w:w="2322" w:type="dxa"/>
            <w:shd w:val="clear" w:color="auto" w:fill="auto"/>
            <w:tcMar>
              <w:top w:w="57" w:type="dxa"/>
            </w:tcMar>
          </w:tcPr>
          <w:p w14:paraId="50C25B2E" w14:textId="413D167B" w:rsidR="004B040B" w:rsidRPr="00FC5849" w:rsidRDefault="004B040B" w:rsidP="00986700">
            <w:pPr>
              <w:rPr>
                <w:rFonts w:cs="Arial"/>
                <w:sz w:val="16"/>
                <w:szCs w:val="16"/>
              </w:rPr>
            </w:pPr>
            <w:r>
              <w:rPr>
                <w:rFonts w:cs="Arial"/>
                <w:sz w:val="16"/>
                <w:szCs w:val="16"/>
              </w:rPr>
              <w:t xml:space="preserve">– </w:t>
            </w:r>
            <w:r w:rsidRPr="00FC5849">
              <w:rPr>
                <w:rFonts w:cs="Arial"/>
                <w:sz w:val="16"/>
                <w:szCs w:val="16"/>
              </w:rPr>
              <w:t>WCT (95)</w:t>
            </w:r>
          </w:p>
          <w:p w14:paraId="4B30D2B8" w14:textId="560098BF" w:rsidR="004B040B" w:rsidRPr="00FC5849" w:rsidRDefault="004B040B" w:rsidP="00986700">
            <w:pPr>
              <w:rPr>
                <w:rFonts w:cs="Arial"/>
                <w:sz w:val="16"/>
                <w:szCs w:val="16"/>
              </w:rPr>
            </w:pPr>
            <w:r>
              <w:rPr>
                <w:rFonts w:cs="Arial"/>
                <w:sz w:val="16"/>
                <w:szCs w:val="16"/>
              </w:rPr>
              <w:t xml:space="preserve">– </w:t>
            </w:r>
            <w:r w:rsidRPr="00FC5849">
              <w:rPr>
                <w:rFonts w:cs="Arial"/>
                <w:sz w:val="16"/>
                <w:szCs w:val="16"/>
              </w:rPr>
              <w:t>WPPT (95)</w:t>
            </w:r>
          </w:p>
          <w:p w14:paraId="2B10C2F9" w14:textId="037AA554" w:rsidR="004B040B" w:rsidRPr="00FC5849" w:rsidRDefault="004B040B" w:rsidP="00986700">
            <w:pPr>
              <w:rPr>
                <w:rFonts w:cs="Arial"/>
                <w:sz w:val="16"/>
                <w:szCs w:val="16"/>
              </w:rPr>
            </w:pPr>
            <w:r>
              <w:rPr>
                <w:rFonts w:cs="Arial"/>
                <w:sz w:val="16"/>
                <w:szCs w:val="16"/>
              </w:rPr>
              <w:t xml:space="preserve">– </w:t>
            </w:r>
            <w:r w:rsidRPr="00FC5849">
              <w:rPr>
                <w:rFonts w:cs="Arial"/>
                <w:sz w:val="16"/>
                <w:szCs w:val="16"/>
              </w:rPr>
              <w:t>Traité de Beijing (15)</w:t>
            </w:r>
          </w:p>
          <w:p w14:paraId="3D14940A" w14:textId="14EAC43E" w:rsidR="004B040B" w:rsidRPr="00FC5849" w:rsidRDefault="004B040B" w:rsidP="00986700">
            <w:pPr>
              <w:rPr>
                <w:rFonts w:cs="Arial"/>
                <w:sz w:val="16"/>
                <w:szCs w:val="16"/>
              </w:rPr>
            </w:pPr>
            <w:r>
              <w:rPr>
                <w:rFonts w:cs="Arial"/>
                <w:sz w:val="16"/>
                <w:szCs w:val="16"/>
              </w:rPr>
              <w:t xml:space="preserve">– </w:t>
            </w:r>
            <w:r w:rsidRPr="00FC5849">
              <w:rPr>
                <w:rFonts w:cs="Arial"/>
                <w:sz w:val="16"/>
                <w:szCs w:val="16"/>
              </w:rPr>
              <w:t>Traité de Marrakech (26)</w:t>
            </w:r>
          </w:p>
          <w:p w14:paraId="59800558" w14:textId="77777777" w:rsidR="004B040B" w:rsidRPr="00FC5849" w:rsidRDefault="004B040B" w:rsidP="00986700">
            <w:pPr>
              <w:rPr>
                <w:rFonts w:cs="Arial"/>
                <w:sz w:val="16"/>
                <w:szCs w:val="16"/>
                <w:highlight w:val="yellow"/>
              </w:rPr>
            </w:pPr>
            <w:r w:rsidRPr="00FC5849">
              <w:rPr>
                <w:rFonts w:cs="Arial"/>
                <w:sz w:val="16"/>
                <w:szCs w:val="16"/>
              </w:rPr>
              <w:t>(en février 2017)</w:t>
            </w:r>
          </w:p>
        </w:tc>
        <w:tc>
          <w:tcPr>
            <w:tcW w:w="2322" w:type="dxa"/>
            <w:shd w:val="clear" w:color="auto" w:fill="auto"/>
            <w:tcMar>
              <w:top w:w="57" w:type="dxa"/>
            </w:tcMar>
          </w:tcPr>
          <w:p w14:paraId="1F59E646" w14:textId="77777777" w:rsidR="004B040B" w:rsidRPr="00FC5849" w:rsidRDefault="004B040B" w:rsidP="00986700">
            <w:pPr>
              <w:rPr>
                <w:rFonts w:cs="Arial"/>
                <w:sz w:val="16"/>
                <w:szCs w:val="16"/>
              </w:rPr>
            </w:pPr>
            <w:r w:rsidRPr="00FC5849">
              <w:rPr>
                <w:rFonts w:cs="Arial"/>
                <w:sz w:val="16"/>
                <w:szCs w:val="16"/>
              </w:rPr>
              <w:t>WCT : 100 (au total)</w:t>
            </w:r>
          </w:p>
          <w:p w14:paraId="56E3D515" w14:textId="77777777" w:rsidR="004B040B" w:rsidRPr="00FC5849" w:rsidRDefault="004B040B" w:rsidP="00986700">
            <w:pPr>
              <w:rPr>
                <w:rFonts w:cs="Arial"/>
                <w:sz w:val="16"/>
                <w:szCs w:val="16"/>
              </w:rPr>
            </w:pPr>
            <w:r w:rsidRPr="00FC5849">
              <w:rPr>
                <w:rFonts w:cs="Arial"/>
                <w:sz w:val="16"/>
                <w:szCs w:val="16"/>
              </w:rPr>
              <w:t>WPPT : 100 (au total)</w:t>
            </w:r>
          </w:p>
          <w:p w14:paraId="7D7275AB" w14:textId="77777777" w:rsidR="004B040B" w:rsidRPr="00FC5849" w:rsidRDefault="004B040B" w:rsidP="00986700">
            <w:pPr>
              <w:rPr>
                <w:rFonts w:cs="Arial"/>
                <w:sz w:val="16"/>
                <w:szCs w:val="16"/>
              </w:rPr>
            </w:pPr>
            <w:r w:rsidRPr="00FC5849">
              <w:rPr>
                <w:rFonts w:cs="Arial"/>
                <w:sz w:val="16"/>
                <w:szCs w:val="16"/>
              </w:rPr>
              <w:t>Beijing : 40 (au total)</w:t>
            </w:r>
          </w:p>
          <w:p w14:paraId="2B1928AB" w14:textId="77777777" w:rsidR="004B040B" w:rsidRPr="00FC5849" w:rsidRDefault="004B040B" w:rsidP="00986700">
            <w:pPr>
              <w:rPr>
                <w:rFonts w:cs="Arial"/>
                <w:sz w:val="16"/>
                <w:szCs w:val="16"/>
              </w:rPr>
            </w:pPr>
            <w:r w:rsidRPr="00FC5849">
              <w:rPr>
                <w:rFonts w:cs="Arial"/>
                <w:sz w:val="16"/>
                <w:szCs w:val="16"/>
              </w:rPr>
              <w:t>Marrakech : 40 (au total)</w:t>
            </w:r>
          </w:p>
        </w:tc>
      </w:tr>
      <w:tr w:rsidR="004B040B" w:rsidRPr="00FC5849" w14:paraId="5329C909" w14:textId="77777777" w:rsidTr="004B040B">
        <w:trPr>
          <w:cantSplit/>
        </w:trPr>
        <w:tc>
          <w:tcPr>
            <w:tcW w:w="2321" w:type="dxa"/>
            <w:shd w:val="clear" w:color="auto" w:fill="auto"/>
            <w:tcMar>
              <w:top w:w="57" w:type="dxa"/>
            </w:tcMar>
            <w:hideMark/>
          </w:tcPr>
          <w:p w14:paraId="6D0E6732" w14:textId="77777777" w:rsidR="004B040B" w:rsidRPr="00FC5849" w:rsidRDefault="004B040B" w:rsidP="00986700">
            <w:pPr>
              <w:rPr>
                <w:rFonts w:cs="Arial"/>
                <w:sz w:val="16"/>
                <w:szCs w:val="16"/>
              </w:rPr>
            </w:pPr>
            <w:r w:rsidRPr="00FC5849">
              <w:rPr>
                <w:rFonts w:cs="Arial"/>
                <w:sz w:val="16"/>
                <w:szCs w:val="16"/>
              </w:rPr>
              <w:t> </w:t>
            </w:r>
          </w:p>
        </w:tc>
        <w:tc>
          <w:tcPr>
            <w:tcW w:w="2322" w:type="dxa"/>
            <w:shd w:val="clear" w:color="auto" w:fill="auto"/>
            <w:tcMar>
              <w:top w:w="57" w:type="dxa"/>
            </w:tcMar>
            <w:hideMark/>
          </w:tcPr>
          <w:p w14:paraId="5C99D7FB" w14:textId="77777777" w:rsidR="004B040B" w:rsidRPr="00FC5849" w:rsidRDefault="004B040B" w:rsidP="00986700">
            <w:pPr>
              <w:rPr>
                <w:rFonts w:cs="Arial"/>
                <w:sz w:val="16"/>
                <w:szCs w:val="16"/>
              </w:rPr>
            </w:pPr>
            <w:r w:rsidRPr="00FC5849">
              <w:rPr>
                <w:rFonts w:cs="Arial"/>
                <w:sz w:val="16"/>
                <w:szCs w:val="16"/>
              </w:rPr>
              <w:t>Nombre de ratifications du Traité de Singapour ou d’adhésions à ce traité</w:t>
            </w:r>
          </w:p>
        </w:tc>
        <w:tc>
          <w:tcPr>
            <w:tcW w:w="2322" w:type="dxa"/>
            <w:shd w:val="clear" w:color="auto" w:fill="auto"/>
            <w:tcMar>
              <w:top w:w="57" w:type="dxa"/>
            </w:tcMar>
            <w:hideMark/>
          </w:tcPr>
          <w:p w14:paraId="14FFAAE7" w14:textId="77777777" w:rsidR="004B040B" w:rsidRPr="00FC5849" w:rsidRDefault="004B040B" w:rsidP="00986700">
            <w:pPr>
              <w:rPr>
                <w:rFonts w:cs="Arial"/>
                <w:sz w:val="16"/>
                <w:szCs w:val="16"/>
              </w:rPr>
            </w:pPr>
            <w:r w:rsidRPr="00FC5849">
              <w:rPr>
                <w:rFonts w:cs="Arial"/>
                <w:sz w:val="16"/>
                <w:szCs w:val="16"/>
              </w:rPr>
              <w:t>45 parties contractantes</w:t>
            </w:r>
          </w:p>
          <w:p w14:paraId="2F4C16EB" w14:textId="77777777" w:rsidR="004B040B" w:rsidRPr="00FC5849" w:rsidRDefault="004B040B" w:rsidP="00986700">
            <w:pPr>
              <w:rPr>
                <w:rFonts w:cs="Arial"/>
                <w:sz w:val="16"/>
                <w:szCs w:val="16"/>
              </w:rPr>
            </w:pPr>
            <w:r w:rsidRPr="00FC5849">
              <w:rPr>
                <w:rFonts w:cs="Arial"/>
                <w:sz w:val="16"/>
                <w:szCs w:val="16"/>
              </w:rPr>
              <w:t>(en janvier 2017)</w:t>
            </w:r>
          </w:p>
        </w:tc>
        <w:tc>
          <w:tcPr>
            <w:tcW w:w="2322" w:type="dxa"/>
            <w:shd w:val="clear" w:color="auto" w:fill="auto"/>
            <w:tcMar>
              <w:top w:w="57" w:type="dxa"/>
            </w:tcMar>
            <w:hideMark/>
          </w:tcPr>
          <w:p w14:paraId="1517F54A" w14:textId="77777777" w:rsidR="004B040B" w:rsidRPr="00FC5849" w:rsidRDefault="004B040B" w:rsidP="00986700">
            <w:pPr>
              <w:rPr>
                <w:rFonts w:cs="Arial"/>
                <w:sz w:val="16"/>
                <w:szCs w:val="16"/>
              </w:rPr>
            </w:pPr>
            <w:r w:rsidRPr="00FC5849">
              <w:rPr>
                <w:rFonts w:cs="Arial"/>
                <w:sz w:val="16"/>
                <w:szCs w:val="16"/>
              </w:rPr>
              <w:t>5 nouvelles adhésions ou ratifications</w:t>
            </w:r>
          </w:p>
        </w:tc>
      </w:tr>
      <w:tr w:rsidR="004B040B" w:rsidRPr="00FC5849" w14:paraId="227AB83F" w14:textId="77777777" w:rsidTr="004B040B">
        <w:trPr>
          <w:cantSplit/>
        </w:trPr>
        <w:tc>
          <w:tcPr>
            <w:tcW w:w="2321" w:type="dxa"/>
            <w:shd w:val="clear" w:color="auto" w:fill="auto"/>
            <w:tcMar>
              <w:top w:w="57" w:type="dxa"/>
            </w:tcMar>
            <w:hideMark/>
          </w:tcPr>
          <w:p w14:paraId="05123E1B" w14:textId="77777777" w:rsidR="004B040B" w:rsidRPr="00FC5849" w:rsidRDefault="004B040B" w:rsidP="00986700">
            <w:pPr>
              <w:rPr>
                <w:rFonts w:cs="Arial"/>
                <w:sz w:val="16"/>
                <w:szCs w:val="16"/>
              </w:rPr>
            </w:pPr>
            <w:r w:rsidRPr="00FC5849">
              <w:rPr>
                <w:rFonts w:cs="Arial"/>
                <w:sz w:val="16"/>
                <w:szCs w:val="16"/>
              </w:rPr>
              <w:lastRenderedPageBreak/>
              <w:t>II.1 Utilisation élargie et plus efficace du système du PCT pour le dépôt des demandes internationales de brevet</w:t>
            </w:r>
          </w:p>
        </w:tc>
        <w:tc>
          <w:tcPr>
            <w:tcW w:w="2322" w:type="dxa"/>
            <w:shd w:val="clear" w:color="auto" w:fill="auto"/>
            <w:tcMar>
              <w:top w:w="57" w:type="dxa"/>
            </w:tcMar>
            <w:hideMark/>
          </w:tcPr>
          <w:p w14:paraId="27E55180" w14:textId="77777777" w:rsidR="004B040B" w:rsidRPr="00FC5849" w:rsidRDefault="004B040B" w:rsidP="00986700">
            <w:pPr>
              <w:rPr>
                <w:rFonts w:cs="Arial"/>
                <w:sz w:val="16"/>
                <w:szCs w:val="16"/>
              </w:rPr>
            </w:pPr>
            <w:r w:rsidRPr="00FC5849">
              <w:rPr>
                <w:rFonts w:cs="Arial"/>
                <w:sz w:val="16"/>
                <w:szCs w:val="16"/>
              </w:rPr>
              <w:t>Pourcentage de décideurs, de fonctionnaires gouvernementaux, de spécialistes de la propriété intellectuelle et de participants de séminaires ciblés ayant une meilleure connaissance du PCT et de thèmes connexes</w:t>
            </w:r>
          </w:p>
        </w:tc>
        <w:tc>
          <w:tcPr>
            <w:tcW w:w="2322" w:type="dxa"/>
            <w:shd w:val="clear" w:color="auto" w:fill="auto"/>
            <w:tcMar>
              <w:top w:w="57" w:type="dxa"/>
            </w:tcMar>
            <w:hideMark/>
          </w:tcPr>
          <w:p w14:paraId="23745E1D"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s.o. (Bureau de l’OMPI au Brésil)</w:t>
            </w:r>
          </w:p>
          <w:p w14:paraId="424B445E"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s.o. (Bureau de l’OMPI en Chine)</w:t>
            </w:r>
          </w:p>
          <w:p w14:paraId="5C8AAF13"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81% (Bureau de l’OMPI au Japon)</w:t>
            </w:r>
          </w:p>
          <w:p w14:paraId="4F6B5F71"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s.o. (Bureau de l’OMPI en Fédération de Russie)</w:t>
            </w:r>
          </w:p>
          <w:p w14:paraId="65394F56"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94% (Bureau de l’OMPI à Singapour)</w:t>
            </w:r>
          </w:p>
          <w:p w14:paraId="62A5758D" w14:textId="138994E5" w:rsidR="004B040B" w:rsidRPr="00FC5849" w:rsidRDefault="004B040B" w:rsidP="00986700">
            <w:pPr>
              <w:rPr>
                <w:rFonts w:cs="Arial"/>
                <w:sz w:val="16"/>
                <w:szCs w:val="16"/>
              </w:rPr>
            </w:pPr>
            <w:r w:rsidRPr="00FC5849">
              <w:rPr>
                <w:rFonts w:cs="Arial"/>
                <w:sz w:val="16"/>
                <w:szCs w:val="16"/>
              </w:rPr>
              <w:t>(2016)</w:t>
            </w:r>
          </w:p>
        </w:tc>
        <w:tc>
          <w:tcPr>
            <w:tcW w:w="2322" w:type="dxa"/>
            <w:shd w:val="clear" w:color="auto" w:fill="auto"/>
            <w:tcMar>
              <w:top w:w="57" w:type="dxa"/>
            </w:tcMar>
            <w:hideMark/>
          </w:tcPr>
          <w:p w14:paraId="510AB2D0" w14:textId="0AA26857" w:rsidR="004B040B" w:rsidRPr="00FC5849" w:rsidRDefault="004B040B" w:rsidP="00986700">
            <w:pPr>
              <w:rPr>
                <w:rFonts w:cs="Arial"/>
                <w:sz w:val="16"/>
                <w:szCs w:val="16"/>
              </w:rPr>
            </w:pPr>
            <w:r w:rsidRPr="00FC5849">
              <w:rPr>
                <w:rFonts w:cs="Arial"/>
                <w:sz w:val="16"/>
                <w:szCs w:val="16"/>
              </w:rPr>
              <w:t>85% (tous bureaux confondus)</w:t>
            </w:r>
          </w:p>
        </w:tc>
      </w:tr>
      <w:tr w:rsidR="004B040B" w:rsidRPr="00FC5849" w14:paraId="55DB0EC8" w14:textId="77777777" w:rsidTr="004B040B">
        <w:trPr>
          <w:cantSplit/>
        </w:trPr>
        <w:tc>
          <w:tcPr>
            <w:tcW w:w="2321" w:type="dxa"/>
            <w:shd w:val="clear" w:color="auto" w:fill="auto"/>
            <w:tcMar>
              <w:top w:w="57" w:type="dxa"/>
            </w:tcMar>
            <w:hideMark/>
          </w:tcPr>
          <w:p w14:paraId="58FB04D4" w14:textId="77777777" w:rsidR="004B040B" w:rsidRPr="00FC5849" w:rsidRDefault="004B040B" w:rsidP="00986700">
            <w:pPr>
              <w:rPr>
                <w:rFonts w:cs="Arial"/>
                <w:sz w:val="16"/>
                <w:szCs w:val="16"/>
              </w:rPr>
            </w:pPr>
            <w:r w:rsidRPr="00FC5849">
              <w:rPr>
                <w:rFonts w:cs="Arial"/>
                <w:sz w:val="16"/>
                <w:szCs w:val="16"/>
              </w:rPr>
              <w:t>II.3 Utilisation élargie et plus efficace du système de La Haye, notamment par les pays en développement et les PMA</w:t>
            </w:r>
          </w:p>
        </w:tc>
        <w:tc>
          <w:tcPr>
            <w:tcW w:w="2322" w:type="dxa"/>
            <w:shd w:val="clear" w:color="auto" w:fill="auto"/>
            <w:tcMar>
              <w:top w:w="57" w:type="dxa"/>
            </w:tcMar>
            <w:hideMark/>
          </w:tcPr>
          <w:p w14:paraId="30F51ED8" w14:textId="77777777" w:rsidR="004B040B" w:rsidRPr="00FC5849" w:rsidRDefault="004B040B" w:rsidP="00986700">
            <w:pPr>
              <w:rPr>
                <w:rFonts w:cs="Arial"/>
                <w:sz w:val="16"/>
                <w:szCs w:val="16"/>
              </w:rPr>
            </w:pPr>
            <w:r w:rsidRPr="00FC5849">
              <w:rPr>
                <w:rFonts w:cs="Arial"/>
                <w:sz w:val="16"/>
                <w:szCs w:val="16"/>
              </w:rPr>
              <w:t xml:space="preserve">Parties contractantes de l’Acte de Genève (1999) </w:t>
            </w:r>
          </w:p>
        </w:tc>
        <w:tc>
          <w:tcPr>
            <w:tcW w:w="2322" w:type="dxa"/>
            <w:shd w:val="clear" w:color="auto" w:fill="auto"/>
            <w:tcMar>
              <w:top w:w="57" w:type="dxa"/>
            </w:tcMar>
            <w:hideMark/>
          </w:tcPr>
          <w:p w14:paraId="46AD188A" w14:textId="77777777" w:rsidR="004B040B" w:rsidRPr="00FC5849" w:rsidRDefault="004B040B" w:rsidP="00986700">
            <w:pPr>
              <w:suppressLineNumbers/>
              <w:suppressAutoHyphens/>
              <w:rPr>
                <w:rFonts w:cs="Arial"/>
                <w:sz w:val="16"/>
                <w:szCs w:val="16"/>
              </w:rPr>
            </w:pPr>
            <w:r w:rsidRPr="00FC5849">
              <w:rPr>
                <w:rFonts w:cs="Arial"/>
                <w:sz w:val="16"/>
                <w:szCs w:val="16"/>
              </w:rPr>
              <w:t>52 membres (fin 2016)</w:t>
            </w:r>
          </w:p>
          <w:p w14:paraId="79933853" w14:textId="77777777" w:rsidR="004B040B" w:rsidRPr="00FC5849" w:rsidRDefault="004B040B" w:rsidP="00986700">
            <w:pPr>
              <w:rPr>
                <w:rFonts w:cs="Arial"/>
                <w:sz w:val="16"/>
                <w:szCs w:val="16"/>
              </w:rPr>
            </w:pPr>
          </w:p>
        </w:tc>
        <w:tc>
          <w:tcPr>
            <w:tcW w:w="2322" w:type="dxa"/>
            <w:shd w:val="clear" w:color="auto" w:fill="auto"/>
            <w:tcMar>
              <w:top w:w="57" w:type="dxa"/>
            </w:tcMar>
            <w:hideMark/>
          </w:tcPr>
          <w:p w14:paraId="1FE4D253" w14:textId="77777777" w:rsidR="004B040B" w:rsidRPr="00FC5849" w:rsidRDefault="004B040B" w:rsidP="00986700">
            <w:pPr>
              <w:rPr>
                <w:rFonts w:cs="Arial"/>
                <w:sz w:val="16"/>
                <w:szCs w:val="16"/>
              </w:rPr>
            </w:pPr>
            <w:r w:rsidRPr="00FC5849">
              <w:rPr>
                <w:rFonts w:cs="Arial"/>
                <w:sz w:val="16"/>
                <w:szCs w:val="16"/>
              </w:rPr>
              <w:t>62 membres</w:t>
            </w:r>
          </w:p>
          <w:p w14:paraId="28656B88" w14:textId="77777777" w:rsidR="004B040B" w:rsidRPr="00FC5849" w:rsidRDefault="004B040B" w:rsidP="00986700">
            <w:pPr>
              <w:rPr>
                <w:rFonts w:cs="Arial"/>
                <w:sz w:val="16"/>
                <w:szCs w:val="16"/>
              </w:rPr>
            </w:pPr>
            <w:r w:rsidRPr="00FC5849">
              <w:rPr>
                <w:rFonts w:cs="Arial"/>
                <w:sz w:val="16"/>
                <w:szCs w:val="16"/>
              </w:rPr>
              <w:t>(au total)</w:t>
            </w:r>
          </w:p>
        </w:tc>
      </w:tr>
      <w:tr w:rsidR="004B040B" w:rsidRPr="00FC5849" w14:paraId="1A4758B4" w14:textId="77777777" w:rsidTr="004B040B">
        <w:trPr>
          <w:cantSplit/>
        </w:trPr>
        <w:tc>
          <w:tcPr>
            <w:tcW w:w="2321" w:type="dxa"/>
            <w:shd w:val="clear" w:color="auto" w:fill="auto"/>
            <w:tcMar>
              <w:top w:w="57" w:type="dxa"/>
            </w:tcMar>
            <w:hideMark/>
          </w:tcPr>
          <w:p w14:paraId="4FD2E858" w14:textId="77777777" w:rsidR="004B040B" w:rsidRPr="00FC5849" w:rsidRDefault="004B040B" w:rsidP="00986700">
            <w:pPr>
              <w:rPr>
                <w:rFonts w:cs="Arial"/>
                <w:sz w:val="16"/>
                <w:szCs w:val="16"/>
              </w:rPr>
            </w:pPr>
            <w:r w:rsidRPr="00FC5849">
              <w:rPr>
                <w:rFonts w:cs="Arial"/>
                <w:sz w:val="16"/>
                <w:szCs w:val="16"/>
              </w:rPr>
              <w:t> </w:t>
            </w:r>
          </w:p>
        </w:tc>
        <w:tc>
          <w:tcPr>
            <w:tcW w:w="2322" w:type="dxa"/>
            <w:shd w:val="clear" w:color="auto" w:fill="auto"/>
            <w:tcMar>
              <w:top w:w="57" w:type="dxa"/>
            </w:tcMar>
            <w:hideMark/>
          </w:tcPr>
          <w:p w14:paraId="69286211" w14:textId="77777777" w:rsidR="004B040B" w:rsidRPr="00FC5849" w:rsidRDefault="004B040B" w:rsidP="00986700">
            <w:pPr>
              <w:rPr>
                <w:rFonts w:cs="Arial"/>
                <w:sz w:val="16"/>
                <w:szCs w:val="16"/>
              </w:rPr>
            </w:pPr>
            <w:r w:rsidRPr="00FC5849">
              <w:rPr>
                <w:rFonts w:cs="Arial"/>
                <w:sz w:val="16"/>
                <w:szCs w:val="16"/>
              </w:rPr>
              <w:t>Pourcentage de décideurs, de fonctionnaires gouvernementaux, de spécialistes de la propriété intellectuelle et de participants de séminaires ciblés ayant une meilleure connaissance du système de La Haye</w:t>
            </w:r>
          </w:p>
        </w:tc>
        <w:tc>
          <w:tcPr>
            <w:tcW w:w="2322" w:type="dxa"/>
            <w:shd w:val="clear" w:color="auto" w:fill="auto"/>
            <w:tcMar>
              <w:top w:w="57" w:type="dxa"/>
            </w:tcMar>
            <w:hideMark/>
          </w:tcPr>
          <w:p w14:paraId="4D4707CF" w14:textId="77777777" w:rsidR="004B040B" w:rsidRPr="00FC5849" w:rsidRDefault="004B040B" w:rsidP="00986700">
            <w:pPr>
              <w:suppressLineNumbers/>
              <w:suppressAutoHyphens/>
              <w:rPr>
                <w:rFonts w:eastAsia="Times New Roman" w:cs="Arial"/>
                <w:sz w:val="16"/>
                <w:szCs w:val="16"/>
                <w:lang w:eastAsia="zh-CN"/>
              </w:rPr>
            </w:pPr>
            <w:r w:rsidRPr="00FC5849">
              <w:rPr>
                <w:rFonts w:eastAsia="Times New Roman" w:cs="Arial"/>
                <w:sz w:val="16"/>
                <w:szCs w:val="16"/>
                <w:lang w:eastAsia="zh-CN"/>
              </w:rPr>
              <w:t>s.o. (Bureau de l’OMPI au Brésil)</w:t>
            </w:r>
          </w:p>
          <w:p w14:paraId="39035DAD" w14:textId="77777777" w:rsidR="004B040B" w:rsidRPr="00FC5849" w:rsidRDefault="004B040B" w:rsidP="00986700">
            <w:pPr>
              <w:suppressLineNumbers/>
              <w:suppressAutoHyphens/>
              <w:rPr>
                <w:rFonts w:eastAsia="Times New Roman" w:cs="Arial"/>
                <w:sz w:val="16"/>
                <w:szCs w:val="16"/>
                <w:lang w:eastAsia="zh-CN"/>
              </w:rPr>
            </w:pPr>
            <w:r w:rsidRPr="00FC5849">
              <w:rPr>
                <w:rFonts w:eastAsia="Times New Roman" w:cs="Arial"/>
                <w:sz w:val="16"/>
                <w:szCs w:val="16"/>
                <w:lang w:eastAsia="zh-CN"/>
              </w:rPr>
              <w:t>s.o. (Bureau de l’OMPI en Chine)</w:t>
            </w:r>
          </w:p>
          <w:p w14:paraId="512D88A5"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62% (Bureau de l’OMPI au Japon)</w:t>
            </w:r>
          </w:p>
          <w:p w14:paraId="5ADFF0C4" w14:textId="77777777" w:rsidR="004B040B" w:rsidRPr="00FC5849" w:rsidRDefault="004B040B" w:rsidP="00986700">
            <w:pPr>
              <w:suppressLineNumbers/>
              <w:suppressAutoHyphens/>
              <w:rPr>
                <w:rFonts w:eastAsia="SimSun" w:cs="Arial"/>
                <w:sz w:val="16"/>
                <w:szCs w:val="16"/>
                <w:lang w:eastAsia="zh-CN"/>
              </w:rPr>
            </w:pPr>
            <w:r w:rsidRPr="00FC5849">
              <w:rPr>
                <w:rFonts w:eastAsia="SimSun" w:cs="Arial"/>
                <w:sz w:val="16"/>
                <w:szCs w:val="16"/>
                <w:lang w:eastAsia="zh-CN"/>
              </w:rPr>
              <w:t>86% (Bureau de l’OMPI à Singapour)</w:t>
            </w:r>
          </w:p>
          <w:p w14:paraId="5C246C56" w14:textId="77777777" w:rsidR="004B040B" w:rsidRPr="00FC5849" w:rsidRDefault="004B040B" w:rsidP="00986700">
            <w:pPr>
              <w:rPr>
                <w:rFonts w:cs="Arial"/>
                <w:sz w:val="16"/>
                <w:szCs w:val="16"/>
              </w:rPr>
            </w:pPr>
          </w:p>
        </w:tc>
        <w:tc>
          <w:tcPr>
            <w:tcW w:w="2322" w:type="dxa"/>
            <w:shd w:val="clear" w:color="auto" w:fill="auto"/>
            <w:tcMar>
              <w:top w:w="57" w:type="dxa"/>
            </w:tcMar>
            <w:hideMark/>
          </w:tcPr>
          <w:p w14:paraId="7C5D16F9" w14:textId="77777777" w:rsidR="004B040B" w:rsidRPr="00FC5849" w:rsidRDefault="004B040B" w:rsidP="00986700">
            <w:pPr>
              <w:rPr>
                <w:rFonts w:cs="Arial"/>
                <w:sz w:val="16"/>
                <w:szCs w:val="16"/>
              </w:rPr>
            </w:pPr>
            <w:r w:rsidRPr="00FC5849">
              <w:rPr>
                <w:rFonts w:cs="Arial"/>
                <w:sz w:val="16"/>
                <w:szCs w:val="16"/>
              </w:rPr>
              <w:t>75%</w:t>
            </w:r>
          </w:p>
        </w:tc>
      </w:tr>
      <w:tr w:rsidR="004B040B" w:rsidRPr="00FC5849" w14:paraId="6FB0E67F" w14:textId="77777777" w:rsidTr="004B040B">
        <w:trPr>
          <w:cantSplit/>
        </w:trPr>
        <w:tc>
          <w:tcPr>
            <w:tcW w:w="2321" w:type="dxa"/>
            <w:shd w:val="clear" w:color="auto" w:fill="auto"/>
            <w:tcMar>
              <w:top w:w="57" w:type="dxa"/>
            </w:tcMar>
            <w:hideMark/>
          </w:tcPr>
          <w:p w14:paraId="3E22A9D0" w14:textId="77777777" w:rsidR="004B040B" w:rsidRPr="00FC5849" w:rsidRDefault="004B040B" w:rsidP="00986700">
            <w:pPr>
              <w:rPr>
                <w:rFonts w:cs="Arial"/>
                <w:sz w:val="16"/>
                <w:szCs w:val="16"/>
              </w:rPr>
            </w:pPr>
            <w:r w:rsidRPr="00FC5849">
              <w:rPr>
                <w:rFonts w:cs="Arial"/>
                <w:sz w:val="16"/>
                <w:szCs w:val="16"/>
              </w:rPr>
              <w:t>II.5 Utilisation élargie et plus efficace du système de Madrid, notamment par les pays en développement et les PMA</w:t>
            </w:r>
          </w:p>
        </w:tc>
        <w:tc>
          <w:tcPr>
            <w:tcW w:w="2322" w:type="dxa"/>
            <w:shd w:val="clear" w:color="auto" w:fill="auto"/>
            <w:tcMar>
              <w:top w:w="57" w:type="dxa"/>
            </w:tcMar>
            <w:hideMark/>
          </w:tcPr>
          <w:p w14:paraId="52D961C9" w14:textId="77777777" w:rsidR="004B040B" w:rsidRPr="00FC5849" w:rsidRDefault="004B040B" w:rsidP="00986700">
            <w:pPr>
              <w:rPr>
                <w:rFonts w:cs="Arial"/>
                <w:sz w:val="16"/>
                <w:szCs w:val="16"/>
              </w:rPr>
            </w:pPr>
            <w:r w:rsidRPr="00FC5849">
              <w:rPr>
                <w:rFonts w:cs="Arial"/>
                <w:sz w:val="16"/>
                <w:szCs w:val="16"/>
              </w:rPr>
              <w:t xml:space="preserve">Nombre total des membres du système de Madrid </w:t>
            </w:r>
          </w:p>
        </w:tc>
        <w:tc>
          <w:tcPr>
            <w:tcW w:w="2322" w:type="dxa"/>
            <w:shd w:val="clear" w:color="auto" w:fill="auto"/>
            <w:tcMar>
              <w:top w:w="57" w:type="dxa"/>
            </w:tcMar>
            <w:hideMark/>
          </w:tcPr>
          <w:p w14:paraId="788931F6" w14:textId="77777777" w:rsidR="004B040B" w:rsidRPr="00FC5849" w:rsidRDefault="004B040B" w:rsidP="00986700">
            <w:pPr>
              <w:rPr>
                <w:rFonts w:cs="Arial"/>
                <w:sz w:val="16"/>
                <w:szCs w:val="16"/>
              </w:rPr>
            </w:pPr>
            <w:r w:rsidRPr="00FC5849">
              <w:rPr>
                <w:rFonts w:cs="Arial"/>
                <w:sz w:val="16"/>
                <w:szCs w:val="16"/>
              </w:rPr>
              <w:t>98 membres</w:t>
            </w:r>
          </w:p>
          <w:p w14:paraId="6BC2DE5A" w14:textId="0C0A57CC" w:rsidR="004B040B" w:rsidRPr="00FC5849" w:rsidRDefault="004B040B" w:rsidP="00986700">
            <w:pPr>
              <w:rPr>
                <w:rFonts w:cs="Arial"/>
                <w:sz w:val="16"/>
                <w:szCs w:val="16"/>
              </w:rPr>
            </w:pPr>
            <w:r w:rsidRPr="00FC5849">
              <w:rPr>
                <w:rFonts w:cs="Arial"/>
                <w:sz w:val="16"/>
                <w:szCs w:val="16"/>
              </w:rPr>
              <w:t>(en février 2017)</w:t>
            </w:r>
          </w:p>
        </w:tc>
        <w:tc>
          <w:tcPr>
            <w:tcW w:w="2322" w:type="dxa"/>
            <w:shd w:val="clear" w:color="auto" w:fill="auto"/>
            <w:tcMar>
              <w:top w:w="57" w:type="dxa"/>
            </w:tcMar>
            <w:hideMark/>
          </w:tcPr>
          <w:p w14:paraId="2DD90C1F" w14:textId="77777777" w:rsidR="004B040B" w:rsidRPr="00FC5849" w:rsidRDefault="004B040B" w:rsidP="00986700">
            <w:pPr>
              <w:rPr>
                <w:rFonts w:cs="Arial"/>
                <w:sz w:val="16"/>
                <w:szCs w:val="16"/>
              </w:rPr>
            </w:pPr>
            <w:r w:rsidRPr="00FC5849">
              <w:rPr>
                <w:rFonts w:cs="Arial"/>
                <w:sz w:val="16"/>
                <w:szCs w:val="16"/>
              </w:rPr>
              <w:t>110 membres</w:t>
            </w:r>
          </w:p>
          <w:p w14:paraId="6DE7C657" w14:textId="66F6BAB4" w:rsidR="004B040B" w:rsidRPr="00FC5849" w:rsidRDefault="004B040B" w:rsidP="00986700">
            <w:pPr>
              <w:rPr>
                <w:rFonts w:cs="Arial"/>
                <w:sz w:val="16"/>
                <w:szCs w:val="16"/>
              </w:rPr>
            </w:pPr>
            <w:r w:rsidRPr="00FC5849">
              <w:rPr>
                <w:rFonts w:cs="Arial"/>
                <w:sz w:val="16"/>
                <w:szCs w:val="16"/>
              </w:rPr>
              <w:t>(au total)</w:t>
            </w:r>
          </w:p>
        </w:tc>
      </w:tr>
      <w:tr w:rsidR="004B040B" w:rsidRPr="00FC5849" w14:paraId="7D0BED5E" w14:textId="77777777" w:rsidTr="004B040B">
        <w:trPr>
          <w:cantSplit/>
        </w:trPr>
        <w:tc>
          <w:tcPr>
            <w:tcW w:w="2321" w:type="dxa"/>
            <w:shd w:val="clear" w:color="auto" w:fill="auto"/>
            <w:tcMar>
              <w:top w:w="57" w:type="dxa"/>
            </w:tcMar>
            <w:hideMark/>
          </w:tcPr>
          <w:p w14:paraId="70878FBE" w14:textId="77777777" w:rsidR="004B040B" w:rsidRPr="00FC5849" w:rsidRDefault="004B040B" w:rsidP="00986700">
            <w:pPr>
              <w:rPr>
                <w:rFonts w:cs="Arial"/>
                <w:sz w:val="16"/>
                <w:szCs w:val="16"/>
                <w:highlight w:val="yellow"/>
              </w:rPr>
            </w:pPr>
            <w:r w:rsidRPr="00FC5849">
              <w:rPr>
                <w:rFonts w:cs="Arial"/>
                <w:sz w:val="16"/>
                <w:szCs w:val="16"/>
              </w:rPr>
              <w:t> </w:t>
            </w:r>
          </w:p>
        </w:tc>
        <w:tc>
          <w:tcPr>
            <w:tcW w:w="2322" w:type="dxa"/>
            <w:shd w:val="clear" w:color="auto" w:fill="auto"/>
            <w:tcMar>
              <w:top w:w="57" w:type="dxa"/>
            </w:tcMar>
            <w:hideMark/>
          </w:tcPr>
          <w:p w14:paraId="1BA264BC" w14:textId="77777777" w:rsidR="004B040B" w:rsidRPr="00FC5849" w:rsidRDefault="004B040B" w:rsidP="00986700">
            <w:pPr>
              <w:rPr>
                <w:rFonts w:cs="Arial"/>
                <w:sz w:val="16"/>
                <w:szCs w:val="16"/>
                <w:highlight w:val="yellow"/>
              </w:rPr>
            </w:pPr>
            <w:r w:rsidRPr="00FC5849">
              <w:rPr>
                <w:rFonts w:cs="Arial"/>
                <w:sz w:val="16"/>
                <w:szCs w:val="16"/>
              </w:rPr>
              <w:t xml:space="preserve">Pourcentage de décideurs, de fonctionnaires gouvernementaux, de spécialistes de la propriété intellectuelle et de participants de séminaires ciblés ayant une meilleure connaissance du système de Madrid </w:t>
            </w:r>
          </w:p>
        </w:tc>
        <w:tc>
          <w:tcPr>
            <w:tcW w:w="2322" w:type="dxa"/>
            <w:shd w:val="clear" w:color="auto" w:fill="auto"/>
            <w:tcMar>
              <w:top w:w="57" w:type="dxa"/>
            </w:tcMar>
            <w:hideMark/>
          </w:tcPr>
          <w:p w14:paraId="3FFF4BC0" w14:textId="77777777" w:rsidR="004B040B" w:rsidRPr="00FC5849" w:rsidRDefault="004B040B" w:rsidP="00986700">
            <w:pPr>
              <w:rPr>
                <w:rFonts w:cs="Arial"/>
                <w:sz w:val="16"/>
                <w:szCs w:val="16"/>
              </w:rPr>
            </w:pPr>
            <w:r w:rsidRPr="00FC5849">
              <w:rPr>
                <w:rFonts w:cs="Arial"/>
                <w:sz w:val="16"/>
                <w:szCs w:val="16"/>
              </w:rPr>
              <w:t>94% (Bureau de l’OMPI au Japon)</w:t>
            </w:r>
          </w:p>
          <w:p w14:paraId="4009DB38" w14:textId="77777777" w:rsidR="004B040B" w:rsidRPr="00FC5849" w:rsidRDefault="004B040B" w:rsidP="00986700">
            <w:pPr>
              <w:rPr>
                <w:rFonts w:cs="Arial"/>
                <w:sz w:val="16"/>
                <w:szCs w:val="16"/>
              </w:rPr>
            </w:pPr>
            <w:r w:rsidRPr="00FC5849">
              <w:rPr>
                <w:rFonts w:cs="Arial"/>
                <w:sz w:val="16"/>
                <w:szCs w:val="16"/>
              </w:rPr>
              <w:t>À déterminer (Bureau de l’OMPI en Fédération de Russie)</w:t>
            </w:r>
          </w:p>
          <w:p w14:paraId="0A322F5B" w14:textId="226577E4" w:rsidR="004B040B" w:rsidRPr="00FC5849" w:rsidRDefault="004B040B" w:rsidP="00986700">
            <w:pPr>
              <w:rPr>
                <w:rFonts w:cs="Arial"/>
                <w:sz w:val="16"/>
                <w:szCs w:val="16"/>
                <w:highlight w:val="yellow"/>
              </w:rPr>
            </w:pPr>
            <w:r w:rsidRPr="00FC5849">
              <w:rPr>
                <w:rFonts w:cs="Arial"/>
                <w:sz w:val="16"/>
                <w:szCs w:val="16"/>
              </w:rPr>
              <w:t>86% (Bureau de l’OMPI à Singapour)</w:t>
            </w:r>
          </w:p>
        </w:tc>
        <w:tc>
          <w:tcPr>
            <w:tcW w:w="2322" w:type="dxa"/>
            <w:shd w:val="clear" w:color="auto" w:fill="auto"/>
            <w:tcMar>
              <w:top w:w="57" w:type="dxa"/>
            </w:tcMar>
            <w:hideMark/>
          </w:tcPr>
          <w:p w14:paraId="424F736D" w14:textId="77777777" w:rsidR="004B040B" w:rsidRPr="00FC5849" w:rsidRDefault="004B040B" w:rsidP="00986700">
            <w:pPr>
              <w:rPr>
                <w:rFonts w:cs="Arial"/>
                <w:b/>
                <w:sz w:val="16"/>
                <w:szCs w:val="16"/>
                <w:highlight w:val="yellow"/>
              </w:rPr>
            </w:pPr>
            <w:r w:rsidRPr="00FC5849">
              <w:rPr>
                <w:rFonts w:cs="Arial"/>
                <w:sz w:val="16"/>
                <w:szCs w:val="16"/>
              </w:rPr>
              <w:t>90%</w:t>
            </w:r>
          </w:p>
        </w:tc>
      </w:tr>
      <w:tr w:rsidR="004B040B" w:rsidRPr="00FC5849" w14:paraId="313BE5B2" w14:textId="77777777" w:rsidTr="004B040B">
        <w:trPr>
          <w:cantSplit/>
        </w:trPr>
        <w:tc>
          <w:tcPr>
            <w:tcW w:w="2321" w:type="dxa"/>
            <w:shd w:val="clear" w:color="auto" w:fill="auto"/>
            <w:tcMar>
              <w:top w:w="57" w:type="dxa"/>
            </w:tcMar>
            <w:hideMark/>
          </w:tcPr>
          <w:p w14:paraId="4D9E2802" w14:textId="77777777" w:rsidR="004B040B" w:rsidRPr="00FC5849" w:rsidRDefault="004B040B" w:rsidP="00986700">
            <w:pPr>
              <w:rPr>
                <w:rFonts w:cs="Arial"/>
                <w:sz w:val="16"/>
                <w:szCs w:val="16"/>
              </w:rPr>
            </w:pPr>
            <w:r w:rsidRPr="00FC5849">
              <w:rPr>
                <w:rFonts w:cs="Arial"/>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22" w:type="dxa"/>
            <w:shd w:val="clear" w:color="auto" w:fill="auto"/>
            <w:tcMar>
              <w:top w:w="57" w:type="dxa"/>
            </w:tcMar>
            <w:hideMark/>
          </w:tcPr>
          <w:p w14:paraId="4771AE1E" w14:textId="77777777" w:rsidR="004B040B" w:rsidRPr="00FC5849" w:rsidRDefault="004B040B" w:rsidP="00986700">
            <w:pPr>
              <w:rPr>
                <w:rFonts w:cs="Arial"/>
                <w:sz w:val="16"/>
                <w:szCs w:val="16"/>
              </w:rPr>
            </w:pPr>
            <w:r w:rsidRPr="00FC5849">
              <w:rPr>
                <w:rFonts w:cs="Arial"/>
                <w:sz w:val="16"/>
                <w:szCs w:val="16"/>
              </w:rPr>
              <w:t>Pourcentage de décideurs, de fonctionnaires gouvernementaux, de spécialistes de la propriété intellectuelle et d’autres groupes cibles, y compris des universités, des organismes de gestion collective et des journalistes, ayant une connaissance approfondie des politiques en matière de propriété intellectuelle et des différents moyens d’utiliser efficacement la propriété intellectuelle au service du développement</w:t>
            </w:r>
          </w:p>
        </w:tc>
        <w:tc>
          <w:tcPr>
            <w:tcW w:w="2322" w:type="dxa"/>
            <w:shd w:val="clear" w:color="auto" w:fill="auto"/>
            <w:tcMar>
              <w:top w:w="57" w:type="dxa"/>
            </w:tcMar>
            <w:hideMark/>
          </w:tcPr>
          <w:p w14:paraId="6F31831F" w14:textId="77777777" w:rsidR="004B040B" w:rsidRPr="00FC5849" w:rsidRDefault="004B040B" w:rsidP="00986700">
            <w:pPr>
              <w:rPr>
                <w:rFonts w:cs="Arial"/>
                <w:sz w:val="16"/>
                <w:szCs w:val="16"/>
              </w:rPr>
            </w:pPr>
            <w:r w:rsidRPr="00FC5849">
              <w:rPr>
                <w:rFonts w:cs="Arial"/>
                <w:sz w:val="16"/>
                <w:szCs w:val="16"/>
              </w:rPr>
              <w:t>À déterminer (Bureau de l’OMPI au Brésil)</w:t>
            </w:r>
          </w:p>
          <w:p w14:paraId="59802E60" w14:textId="77777777" w:rsidR="004B040B" w:rsidRPr="00FC5849" w:rsidRDefault="004B040B" w:rsidP="00986700">
            <w:pPr>
              <w:rPr>
                <w:rFonts w:cs="Arial"/>
                <w:sz w:val="16"/>
                <w:szCs w:val="16"/>
              </w:rPr>
            </w:pPr>
            <w:r w:rsidRPr="00FC5849">
              <w:rPr>
                <w:rFonts w:cs="Arial"/>
                <w:sz w:val="16"/>
                <w:szCs w:val="16"/>
              </w:rPr>
              <w:t>100% (Bureau de l’OMPI au Japon)</w:t>
            </w:r>
          </w:p>
          <w:p w14:paraId="25800B4B" w14:textId="77777777" w:rsidR="004B040B" w:rsidRPr="00FC5849" w:rsidRDefault="004B040B" w:rsidP="00986700">
            <w:pPr>
              <w:rPr>
                <w:rFonts w:cs="Arial"/>
                <w:sz w:val="16"/>
                <w:szCs w:val="16"/>
              </w:rPr>
            </w:pPr>
            <w:r w:rsidRPr="00FC5849">
              <w:rPr>
                <w:rFonts w:cs="Arial"/>
                <w:sz w:val="16"/>
                <w:szCs w:val="16"/>
              </w:rPr>
              <w:t>87% (Bureau de l’OMPI à Singapour)</w:t>
            </w:r>
          </w:p>
        </w:tc>
        <w:tc>
          <w:tcPr>
            <w:tcW w:w="2322" w:type="dxa"/>
            <w:shd w:val="clear" w:color="auto" w:fill="auto"/>
            <w:tcMar>
              <w:top w:w="57" w:type="dxa"/>
            </w:tcMar>
            <w:hideMark/>
          </w:tcPr>
          <w:p w14:paraId="3C3DFDBC" w14:textId="77777777" w:rsidR="004B040B" w:rsidRPr="00FC5849" w:rsidRDefault="004B040B" w:rsidP="00986700">
            <w:pPr>
              <w:ind w:leftChars="-1" w:hangingChars="1" w:hanging="2"/>
              <w:rPr>
                <w:rFonts w:cs="Arial"/>
                <w:sz w:val="16"/>
                <w:szCs w:val="16"/>
              </w:rPr>
            </w:pPr>
            <w:r w:rsidRPr="00FC5849">
              <w:rPr>
                <w:rFonts w:cs="Arial"/>
                <w:sz w:val="16"/>
                <w:szCs w:val="16"/>
              </w:rPr>
              <w:t xml:space="preserve"> 85% </w:t>
            </w:r>
          </w:p>
        </w:tc>
      </w:tr>
      <w:tr w:rsidR="004B040B" w:rsidRPr="00FC5849" w14:paraId="1C8E9A21" w14:textId="77777777" w:rsidTr="004B040B">
        <w:trPr>
          <w:cantSplit/>
        </w:trPr>
        <w:tc>
          <w:tcPr>
            <w:tcW w:w="2321" w:type="dxa"/>
            <w:shd w:val="clear" w:color="auto" w:fill="auto"/>
            <w:tcMar>
              <w:top w:w="57" w:type="dxa"/>
            </w:tcMar>
            <w:hideMark/>
          </w:tcPr>
          <w:p w14:paraId="61E7B3AE" w14:textId="77777777" w:rsidR="004B040B" w:rsidRPr="00FC5849" w:rsidRDefault="004B040B" w:rsidP="00986700">
            <w:pPr>
              <w:rPr>
                <w:rFonts w:cs="Arial"/>
                <w:sz w:val="16"/>
                <w:szCs w:val="16"/>
              </w:rPr>
            </w:pPr>
            <w:r w:rsidRPr="00FC5849">
              <w:rPr>
                <w:rFonts w:cs="Arial"/>
                <w:sz w:val="16"/>
                <w:szCs w:val="16"/>
              </w:rPr>
              <w:t>IV.2 Amélioration de l’accès à l’information en matière de propriété intellectuelle et de son utilisation par les institutions compétentes et le public afin de promouvoir l’innovation et la créativité</w:t>
            </w:r>
          </w:p>
        </w:tc>
        <w:tc>
          <w:tcPr>
            <w:tcW w:w="2322" w:type="dxa"/>
            <w:shd w:val="clear" w:color="auto" w:fill="auto"/>
            <w:tcMar>
              <w:top w:w="57" w:type="dxa"/>
            </w:tcMar>
            <w:hideMark/>
          </w:tcPr>
          <w:p w14:paraId="10E50822" w14:textId="77777777" w:rsidR="004B040B" w:rsidRPr="00FC5849" w:rsidRDefault="004B040B" w:rsidP="00986700">
            <w:pPr>
              <w:rPr>
                <w:rFonts w:cs="Arial"/>
                <w:sz w:val="16"/>
                <w:szCs w:val="16"/>
              </w:rPr>
            </w:pPr>
            <w:r w:rsidRPr="00FC5849">
              <w:rPr>
                <w:rFonts w:cs="Arial"/>
                <w:sz w:val="16"/>
                <w:szCs w:val="16"/>
              </w:rPr>
              <w:t>Nombre d’utilisateurs des bases de données mondiales de l’OMPI : PATENTSCOPE, Base de données mondiale sur les marques et Base de données mondiale sur les dessins et modèles</w:t>
            </w:r>
          </w:p>
        </w:tc>
        <w:tc>
          <w:tcPr>
            <w:tcW w:w="2322" w:type="dxa"/>
            <w:shd w:val="clear" w:color="auto" w:fill="auto"/>
            <w:tcMar>
              <w:top w:w="57" w:type="dxa"/>
            </w:tcMar>
            <w:hideMark/>
          </w:tcPr>
          <w:p w14:paraId="3D75C5BC" w14:textId="77777777" w:rsidR="004B040B" w:rsidRPr="00FC5849" w:rsidRDefault="004B040B" w:rsidP="00986700">
            <w:pPr>
              <w:rPr>
                <w:rFonts w:cs="Arial"/>
                <w:sz w:val="16"/>
                <w:szCs w:val="16"/>
              </w:rPr>
            </w:pPr>
            <w:r w:rsidRPr="00FC5849">
              <w:rPr>
                <w:rFonts w:cs="Arial"/>
                <w:sz w:val="16"/>
                <w:szCs w:val="16"/>
              </w:rPr>
              <w:t>Recherches dans PATENTSCOPE : 246 516</w:t>
            </w:r>
            <w:r w:rsidRPr="00FC5849">
              <w:rPr>
                <w:rFonts w:cs="Arial"/>
                <w:sz w:val="16"/>
                <w:szCs w:val="16"/>
              </w:rPr>
              <w:br/>
            </w:r>
            <w:r w:rsidRPr="00FC5849">
              <w:rPr>
                <w:rFonts w:cs="Arial"/>
                <w:sz w:val="16"/>
                <w:szCs w:val="16"/>
              </w:rPr>
              <w:br/>
            </w:r>
            <w:r w:rsidRPr="00FC5849">
              <w:rPr>
                <w:rFonts w:cs="Arial"/>
                <w:sz w:val="16"/>
                <w:szCs w:val="16"/>
              </w:rPr>
              <w:br/>
              <w:t>Base de données mondiale sur les marques : 119 208</w:t>
            </w:r>
          </w:p>
          <w:p w14:paraId="6A2F9EC7" w14:textId="77777777" w:rsidR="004B040B" w:rsidRPr="00FC5849" w:rsidRDefault="004B040B" w:rsidP="00986700">
            <w:pPr>
              <w:rPr>
                <w:rFonts w:cs="Arial"/>
                <w:sz w:val="16"/>
                <w:szCs w:val="16"/>
              </w:rPr>
            </w:pPr>
          </w:p>
          <w:p w14:paraId="3FEB1E32" w14:textId="77777777" w:rsidR="004B040B" w:rsidRPr="00FC5849" w:rsidRDefault="004B040B" w:rsidP="00986700">
            <w:pPr>
              <w:rPr>
                <w:rFonts w:cs="Arial"/>
                <w:sz w:val="16"/>
                <w:szCs w:val="16"/>
              </w:rPr>
            </w:pPr>
          </w:p>
          <w:p w14:paraId="39F23F34" w14:textId="77777777" w:rsidR="004B040B" w:rsidRPr="00FC5849" w:rsidRDefault="004B040B" w:rsidP="00986700">
            <w:pPr>
              <w:rPr>
                <w:rFonts w:cs="Arial"/>
                <w:sz w:val="16"/>
                <w:szCs w:val="16"/>
              </w:rPr>
            </w:pPr>
            <w:r w:rsidRPr="00FC5849">
              <w:rPr>
                <w:rFonts w:cs="Arial"/>
                <w:sz w:val="16"/>
                <w:szCs w:val="16"/>
              </w:rPr>
              <w:t>Base de données mondiale sur les dessins et modèles : 16 868</w:t>
            </w:r>
          </w:p>
          <w:p w14:paraId="1D6F7BF8" w14:textId="77777777" w:rsidR="004B040B" w:rsidRPr="00FC5849" w:rsidRDefault="004B040B" w:rsidP="00986700">
            <w:pPr>
              <w:rPr>
                <w:rFonts w:cs="Arial"/>
                <w:sz w:val="16"/>
                <w:szCs w:val="16"/>
              </w:rPr>
            </w:pPr>
            <w:r w:rsidRPr="00FC5849">
              <w:rPr>
                <w:rFonts w:cs="Arial"/>
                <w:sz w:val="16"/>
                <w:szCs w:val="16"/>
              </w:rPr>
              <w:t>(dernier trimestre de 2016)</w:t>
            </w:r>
          </w:p>
        </w:tc>
        <w:tc>
          <w:tcPr>
            <w:tcW w:w="2322" w:type="dxa"/>
            <w:shd w:val="clear" w:color="auto" w:fill="auto"/>
            <w:tcMar>
              <w:top w:w="57" w:type="dxa"/>
            </w:tcMar>
            <w:hideMark/>
          </w:tcPr>
          <w:p w14:paraId="58F396E9" w14:textId="77777777" w:rsidR="004B040B" w:rsidRPr="00FC5849" w:rsidRDefault="004B040B" w:rsidP="00986700">
            <w:pPr>
              <w:rPr>
                <w:rFonts w:cs="Arial"/>
                <w:sz w:val="16"/>
                <w:szCs w:val="16"/>
              </w:rPr>
            </w:pPr>
            <w:r w:rsidRPr="00FC5849">
              <w:rPr>
                <w:rFonts w:cs="Arial"/>
                <w:sz w:val="16"/>
                <w:szCs w:val="16"/>
              </w:rPr>
              <w:t>+5% (annuel)</w:t>
            </w:r>
          </w:p>
          <w:p w14:paraId="13F13CDE" w14:textId="77777777" w:rsidR="004B040B" w:rsidRPr="00FC5849" w:rsidRDefault="004B040B" w:rsidP="00986700">
            <w:pPr>
              <w:rPr>
                <w:rFonts w:cs="Arial"/>
                <w:sz w:val="16"/>
                <w:szCs w:val="16"/>
              </w:rPr>
            </w:pPr>
          </w:p>
          <w:p w14:paraId="28B8CA6B" w14:textId="77777777" w:rsidR="004B040B" w:rsidRPr="00FC5849" w:rsidRDefault="004B040B" w:rsidP="00986700">
            <w:pPr>
              <w:rPr>
                <w:rFonts w:cs="Arial"/>
                <w:sz w:val="16"/>
                <w:szCs w:val="16"/>
              </w:rPr>
            </w:pPr>
          </w:p>
          <w:p w14:paraId="543A466F" w14:textId="77777777" w:rsidR="004B040B" w:rsidRPr="00FC5849" w:rsidRDefault="004B040B" w:rsidP="00986700">
            <w:pPr>
              <w:rPr>
                <w:rFonts w:cs="Arial"/>
                <w:sz w:val="16"/>
                <w:szCs w:val="16"/>
              </w:rPr>
            </w:pPr>
          </w:p>
          <w:p w14:paraId="5AACE8D0" w14:textId="77777777" w:rsidR="004B040B" w:rsidRPr="00FC5849" w:rsidRDefault="004B040B" w:rsidP="00986700">
            <w:pPr>
              <w:rPr>
                <w:rFonts w:cs="Arial"/>
                <w:sz w:val="16"/>
                <w:szCs w:val="16"/>
              </w:rPr>
            </w:pPr>
            <w:r w:rsidRPr="00FC5849">
              <w:rPr>
                <w:rFonts w:cs="Arial"/>
                <w:sz w:val="16"/>
                <w:szCs w:val="16"/>
              </w:rPr>
              <w:t>+5% (annuel)</w:t>
            </w:r>
          </w:p>
          <w:p w14:paraId="366C6142" w14:textId="77777777" w:rsidR="004B040B" w:rsidRPr="00FC5849" w:rsidRDefault="004B040B" w:rsidP="00986700">
            <w:pPr>
              <w:rPr>
                <w:rFonts w:cs="Arial"/>
                <w:sz w:val="16"/>
                <w:szCs w:val="16"/>
              </w:rPr>
            </w:pPr>
          </w:p>
          <w:p w14:paraId="76DBF7D1" w14:textId="77777777" w:rsidR="004B040B" w:rsidRPr="00FC5849" w:rsidRDefault="004B040B" w:rsidP="00986700">
            <w:pPr>
              <w:rPr>
                <w:rFonts w:cs="Arial"/>
                <w:sz w:val="16"/>
                <w:szCs w:val="16"/>
              </w:rPr>
            </w:pPr>
          </w:p>
          <w:p w14:paraId="6FBEFAC5" w14:textId="77777777" w:rsidR="004B040B" w:rsidRPr="00FC5849" w:rsidRDefault="004B040B" w:rsidP="00986700">
            <w:pPr>
              <w:rPr>
                <w:rFonts w:cs="Arial"/>
                <w:sz w:val="16"/>
                <w:szCs w:val="16"/>
              </w:rPr>
            </w:pPr>
          </w:p>
          <w:p w14:paraId="0CA73C59" w14:textId="77777777" w:rsidR="004B040B" w:rsidRPr="00FC5849" w:rsidRDefault="004B040B" w:rsidP="00986700">
            <w:pPr>
              <w:rPr>
                <w:rFonts w:cs="Arial"/>
                <w:sz w:val="16"/>
                <w:szCs w:val="16"/>
              </w:rPr>
            </w:pPr>
            <w:r w:rsidRPr="00FC5849">
              <w:rPr>
                <w:rFonts w:cs="Arial"/>
                <w:sz w:val="16"/>
                <w:szCs w:val="16"/>
              </w:rPr>
              <w:t>+5% (annuel)</w:t>
            </w:r>
          </w:p>
          <w:p w14:paraId="06C2E1A6" w14:textId="77777777" w:rsidR="004B040B" w:rsidRPr="00FC5849" w:rsidRDefault="004B040B" w:rsidP="00986700">
            <w:pPr>
              <w:rPr>
                <w:rFonts w:cs="Arial"/>
                <w:sz w:val="16"/>
                <w:szCs w:val="16"/>
              </w:rPr>
            </w:pPr>
          </w:p>
          <w:p w14:paraId="7D57636F" w14:textId="77777777" w:rsidR="004B040B" w:rsidRPr="00FC5849" w:rsidRDefault="004B040B" w:rsidP="00986700">
            <w:pPr>
              <w:rPr>
                <w:rFonts w:cs="Arial"/>
                <w:sz w:val="16"/>
                <w:szCs w:val="16"/>
              </w:rPr>
            </w:pPr>
          </w:p>
        </w:tc>
      </w:tr>
      <w:tr w:rsidR="004B040B" w:rsidRPr="00FC5849" w14:paraId="4AACFA92" w14:textId="77777777" w:rsidTr="004B040B">
        <w:trPr>
          <w:cantSplit/>
        </w:trPr>
        <w:tc>
          <w:tcPr>
            <w:tcW w:w="2321" w:type="dxa"/>
            <w:shd w:val="clear" w:color="auto" w:fill="auto"/>
            <w:tcMar>
              <w:top w:w="57" w:type="dxa"/>
            </w:tcMar>
            <w:hideMark/>
          </w:tcPr>
          <w:p w14:paraId="25BBA0C2" w14:textId="77777777" w:rsidR="004B040B" w:rsidRPr="00FC5849" w:rsidRDefault="004B040B" w:rsidP="00986700">
            <w:pPr>
              <w:rPr>
                <w:rFonts w:cs="Arial"/>
                <w:sz w:val="16"/>
                <w:szCs w:val="16"/>
                <w:highlight w:val="yellow"/>
              </w:rPr>
            </w:pPr>
            <w:r w:rsidRPr="00FC5849">
              <w:rPr>
                <w:rFonts w:cs="Arial"/>
                <w:sz w:val="16"/>
                <w:szCs w:val="16"/>
              </w:rPr>
              <w:lastRenderedPageBreak/>
              <w:t> </w:t>
            </w:r>
          </w:p>
        </w:tc>
        <w:tc>
          <w:tcPr>
            <w:tcW w:w="2322" w:type="dxa"/>
            <w:shd w:val="clear" w:color="auto" w:fill="auto"/>
            <w:tcMar>
              <w:top w:w="57" w:type="dxa"/>
            </w:tcMar>
            <w:hideMark/>
          </w:tcPr>
          <w:p w14:paraId="2A12F1DE" w14:textId="77777777" w:rsidR="004B040B" w:rsidRPr="00FC5849" w:rsidRDefault="004B040B" w:rsidP="00986700">
            <w:pPr>
              <w:rPr>
                <w:rFonts w:cs="Arial"/>
                <w:sz w:val="16"/>
                <w:szCs w:val="16"/>
              </w:rPr>
            </w:pPr>
            <w:r w:rsidRPr="00FC5849">
              <w:rPr>
                <w:rFonts w:cs="Arial"/>
                <w:sz w:val="16"/>
                <w:szCs w:val="16"/>
              </w:rPr>
              <w:t>Nombre de réseaux nationaux de CATI durables</w:t>
            </w:r>
            <w:r w:rsidRPr="00FC5849">
              <w:rPr>
                <w:rStyle w:val="FootnoteReference"/>
                <w:rFonts w:cs="Arial"/>
                <w:sz w:val="16"/>
                <w:szCs w:val="16"/>
              </w:rPr>
              <w:footnoteReference w:id="38"/>
            </w:r>
          </w:p>
        </w:tc>
        <w:tc>
          <w:tcPr>
            <w:tcW w:w="2322" w:type="dxa"/>
            <w:shd w:val="clear" w:color="auto" w:fill="auto"/>
            <w:tcMar>
              <w:top w:w="57" w:type="dxa"/>
            </w:tcMar>
            <w:hideMark/>
          </w:tcPr>
          <w:p w14:paraId="33D59EC0" w14:textId="77777777" w:rsidR="004B040B" w:rsidRPr="00FC5849" w:rsidRDefault="004B040B" w:rsidP="00986700">
            <w:pPr>
              <w:rPr>
                <w:rFonts w:cs="Arial"/>
                <w:sz w:val="16"/>
                <w:szCs w:val="16"/>
              </w:rPr>
            </w:pPr>
            <w:r w:rsidRPr="00FC5849">
              <w:rPr>
                <w:rFonts w:cs="Arial"/>
                <w:sz w:val="16"/>
                <w:szCs w:val="16"/>
              </w:rPr>
              <w:t>28 réseaux nationaux de CATI durables</w:t>
            </w:r>
          </w:p>
          <w:p w14:paraId="25380212" w14:textId="77777777" w:rsidR="004B040B" w:rsidRPr="00FC5849" w:rsidRDefault="004B040B" w:rsidP="00986700">
            <w:pPr>
              <w:rPr>
                <w:rFonts w:cs="Arial"/>
                <w:sz w:val="16"/>
                <w:szCs w:val="16"/>
              </w:rPr>
            </w:pPr>
            <w:r w:rsidRPr="00FC5849">
              <w:rPr>
                <w:rFonts w:cs="Arial"/>
                <w:sz w:val="16"/>
                <w:szCs w:val="16"/>
              </w:rPr>
              <w:t>(au total à la fin de 2016)</w:t>
            </w:r>
          </w:p>
        </w:tc>
        <w:tc>
          <w:tcPr>
            <w:tcW w:w="2322" w:type="dxa"/>
            <w:shd w:val="clear" w:color="auto" w:fill="auto"/>
            <w:tcMar>
              <w:top w:w="57" w:type="dxa"/>
            </w:tcMar>
            <w:hideMark/>
          </w:tcPr>
          <w:p w14:paraId="70B4299A" w14:textId="77777777" w:rsidR="004B040B" w:rsidRPr="00FC5849" w:rsidRDefault="004B040B" w:rsidP="00986700">
            <w:pPr>
              <w:rPr>
                <w:rFonts w:cs="Arial"/>
                <w:sz w:val="16"/>
                <w:szCs w:val="16"/>
              </w:rPr>
            </w:pPr>
            <w:r w:rsidRPr="00FC5849">
              <w:rPr>
                <w:rFonts w:cs="Arial"/>
                <w:sz w:val="16"/>
                <w:szCs w:val="16"/>
              </w:rPr>
              <w:t>34 réseaux nationaux de CATI durables (au total)</w:t>
            </w:r>
          </w:p>
        </w:tc>
      </w:tr>
      <w:tr w:rsidR="004B040B" w:rsidRPr="00FC5849" w14:paraId="19797D44" w14:textId="77777777" w:rsidTr="004B040B">
        <w:trPr>
          <w:cantSplit/>
        </w:trPr>
        <w:tc>
          <w:tcPr>
            <w:tcW w:w="2321" w:type="dxa"/>
            <w:shd w:val="clear" w:color="auto" w:fill="auto"/>
            <w:tcMar>
              <w:top w:w="57" w:type="dxa"/>
            </w:tcMar>
            <w:hideMark/>
          </w:tcPr>
          <w:p w14:paraId="69159604" w14:textId="77777777" w:rsidR="004B040B" w:rsidRPr="00FC5849" w:rsidRDefault="004B040B" w:rsidP="00986700">
            <w:pPr>
              <w:rPr>
                <w:rFonts w:cs="Arial"/>
                <w:sz w:val="16"/>
                <w:szCs w:val="16"/>
              </w:rPr>
            </w:pPr>
            <w:r w:rsidRPr="00FC5849">
              <w:rPr>
                <w:rFonts w:cs="Arial"/>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2322" w:type="dxa"/>
            <w:shd w:val="clear" w:color="auto" w:fill="auto"/>
            <w:tcMar>
              <w:top w:w="57" w:type="dxa"/>
            </w:tcMar>
            <w:hideMark/>
          </w:tcPr>
          <w:p w14:paraId="7C2915A1" w14:textId="77777777" w:rsidR="004B040B" w:rsidRPr="00FC5849" w:rsidRDefault="004B040B" w:rsidP="00986700">
            <w:pPr>
              <w:rPr>
                <w:rFonts w:cs="Arial"/>
                <w:sz w:val="16"/>
                <w:szCs w:val="16"/>
              </w:rPr>
            </w:pPr>
            <w:r w:rsidRPr="00FC5849">
              <w:rPr>
                <w:rFonts w:cs="Arial"/>
                <w:sz w:val="16"/>
                <w:szCs w:val="16"/>
              </w:rPr>
              <w:t>Nombre d’offices utilisant les plateformes d’infrastructure de l’OMPI</w:t>
            </w:r>
          </w:p>
        </w:tc>
        <w:tc>
          <w:tcPr>
            <w:tcW w:w="2322" w:type="dxa"/>
            <w:shd w:val="clear" w:color="auto" w:fill="auto"/>
            <w:tcMar>
              <w:top w:w="57" w:type="dxa"/>
            </w:tcMar>
            <w:hideMark/>
          </w:tcPr>
          <w:p w14:paraId="4F2FBD32" w14:textId="77777777" w:rsidR="004B040B" w:rsidRPr="00FC5849" w:rsidRDefault="004B040B" w:rsidP="00986700">
            <w:pPr>
              <w:rPr>
                <w:rFonts w:eastAsia="Times New Roman" w:cs="Arial"/>
                <w:sz w:val="16"/>
                <w:szCs w:val="16"/>
                <w:lang w:eastAsia="en-US"/>
              </w:rPr>
            </w:pPr>
            <w:r w:rsidRPr="00FC5849">
              <w:rPr>
                <w:rFonts w:eastAsia="Times New Roman" w:cs="Arial"/>
                <w:sz w:val="16"/>
                <w:szCs w:val="16"/>
                <w:lang w:eastAsia="en-US"/>
              </w:rPr>
              <w:t>31 offices</w:t>
            </w:r>
          </w:p>
          <w:p w14:paraId="7579FCCE" w14:textId="77777777" w:rsidR="004B040B" w:rsidRPr="00FC5849" w:rsidRDefault="004B040B" w:rsidP="00986700">
            <w:pPr>
              <w:rPr>
                <w:rFonts w:cs="Arial"/>
                <w:sz w:val="16"/>
                <w:szCs w:val="16"/>
              </w:rPr>
            </w:pPr>
            <w:r w:rsidRPr="00FC5849">
              <w:rPr>
                <w:rFonts w:cs="Arial"/>
                <w:sz w:val="16"/>
                <w:szCs w:val="16"/>
              </w:rPr>
              <w:t>(au total à la fin de janvier 2017)</w:t>
            </w:r>
          </w:p>
        </w:tc>
        <w:tc>
          <w:tcPr>
            <w:tcW w:w="2322" w:type="dxa"/>
            <w:shd w:val="clear" w:color="auto" w:fill="auto"/>
            <w:tcMar>
              <w:top w:w="57" w:type="dxa"/>
            </w:tcMar>
            <w:hideMark/>
          </w:tcPr>
          <w:p w14:paraId="63E45C47" w14:textId="77777777" w:rsidR="004B040B" w:rsidRPr="00FC5849" w:rsidRDefault="004B040B" w:rsidP="00986700">
            <w:pPr>
              <w:rPr>
                <w:rFonts w:cs="Arial"/>
                <w:sz w:val="16"/>
                <w:szCs w:val="16"/>
              </w:rPr>
            </w:pPr>
            <w:r w:rsidRPr="00FC5849">
              <w:rPr>
                <w:rFonts w:cs="Arial"/>
                <w:sz w:val="16"/>
                <w:szCs w:val="16"/>
              </w:rPr>
              <w:t>40 offices</w:t>
            </w:r>
          </w:p>
          <w:p w14:paraId="4AB4E9C8" w14:textId="77777777" w:rsidR="004B040B" w:rsidRPr="00FC5849" w:rsidRDefault="004B040B" w:rsidP="00986700">
            <w:pPr>
              <w:rPr>
                <w:rFonts w:cs="Arial"/>
                <w:sz w:val="16"/>
                <w:szCs w:val="16"/>
              </w:rPr>
            </w:pPr>
            <w:r w:rsidRPr="00FC5849">
              <w:rPr>
                <w:rFonts w:cs="Arial"/>
                <w:sz w:val="16"/>
                <w:szCs w:val="16"/>
              </w:rPr>
              <w:t>(au total)</w:t>
            </w:r>
          </w:p>
        </w:tc>
      </w:tr>
      <w:tr w:rsidR="004B040B" w:rsidRPr="00FC5849" w14:paraId="22BCA067" w14:textId="77777777" w:rsidTr="004B040B">
        <w:trPr>
          <w:cantSplit/>
        </w:trPr>
        <w:tc>
          <w:tcPr>
            <w:tcW w:w="2321" w:type="dxa"/>
            <w:shd w:val="clear" w:color="auto" w:fill="auto"/>
            <w:tcMar>
              <w:top w:w="57" w:type="dxa"/>
            </w:tcMar>
            <w:hideMark/>
          </w:tcPr>
          <w:p w14:paraId="64C76AD9" w14:textId="77777777" w:rsidR="004B040B" w:rsidRPr="00FC5849" w:rsidRDefault="004B040B" w:rsidP="00986700">
            <w:pPr>
              <w:rPr>
                <w:rFonts w:cs="Arial"/>
                <w:sz w:val="16"/>
                <w:szCs w:val="16"/>
              </w:rPr>
            </w:pPr>
            <w:r w:rsidRPr="00FC5849">
              <w:rPr>
                <w:rFonts w:cs="Arial"/>
                <w:sz w:val="16"/>
                <w:szCs w:val="16"/>
              </w:rPr>
              <w:t>VII.1 Plateformes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2322" w:type="dxa"/>
            <w:shd w:val="clear" w:color="auto" w:fill="auto"/>
            <w:tcMar>
              <w:top w:w="57" w:type="dxa"/>
            </w:tcMar>
            <w:hideMark/>
          </w:tcPr>
          <w:p w14:paraId="515AFC2B" w14:textId="77777777" w:rsidR="004B040B" w:rsidRPr="00FC5849" w:rsidRDefault="004B040B" w:rsidP="00986700">
            <w:pPr>
              <w:rPr>
                <w:rFonts w:cs="Arial"/>
                <w:sz w:val="16"/>
                <w:szCs w:val="16"/>
              </w:rPr>
            </w:pPr>
            <w:r w:rsidRPr="00FC5849">
              <w:rPr>
                <w:rFonts w:cs="Arial"/>
                <w:sz w:val="16"/>
                <w:szCs w:val="16"/>
              </w:rPr>
              <w:t>Participation de parties prenantes aux plateformes de l’OMPI telles que WIPO GREEN et WIPO Re:Search</w:t>
            </w:r>
          </w:p>
        </w:tc>
        <w:tc>
          <w:tcPr>
            <w:tcW w:w="2322" w:type="dxa"/>
            <w:shd w:val="clear" w:color="auto" w:fill="auto"/>
            <w:tcMar>
              <w:top w:w="57" w:type="dxa"/>
            </w:tcMar>
            <w:hideMark/>
          </w:tcPr>
          <w:p w14:paraId="2A88E8B2" w14:textId="77777777" w:rsidR="004B040B" w:rsidRPr="00591A2F" w:rsidRDefault="004B040B" w:rsidP="00986700">
            <w:pPr>
              <w:rPr>
                <w:rFonts w:eastAsia="Times New Roman" w:cs="Arial"/>
                <w:sz w:val="16"/>
                <w:szCs w:val="16"/>
                <w:lang w:val="en-US" w:eastAsia="en-US"/>
              </w:rPr>
            </w:pPr>
            <w:r w:rsidRPr="00591A2F">
              <w:rPr>
                <w:rFonts w:eastAsia="Times New Roman" w:cs="Arial"/>
                <w:sz w:val="16"/>
                <w:szCs w:val="16"/>
                <w:lang w:val="en-US" w:eastAsia="en-US"/>
              </w:rPr>
              <w:t>WIPO Re:Search : 16</w:t>
            </w:r>
          </w:p>
          <w:p w14:paraId="6153BDCB" w14:textId="77777777" w:rsidR="004B040B" w:rsidRPr="00591A2F" w:rsidRDefault="004B040B" w:rsidP="00986700">
            <w:pPr>
              <w:rPr>
                <w:rFonts w:eastAsia="Times New Roman" w:cs="Arial"/>
                <w:sz w:val="16"/>
                <w:szCs w:val="16"/>
                <w:lang w:val="en-US" w:eastAsia="en-US"/>
              </w:rPr>
            </w:pPr>
          </w:p>
          <w:p w14:paraId="64A4F95F" w14:textId="77777777" w:rsidR="004B040B" w:rsidRPr="00591A2F" w:rsidRDefault="004B040B" w:rsidP="00986700">
            <w:pPr>
              <w:rPr>
                <w:rFonts w:eastAsia="Times New Roman" w:cs="Arial"/>
                <w:iCs/>
                <w:sz w:val="16"/>
                <w:szCs w:val="16"/>
                <w:lang w:val="en-US" w:eastAsia="en-US"/>
              </w:rPr>
            </w:pPr>
            <w:r w:rsidRPr="00591A2F">
              <w:rPr>
                <w:rFonts w:eastAsia="Times New Roman" w:cs="Arial"/>
                <w:iCs/>
                <w:sz w:val="16"/>
                <w:szCs w:val="16"/>
                <w:lang w:val="en-US" w:eastAsia="en-US"/>
              </w:rPr>
              <w:t>WIPO GREEN : 225</w:t>
            </w:r>
          </w:p>
          <w:p w14:paraId="27FFAF8B" w14:textId="77777777" w:rsidR="004B040B" w:rsidRPr="00591A2F" w:rsidRDefault="004B040B" w:rsidP="00986700">
            <w:pPr>
              <w:rPr>
                <w:rFonts w:eastAsia="Times New Roman" w:cs="Arial"/>
                <w:sz w:val="16"/>
                <w:szCs w:val="16"/>
                <w:lang w:val="en-US" w:eastAsia="en-US"/>
              </w:rPr>
            </w:pPr>
          </w:p>
          <w:p w14:paraId="16FE2EE8" w14:textId="77777777" w:rsidR="004B040B" w:rsidRPr="00591A2F" w:rsidRDefault="004B040B" w:rsidP="00986700">
            <w:pPr>
              <w:rPr>
                <w:rFonts w:cs="Arial"/>
                <w:sz w:val="16"/>
                <w:szCs w:val="16"/>
                <w:lang w:val="en-US"/>
              </w:rPr>
            </w:pPr>
          </w:p>
        </w:tc>
        <w:tc>
          <w:tcPr>
            <w:tcW w:w="2322" w:type="dxa"/>
            <w:shd w:val="clear" w:color="auto" w:fill="auto"/>
            <w:tcMar>
              <w:top w:w="57" w:type="dxa"/>
            </w:tcMar>
            <w:hideMark/>
          </w:tcPr>
          <w:p w14:paraId="305A31BB" w14:textId="77777777" w:rsidR="004B040B" w:rsidRPr="00FC5849" w:rsidRDefault="004B040B" w:rsidP="00986700">
            <w:pPr>
              <w:rPr>
                <w:rFonts w:cs="Arial"/>
                <w:sz w:val="16"/>
                <w:szCs w:val="16"/>
              </w:rPr>
            </w:pPr>
            <w:r w:rsidRPr="00FC5849">
              <w:rPr>
                <w:rFonts w:cs="Arial"/>
                <w:sz w:val="16"/>
                <w:szCs w:val="16"/>
              </w:rPr>
              <w:t>Augmentation de 20% pour WIPO GREEN et WIPO Re:Search</w:t>
            </w:r>
          </w:p>
          <w:p w14:paraId="0F32964C" w14:textId="77777777" w:rsidR="004B040B" w:rsidRPr="00FC5849" w:rsidRDefault="004B040B" w:rsidP="00986700">
            <w:pPr>
              <w:rPr>
                <w:rFonts w:cs="Arial"/>
                <w:sz w:val="16"/>
                <w:szCs w:val="16"/>
              </w:rPr>
            </w:pPr>
          </w:p>
        </w:tc>
      </w:tr>
      <w:tr w:rsidR="004B040B" w:rsidRPr="00FC5849" w14:paraId="2040C8A4" w14:textId="77777777" w:rsidTr="004B040B">
        <w:trPr>
          <w:cantSplit/>
        </w:trPr>
        <w:tc>
          <w:tcPr>
            <w:tcW w:w="2321" w:type="dxa"/>
            <w:shd w:val="clear" w:color="auto" w:fill="auto"/>
            <w:tcMar>
              <w:top w:w="57" w:type="dxa"/>
            </w:tcMar>
            <w:hideMark/>
          </w:tcPr>
          <w:p w14:paraId="39624B23" w14:textId="77777777" w:rsidR="004B040B" w:rsidRPr="00FC5849" w:rsidRDefault="004B040B" w:rsidP="00986700">
            <w:pPr>
              <w:rPr>
                <w:rFonts w:cs="Arial"/>
                <w:sz w:val="16"/>
                <w:szCs w:val="16"/>
              </w:rPr>
            </w:pPr>
            <w:r w:rsidRPr="00FC5849">
              <w:rPr>
                <w:rFonts w:cs="Arial"/>
                <w:sz w:val="16"/>
                <w:szCs w:val="16"/>
              </w:rPr>
              <w:t>VIII.1 Communication plus efficace avec un public large et varié concernant la propriété intellectuelle et le rôle de l’OMPI</w:t>
            </w:r>
          </w:p>
        </w:tc>
        <w:tc>
          <w:tcPr>
            <w:tcW w:w="2322" w:type="dxa"/>
            <w:shd w:val="clear" w:color="auto" w:fill="auto"/>
            <w:tcMar>
              <w:top w:w="57" w:type="dxa"/>
            </w:tcMar>
            <w:hideMark/>
          </w:tcPr>
          <w:p w14:paraId="0AE94EA4" w14:textId="77777777" w:rsidR="004B040B" w:rsidRPr="00FC5849" w:rsidRDefault="004B040B" w:rsidP="00986700">
            <w:pPr>
              <w:rPr>
                <w:rFonts w:cs="Arial"/>
                <w:sz w:val="16"/>
                <w:szCs w:val="16"/>
              </w:rPr>
            </w:pPr>
            <w:r w:rsidRPr="00FC5849">
              <w:rPr>
                <w:rFonts w:cs="Arial"/>
                <w:sz w:val="16"/>
                <w:szCs w:val="16"/>
              </w:rPr>
              <w:t>Augmentation de la fréquentation du site Web des bureaux extérieurs de l’OMPI</w:t>
            </w:r>
          </w:p>
        </w:tc>
        <w:tc>
          <w:tcPr>
            <w:tcW w:w="2322" w:type="dxa"/>
            <w:shd w:val="clear" w:color="auto" w:fill="auto"/>
            <w:tcMar>
              <w:top w:w="57" w:type="dxa"/>
            </w:tcMar>
            <w:hideMark/>
          </w:tcPr>
          <w:p w14:paraId="337AA3A6" w14:textId="77777777" w:rsidR="004B040B" w:rsidRPr="00FC5849" w:rsidRDefault="004B040B" w:rsidP="00986700">
            <w:pPr>
              <w:suppressLineNumbers/>
              <w:suppressAutoHyphens/>
              <w:rPr>
                <w:rFonts w:eastAsia="Times New Roman" w:cs="Arial"/>
                <w:sz w:val="16"/>
                <w:szCs w:val="16"/>
                <w:lang w:eastAsia="en-US"/>
              </w:rPr>
            </w:pPr>
            <w:r w:rsidRPr="00FC5849">
              <w:rPr>
                <w:rFonts w:eastAsia="Times New Roman" w:cs="Arial"/>
                <w:sz w:val="16"/>
                <w:szCs w:val="16"/>
                <w:lang w:eastAsia="en-US"/>
              </w:rPr>
              <w:t>4722 (Bureau de l’OMPI en Chine)</w:t>
            </w:r>
          </w:p>
          <w:p w14:paraId="02E4E862" w14:textId="77777777" w:rsidR="004B040B" w:rsidRPr="00FC5849" w:rsidRDefault="004B040B" w:rsidP="00986700">
            <w:pPr>
              <w:suppressLineNumbers/>
              <w:suppressAutoHyphens/>
              <w:autoSpaceDE w:val="0"/>
              <w:autoSpaceDN w:val="0"/>
              <w:adjustRightInd w:val="0"/>
              <w:rPr>
                <w:rFonts w:eastAsia="Times New Roman" w:cs="Arial"/>
                <w:sz w:val="16"/>
                <w:szCs w:val="16"/>
                <w:lang w:eastAsia="en-US"/>
              </w:rPr>
            </w:pPr>
            <w:r w:rsidRPr="00FC5849">
              <w:rPr>
                <w:rFonts w:eastAsia="Times New Roman" w:cs="Arial"/>
                <w:sz w:val="16"/>
                <w:szCs w:val="16"/>
                <w:lang w:eastAsia="en-US"/>
              </w:rPr>
              <w:t>2932 (Bureau de l’OMPI au Brésil)</w:t>
            </w:r>
          </w:p>
          <w:p w14:paraId="22B3993F" w14:textId="77777777" w:rsidR="004B040B" w:rsidRPr="00FC5849" w:rsidRDefault="004B040B" w:rsidP="00986700">
            <w:pPr>
              <w:suppressLineNumbers/>
              <w:suppressAutoHyphens/>
              <w:autoSpaceDE w:val="0"/>
              <w:autoSpaceDN w:val="0"/>
              <w:adjustRightInd w:val="0"/>
              <w:rPr>
                <w:rFonts w:eastAsia="Times New Roman" w:cs="Arial"/>
                <w:sz w:val="16"/>
                <w:szCs w:val="16"/>
                <w:lang w:eastAsia="en-US"/>
              </w:rPr>
            </w:pPr>
            <w:r w:rsidRPr="00FC5849">
              <w:rPr>
                <w:rFonts w:eastAsia="Times New Roman" w:cs="Arial"/>
                <w:sz w:val="16"/>
                <w:szCs w:val="16"/>
                <w:lang w:eastAsia="en-US"/>
              </w:rPr>
              <w:t>7724 (Bureau de l’OMPI au Japon)</w:t>
            </w:r>
          </w:p>
          <w:p w14:paraId="5F0ACEB8" w14:textId="77777777" w:rsidR="004B040B" w:rsidRPr="00FC5849" w:rsidRDefault="004B040B" w:rsidP="00986700">
            <w:pPr>
              <w:suppressLineNumbers/>
              <w:suppressAutoHyphens/>
              <w:autoSpaceDE w:val="0"/>
              <w:autoSpaceDN w:val="0"/>
              <w:adjustRightInd w:val="0"/>
              <w:rPr>
                <w:rFonts w:eastAsia="Times New Roman" w:cs="Arial"/>
                <w:sz w:val="16"/>
                <w:szCs w:val="16"/>
                <w:lang w:eastAsia="en-US"/>
              </w:rPr>
            </w:pPr>
            <w:r w:rsidRPr="00FC5849">
              <w:rPr>
                <w:rFonts w:eastAsia="Times New Roman" w:cs="Arial"/>
                <w:sz w:val="16"/>
                <w:szCs w:val="16"/>
                <w:lang w:eastAsia="en-US"/>
              </w:rPr>
              <w:t>5894 (Bureau de l’OMPI en Russie)</w:t>
            </w:r>
          </w:p>
          <w:p w14:paraId="3CA9489A" w14:textId="77777777" w:rsidR="004B040B" w:rsidRPr="00FC5849" w:rsidRDefault="004B040B" w:rsidP="00986700">
            <w:pPr>
              <w:suppressLineNumbers/>
              <w:suppressAutoHyphens/>
              <w:autoSpaceDE w:val="0"/>
              <w:autoSpaceDN w:val="0"/>
              <w:adjustRightInd w:val="0"/>
              <w:rPr>
                <w:rFonts w:eastAsia="Times New Roman" w:cs="Arial"/>
                <w:sz w:val="16"/>
                <w:szCs w:val="16"/>
                <w:lang w:eastAsia="en-US"/>
              </w:rPr>
            </w:pPr>
            <w:r w:rsidRPr="00FC5849">
              <w:rPr>
                <w:rFonts w:eastAsia="Times New Roman" w:cs="Arial"/>
                <w:sz w:val="16"/>
                <w:szCs w:val="16"/>
                <w:lang w:eastAsia="en-US"/>
              </w:rPr>
              <w:t>7752 (Bureau de l’OMPI à Singapour)</w:t>
            </w:r>
          </w:p>
        </w:tc>
        <w:tc>
          <w:tcPr>
            <w:tcW w:w="2322" w:type="dxa"/>
            <w:shd w:val="clear" w:color="auto" w:fill="auto"/>
            <w:tcMar>
              <w:top w:w="57" w:type="dxa"/>
            </w:tcMar>
            <w:hideMark/>
          </w:tcPr>
          <w:p w14:paraId="45531B08" w14:textId="77777777" w:rsidR="004B040B" w:rsidRPr="00FC5849" w:rsidRDefault="004B040B" w:rsidP="00986700">
            <w:pPr>
              <w:rPr>
                <w:rFonts w:cs="Arial"/>
                <w:sz w:val="16"/>
                <w:szCs w:val="16"/>
              </w:rPr>
            </w:pPr>
            <w:r w:rsidRPr="00FC5849">
              <w:rPr>
                <w:rFonts w:cs="Arial"/>
                <w:sz w:val="16"/>
                <w:szCs w:val="16"/>
              </w:rPr>
              <w:t>Augmentation de 5% (tous bureaux confondus)</w:t>
            </w:r>
          </w:p>
        </w:tc>
      </w:tr>
      <w:tr w:rsidR="004B040B" w:rsidRPr="00FC5849" w14:paraId="7FC75BB4" w14:textId="77777777" w:rsidTr="004B040B">
        <w:trPr>
          <w:cantSplit/>
        </w:trPr>
        <w:tc>
          <w:tcPr>
            <w:tcW w:w="2321" w:type="dxa"/>
            <w:shd w:val="clear" w:color="auto" w:fill="auto"/>
            <w:tcMar>
              <w:top w:w="57" w:type="dxa"/>
            </w:tcMar>
            <w:hideMark/>
          </w:tcPr>
          <w:p w14:paraId="705E0109" w14:textId="77777777" w:rsidR="004B040B" w:rsidRPr="00FC5849" w:rsidRDefault="004B040B" w:rsidP="00986700">
            <w:pPr>
              <w:rPr>
                <w:rFonts w:cs="Arial"/>
                <w:sz w:val="16"/>
                <w:szCs w:val="16"/>
              </w:rPr>
            </w:pPr>
            <w:r w:rsidRPr="00FC5849">
              <w:rPr>
                <w:rFonts w:cs="Arial"/>
                <w:sz w:val="16"/>
                <w:szCs w:val="16"/>
              </w:rPr>
              <w:t>VIII.2 Amélioration de l’orientation vers les services et de la réactivité face aux demandes de renseignements</w:t>
            </w:r>
          </w:p>
        </w:tc>
        <w:tc>
          <w:tcPr>
            <w:tcW w:w="2322" w:type="dxa"/>
            <w:shd w:val="clear" w:color="auto" w:fill="auto"/>
            <w:tcMar>
              <w:top w:w="57" w:type="dxa"/>
            </w:tcMar>
            <w:hideMark/>
          </w:tcPr>
          <w:p w14:paraId="615A9EB8" w14:textId="77777777" w:rsidR="004B040B" w:rsidRPr="00FC5849" w:rsidRDefault="004B040B" w:rsidP="00986700">
            <w:pPr>
              <w:rPr>
                <w:rFonts w:cs="Arial"/>
                <w:sz w:val="16"/>
                <w:szCs w:val="16"/>
              </w:rPr>
            </w:pPr>
            <w:r w:rsidRPr="00FC5849">
              <w:rPr>
                <w:rFonts w:cs="Arial"/>
                <w:sz w:val="16"/>
                <w:szCs w:val="16"/>
              </w:rPr>
              <w:t>Durée de traitement des demandes de renseignements</w:t>
            </w:r>
          </w:p>
        </w:tc>
        <w:tc>
          <w:tcPr>
            <w:tcW w:w="2322" w:type="dxa"/>
            <w:shd w:val="clear" w:color="auto" w:fill="auto"/>
            <w:tcMar>
              <w:top w:w="57" w:type="dxa"/>
            </w:tcMar>
            <w:hideMark/>
          </w:tcPr>
          <w:p w14:paraId="34F4E5AF" w14:textId="52C06050" w:rsidR="004B040B" w:rsidRPr="00FC5849" w:rsidRDefault="000B1950" w:rsidP="00986700">
            <w:pPr>
              <w:rPr>
                <w:rFonts w:cs="Arial"/>
                <w:sz w:val="16"/>
                <w:szCs w:val="16"/>
              </w:rPr>
            </w:pPr>
            <w:r>
              <w:rPr>
                <w:rFonts w:cs="Arial"/>
                <w:sz w:val="16"/>
                <w:szCs w:val="16"/>
              </w:rPr>
              <w:t>À déterminer</w:t>
            </w:r>
          </w:p>
        </w:tc>
        <w:tc>
          <w:tcPr>
            <w:tcW w:w="2322" w:type="dxa"/>
            <w:shd w:val="clear" w:color="auto" w:fill="auto"/>
            <w:tcMar>
              <w:top w:w="57" w:type="dxa"/>
            </w:tcMar>
            <w:hideMark/>
          </w:tcPr>
          <w:p w14:paraId="321C391A" w14:textId="77777777" w:rsidR="004B040B" w:rsidRPr="00FC5849" w:rsidRDefault="004B040B" w:rsidP="00986700">
            <w:pPr>
              <w:rPr>
                <w:rFonts w:cs="Arial"/>
                <w:sz w:val="16"/>
                <w:szCs w:val="16"/>
              </w:rPr>
            </w:pPr>
            <w:r w:rsidRPr="00FC5849">
              <w:rPr>
                <w:rFonts w:cs="Arial"/>
                <w:sz w:val="16"/>
                <w:szCs w:val="16"/>
              </w:rPr>
              <w:t>À déterminer</w:t>
            </w:r>
          </w:p>
        </w:tc>
      </w:tr>
    </w:tbl>
    <w:p w14:paraId="1E16109D" w14:textId="77777777" w:rsidR="004B040B" w:rsidRPr="00FC5849" w:rsidRDefault="004B040B"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2CD8EB32" w14:textId="77777777" w:rsidTr="001A722F">
        <w:trPr>
          <w:cantSplit/>
        </w:trPr>
        <w:tc>
          <w:tcPr>
            <w:tcW w:w="9571" w:type="dxa"/>
            <w:shd w:val="clear" w:color="auto" w:fill="C6D9F1" w:themeFill="text2" w:themeFillTint="33"/>
            <w:vAlign w:val="center"/>
          </w:tcPr>
          <w:p w14:paraId="742E3CA1" w14:textId="77777777" w:rsidR="00277197" w:rsidRPr="00821D15" w:rsidRDefault="00277197" w:rsidP="00986700">
            <w:pPr>
              <w:jc w:val="center"/>
              <w:rPr>
                <w:rFonts w:cs="Arial"/>
                <w:b/>
                <w:szCs w:val="20"/>
              </w:rPr>
            </w:pPr>
            <w:r w:rsidRPr="00821D15">
              <w:rPr>
                <w:rFonts w:cs="Arial"/>
                <w:b/>
                <w:szCs w:val="20"/>
              </w:rPr>
              <w:t>Ressources allouées au programme 20</w:t>
            </w:r>
          </w:p>
        </w:tc>
      </w:tr>
    </w:tbl>
    <w:p w14:paraId="18C396A3" w14:textId="77777777" w:rsidR="00277197" w:rsidRPr="00821D15" w:rsidRDefault="00277197" w:rsidP="00986700">
      <w:pPr>
        <w:rPr>
          <w:rFonts w:cs="Arial"/>
          <w:szCs w:val="20"/>
        </w:rPr>
      </w:pPr>
    </w:p>
    <w:p w14:paraId="2276AAE8" w14:textId="77777777" w:rsidR="00277197" w:rsidRPr="00821D15" w:rsidRDefault="00277197" w:rsidP="00616FD3">
      <w:pPr>
        <w:pStyle w:val="ListParagraph"/>
        <w:numPr>
          <w:ilvl w:val="0"/>
          <w:numId w:val="82"/>
        </w:numPr>
        <w:ind w:firstLine="0"/>
        <w:jc w:val="both"/>
        <w:rPr>
          <w:rFonts w:cs="Arial"/>
          <w:szCs w:val="20"/>
        </w:rPr>
      </w:pPr>
      <w:r w:rsidRPr="00821D15">
        <w:rPr>
          <w:rFonts w:cs="Arial"/>
          <w:szCs w:val="20"/>
        </w:rPr>
        <w:t>Les ressources globales allouées au programme au cours de l’exercice biennal 2018</w:t>
      </w:r>
      <w:r w:rsidRPr="00821D15">
        <w:rPr>
          <w:rFonts w:cs="Arial"/>
          <w:szCs w:val="20"/>
        </w:rPr>
        <w:noBreakHyphen/>
        <w:t>2019 indiquent une augmentation de 6,9% par rapport au budget approuvé pour 2016</w:t>
      </w:r>
      <w:r w:rsidRPr="00821D15">
        <w:rPr>
          <w:rFonts w:cs="Arial"/>
          <w:szCs w:val="20"/>
        </w:rPr>
        <w:noBreakHyphen/>
        <w:t>2017.</w:t>
      </w:r>
    </w:p>
    <w:p w14:paraId="3D8748E5" w14:textId="77777777" w:rsidR="00277197" w:rsidRPr="00821D15" w:rsidRDefault="00277197" w:rsidP="00986700">
      <w:pPr>
        <w:rPr>
          <w:rFonts w:cs="Arial"/>
          <w:szCs w:val="20"/>
        </w:rPr>
      </w:pPr>
    </w:p>
    <w:p w14:paraId="0A043F07" w14:textId="77777777" w:rsidR="00277197" w:rsidRPr="00821D15" w:rsidRDefault="00277197" w:rsidP="00616FD3">
      <w:pPr>
        <w:pStyle w:val="ListParagraph"/>
        <w:numPr>
          <w:ilvl w:val="0"/>
          <w:numId w:val="82"/>
        </w:numPr>
        <w:ind w:firstLine="0"/>
        <w:jc w:val="both"/>
        <w:rPr>
          <w:rFonts w:cs="Arial"/>
          <w:szCs w:val="20"/>
        </w:rPr>
      </w:pPr>
      <w:r w:rsidRPr="00821D15">
        <w:rPr>
          <w:rFonts w:cs="Arial"/>
          <w:szCs w:val="20"/>
        </w:rPr>
        <w:t>L’augmentation des dépenses autres que les dépenses de personnel correspond i) aux ressources nécessaires pour les deux nouveaux bureaux extérieurs en Algérie et au Nigéria, dont il est rendu compte sous le résultat escompté III.2 (</w:t>
      </w:r>
      <w:r w:rsidRPr="00821D15">
        <w:rPr>
          <w:rFonts w:cs="Arial"/>
          <w:color w:val="000000"/>
          <w:szCs w:val="20"/>
        </w:rPr>
        <w:t>mise en valeur des ressources humaines</w:t>
      </w:r>
      <w:r w:rsidRPr="00821D15">
        <w:rPr>
          <w:rFonts w:cs="Arial"/>
          <w:szCs w:val="20"/>
        </w:rPr>
        <w:t>) et ii) aux ressources nécessaires pour répondre aux besoins opérationnels du Bureau de coordination de l’OMPI à New York en 2018</w:t>
      </w:r>
      <w:r w:rsidRPr="00821D15">
        <w:rPr>
          <w:rFonts w:cs="Arial"/>
          <w:szCs w:val="20"/>
        </w:rPr>
        <w:noBreakHyphen/>
        <w:t>2019 (frais d’exploitation inscrits au budget pour une année uniquement dans le budget approuvé pour 2016</w:t>
      </w:r>
      <w:r w:rsidRPr="00821D15">
        <w:rPr>
          <w:rFonts w:cs="Arial"/>
          <w:szCs w:val="20"/>
        </w:rPr>
        <w:noBreakHyphen/>
        <w:t>2017), dont il est rendu compte sous le résultat escompté VIII.5 (l’OMPI collabore efficacement avec d’autres processus et instances de négociation de l’ONU et d’autres organisations intergouvernementales).</w:t>
      </w:r>
    </w:p>
    <w:p w14:paraId="5FF2AE1B" w14:textId="77777777" w:rsidR="00277197" w:rsidRPr="00821D15" w:rsidRDefault="00277197" w:rsidP="00986700">
      <w:pPr>
        <w:rPr>
          <w:rFonts w:cs="Arial"/>
          <w:szCs w:val="20"/>
        </w:rPr>
      </w:pPr>
    </w:p>
    <w:p w14:paraId="7C0E3558" w14:textId="77777777" w:rsidR="00277197" w:rsidRPr="00821D15" w:rsidRDefault="00277197" w:rsidP="00616FD3">
      <w:pPr>
        <w:pStyle w:val="ListParagraph"/>
        <w:numPr>
          <w:ilvl w:val="0"/>
          <w:numId w:val="82"/>
        </w:numPr>
        <w:ind w:firstLine="0"/>
        <w:jc w:val="both"/>
        <w:rPr>
          <w:rFonts w:cs="Arial"/>
          <w:szCs w:val="20"/>
        </w:rPr>
      </w:pPr>
      <w:r w:rsidRPr="00821D15">
        <w:rPr>
          <w:rFonts w:cs="Arial"/>
          <w:szCs w:val="20"/>
        </w:rPr>
        <w:t>L’augmentation du nombre de postes et des dépenses de personnel correspondantes résulte i) de la création de quatre postes supplémentaires pour renforcer les travaux dans les bureaux extérieurs, y compris un poste de directeur et un poste d’appui administratif au sein du Bureau de l’OMPI en Russie et deux postes d’administrateurs recrutés sur le plan national au sein du Bureau de l’OMPI en Chine.</w:t>
      </w:r>
    </w:p>
    <w:p w14:paraId="4683B0C8" w14:textId="77777777" w:rsidR="00277197" w:rsidRPr="00821D15" w:rsidRDefault="00277197" w:rsidP="00616FD3">
      <w:pPr>
        <w:pStyle w:val="ListParagraph"/>
        <w:numPr>
          <w:ilvl w:val="0"/>
          <w:numId w:val="82"/>
        </w:numPr>
        <w:ind w:firstLine="0"/>
        <w:jc w:val="both"/>
        <w:rPr>
          <w:rFonts w:cs="Arial"/>
          <w:szCs w:val="20"/>
        </w:rPr>
      </w:pPr>
      <w:r w:rsidRPr="00821D15">
        <w:rPr>
          <w:rFonts w:cs="Arial"/>
          <w:szCs w:val="20"/>
        </w:rPr>
        <w:lastRenderedPageBreak/>
        <w:t>La redistribution des ressources entre le résultat escompté I.1 (renforcement de la coopération entre les États membres) et le résultat escompté I.2 (conseils en matière de législation) vise un meilleur alignement sur les programmes de fond.  Les ressources allouées au titre du résultat escompté IX.1 (services d’appui efficaces, efficients, de qualité et tournés vers la clientèle) ont été transférées au résultat escompté VIII.4 (échanges ouverts, transparents et dynamiques avec les parties prenantes non gouvernementales).</w:t>
      </w:r>
    </w:p>
    <w:p w14:paraId="4521CB43" w14:textId="77777777" w:rsidR="00277197" w:rsidRPr="00821D15" w:rsidRDefault="00277197" w:rsidP="00986700">
      <w:pPr>
        <w:rPr>
          <w:rFonts w:cs="Arial"/>
          <w:szCs w:val="20"/>
        </w:rPr>
      </w:pPr>
    </w:p>
    <w:p w14:paraId="3C7FA4AE" w14:textId="77777777" w:rsidR="00277197" w:rsidRPr="00821D15" w:rsidRDefault="00277197" w:rsidP="00616FD3">
      <w:pPr>
        <w:pStyle w:val="ListParagraph"/>
        <w:numPr>
          <w:ilvl w:val="0"/>
          <w:numId w:val="82"/>
        </w:numPr>
        <w:ind w:firstLine="0"/>
        <w:jc w:val="both"/>
        <w:rPr>
          <w:rFonts w:cs="Arial"/>
          <w:szCs w:val="20"/>
        </w:rPr>
      </w:pPr>
      <w:r w:rsidRPr="00821D15">
        <w:rPr>
          <w:rFonts w:cs="Arial"/>
          <w:szCs w:val="20"/>
        </w:rPr>
        <w:t>Les variations concernant les ressources entre les différents résultats escomptés par rapport au budget approuvé pour 2016</w:t>
      </w:r>
      <w:r w:rsidRPr="00821D15">
        <w:rPr>
          <w:rFonts w:cs="Arial"/>
          <w:szCs w:val="20"/>
        </w:rPr>
        <w:noBreakHyphen/>
        <w:t>2017 résultent en grande partie d’une volonté d’aligner plus précisément les ressources sur les résultats pour tous les bureaux extérieurs de l’OMPI pour l’exercice biennal 2018</w:t>
      </w:r>
      <w:r w:rsidRPr="00821D15">
        <w:rPr>
          <w:rFonts w:cs="Arial"/>
          <w:szCs w:val="20"/>
        </w:rPr>
        <w:noBreakHyphen/>
        <w:t>2019.</w:t>
      </w:r>
    </w:p>
    <w:p w14:paraId="4F88130D" w14:textId="77777777" w:rsidR="004B040B" w:rsidRDefault="004B040B" w:rsidP="00986700">
      <w:pPr>
        <w:jc w:val="both"/>
        <w:rPr>
          <w:rFonts w:cs="Arial"/>
          <w:szCs w:val="20"/>
        </w:rPr>
      </w:pPr>
    </w:p>
    <w:p w14:paraId="164602C6" w14:textId="44C250D8" w:rsidR="00674550" w:rsidRPr="00674550" w:rsidRDefault="00674550"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20 : </w:t>
      </w:r>
      <w:r w:rsidRPr="00674550">
        <w:rPr>
          <w:rFonts w:eastAsia="Times New Roman" w:cs="Arial"/>
          <w:b/>
          <w:szCs w:val="20"/>
          <w:lang w:eastAsia="en-US"/>
        </w:rPr>
        <w:t>Ressources par résultat</w:t>
      </w:r>
    </w:p>
    <w:p w14:paraId="16E51882" w14:textId="77777777" w:rsidR="00674550" w:rsidRPr="00674550" w:rsidRDefault="00674550"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C1BEC53" w14:textId="77777777" w:rsidR="00674550" w:rsidRDefault="00674550" w:rsidP="00986700">
      <w:pPr>
        <w:keepNext/>
        <w:jc w:val="both"/>
        <w:rPr>
          <w:rFonts w:cs="Arial"/>
          <w:szCs w:val="20"/>
        </w:rPr>
      </w:pPr>
    </w:p>
    <w:p w14:paraId="39883310" w14:textId="21DB8919" w:rsidR="00717231" w:rsidRPr="00FC5849" w:rsidRDefault="00717231" w:rsidP="00986700">
      <w:pPr>
        <w:jc w:val="center"/>
        <w:rPr>
          <w:rFonts w:cs="Arial"/>
          <w:szCs w:val="20"/>
        </w:rPr>
      </w:pPr>
      <w:r w:rsidRPr="00717231">
        <w:rPr>
          <w:noProof/>
          <w:lang w:val="en-US" w:eastAsia="en-US"/>
        </w:rPr>
        <w:drawing>
          <wp:inline distT="0" distB="0" distL="0" distR="0" wp14:anchorId="59465E8B" wp14:editId="42DA29BB">
            <wp:extent cx="5400000" cy="7361167"/>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0000" cy="7361167"/>
                    </a:xfrm>
                    <a:prstGeom prst="rect">
                      <a:avLst/>
                    </a:prstGeom>
                    <a:noFill/>
                    <a:ln>
                      <a:noFill/>
                    </a:ln>
                  </pic:spPr>
                </pic:pic>
              </a:graphicData>
            </a:graphic>
          </wp:inline>
        </w:drawing>
      </w:r>
    </w:p>
    <w:p w14:paraId="26CAB7D3" w14:textId="77777777" w:rsidR="00B55ECC" w:rsidRDefault="00B55ECC" w:rsidP="00986700">
      <w:pPr>
        <w:rPr>
          <w:lang w:eastAsia="en-US"/>
        </w:rPr>
      </w:pPr>
    </w:p>
    <w:p w14:paraId="7581EC33"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20</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11983D16" w14:textId="144F599D"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186C23AD" w14:textId="77777777" w:rsidR="008778B5" w:rsidRDefault="008778B5" w:rsidP="00986700">
      <w:pPr>
        <w:keepNext/>
        <w:rPr>
          <w:lang w:eastAsia="en-US"/>
        </w:rPr>
      </w:pPr>
    </w:p>
    <w:p w14:paraId="021BD6F2" w14:textId="15DEA23D" w:rsidR="00B55ECC" w:rsidRDefault="008778B5" w:rsidP="00986700">
      <w:pPr>
        <w:jc w:val="center"/>
        <w:rPr>
          <w:lang w:eastAsia="en-US"/>
        </w:rPr>
      </w:pPr>
      <w:r w:rsidRPr="008778B5">
        <w:rPr>
          <w:noProof/>
          <w:lang w:val="en-US" w:eastAsia="en-US"/>
        </w:rPr>
        <w:drawing>
          <wp:inline distT="0" distB="0" distL="0" distR="0" wp14:anchorId="0FA257D2" wp14:editId="39DA1AF4">
            <wp:extent cx="5400000" cy="6031770"/>
            <wp:effectExtent l="0" t="0" r="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0111A68F" w14:textId="77777777" w:rsidR="00B55ECC" w:rsidRDefault="00B55ECC" w:rsidP="00986700">
      <w:pPr>
        <w:rPr>
          <w:lang w:eastAsia="en-US"/>
        </w:rPr>
      </w:pPr>
    </w:p>
    <w:p w14:paraId="5D8E71D0" w14:textId="77777777" w:rsidR="0056581C" w:rsidRPr="0056581C" w:rsidRDefault="0056581C" w:rsidP="0056581C">
      <w:pPr>
        <w:rPr>
          <w:i/>
          <w:sz w:val="16"/>
        </w:rPr>
      </w:pPr>
      <w:r w:rsidRPr="0056581C">
        <w:rPr>
          <w:i/>
          <w:sz w:val="16"/>
        </w:rPr>
        <w:t>Note : Les contributions volontaires reçues au titre du Fonds fiduciaire du Japon pour la propriété intellectuelle, ainsi qu’il ressort du tableau 14 de l’annexe V, permettent de financer les activités de fond menées par le Bureau de l’OMPI au Japon et une partie de ses dépenses de fonctionnement.</w:t>
      </w:r>
    </w:p>
    <w:p w14:paraId="1952FBE7" w14:textId="77777777" w:rsidR="0056581C" w:rsidRPr="00E16214" w:rsidRDefault="0056581C" w:rsidP="00986700">
      <w:pPr>
        <w:rPr>
          <w:lang w:eastAsia="en-US"/>
        </w:rPr>
      </w:pPr>
    </w:p>
    <w:p w14:paraId="061A1ACB" w14:textId="69CB8C4B" w:rsidR="00426A7C" w:rsidRDefault="00426A7C" w:rsidP="00986700">
      <w:pPr>
        <w:rPr>
          <w:lang w:eastAsia="en-US"/>
        </w:rPr>
      </w:pPr>
      <w:r>
        <w:rPr>
          <w:lang w:eastAsia="en-US"/>
        </w:rPr>
        <w:br w:type="page"/>
      </w:r>
    </w:p>
    <w:p w14:paraId="4441A615" w14:textId="7DC8E486" w:rsidR="0031700C" w:rsidRPr="00E003F0" w:rsidRDefault="0031700C" w:rsidP="00986700">
      <w:pPr>
        <w:pStyle w:val="Heading4"/>
      </w:pPr>
      <w:bookmarkStart w:id="74" w:name="_Toc482979505"/>
      <w:r w:rsidRPr="00E003F0">
        <w:lastRenderedPageBreak/>
        <w:t>Objectif stratégique IX</w:t>
      </w:r>
      <w:r w:rsidRPr="00E003F0">
        <w:tab/>
        <w:t>Structure d’appui administratif et financier efficace afin de permettre à</w:t>
      </w:r>
      <w:r>
        <w:t> </w:t>
      </w:r>
      <w:r w:rsidRPr="00E003F0">
        <w:t>l’OMPI d’exécuter ses programmes</w:t>
      </w:r>
      <w:bookmarkEnd w:id="74"/>
    </w:p>
    <w:p w14:paraId="258D4FA5" w14:textId="77777777" w:rsidR="0031700C" w:rsidRPr="00E003F0" w:rsidRDefault="0031700C" w:rsidP="00986700">
      <w:pPr>
        <w:tabs>
          <w:tab w:val="left" w:pos="1701"/>
        </w:tabs>
        <w:ind w:left="1701" w:hanging="1701"/>
        <w:jc w:val="center"/>
        <w:rPr>
          <w:b/>
          <w:bCs/>
          <w:caps/>
          <w:szCs w:val="24"/>
        </w:rPr>
      </w:pPr>
    </w:p>
    <w:p w14:paraId="39352284" w14:textId="77777777" w:rsidR="0031700C" w:rsidRPr="00E003F0" w:rsidRDefault="0031700C" w:rsidP="00986700">
      <w:pPr>
        <w:tabs>
          <w:tab w:val="left" w:pos="1701"/>
        </w:tabs>
        <w:ind w:left="1701" w:hanging="1701"/>
        <w:jc w:val="center"/>
        <w:rPr>
          <w:b/>
          <w:bCs/>
          <w:caps/>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60"/>
        <w:gridCol w:w="3878"/>
        <w:gridCol w:w="2449"/>
      </w:tblGrid>
      <w:tr w:rsidR="0031700C" w:rsidRPr="00E003F0" w14:paraId="39366163" w14:textId="77777777" w:rsidTr="00560330">
        <w:trPr>
          <w:cantSplit/>
          <w:tblHeader/>
        </w:trPr>
        <w:tc>
          <w:tcPr>
            <w:tcW w:w="2960" w:type="dxa"/>
            <w:shd w:val="clear" w:color="auto" w:fill="B8CCE4" w:themeFill="accent1" w:themeFillTint="66"/>
            <w:vAlign w:val="center"/>
            <w:hideMark/>
          </w:tcPr>
          <w:p w14:paraId="4679F6EC" w14:textId="77777777" w:rsidR="0031700C" w:rsidRPr="00E003F0" w:rsidRDefault="0031700C" w:rsidP="00986700">
            <w:pPr>
              <w:jc w:val="center"/>
              <w:rPr>
                <w:b/>
                <w:bCs/>
                <w:sz w:val="18"/>
                <w:szCs w:val="18"/>
              </w:rPr>
            </w:pPr>
            <w:r w:rsidRPr="00E003F0">
              <w:rPr>
                <w:b/>
                <w:bCs/>
                <w:sz w:val="18"/>
                <w:szCs w:val="18"/>
              </w:rPr>
              <w:t>Résultats escomptés</w:t>
            </w:r>
          </w:p>
        </w:tc>
        <w:tc>
          <w:tcPr>
            <w:tcW w:w="3878" w:type="dxa"/>
            <w:shd w:val="clear" w:color="auto" w:fill="B8CCE4" w:themeFill="accent1" w:themeFillTint="66"/>
            <w:vAlign w:val="center"/>
            <w:hideMark/>
          </w:tcPr>
          <w:p w14:paraId="500294D3" w14:textId="77777777" w:rsidR="0031700C" w:rsidRPr="00E003F0" w:rsidRDefault="0031700C" w:rsidP="00986700">
            <w:pPr>
              <w:jc w:val="center"/>
              <w:rPr>
                <w:b/>
                <w:bCs/>
                <w:sz w:val="18"/>
                <w:szCs w:val="18"/>
              </w:rPr>
            </w:pPr>
            <w:r w:rsidRPr="00E003F0">
              <w:rPr>
                <w:b/>
                <w:sz w:val="18"/>
                <w:szCs w:val="18"/>
              </w:rPr>
              <w:t>Indicateurs d’exécution</w:t>
            </w:r>
          </w:p>
        </w:tc>
        <w:tc>
          <w:tcPr>
            <w:tcW w:w="2449" w:type="dxa"/>
            <w:shd w:val="clear" w:color="auto" w:fill="B8CCE4" w:themeFill="accent1" w:themeFillTint="66"/>
            <w:vAlign w:val="center"/>
            <w:hideMark/>
          </w:tcPr>
          <w:p w14:paraId="0E143B5F" w14:textId="77777777" w:rsidR="0031700C" w:rsidRPr="00E003F0" w:rsidRDefault="0031700C" w:rsidP="00986700">
            <w:pPr>
              <w:jc w:val="center"/>
              <w:rPr>
                <w:b/>
                <w:bCs/>
                <w:sz w:val="16"/>
                <w:szCs w:val="16"/>
              </w:rPr>
            </w:pPr>
            <w:r w:rsidRPr="00E003F0">
              <w:rPr>
                <w:b/>
                <w:sz w:val="18"/>
                <w:szCs w:val="16"/>
              </w:rPr>
              <w:t>Programme(s) concerné(s)</w:t>
            </w:r>
          </w:p>
        </w:tc>
      </w:tr>
      <w:tr w:rsidR="00560330" w:rsidRPr="00E003F0" w14:paraId="202D7201" w14:textId="77777777" w:rsidTr="00560330">
        <w:trPr>
          <w:cantSplit/>
        </w:trPr>
        <w:tc>
          <w:tcPr>
            <w:tcW w:w="2960" w:type="dxa"/>
            <w:vMerge w:val="restart"/>
            <w:hideMark/>
          </w:tcPr>
          <w:p w14:paraId="7642DD71" w14:textId="05EE4ACF" w:rsidR="00560330" w:rsidRPr="00E003F0" w:rsidRDefault="00560330" w:rsidP="00986700">
            <w:pPr>
              <w:rPr>
                <w:sz w:val="16"/>
                <w:szCs w:val="16"/>
              </w:rPr>
            </w:pPr>
            <w:r w:rsidRPr="00E003F0">
              <w:rPr>
                <w:sz w:val="16"/>
                <w:szCs w:val="16"/>
              </w:rPr>
              <w:t>IX.1 Services d’appui efficaces, efficients, de qualité et tournés vers la clientèle, à l’intention à la fois des clients internes et des parties prenantes externes</w:t>
            </w:r>
          </w:p>
        </w:tc>
        <w:tc>
          <w:tcPr>
            <w:tcW w:w="3878" w:type="dxa"/>
            <w:hideMark/>
          </w:tcPr>
          <w:p w14:paraId="7E362704" w14:textId="0F1D66A0" w:rsidR="00560330" w:rsidRPr="00E003F0" w:rsidRDefault="00560330" w:rsidP="00986700">
            <w:pPr>
              <w:rPr>
                <w:sz w:val="16"/>
                <w:szCs w:val="16"/>
              </w:rPr>
            </w:pPr>
            <w:r w:rsidRPr="00E003F0">
              <w:rPr>
                <w:sz w:val="16"/>
                <w:szCs w:val="16"/>
              </w:rPr>
              <w:t xml:space="preserve">Pourcentage de demandes d’avis </w:t>
            </w:r>
            <w:r>
              <w:rPr>
                <w:sz w:val="16"/>
                <w:szCs w:val="16"/>
              </w:rPr>
              <w:t xml:space="preserve">et de services </w:t>
            </w:r>
            <w:r w:rsidRPr="00E003F0">
              <w:rPr>
                <w:sz w:val="16"/>
                <w:szCs w:val="16"/>
              </w:rPr>
              <w:t>juridique</w:t>
            </w:r>
            <w:r>
              <w:rPr>
                <w:sz w:val="16"/>
                <w:szCs w:val="16"/>
              </w:rPr>
              <w:t>s</w:t>
            </w:r>
            <w:r w:rsidRPr="00E003F0">
              <w:rPr>
                <w:sz w:val="16"/>
                <w:szCs w:val="16"/>
              </w:rPr>
              <w:t xml:space="preserve"> qui reçoivent des réponses rapides du Bureau du conseiller juridique</w:t>
            </w:r>
          </w:p>
        </w:tc>
        <w:tc>
          <w:tcPr>
            <w:tcW w:w="2449" w:type="dxa"/>
            <w:hideMark/>
          </w:tcPr>
          <w:p w14:paraId="7E83C51A" w14:textId="77777777" w:rsidR="00560330" w:rsidRPr="00E003F0" w:rsidRDefault="00560330" w:rsidP="00986700">
            <w:pPr>
              <w:jc w:val="center"/>
              <w:rPr>
                <w:sz w:val="16"/>
                <w:szCs w:val="16"/>
              </w:rPr>
            </w:pPr>
            <w:r w:rsidRPr="00E003F0">
              <w:rPr>
                <w:sz w:val="16"/>
                <w:szCs w:val="16"/>
              </w:rPr>
              <w:t>Programme 21</w:t>
            </w:r>
          </w:p>
        </w:tc>
      </w:tr>
      <w:tr w:rsidR="00560330" w:rsidRPr="00E003F0" w14:paraId="50471D8C" w14:textId="77777777" w:rsidTr="00560330">
        <w:trPr>
          <w:cantSplit/>
        </w:trPr>
        <w:tc>
          <w:tcPr>
            <w:tcW w:w="2960" w:type="dxa"/>
            <w:vMerge/>
            <w:hideMark/>
          </w:tcPr>
          <w:p w14:paraId="0A7B5813" w14:textId="54705D91" w:rsidR="00560330" w:rsidRPr="00E003F0" w:rsidRDefault="00560330" w:rsidP="00986700">
            <w:pPr>
              <w:rPr>
                <w:sz w:val="16"/>
                <w:szCs w:val="16"/>
              </w:rPr>
            </w:pPr>
          </w:p>
        </w:tc>
        <w:tc>
          <w:tcPr>
            <w:tcW w:w="3878" w:type="dxa"/>
            <w:hideMark/>
          </w:tcPr>
          <w:p w14:paraId="38EE7DDC" w14:textId="77777777" w:rsidR="00560330" w:rsidRPr="00E003F0" w:rsidRDefault="00560330" w:rsidP="00986700">
            <w:pPr>
              <w:rPr>
                <w:sz w:val="16"/>
                <w:szCs w:val="16"/>
              </w:rPr>
            </w:pPr>
            <w:r w:rsidRPr="00E003F0">
              <w:rPr>
                <w:sz w:val="16"/>
                <w:szCs w:val="16"/>
              </w:rPr>
              <w:t>Présentation des rapports et analyses financiers et de gestion demandés par la direction, les gestionnaires de programme et les États membres dans les délais impartis</w:t>
            </w:r>
          </w:p>
        </w:tc>
        <w:tc>
          <w:tcPr>
            <w:tcW w:w="2449" w:type="dxa"/>
            <w:hideMark/>
          </w:tcPr>
          <w:p w14:paraId="305F3A2A" w14:textId="77777777" w:rsidR="00560330" w:rsidRPr="00E003F0" w:rsidRDefault="00560330" w:rsidP="00986700">
            <w:pPr>
              <w:jc w:val="center"/>
              <w:rPr>
                <w:sz w:val="16"/>
                <w:szCs w:val="16"/>
              </w:rPr>
            </w:pPr>
            <w:r w:rsidRPr="00E003F0">
              <w:rPr>
                <w:sz w:val="16"/>
                <w:szCs w:val="16"/>
              </w:rPr>
              <w:t>Programme 22</w:t>
            </w:r>
          </w:p>
        </w:tc>
      </w:tr>
      <w:tr w:rsidR="0031700C" w:rsidRPr="00E003F0" w14:paraId="45047848" w14:textId="77777777" w:rsidTr="00560330">
        <w:trPr>
          <w:cantSplit/>
        </w:trPr>
        <w:tc>
          <w:tcPr>
            <w:tcW w:w="2960" w:type="dxa"/>
            <w:hideMark/>
          </w:tcPr>
          <w:p w14:paraId="534557DA" w14:textId="77777777" w:rsidR="0031700C" w:rsidRPr="00E003F0" w:rsidRDefault="0031700C" w:rsidP="00986700">
            <w:pPr>
              <w:rPr>
                <w:sz w:val="16"/>
                <w:szCs w:val="16"/>
              </w:rPr>
            </w:pPr>
            <w:r w:rsidRPr="00E003F0">
              <w:rPr>
                <w:sz w:val="16"/>
                <w:szCs w:val="16"/>
              </w:rPr>
              <w:t> </w:t>
            </w:r>
          </w:p>
        </w:tc>
        <w:tc>
          <w:tcPr>
            <w:tcW w:w="3878" w:type="dxa"/>
            <w:hideMark/>
          </w:tcPr>
          <w:p w14:paraId="264837CA" w14:textId="77777777" w:rsidR="0031700C" w:rsidRPr="00E003F0" w:rsidRDefault="0031700C" w:rsidP="00986700">
            <w:pPr>
              <w:rPr>
                <w:sz w:val="16"/>
                <w:szCs w:val="16"/>
              </w:rPr>
            </w:pPr>
            <w:r w:rsidRPr="00E003F0">
              <w:rPr>
                <w:sz w:val="16"/>
                <w:szCs w:val="16"/>
              </w:rPr>
              <w:t xml:space="preserve">Pourcentage de documents du PBC publiés dans les délais impartis </w:t>
            </w:r>
          </w:p>
        </w:tc>
        <w:tc>
          <w:tcPr>
            <w:tcW w:w="2449" w:type="dxa"/>
            <w:hideMark/>
          </w:tcPr>
          <w:p w14:paraId="3B9101F2" w14:textId="77777777" w:rsidR="0031700C" w:rsidRPr="00E003F0" w:rsidRDefault="0031700C" w:rsidP="00986700">
            <w:pPr>
              <w:jc w:val="center"/>
              <w:rPr>
                <w:sz w:val="16"/>
                <w:szCs w:val="16"/>
              </w:rPr>
            </w:pPr>
            <w:r w:rsidRPr="00E003F0">
              <w:rPr>
                <w:sz w:val="16"/>
                <w:szCs w:val="16"/>
              </w:rPr>
              <w:t>Programme 22</w:t>
            </w:r>
          </w:p>
        </w:tc>
      </w:tr>
      <w:tr w:rsidR="0031700C" w:rsidRPr="00E003F0" w14:paraId="3C446A2A" w14:textId="77777777" w:rsidTr="00560330">
        <w:trPr>
          <w:cantSplit/>
        </w:trPr>
        <w:tc>
          <w:tcPr>
            <w:tcW w:w="2960" w:type="dxa"/>
            <w:hideMark/>
          </w:tcPr>
          <w:p w14:paraId="5787340D" w14:textId="77777777" w:rsidR="0031700C" w:rsidRPr="00E003F0" w:rsidRDefault="0031700C" w:rsidP="00986700">
            <w:pPr>
              <w:rPr>
                <w:sz w:val="16"/>
                <w:szCs w:val="16"/>
              </w:rPr>
            </w:pPr>
            <w:r w:rsidRPr="00E003F0">
              <w:rPr>
                <w:sz w:val="16"/>
                <w:szCs w:val="16"/>
              </w:rPr>
              <w:t> </w:t>
            </w:r>
          </w:p>
        </w:tc>
        <w:tc>
          <w:tcPr>
            <w:tcW w:w="3878" w:type="dxa"/>
            <w:hideMark/>
          </w:tcPr>
          <w:p w14:paraId="78E4C504" w14:textId="77777777" w:rsidR="0031700C" w:rsidRPr="00E003F0" w:rsidRDefault="0031700C" w:rsidP="00986700">
            <w:pPr>
              <w:rPr>
                <w:sz w:val="16"/>
                <w:szCs w:val="16"/>
              </w:rPr>
            </w:pPr>
            <w:r w:rsidRPr="00E003F0">
              <w:rPr>
                <w:sz w:val="16"/>
                <w:szCs w:val="16"/>
              </w:rPr>
              <w:t>Le système ERP de l’Organisation (AIMS) fonctionne de manière efficiente et est géré conformément aux pratiques recommandées</w:t>
            </w:r>
          </w:p>
        </w:tc>
        <w:tc>
          <w:tcPr>
            <w:tcW w:w="2449" w:type="dxa"/>
            <w:hideMark/>
          </w:tcPr>
          <w:p w14:paraId="7B6712AD" w14:textId="77777777" w:rsidR="0031700C" w:rsidRPr="00E003F0" w:rsidRDefault="0031700C" w:rsidP="00986700">
            <w:pPr>
              <w:jc w:val="center"/>
              <w:rPr>
                <w:sz w:val="16"/>
                <w:szCs w:val="16"/>
              </w:rPr>
            </w:pPr>
            <w:r w:rsidRPr="00E003F0">
              <w:rPr>
                <w:sz w:val="16"/>
                <w:szCs w:val="16"/>
              </w:rPr>
              <w:t>Programme 22</w:t>
            </w:r>
          </w:p>
        </w:tc>
      </w:tr>
      <w:tr w:rsidR="0031700C" w:rsidRPr="00E003F0" w14:paraId="0F7B580D" w14:textId="77777777" w:rsidTr="00560330">
        <w:trPr>
          <w:cantSplit/>
        </w:trPr>
        <w:tc>
          <w:tcPr>
            <w:tcW w:w="2960" w:type="dxa"/>
            <w:hideMark/>
          </w:tcPr>
          <w:p w14:paraId="27A995B7" w14:textId="77777777" w:rsidR="0031700C" w:rsidRPr="00E003F0" w:rsidRDefault="0031700C" w:rsidP="00986700">
            <w:pPr>
              <w:rPr>
                <w:sz w:val="16"/>
                <w:szCs w:val="16"/>
              </w:rPr>
            </w:pPr>
            <w:r w:rsidRPr="00E003F0">
              <w:rPr>
                <w:sz w:val="16"/>
                <w:szCs w:val="16"/>
              </w:rPr>
              <w:t> </w:t>
            </w:r>
          </w:p>
        </w:tc>
        <w:tc>
          <w:tcPr>
            <w:tcW w:w="3878" w:type="dxa"/>
            <w:hideMark/>
          </w:tcPr>
          <w:p w14:paraId="2FE159C2" w14:textId="77777777" w:rsidR="0031700C" w:rsidRPr="00E003F0" w:rsidRDefault="0031700C" w:rsidP="00986700">
            <w:pPr>
              <w:rPr>
                <w:sz w:val="16"/>
                <w:szCs w:val="16"/>
              </w:rPr>
            </w:pPr>
            <w:r w:rsidRPr="00E003F0">
              <w:rPr>
                <w:sz w:val="16"/>
                <w:szCs w:val="16"/>
              </w:rPr>
              <w:t>Taux de couverture de l’assurance maladie collective</w:t>
            </w:r>
          </w:p>
        </w:tc>
        <w:tc>
          <w:tcPr>
            <w:tcW w:w="2449" w:type="dxa"/>
            <w:hideMark/>
          </w:tcPr>
          <w:p w14:paraId="733D3DDE" w14:textId="77777777" w:rsidR="0031700C" w:rsidRPr="00E003F0" w:rsidRDefault="0031700C" w:rsidP="00986700">
            <w:pPr>
              <w:jc w:val="center"/>
              <w:rPr>
                <w:sz w:val="16"/>
                <w:szCs w:val="16"/>
              </w:rPr>
            </w:pPr>
            <w:r w:rsidRPr="00E003F0">
              <w:rPr>
                <w:sz w:val="16"/>
                <w:szCs w:val="16"/>
              </w:rPr>
              <w:t>Programme 23</w:t>
            </w:r>
          </w:p>
        </w:tc>
      </w:tr>
      <w:tr w:rsidR="0031700C" w:rsidRPr="00E003F0" w14:paraId="7CB6E35E" w14:textId="77777777" w:rsidTr="00560330">
        <w:trPr>
          <w:cantSplit/>
        </w:trPr>
        <w:tc>
          <w:tcPr>
            <w:tcW w:w="2960" w:type="dxa"/>
            <w:hideMark/>
          </w:tcPr>
          <w:p w14:paraId="09ED9B81" w14:textId="77777777" w:rsidR="0031700C" w:rsidRPr="00E003F0" w:rsidRDefault="0031700C" w:rsidP="00986700">
            <w:pPr>
              <w:rPr>
                <w:sz w:val="16"/>
                <w:szCs w:val="16"/>
              </w:rPr>
            </w:pPr>
            <w:r w:rsidRPr="00E003F0">
              <w:rPr>
                <w:sz w:val="16"/>
                <w:szCs w:val="16"/>
              </w:rPr>
              <w:t> </w:t>
            </w:r>
          </w:p>
        </w:tc>
        <w:tc>
          <w:tcPr>
            <w:tcW w:w="3878" w:type="dxa"/>
            <w:hideMark/>
          </w:tcPr>
          <w:p w14:paraId="7B7360DA" w14:textId="1EF3D3D4" w:rsidR="0031700C" w:rsidRPr="00E003F0" w:rsidRDefault="0031700C" w:rsidP="00986700">
            <w:pPr>
              <w:rPr>
                <w:sz w:val="16"/>
                <w:szCs w:val="16"/>
              </w:rPr>
            </w:pPr>
            <w:r w:rsidRPr="00E003F0">
              <w:rPr>
                <w:sz w:val="16"/>
                <w:szCs w:val="16"/>
              </w:rPr>
              <w:t xml:space="preserve">Économies sur les achats de biens et de services effectués par l’OMPI </w:t>
            </w:r>
          </w:p>
        </w:tc>
        <w:tc>
          <w:tcPr>
            <w:tcW w:w="2449" w:type="dxa"/>
            <w:hideMark/>
          </w:tcPr>
          <w:p w14:paraId="145785DB" w14:textId="77777777" w:rsidR="0031700C" w:rsidRPr="00E003F0" w:rsidRDefault="0031700C" w:rsidP="00986700">
            <w:pPr>
              <w:jc w:val="center"/>
              <w:rPr>
                <w:sz w:val="16"/>
                <w:szCs w:val="16"/>
              </w:rPr>
            </w:pPr>
            <w:r w:rsidRPr="00E003F0">
              <w:rPr>
                <w:sz w:val="16"/>
                <w:szCs w:val="16"/>
              </w:rPr>
              <w:t>Programme 24</w:t>
            </w:r>
          </w:p>
        </w:tc>
      </w:tr>
      <w:tr w:rsidR="0031700C" w:rsidRPr="00E003F0" w14:paraId="3B2C6ABA" w14:textId="77777777" w:rsidTr="00560330">
        <w:trPr>
          <w:cantSplit/>
        </w:trPr>
        <w:tc>
          <w:tcPr>
            <w:tcW w:w="2960" w:type="dxa"/>
            <w:hideMark/>
          </w:tcPr>
          <w:p w14:paraId="0F3D91ED" w14:textId="77777777" w:rsidR="0031700C" w:rsidRPr="00E003F0" w:rsidRDefault="0031700C" w:rsidP="00986700">
            <w:pPr>
              <w:rPr>
                <w:sz w:val="16"/>
                <w:szCs w:val="16"/>
              </w:rPr>
            </w:pPr>
            <w:r w:rsidRPr="00E003F0">
              <w:rPr>
                <w:sz w:val="16"/>
                <w:szCs w:val="16"/>
              </w:rPr>
              <w:t> </w:t>
            </w:r>
          </w:p>
        </w:tc>
        <w:tc>
          <w:tcPr>
            <w:tcW w:w="3878" w:type="dxa"/>
            <w:hideMark/>
          </w:tcPr>
          <w:p w14:paraId="4813DF7A" w14:textId="77777777" w:rsidR="0031700C" w:rsidRPr="00E003F0" w:rsidRDefault="0031700C" w:rsidP="00986700">
            <w:pPr>
              <w:rPr>
                <w:sz w:val="16"/>
                <w:szCs w:val="16"/>
              </w:rPr>
            </w:pPr>
            <w:r w:rsidRPr="00E003F0">
              <w:rPr>
                <w:sz w:val="16"/>
                <w:szCs w:val="16"/>
              </w:rPr>
              <w:t>Temps de traitement des demandes électroniques</w:t>
            </w:r>
          </w:p>
        </w:tc>
        <w:tc>
          <w:tcPr>
            <w:tcW w:w="2449" w:type="dxa"/>
            <w:hideMark/>
          </w:tcPr>
          <w:p w14:paraId="3D7135DE" w14:textId="77777777" w:rsidR="0031700C" w:rsidRPr="00E003F0" w:rsidRDefault="0031700C" w:rsidP="00986700">
            <w:pPr>
              <w:jc w:val="center"/>
              <w:rPr>
                <w:sz w:val="16"/>
                <w:szCs w:val="16"/>
              </w:rPr>
            </w:pPr>
            <w:r w:rsidRPr="00E003F0">
              <w:rPr>
                <w:sz w:val="16"/>
                <w:szCs w:val="16"/>
              </w:rPr>
              <w:t>Programme 24</w:t>
            </w:r>
          </w:p>
        </w:tc>
      </w:tr>
      <w:tr w:rsidR="0031700C" w:rsidRPr="00E003F0" w14:paraId="1257C01A" w14:textId="77777777" w:rsidTr="00560330">
        <w:trPr>
          <w:cantSplit/>
        </w:trPr>
        <w:tc>
          <w:tcPr>
            <w:tcW w:w="2960" w:type="dxa"/>
            <w:hideMark/>
          </w:tcPr>
          <w:p w14:paraId="32073CAF" w14:textId="77777777" w:rsidR="0031700C" w:rsidRPr="00E003F0" w:rsidRDefault="0031700C" w:rsidP="00986700">
            <w:pPr>
              <w:rPr>
                <w:sz w:val="16"/>
                <w:szCs w:val="16"/>
              </w:rPr>
            </w:pPr>
            <w:r w:rsidRPr="00E003F0">
              <w:rPr>
                <w:sz w:val="16"/>
                <w:szCs w:val="16"/>
              </w:rPr>
              <w:t> </w:t>
            </w:r>
          </w:p>
        </w:tc>
        <w:tc>
          <w:tcPr>
            <w:tcW w:w="3878" w:type="dxa"/>
            <w:hideMark/>
          </w:tcPr>
          <w:p w14:paraId="5AAFDA9E" w14:textId="77777777" w:rsidR="0031700C" w:rsidRPr="00E003F0" w:rsidRDefault="0031700C" w:rsidP="00986700">
            <w:pPr>
              <w:rPr>
                <w:sz w:val="16"/>
                <w:szCs w:val="16"/>
              </w:rPr>
            </w:pPr>
            <w:r w:rsidRPr="00E003F0">
              <w:rPr>
                <w:sz w:val="16"/>
                <w:szCs w:val="16"/>
              </w:rPr>
              <w:t>Temps de traitement des autorisations de voyage électroniques</w:t>
            </w:r>
          </w:p>
        </w:tc>
        <w:tc>
          <w:tcPr>
            <w:tcW w:w="2449" w:type="dxa"/>
            <w:hideMark/>
          </w:tcPr>
          <w:p w14:paraId="2762BF75" w14:textId="77777777" w:rsidR="0031700C" w:rsidRPr="00E003F0" w:rsidRDefault="0031700C" w:rsidP="00986700">
            <w:pPr>
              <w:jc w:val="center"/>
              <w:rPr>
                <w:sz w:val="16"/>
                <w:szCs w:val="16"/>
              </w:rPr>
            </w:pPr>
            <w:r w:rsidRPr="00E003F0">
              <w:rPr>
                <w:sz w:val="16"/>
                <w:szCs w:val="16"/>
              </w:rPr>
              <w:t>Programme 24</w:t>
            </w:r>
          </w:p>
        </w:tc>
      </w:tr>
      <w:tr w:rsidR="0031700C" w:rsidRPr="00E003F0" w14:paraId="3167EFB7" w14:textId="77777777" w:rsidTr="00560330">
        <w:trPr>
          <w:cantSplit/>
        </w:trPr>
        <w:tc>
          <w:tcPr>
            <w:tcW w:w="2960" w:type="dxa"/>
            <w:hideMark/>
          </w:tcPr>
          <w:p w14:paraId="4B715BB1" w14:textId="77777777" w:rsidR="0031700C" w:rsidRPr="00E003F0" w:rsidRDefault="0031700C" w:rsidP="00986700">
            <w:pPr>
              <w:rPr>
                <w:sz w:val="16"/>
                <w:szCs w:val="16"/>
              </w:rPr>
            </w:pPr>
            <w:r w:rsidRPr="00E003F0">
              <w:rPr>
                <w:sz w:val="16"/>
                <w:szCs w:val="16"/>
              </w:rPr>
              <w:t> </w:t>
            </w:r>
          </w:p>
        </w:tc>
        <w:tc>
          <w:tcPr>
            <w:tcW w:w="3878" w:type="dxa"/>
            <w:hideMark/>
          </w:tcPr>
          <w:p w14:paraId="56D7829F" w14:textId="77777777" w:rsidR="0031700C" w:rsidRPr="00E003F0" w:rsidRDefault="0031700C" w:rsidP="00986700">
            <w:pPr>
              <w:rPr>
                <w:sz w:val="16"/>
                <w:szCs w:val="16"/>
              </w:rPr>
            </w:pPr>
            <w:r w:rsidRPr="00E003F0">
              <w:rPr>
                <w:sz w:val="16"/>
                <w:szCs w:val="16"/>
              </w:rPr>
              <w:t>Temps de traitement des visas</w:t>
            </w:r>
          </w:p>
        </w:tc>
        <w:tc>
          <w:tcPr>
            <w:tcW w:w="2449" w:type="dxa"/>
            <w:hideMark/>
          </w:tcPr>
          <w:p w14:paraId="24BAE821" w14:textId="77777777" w:rsidR="0031700C" w:rsidRPr="00E003F0" w:rsidRDefault="0031700C" w:rsidP="00986700">
            <w:pPr>
              <w:jc w:val="center"/>
              <w:rPr>
                <w:sz w:val="16"/>
                <w:szCs w:val="16"/>
              </w:rPr>
            </w:pPr>
            <w:r w:rsidRPr="00E003F0">
              <w:rPr>
                <w:sz w:val="16"/>
                <w:szCs w:val="16"/>
              </w:rPr>
              <w:t>Programme 24</w:t>
            </w:r>
          </w:p>
        </w:tc>
      </w:tr>
      <w:tr w:rsidR="0031700C" w:rsidRPr="00E003F0" w14:paraId="1FF42ACB" w14:textId="77777777" w:rsidTr="00560330">
        <w:trPr>
          <w:cantSplit/>
        </w:trPr>
        <w:tc>
          <w:tcPr>
            <w:tcW w:w="2960" w:type="dxa"/>
            <w:hideMark/>
          </w:tcPr>
          <w:p w14:paraId="7B63FC05" w14:textId="77777777" w:rsidR="0031700C" w:rsidRPr="00E003F0" w:rsidRDefault="0031700C" w:rsidP="00986700">
            <w:pPr>
              <w:rPr>
                <w:sz w:val="16"/>
                <w:szCs w:val="16"/>
              </w:rPr>
            </w:pPr>
            <w:r w:rsidRPr="00E003F0">
              <w:rPr>
                <w:sz w:val="16"/>
                <w:szCs w:val="16"/>
              </w:rPr>
              <w:t> </w:t>
            </w:r>
          </w:p>
        </w:tc>
        <w:tc>
          <w:tcPr>
            <w:tcW w:w="3878" w:type="dxa"/>
            <w:hideMark/>
          </w:tcPr>
          <w:p w14:paraId="45C84307" w14:textId="77777777" w:rsidR="0031700C" w:rsidRPr="00E003F0" w:rsidRDefault="0031700C" w:rsidP="00986700">
            <w:pPr>
              <w:rPr>
                <w:sz w:val="16"/>
                <w:szCs w:val="16"/>
              </w:rPr>
            </w:pPr>
            <w:r w:rsidRPr="00E003F0">
              <w:rPr>
                <w:sz w:val="16"/>
                <w:szCs w:val="16"/>
              </w:rPr>
              <w:t>Locaux et installations de l’OMPI restant adaptés à l’usage prévu</w:t>
            </w:r>
          </w:p>
        </w:tc>
        <w:tc>
          <w:tcPr>
            <w:tcW w:w="2449" w:type="dxa"/>
            <w:hideMark/>
          </w:tcPr>
          <w:p w14:paraId="2EC03D15" w14:textId="77777777" w:rsidR="0031700C" w:rsidRPr="00E003F0" w:rsidRDefault="0031700C" w:rsidP="00986700">
            <w:pPr>
              <w:jc w:val="center"/>
              <w:rPr>
                <w:sz w:val="16"/>
                <w:szCs w:val="16"/>
              </w:rPr>
            </w:pPr>
            <w:r w:rsidRPr="00E003F0">
              <w:rPr>
                <w:sz w:val="16"/>
                <w:szCs w:val="16"/>
              </w:rPr>
              <w:t>Programme 24</w:t>
            </w:r>
          </w:p>
        </w:tc>
      </w:tr>
      <w:tr w:rsidR="0031700C" w:rsidRPr="00E003F0" w14:paraId="4B6BB51B" w14:textId="77777777" w:rsidTr="00560330">
        <w:trPr>
          <w:cantSplit/>
        </w:trPr>
        <w:tc>
          <w:tcPr>
            <w:tcW w:w="2960" w:type="dxa"/>
            <w:hideMark/>
          </w:tcPr>
          <w:p w14:paraId="751A7141" w14:textId="77777777" w:rsidR="0031700C" w:rsidRPr="00E003F0" w:rsidRDefault="0031700C" w:rsidP="00986700">
            <w:pPr>
              <w:rPr>
                <w:sz w:val="16"/>
                <w:szCs w:val="16"/>
              </w:rPr>
            </w:pPr>
            <w:r w:rsidRPr="00E003F0">
              <w:rPr>
                <w:sz w:val="16"/>
                <w:szCs w:val="16"/>
              </w:rPr>
              <w:t> </w:t>
            </w:r>
          </w:p>
        </w:tc>
        <w:tc>
          <w:tcPr>
            <w:tcW w:w="3878" w:type="dxa"/>
            <w:hideMark/>
          </w:tcPr>
          <w:p w14:paraId="1277BDB5" w14:textId="77777777" w:rsidR="0031700C" w:rsidRPr="00E003F0" w:rsidRDefault="0031700C" w:rsidP="00986700">
            <w:pPr>
              <w:rPr>
                <w:sz w:val="16"/>
                <w:szCs w:val="16"/>
              </w:rPr>
            </w:pPr>
            <w:r w:rsidRPr="00E003F0">
              <w:rPr>
                <w:sz w:val="16"/>
                <w:szCs w:val="16"/>
              </w:rPr>
              <w:t>Les systèmes informatiques sont conçus, développés et mis en œuvre en tenant compte des normes adoptées par l’OMPI en ce qui concerne les données, les applications et la technologie</w:t>
            </w:r>
          </w:p>
        </w:tc>
        <w:tc>
          <w:tcPr>
            <w:tcW w:w="2449" w:type="dxa"/>
            <w:hideMark/>
          </w:tcPr>
          <w:p w14:paraId="16B57C3C" w14:textId="77777777" w:rsidR="0031700C" w:rsidRPr="00E003F0" w:rsidRDefault="0031700C" w:rsidP="00986700">
            <w:pPr>
              <w:jc w:val="center"/>
              <w:rPr>
                <w:sz w:val="16"/>
                <w:szCs w:val="16"/>
              </w:rPr>
            </w:pPr>
            <w:r w:rsidRPr="00E003F0">
              <w:rPr>
                <w:sz w:val="16"/>
                <w:szCs w:val="16"/>
              </w:rPr>
              <w:t>Programme 25</w:t>
            </w:r>
          </w:p>
        </w:tc>
      </w:tr>
      <w:tr w:rsidR="0031700C" w:rsidRPr="00E003F0" w14:paraId="15B54BA1" w14:textId="77777777" w:rsidTr="00560330">
        <w:trPr>
          <w:cantSplit/>
        </w:trPr>
        <w:tc>
          <w:tcPr>
            <w:tcW w:w="2960" w:type="dxa"/>
            <w:hideMark/>
          </w:tcPr>
          <w:p w14:paraId="7E0FA632" w14:textId="77777777" w:rsidR="0031700C" w:rsidRPr="00E003F0" w:rsidRDefault="0031700C" w:rsidP="00986700">
            <w:pPr>
              <w:rPr>
                <w:sz w:val="16"/>
                <w:szCs w:val="16"/>
              </w:rPr>
            </w:pPr>
            <w:r w:rsidRPr="00E003F0">
              <w:rPr>
                <w:sz w:val="16"/>
                <w:szCs w:val="16"/>
              </w:rPr>
              <w:t> </w:t>
            </w:r>
          </w:p>
        </w:tc>
        <w:tc>
          <w:tcPr>
            <w:tcW w:w="3878" w:type="dxa"/>
            <w:hideMark/>
          </w:tcPr>
          <w:p w14:paraId="3967C0C1" w14:textId="77777777" w:rsidR="0031700C" w:rsidRPr="00E003F0" w:rsidRDefault="0031700C" w:rsidP="00986700">
            <w:pPr>
              <w:rPr>
                <w:sz w:val="16"/>
                <w:szCs w:val="16"/>
              </w:rPr>
            </w:pPr>
            <w:r w:rsidRPr="00E003F0">
              <w:rPr>
                <w:sz w:val="16"/>
                <w:szCs w:val="16"/>
              </w:rPr>
              <w:t>Les plateformes TIC sont hébergées et gérées de manière rentable, conformément aux demandes des secteurs</w:t>
            </w:r>
          </w:p>
        </w:tc>
        <w:tc>
          <w:tcPr>
            <w:tcW w:w="2449" w:type="dxa"/>
            <w:hideMark/>
          </w:tcPr>
          <w:p w14:paraId="5C5A77DD" w14:textId="77777777" w:rsidR="0031700C" w:rsidRPr="00E003F0" w:rsidRDefault="0031700C" w:rsidP="00986700">
            <w:pPr>
              <w:jc w:val="center"/>
              <w:rPr>
                <w:sz w:val="16"/>
                <w:szCs w:val="16"/>
              </w:rPr>
            </w:pPr>
            <w:r w:rsidRPr="00E003F0">
              <w:rPr>
                <w:sz w:val="16"/>
                <w:szCs w:val="16"/>
              </w:rPr>
              <w:t>Programme 25</w:t>
            </w:r>
          </w:p>
        </w:tc>
      </w:tr>
      <w:tr w:rsidR="0031700C" w:rsidRPr="00E003F0" w14:paraId="2C48057C" w14:textId="77777777" w:rsidTr="00560330">
        <w:trPr>
          <w:cantSplit/>
        </w:trPr>
        <w:tc>
          <w:tcPr>
            <w:tcW w:w="2960" w:type="dxa"/>
            <w:hideMark/>
          </w:tcPr>
          <w:p w14:paraId="67231A01" w14:textId="77777777" w:rsidR="0031700C" w:rsidRPr="00E003F0" w:rsidRDefault="0031700C" w:rsidP="00986700">
            <w:pPr>
              <w:rPr>
                <w:sz w:val="16"/>
                <w:szCs w:val="16"/>
              </w:rPr>
            </w:pPr>
            <w:r w:rsidRPr="00E003F0">
              <w:rPr>
                <w:sz w:val="16"/>
                <w:szCs w:val="16"/>
              </w:rPr>
              <w:t> </w:t>
            </w:r>
          </w:p>
        </w:tc>
        <w:tc>
          <w:tcPr>
            <w:tcW w:w="3878" w:type="dxa"/>
            <w:hideMark/>
          </w:tcPr>
          <w:p w14:paraId="48A9933F" w14:textId="77777777" w:rsidR="0031700C" w:rsidRPr="00E003F0" w:rsidRDefault="0031700C" w:rsidP="00986700">
            <w:pPr>
              <w:rPr>
                <w:sz w:val="16"/>
                <w:szCs w:val="16"/>
              </w:rPr>
            </w:pPr>
            <w:r w:rsidRPr="00E003F0">
              <w:rPr>
                <w:sz w:val="16"/>
                <w:szCs w:val="16"/>
              </w:rPr>
              <w:t>Pourcentage de participants internes et externes satisfaits des services de conférence de l’OMPI</w:t>
            </w:r>
          </w:p>
        </w:tc>
        <w:tc>
          <w:tcPr>
            <w:tcW w:w="2449" w:type="dxa"/>
            <w:hideMark/>
          </w:tcPr>
          <w:p w14:paraId="2C82AD88" w14:textId="77777777" w:rsidR="0031700C" w:rsidRPr="00E003F0" w:rsidRDefault="0031700C" w:rsidP="00986700">
            <w:pPr>
              <w:jc w:val="center"/>
              <w:rPr>
                <w:sz w:val="16"/>
                <w:szCs w:val="16"/>
              </w:rPr>
            </w:pPr>
            <w:r w:rsidRPr="00E003F0">
              <w:rPr>
                <w:sz w:val="16"/>
                <w:szCs w:val="16"/>
              </w:rPr>
              <w:t>Programme 27</w:t>
            </w:r>
          </w:p>
        </w:tc>
      </w:tr>
      <w:tr w:rsidR="0031700C" w:rsidRPr="00E003F0" w14:paraId="3CEC7371" w14:textId="77777777" w:rsidTr="00560330">
        <w:trPr>
          <w:cantSplit/>
        </w:trPr>
        <w:tc>
          <w:tcPr>
            <w:tcW w:w="2960" w:type="dxa"/>
            <w:hideMark/>
          </w:tcPr>
          <w:p w14:paraId="62074009" w14:textId="77777777" w:rsidR="0031700C" w:rsidRPr="00E003F0" w:rsidRDefault="0031700C" w:rsidP="00986700">
            <w:pPr>
              <w:rPr>
                <w:sz w:val="16"/>
                <w:szCs w:val="16"/>
              </w:rPr>
            </w:pPr>
            <w:r w:rsidRPr="00E003F0">
              <w:rPr>
                <w:sz w:val="16"/>
                <w:szCs w:val="16"/>
              </w:rPr>
              <w:t> </w:t>
            </w:r>
          </w:p>
        </w:tc>
        <w:tc>
          <w:tcPr>
            <w:tcW w:w="3878" w:type="dxa"/>
            <w:hideMark/>
          </w:tcPr>
          <w:p w14:paraId="4B3078E1" w14:textId="77777777" w:rsidR="0031700C" w:rsidRPr="00E003F0" w:rsidRDefault="0031700C" w:rsidP="00986700">
            <w:pPr>
              <w:rPr>
                <w:sz w:val="16"/>
                <w:szCs w:val="16"/>
              </w:rPr>
            </w:pPr>
            <w:r w:rsidRPr="00E003F0">
              <w:rPr>
                <w:sz w:val="16"/>
                <w:szCs w:val="16"/>
              </w:rPr>
              <w:t>Services d’impression des documents présentant un bon rapport coût-efficacité</w:t>
            </w:r>
          </w:p>
        </w:tc>
        <w:tc>
          <w:tcPr>
            <w:tcW w:w="2449" w:type="dxa"/>
            <w:hideMark/>
          </w:tcPr>
          <w:p w14:paraId="1D9A20E3" w14:textId="77777777" w:rsidR="0031700C" w:rsidRPr="00E003F0" w:rsidRDefault="0031700C" w:rsidP="00986700">
            <w:pPr>
              <w:jc w:val="center"/>
              <w:rPr>
                <w:sz w:val="16"/>
                <w:szCs w:val="16"/>
              </w:rPr>
            </w:pPr>
            <w:r w:rsidRPr="00E003F0">
              <w:rPr>
                <w:sz w:val="16"/>
                <w:szCs w:val="16"/>
              </w:rPr>
              <w:t>Programme 27</w:t>
            </w:r>
          </w:p>
        </w:tc>
      </w:tr>
      <w:tr w:rsidR="0031700C" w:rsidRPr="00E003F0" w14:paraId="03DED1E1" w14:textId="77777777" w:rsidTr="00560330">
        <w:trPr>
          <w:cantSplit/>
        </w:trPr>
        <w:tc>
          <w:tcPr>
            <w:tcW w:w="2960" w:type="dxa"/>
            <w:hideMark/>
          </w:tcPr>
          <w:p w14:paraId="56157AC2" w14:textId="77777777" w:rsidR="0031700C" w:rsidRPr="00E003F0" w:rsidRDefault="0031700C" w:rsidP="00986700">
            <w:pPr>
              <w:rPr>
                <w:sz w:val="16"/>
                <w:szCs w:val="16"/>
              </w:rPr>
            </w:pPr>
            <w:r w:rsidRPr="00E003F0">
              <w:rPr>
                <w:sz w:val="16"/>
                <w:szCs w:val="16"/>
              </w:rPr>
              <w:t> </w:t>
            </w:r>
          </w:p>
        </w:tc>
        <w:tc>
          <w:tcPr>
            <w:tcW w:w="3878" w:type="dxa"/>
            <w:hideMark/>
          </w:tcPr>
          <w:p w14:paraId="111353F9" w14:textId="77777777" w:rsidR="0031700C" w:rsidRPr="00E003F0" w:rsidRDefault="0031700C" w:rsidP="00986700">
            <w:pPr>
              <w:rPr>
                <w:sz w:val="16"/>
                <w:szCs w:val="16"/>
              </w:rPr>
            </w:pPr>
            <w:r w:rsidRPr="00E003F0">
              <w:rPr>
                <w:sz w:val="16"/>
                <w:szCs w:val="16"/>
              </w:rPr>
              <w:t>Les améliorations apportées actuellement au système de gestion de l’information administrative sont efficaces et répondent aux besoins des secteurs</w:t>
            </w:r>
          </w:p>
        </w:tc>
        <w:tc>
          <w:tcPr>
            <w:tcW w:w="2449" w:type="dxa"/>
            <w:hideMark/>
          </w:tcPr>
          <w:p w14:paraId="2D8935B9" w14:textId="77777777" w:rsidR="0031700C" w:rsidRPr="00E003F0" w:rsidRDefault="0031700C" w:rsidP="00986700">
            <w:pPr>
              <w:jc w:val="center"/>
              <w:rPr>
                <w:sz w:val="16"/>
                <w:szCs w:val="16"/>
              </w:rPr>
            </w:pPr>
            <w:r w:rsidRPr="00E003F0">
              <w:rPr>
                <w:sz w:val="16"/>
                <w:szCs w:val="16"/>
              </w:rPr>
              <w:t>Programme 22</w:t>
            </w:r>
          </w:p>
        </w:tc>
      </w:tr>
      <w:tr w:rsidR="0031700C" w:rsidRPr="00E003F0" w14:paraId="57D7DACB" w14:textId="77777777" w:rsidTr="00560330">
        <w:trPr>
          <w:cantSplit/>
        </w:trPr>
        <w:tc>
          <w:tcPr>
            <w:tcW w:w="2960" w:type="dxa"/>
            <w:hideMark/>
          </w:tcPr>
          <w:p w14:paraId="162645C9" w14:textId="77777777" w:rsidR="0031700C" w:rsidRPr="00E003F0" w:rsidRDefault="0031700C" w:rsidP="00986700">
            <w:pPr>
              <w:rPr>
                <w:sz w:val="16"/>
                <w:szCs w:val="16"/>
              </w:rPr>
            </w:pPr>
            <w:r w:rsidRPr="00E003F0">
              <w:rPr>
                <w:sz w:val="16"/>
                <w:szCs w:val="16"/>
              </w:rPr>
              <w:t> </w:t>
            </w:r>
          </w:p>
        </w:tc>
        <w:tc>
          <w:tcPr>
            <w:tcW w:w="3878" w:type="dxa"/>
            <w:hideMark/>
          </w:tcPr>
          <w:p w14:paraId="554FE777" w14:textId="77777777" w:rsidR="0031700C" w:rsidRPr="00E003F0" w:rsidRDefault="0031700C" w:rsidP="00986700">
            <w:pPr>
              <w:rPr>
                <w:sz w:val="16"/>
                <w:szCs w:val="16"/>
              </w:rPr>
            </w:pPr>
            <w:r w:rsidRPr="00E003F0">
              <w:rPr>
                <w:sz w:val="16"/>
                <w:szCs w:val="16"/>
              </w:rPr>
              <w:t>Introduction de nouveaux processus automatisés et amélioration des processus existants au sein du Service des opérations relatives aux ressources humaines</w:t>
            </w:r>
          </w:p>
        </w:tc>
        <w:tc>
          <w:tcPr>
            <w:tcW w:w="2449" w:type="dxa"/>
            <w:hideMark/>
          </w:tcPr>
          <w:p w14:paraId="756FA9F4" w14:textId="77777777" w:rsidR="0031700C" w:rsidRPr="00E003F0" w:rsidRDefault="0031700C" w:rsidP="00986700">
            <w:pPr>
              <w:jc w:val="center"/>
              <w:rPr>
                <w:sz w:val="16"/>
                <w:szCs w:val="16"/>
              </w:rPr>
            </w:pPr>
            <w:r w:rsidRPr="00E003F0">
              <w:rPr>
                <w:sz w:val="16"/>
                <w:szCs w:val="16"/>
              </w:rPr>
              <w:t>Programme 23</w:t>
            </w:r>
          </w:p>
        </w:tc>
      </w:tr>
      <w:tr w:rsidR="0031700C" w:rsidRPr="00E003F0" w14:paraId="49BE37D5" w14:textId="77777777" w:rsidTr="00560330">
        <w:trPr>
          <w:cantSplit/>
        </w:trPr>
        <w:tc>
          <w:tcPr>
            <w:tcW w:w="2960" w:type="dxa"/>
            <w:hideMark/>
          </w:tcPr>
          <w:p w14:paraId="0EF17FD5" w14:textId="77777777" w:rsidR="0031700C" w:rsidRPr="00E003F0" w:rsidRDefault="0031700C" w:rsidP="00986700">
            <w:pPr>
              <w:rPr>
                <w:sz w:val="16"/>
                <w:szCs w:val="16"/>
              </w:rPr>
            </w:pPr>
            <w:r w:rsidRPr="00E003F0">
              <w:rPr>
                <w:sz w:val="16"/>
                <w:szCs w:val="16"/>
              </w:rPr>
              <w:t> </w:t>
            </w:r>
          </w:p>
        </w:tc>
        <w:tc>
          <w:tcPr>
            <w:tcW w:w="3878" w:type="dxa"/>
            <w:hideMark/>
          </w:tcPr>
          <w:p w14:paraId="61C1B8F0" w14:textId="3C4881EE" w:rsidR="0031700C" w:rsidRPr="00E003F0" w:rsidRDefault="0031700C" w:rsidP="00986700">
            <w:pPr>
              <w:rPr>
                <w:sz w:val="16"/>
                <w:szCs w:val="16"/>
              </w:rPr>
            </w:pPr>
            <w:r w:rsidRPr="00E003F0">
              <w:rPr>
                <w:sz w:val="16"/>
                <w:szCs w:val="16"/>
              </w:rPr>
              <w:t xml:space="preserve">Pourcentage des dépenses autres que les dépenses de personnel </w:t>
            </w:r>
            <w:r w:rsidR="00560330">
              <w:rPr>
                <w:sz w:val="16"/>
                <w:szCs w:val="16"/>
              </w:rPr>
              <w:t>grâce à des contrats à long terme</w:t>
            </w:r>
            <w:r w:rsidRPr="00E003F0">
              <w:rPr>
                <w:sz w:val="16"/>
                <w:szCs w:val="16"/>
              </w:rPr>
              <w:t xml:space="preserve"> </w:t>
            </w:r>
          </w:p>
        </w:tc>
        <w:tc>
          <w:tcPr>
            <w:tcW w:w="2449" w:type="dxa"/>
            <w:hideMark/>
          </w:tcPr>
          <w:p w14:paraId="5FE0AF9E" w14:textId="77777777" w:rsidR="0031700C" w:rsidRPr="00E003F0" w:rsidRDefault="0031700C" w:rsidP="00986700">
            <w:pPr>
              <w:jc w:val="center"/>
              <w:rPr>
                <w:sz w:val="16"/>
                <w:szCs w:val="16"/>
              </w:rPr>
            </w:pPr>
            <w:r w:rsidRPr="00E003F0">
              <w:rPr>
                <w:sz w:val="16"/>
                <w:szCs w:val="16"/>
              </w:rPr>
              <w:t>Programme 24</w:t>
            </w:r>
          </w:p>
        </w:tc>
      </w:tr>
      <w:tr w:rsidR="0031700C" w:rsidRPr="00E003F0" w14:paraId="29629441" w14:textId="77777777" w:rsidTr="00560330">
        <w:trPr>
          <w:cantSplit/>
        </w:trPr>
        <w:tc>
          <w:tcPr>
            <w:tcW w:w="2960" w:type="dxa"/>
            <w:hideMark/>
          </w:tcPr>
          <w:p w14:paraId="2170D4C0" w14:textId="77777777" w:rsidR="0031700C" w:rsidRPr="00E003F0" w:rsidRDefault="0031700C" w:rsidP="00986700">
            <w:pPr>
              <w:rPr>
                <w:sz w:val="16"/>
                <w:szCs w:val="16"/>
              </w:rPr>
            </w:pPr>
            <w:r w:rsidRPr="00E003F0">
              <w:rPr>
                <w:sz w:val="16"/>
                <w:szCs w:val="16"/>
              </w:rPr>
              <w:t> </w:t>
            </w:r>
          </w:p>
        </w:tc>
        <w:tc>
          <w:tcPr>
            <w:tcW w:w="3878" w:type="dxa"/>
            <w:hideMark/>
          </w:tcPr>
          <w:p w14:paraId="009E9296" w14:textId="77777777" w:rsidR="0031700C" w:rsidRPr="00E003F0" w:rsidRDefault="0031700C" w:rsidP="00986700">
            <w:pPr>
              <w:rPr>
                <w:sz w:val="16"/>
                <w:szCs w:val="16"/>
              </w:rPr>
            </w:pPr>
            <w:r w:rsidRPr="00E003F0">
              <w:rPr>
                <w:sz w:val="16"/>
                <w:szCs w:val="16"/>
              </w:rPr>
              <w:t>Les locaux de l’OMPI sont utilisés et occupés de manière efficace</w:t>
            </w:r>
          </w:p>
        </w:tc>
        <w:tc>
          <w:tcPr>
            <w:tcW w:w="2449" w:type="dxa"/>
            <w:hideMark/>
          </w:tcPr>
          <w:p w14:paraId="5E6A26E2" w14:textId="77777777" w:rsidR="0031700C" w:rsidRPr="00E003F0" w:rsidRDefault="0031700C" w:rsidP="00986700">
            <w:pPr>
              <w:jc w:val="center"/>
              <w:rPr>
                <w:sz w:val="16"/>
                <w:szCs w:val="16"/>
              </w:rPr>
            </w:pPr>
            <w:r w:rsidRPr="00E003F0">
              <w:rPr>
                <w:sz w:val="16"/>
                <w:szCs w:val="16"/>
              </w:rPr>
              <w:t>Programme 24</w:t>
            </w:r>
          </w:p>
        </w:tc>
      </w:tr>
      <w:tr w:rsidR="0031700C" w:rsidRPr="00E003F0" w14:paraId="46E43DF4" w14:textId="77777777" w:rsidTr="00560330">
        <w:trPr>
          <w:cantSplit/>
        </w:trPr>
        <w:tc>
          <w:tcPr>
            <w:tcW w:w="2960" w:type="dxa"/>
            <w:hideMark/>
          </w:tcPr>
          <w:p w14:paraId="45DE52FC" w14:textId="77777777" w:rsidR="0031700C" w:rsidRPr="00E003F0" w:rsidRDefault="0031700C" w:rsidP="00986700">
            <w:pPr>
              <w:rPr>
                <w:sz w:val="16"/>
                <w:szCs w:val="16"/>
              </w:rPr>
            </w:pPr>
            <w:r w:rsidRPr="00E003F0">
              <w:rPr>
                <w:sz w:val="16"/>
                <w:szCs w:val="16"/>
              </w:rPr>
              <w:t> </w:t>
            </w:r>
          </w:p>
        </w:tc>
        <w:tc>
          <w:tcPr>
            <w:tcW w:w="3878" w:type="dxa"/>
            <w:hideMark/>
          </w:tcPr>
          <w:p w14:paraId="7D22716C" w14:textId="77777777" w:rsidR="0031700C" w:rsidRPr="00E003F0" w:rsidRDefault="0031700C" w:rsidP="00986700">
            <w:pPr>
              <w:rPr>
                <w:sz w:val="16"/>
                <w:szCs w:val="16"/>
              </w:rPr>
            </w:pPr>
            <w:r w:rsidRPr="00E003F0">
              <w:rPr>
                <w:sz w:val="16"/>
                <w:szCs w:val="16"/>
              </w:rPr>
              <w:t>Pourcentage de clients satisfaits des prestations du service d’assistance</w:t>
            </w:r>
          </w:p>
        </w:tc>
        <w:tc>
          <w:tcPr>
            <w:tcW w:w="2449" w:type="dxa"/>
            <w:hideMark/>
          </w:tcPr>
          <w:p w14:paraId="2D66414F" w14:textId="77777777" w:rsidR="0031700C" w:rsidRPr="00E003F0" w:rsidRDefault="0031700C" w:rsidP="00986700">
            <w:pPr>
              <w:jc w:val="center"/>
              <w:rPr>
                <w:sz w:val="16"/>
                <w:szCs w:val="16"/>
              </w:rPr>
            </w:pPr>
            <w:r w:rsidRPr="00E003F0">
              <w:rPr>
                <w:sz w:val="16"/>
                <w:szCs w:val="16"/>
              </w:rPr>
              <w:t>Programme 25</w:t>
            </w:r>
          </w:p>
        </w:tc>
      </w:tr>
      <w:tr w:rsidR="0031700C" w:rsidRPr="00E003F0" w14:paraId="5F7B259C" w14:textId="77777777" w:rsidTr="00560330">
        <w:trPr>
          <w:cantSplit/>
        </w:trPr>
        <w:tc>
          <w:tcPr>
            <w:tcW w:w="2960" w:type="dxa"/>
            <w:hideMark/>
          </w:tcPr>
          <w:p w14:paraId="3D2993B4" w14:textId="77777777" w:rsidR="0031700C" w:rsidRPr="00E003F0" w:rsidRDefault="0031700C" w:rsidP="00986700">
            <w:pPr>
              <w:rPr>
                <w:sz w:val="16"/>
                <w:szCs w:val="16"/>
              </w:rPr>
            </w:pPr>
            <w:r w:rsidRPr="00E003F0">
              <w:rPr>
                <w:sz w:val="16"/>
                <w:szCs w:val="16"/>
              </w:rPr>
              <w:t> </w:t>
            </w:r>
          </w:p>
        </w:tc>
        <w:tc>
          <w:tcPr>
            <w:tcW w:w="3878" w:type="dxa"/>
            <w:hideMark/>
          </w:tcPr>
          <w:p w14:paraId="7F1446F7" w14:textId="77777777" w:rsidR="0031700C" w:rsidRPr="00E003F0" w:rsidRDefault="0031700C" w:rsidP="00986700">
            <w:pPr>
              <w:rPr>
                <w:sz w:val="16"/>
                <w:szCs w:val="16"/>
              </w:rPr>
            </w:pPr>
            <w:r w:rsidRPr="00E003F0">
              <w:rPr>
                <w:sz w:val="16"/>
                <w:szCs w:val="16"/>
              </w:rPr>
              <w:t>Pourcentage de documents des comités et des groupes de travail publiés dans les délais impartis</w:t>
            </w:r>
          </w:p>
        </w:tc>
        <w:tc>
          <w:tcPr>
            <w:tcW w:w="2449" w:type="dxa"/>
            <w:hideMark/>
          </w:tcPr>
          <w:p w14:paraId="47F3651F" w14:textId="77777777" w:rsidR="0031700C" w:rsidRPr="00E003F0" w:rsidRDefault="0031700C" w:rsidP="00986700">
            <w:pPr>
              <w:jc w:val="center"/>
              <w:rPr>
                <w:sz w:val="16"/>
                <w:szCs w:val="16"/>
              </w:rPr>
            </w:pPr>
            <w:r w:rsidRPr="00E003F0">
              <w:rPr>
                <w:sz w:val="16"/>
                <w:szCs w:val="16"/>
              </w:rPr>
              <w:t>Programme 27</w:t>
            </w:r>
          </w:p>
        </w:tc>
      </w:tr>
      <w:tr w:rsidR="0031700C" w:rsidRPr="00E003F0" w14:paraId="048B4245" w14:textId="77777777" w:rsidTr="00560330">
        <w:trPr>
          <w:cantSplit/>
        </w:trPr>
        <w:tc>
          <w:tcPr>
            <w:tcW w:w="2960" w:type="dxa"/>
            <w:hideMark/>
          </w:tcPr>
          <w:p w14:paraId="125EB93A" w14:textId="77777777" w:rsidR="0031700C" w:rsidRPr="00E003F0" w:rsidRDefault="0031700C" w:rsidP="00986700">
            <w:pPr>
              <w:rPr>
                <w:sz w:val="16"/>
                <w:szCs w:val="16"/>
              </w:rPr>
            </w:pPr>
            <w:r w:rsidRPr="00E003F0">
              <w:rPr>
                <w:sz w:val="16"/>
                <w:szCs w:val="16"/>
              </w:rPr>
              <w:t> </w:t>
            </w:r>
          </w:p>
        </w:tc>
        <w:tc>
          <w:tcPr>
            <w:tcW w:w="3878" w:type="dxa"/>
            <w:hideMark/>
          </w:tcPr>
          <w:p w14:paraId="56F49A98" w14:textId="77777777" w:rsidR="0031700C" w:rsidRPr="00E003F0" w:rsidRDefault="0031700C" w:rsidP="00986700">
            <w:pPr>
              <w:rPr>
                <w:sz w:val="16"/>
                <w:szCs w:val="16"/>
              </w:rPr>
            </w:pPr>
            <w:r w:rsidRPr="00E003F0">
              <w:rPr>
                <w:sz w:val="16"/>
                <w:szCs w:val="16"/>
              </w:rPr>
              <w:t>Coût par mot traduit</w:t>
            </w:r>
          </w:p>
        </w:tc>
        <w:tc>
          <w:tcPr>
            <w:tcW w:w="2449" w:type="dxa"/>
            <w:hideMark/>
          </w:tcPr>
          <w:p w14:paraId="00DB9FBA" w14:textId="77777777" w:rsidR="0031700C" w:rsidRPr="00E003F0" w:rsidRDefault="0031700C" w:rsidP="00986700">
            <w:pPr>
              <w:jc w:val="center"/>
              <w:rPr>
                <w:sz w:val="16"/>
                <w:szCs w:val="16"/>
              </w:rPr>
            </w:pPr>
            <w:r w:rsidRPr="00E003F0">
              <w:rPr>
                <w:sz w:val="16"/>
                <w:szCs w:val="16"/>
              </w:rPr>
              <w:t>Programme 27</w:t>
            </w:r>
          </w:p>
        </w:tc>
      </w:tr>
      <w:tr w:rsidR="0031700C" w:rsidRPr="00E003F0" w14:paraId="168D5770" w14:textId="77777777" w:rsidTr="00560330">
        <w:trPr>
          <w:cantSplit/>
        </w:trPr>
        <w:tc>
          <w:tcPr>
            <w:tcW w:w="2960" w:type="dxa"/>
            <w:hideMark/>
          </w:tcPr>
          <w:p w14:paraId="6D79FE2C" w14:textId="77777777" w:rsidR="0031700C" w:rsidRPr="00E003F0" w:rsidRDefault="0031700C" w:rsidP="00986700">
            <w:pPr>
              <w:rPr>
                <w:sz w:val="16"/>
                <w:szCs w:val="16"/>
              </w:rPr>
            </w:pPr>
            <w:r w:rsidRPr="00E003F0">
              <w:rPr>
                <w:sz w:val="16"/>
                <w:szCs w:val="16"/>
              </w:rPr>
              <w:lastRenderedPageBreak/>
              <w:t> </w:t>
            </w:r>
          </w:p>
        </w:tc>
        <w:tc>
          <w:tcPr>
            <w:tcW w:w="3878" w:type="dxa"/>
            <w:hideMark/>
          </w:tcPr>
          <w:p w14:paraId="7C18D0A9" w14:textId="77777777" w:rsidR="0031700C" w:rsidRPr="00E003F0" w:rsidRDefault="0031700C" w:rsidP="00986700">
            <w:pPr>
              <w:rPr>
                <w:sz w:val="16"/>
                <w:szCs w:val="16"/>
              </w:rPr>
            </w:pPr>
            <w:r w:rsidRPr="00E003F0">
              <w:rPr>
                <w:sz w:val="16"/>
                <w:szCs w:val="16"/>
              </w:rPr>
              <w:t>Pourcentage de membres du personnel connaissant bien leurs responsabilités, les politiques et les pratiques recommandées en matière de sécurité de l’information</w:t>
            </w:r>
          </w:p>
        </w:tc>
        <w:tc>
          <w:tcPr>
            <w:tcW w:w="2449" w:type="dxa"/>
            <w:hideMark/>
          </w:tcPr>
          <w:p w14:paraId="5F09D06A" w14:textId="77777777" w:rsidR="0031700C" w:rsidRPr="00E003F0" w:rsidRDefault="0031700C" w:rsidP="00986700">
            <w:pPr>
              <w:jc w:val="center"/>
              <w:rPr>
                <w:sz w:val="16"/>
                <w:szCs w:val="16"/>
              </w:rPr>
            </w:pPr>
            <w:r w:rsidRPr="00E003F0">
              <w:rPr>
                <w:sz w:val="16"/>
                <w:szCs w:val="16"/>
              </w:rPr>
              <w:t>Programme 28</w:t>
            </w:r>
          </w:p>
        </w:tc>
      </w:tr>
      <w:tr w:rsidR="0031700C" w:rsidRPr="00E003F0" w14:paraId="4803F4F8" w14:textId="77777777" w:rsidTr="00560330">
        <w:trPr>
          <w:cantSplit/>
        </w:trPr>
        <w:tc>
          <w:tcPr>
            <w:tcW w:w="2960" w:type="dxa"/>
            <w:hideMark/>
          </w:tcPr>
          <w:p w14:paraId="476030DD" w14:textId="77777777" w:rsidR="0031700C" w:rsidRPr="00E003F0" w:rsidRDefault="0031700C" w:rsidP="00986700">
            <w:pPr>
              <w:rPr>
                <w:sz w:val="16"/>
                <w:szCs w:val="16"/>
              </w:rPr>
            </w:pPr>
            <w:r w:rsidRPr="00E003F0">
              <w:rPr>
                <w:sz w:val="16"/>
                <w:szCs w:val="16"/>
              </w:rPr>
              <w:t> </w:t>
            </w:r>
          </w:p>
        </w:tc>
        <w:tc>
          <w:tcPr>
            <w:tcW w:w="3878" w:type="dxa"/>
            <w:hideMark/>
          </w:tcPr>
          <w:p w14:paraId="503F6B92" w14:textId="77777777" w:rsidR="0031700C" w:rsidRPr="00E003F0" w:rsidRDefault="0031700C" w:rsidP="00986700">
            <w:pPr>
              <w:rPr>
                <w:sz w:val="16"/>
                <w:szCs w:val="16"/>
              </w:rPr>
            </w:pPr>
            <w:r w:rsidRPr="00E003F0">
              <w:rPr>
                <w:sz w:val="16"/>
                <w:szCs w:val="16"/>
              </w:rPr>
              <w:t xml:space="preserve">Prix moyen des billets d’avion </w:t>
            </w:r>
          </w:p>
        </w:tc>
        <w:tc>
          <w:tcPr>
            <w:tcW w:w="2449" w:type="dxa"/>
            <w:hideMark/>
          </w:tcPr>
          <w:p w14:paraId="2C0E9F59" w14:textId="77777777" w:rsidR="0031700C" w:rsidRPr="00E003F0" w:rsidRDefault="0031700C" w:rsidP="00986700">
            <w:pPr>
              <w:jc w:val="center"/>
              <w:rPr>
                <w:sz w:val="16"/>
                <w:szCs w:val="16"/>
              </w:rPr>
            </w:pPr>
            <w:r w:rsidRPr="00E003F0">
              <w:rPr>
                <w:sz w:val="16"/>
                <w:szCs w:val="16"/>
              </w:rPr>
              <w:t>Programme 24</w:t>
            </w:r>
          </w:p>
        </w:tc>
      </w:tr>
      <w:tr w:rsidR="0031700C" w:rsidRPr="00E003F0" w14:paraId="3CF8BA7A" w14:textId="77777777" w:rsidTr="00560330">
        <w:trPr>
          <w:cantSplit/>
        </w:trPr>
        <w:tc>
          <w:tcPr>
            <w:tcW w:w="2960" w:type="dxa"/>
            <w:hideMark/>
          </w:tcPr>
          <w:p w14:paraId="5AD9AD8D" w14:textId="77777777" w:rsidR="0031700C" w:rsidRPr="00E003F0" w:rsidRDefault="0031700C" w:rsidP="00986700">
            <w:pPr>
              <w:rPr>
                <w:sz w:val="16"/>
                <w:szCs w:val="16"/>
              </w:rPr>
            </w:pPr>
            <w:r w:rsidRPr="00E003F0">
              <w:rPr>
                <w:sz w:val="16"/>
                <w:szCs w:val="16"/>
              </w:rPr>
              <w:t> </w:t>
            </w:r>
          </w:p>
        </w:tc>
        <w:tc>
          <w:tcPr>
            <w:tcW w:w="3878" w:type="dxa"/>
            <w:hideMark/>
          </w:tcPr>
          <w:p w14:paraId="6BE3E3CB" w14:textId="77777777" w:rsidR="0031700C" w:rsidRPr="00E003F0" w:rsidRDefault="0031700C" w:rsidP="00986700">
            <w:pPr>
              <w:rPr>
                <w:sz w:val="16"/>
                <w:szCs w:val="16"/>
              </w:rPr>
            </w:pPr>
            <w:r w:rsidRPr="00E003F0">
              <w:rPr>
                <w:sz w:val="16"/>
                <w:szCs w:val="16"/>
              </w:rPr>
              <w:t>Coût moyen des frais de service</w:t>
            </w:r>
          </w:p>
        </w:tc>
        <w:tc>
          <w:tcPr>
            <w:tcW w:w="2449" w:type="dxa"/>
            <w:hideMark/>
          </w:tcPr>
          <w:p w14:paraId="20A6E054" w14:textId="77777777" w:rsidR="0031700C" w:rsidRPr="00E003F0" w:rsidRDefault="0031700C" w:rsidP="00986700">
            <w:pPr>
              <w:jc w:val="center"/>
              <w:rPr>
                <w:sz w:val="16"/>
                <w:szCs w:val="16"/>
              </w:rPr>
            </w:pPr>
            <w:r w:rsidRPr="00E003F0">
              <w:rPr>
                <w:sz w:val="16"/>
                <w:szCs w:val="16"/>
              </w:rPr>
              <w:t>Programme 24</w:t>
            </w:r>
          </w:p>
        </w:tc>
      </w:tr>
      <w:tr w:rsidR="0031700C" w:rsidRPr="00E003F0" w14:paraId="34B55E3F" w14:textId="77777777" w:rsidTr="00560330">
        <w:trPr>
          <w:cantSplit/>
        </w:trPr>
        <w:tc>
          <w:tcPr>
            <w:tcW w:w="2960" w:type="dxa"/>
            <w:hideMark/>
          </w:tcPr>
          <w:p w14:paraId="2D16AA7F" w14:textId="77777777" w:rsidR="0031700C" w:rsidRPr="00E003F0" w:rsidRDefault="0031700C" w:rsidP="00986700">
            <w:pPr>
              <w:rPr>
                <w:sz w:val="16"/>
                <w:szCs w:val="16"/>
              </w:rPr>
            </w:pPr>
            <w:r w:rsidRPr="00E003F0">
              <w:rPr>
                <w:sz w:val="16"/>
                <w:szCs w:val="16"/>
              </w:rPr>
              <w:t> </w:t>
            </w:r>
          </w:p>
        </w:tc>
        <w:tc>
          <w:tcPr>
            <w:tcW w:w="3878" w:type="dxa"/>
            <w:hideMark/>
          </w:tcPr>
          <w:p w14:paraId="59978B40" w14:textId="77777777" w:rsidR="0031700C" w:rsidRPr="00E003F0" w:rsidRDefault="0031700C" w:rsidP="00986700">
            <w:pPr>
              <w:rPr>
                <w:sz w:val="16"/>
                <w:szCs w:val="16"/>
              </w:rPr>
            </w:pPr>
            <w:r w:rsidRPr="00E003F0">
              <w:rPr>
                <w:sz w:val="16"/>
                <w:szCs w:val="16"/>
              </w:rPr>
              <w:t>Les projets relatifs aux TIC sont gérés conformément aux principes directeurs de l’OMPI en matière de gestion de projet et de transition de services</w:t>
            </w:r>
          </w:p>
        </w:tc>
        <w:tc>
          <w:tcPr>
            <w:tcW w:w="2449" w:type="dxa"/>
            <w:hideMark/>
          </w:tcPr>
          <w:p w14:paraId="25C5EA2C" w14:textId="77777777" w:rsidR="0031700C" w:rsidRPr="00E003F0" w:rsidRDefault="0031700C" w:rsidP="00986700">
            <w:pPr>
              <w:jc w:val="center"/>
              <w:rPr>
                <w:sz w:val="16"/>
                <w:szCs w:val="16"/>
              </w:rPr>
            </w:pPr>
            <w:r w:rsidRPr="00E003F0">
              <w:rPr>
                <w:sz w:val="16"/>
                <w:szCs w:val="16"/>
              </w:rPr>
              <w:t>Programme 25</w:t>
            </w:r>
          </w:p>
        </w:tc>
      </w:tr>
      <w:tr w:rsidR="0031700C" w:rsidRPr="00E003F0" w14:paraId="60FF78B0" w14:textId="77777777" w:rsidTr="00560330">
        <w:trPr>
          <w:cantSplit/>
        </w:trPr>
        <w:tc>
          <w:tcPr>
            <w:tcW w:w="2960" w:type="dxa"/>
            <w:hideMark/>
          </w:tcPr>
          <w:p w14:paraId="2CED5C92" w14:textId="77777777" w:rsidR="0031700C" w:rsidRPr="00E003F0" w:rsidRDefault="0031700C" w:rsidP="00986700">
            <w:pPr>
              <w:rPr>
                <w:sz w:val="16"/>
                <w:szCs w:val="16"/>
              </w:rPr>
            </w:pPr>
            <w:r w:rsidRPr="00E003F0">
              <w:rPr>
                <w:sz w:val="16"/>
                <w:szCs w:val="16"/>
              </w:rPr>
              <w:t> </w:t>
            </w:r>
          </w:p>
        </w:tc>
        <w:tc>
          <w:tcPr>
            <w:tcW w:w="3878" w:type="dxa"/>
            <w:hideMark/>
          </w:tcPr>
          <w:p w14:paraId="29052408" w14:textId="77777777" w:rsidR="0031700C" w:rsidRPr="00E003F0" w:rsidRDefault="0031700C" w:rsidP="00986700">
            <w:pPr>
              <w:rPr>
                <w:sz w:val="16"/>
                <w:szCs w:val="16"/>
              </w:rPr>
            </w:pPr>
            <w:r w:rsidRPr="00E003F0">
              <w:rPr>
                <w:sz w:val="16"/>
                <w:szCs w:val="16"/>
              </w:rPr>
              <w:t>Augmentation du nombre de composantes TIC communes telles que le système de paiement et d’identification (y compris celles utilisées par plus d’un secteur) utilisées dans le cadre de la mise en œuvre des systèmes de propriété intellectuelle</w:t>
            </w:r>
          </w:p>
        </w:tc>
        <w:tc>
          <w:tcPr>
            <w:tcW w:w="2449" w:type="dxa"/>
            <w:hideMark/>
          </w:tcPr>
          <w:p w14:paraId="45441C53" w14:textId="77777777" w:rsidR="0031700C" w:rsidRPr="00E003F0" w:rsidRDefault="0031700C" w:rsidP="00986700">
            <w:pPr>
              <w:jc w:val="center"/>
              <w:rPr>
                <w:sz w:val="16"/>
                <w:szCs w:val="16"/>
              </w:rPr>
            </w:pPr>
            <w:r w:rsidRPr="00E003F0">
              <w:rPr>
                <w:sz w:val="16"/>
                <w:szCs w:val="16"/>
              </w:rPr>
              <w:t>Programme 25</w:t>
            </w:r>
          </w:p>
        </w:tc>
      </w:tr>
      <w:tr w:rsidR="0031700C" w:rsidRPr="00E003F0" w14:paraId="16BB1E5A" w14:textId="77777777" w:rsidTr="00560330">
        <w:trPr>
          <w:cantSplit/>
        </w:trPr>
        <w:tc>
          <w:tcPr>
            <w:tcW w:w="2960" w:type="dxa"/>
            <w:hideMark/>
          </w:tcPr>
          <w:p w14:paraId="43C5DE4A" w14:textId="77777777" w:rsidR="0031700C" w:rsidRPr="00E003F0" w:rsidRDefault="0031700C" w:rsidP="00986700">
            <w:pPr>
              <w:rPr>
                <w:sz w:val="16"/>
                <w:szCs w:val="16"/>
              </w:rPr>
            </w:pPr>
            <w:r w:rsidRPr="00E003F0">
              <w:rPr>
                <w:sz w:val="16"/>
                <w:szCs w:val="16"/>
              </w:rPr>
              <w:t> </w:t>
            </w:r>
          </w:p>
        </w:tc>
        <w:tc>
          <w:tcPr>
            <w:tcW w:w="3878" w:type="dxa"/>
            <w:hideMark/>
          </w:tcPr>
          <w:p w14:paraId="18ED9B5F" w14:textId="77777777" w:rsidR="0031700C" w:rsidRPr="00E003F0" w:rsidRDefault="0031700C" w:rsidP="00986700">
            <w:pPr>
              <w:rPr>
                <w:sz w:val="16"/>
                <w:szCs w:val="16"/>
              </w:rPr>
            </w:pPr>
            <w:r w:rsidRPr="00E003F0">
              <w:rPr>
                <w:sz w:val="16"/>
                <w:szCs w:val="16"/>
              </w:rPr>
              <w:t>Niveau de satisfaction des secteurs d’activité à l’égard des services fournis par le Département des techniques de l’information et de la communication</w:t>
            </w:r>
          </w:p>
        </w:tc>
        <w:tc>
          <w:tcPr>
            <w:tcW w:w="2449" w:type="dxa"/>
            <w:hideMark/>
          </w:tcPr>
          <w:p w14:paraId="6E6E40DC" w14:textId="77777777" w:rsidR="0031700C" w:rsidRPr="00E003F0" w:rsidRDefault="0031700C" w:rsidP="00986700">
            <w:pPr>
              <w:jc w:val="center"/>
              <w:rPr>
                <w:sz w:val="16"/>
                <w:szCs w:val="16"/>
              </w:rPr>
            </w:pPr>
            <w:r w:rsidRPr="00E003F0">
              <w:rPr>
                <w:sz w:val="16"/>
                <w:szCs w:val="16"/>
              </w:rPr>
              <w:t>Programme 25</w:t>
            </w:r>
          </w:p>
        </w:tc>
      </w:tr>
      <w:tr w:rsidR="0031700C" w:rsidRPr="00E003F0" w14:paraId="31ECEA18" w14:textId="77777777" w:rsidTr="00560330">
        <w:trPr>
          <w:cantSplit/>
        </w:trPr>
        <w:tc>
          <w:tcPr>
            <w:tcW w:w="2960" w:type="dxa"/>
            <w:hideMark/>
          </w:tcPr>
          <w:p w14:paraId="238821DD" w14:textId="77777777" w:rsidR="0031700C" w:rsidRPr="00E003F0" w:rsidRDefault="0031700C" w:rsidP="00986700">
            <w:pPr>
              <w:rPr>
                <w:sz w:val="16"/>
                <w:szCs w:val="16"/>
              </w:rPr>
            </w:pPr>
            <w:r w:rsidRPr="00E003F0">
              <w:rPr>
                <w:sz w:val="16"/>
                <w:szCs w:val="16"/>
              </w:rPr>
              <w:t xml:space="preserve">IX.2 Un Secrétariat réactif, efficace et doté de ressources humaines bien gérées et compétentes, à même d’obtenir des résultats concrets </w:t>
            </w:r>
          </w:p>
        </w:tc>
        <w:tc>
          <w:tcPr>
            <w:tcW w:w="3878" w:type="dxa"/>
            <w:hideMark/>
          </w:tcPr>
          <w:p w14:paraId="3887D37B" w14:textId="4B3B2FFB" w:rsidR="0031700C" w:rsidRPr="00E003F0" w:rsidRDefault="0031700C" w:rsidP="00986700">
            <w:pPr>
              <w:rPr>
                <w:sz w:val="16"/>
                <w:szCs w:val="16"/>
              </w:rPr>
            </w:pPr>
            <w:r w:rsidRPr="00E003F0">
              <w:rPr>
                <w:sz w:val="16"/>
                <w:szCs w:val="16"/>
              </w:rPr>
              <w:t>Les vérificateurs externes des comptes ont produit un rapport financier satisfaisant, qui confirme que les opérations financières sont conformes aux dispositions des conventions et des traités de l’OMPI applicables, au Règlement financier de l’OMPI et aux Normes comptables internationales</w:t>
            </w:r>
            <w:r w:rsidR="00560330">
              <w:rPr>
                <w:sz w:val="16"/>
                <w:szCs w:val="16"/>
              </w:rPr>
              <w:t xml:space="preserve"> pour le secteur public (IPSAS)</w:t>
            </w:r>
          </w:p>
        </w:tc>
        <w:tc>
          <w:tcPr>
            <w:tcW w:w="2449" w:type="dxa"/>
            <w:hideMark/>
          </w:tcPr>
          <w:p w14:paraId="4DC8F85D" w14:textId="77777777" w:rsidR="0031700C" w:rsidRPr="00E003F0" w:rsidRDefault="0031700C" w:rsidP="00986700">
            <w:pPr>
              <w:jc w:val="center"/>
              <w:rPr>
                <w:sz w:val="16"/>
                <w:szCs w:val="16"/>
              </w:rPr>
            </w:pPr>
            <w:r w:rsidRPr="00E003F0">
              <w:rPr>
                <w:sz w:val="16"/>
                <w:szCs w:val="16"/>
              </w:rPr>
              <w:t>Programme 22</w:t>
            </w:r>
          </w:p>
        </w:tc>
      </w:tr>
      <w:tr w:rsidR="0031700C" w:rsidRPr="00E003F0" w14:paraId="227EF305" w14:textId="77777777" w:rsidTr="00560330">
        <w:trPr>
          <w:cantSplit/>
        </w:trPr>
        <w:tc>
          <w:tcPr>
            <w:tcW w:w="2960" w:type="dxa"/>
            <w:hideMark/>
          </w:tcPr>
          <w:p w14:paraId="68DD5A2E" w14:textId="77777777" w:rsidR="0031700C" w:rsidRPr="00E003F0" w:rsidRDefault="0031700C" w:rsidP="00986700">
            <w:pPr>
              <w:rPr>
                <w:sz w:val="16"/>
                <w:szCs w:val="16"/>
              </w:rPr>
            </w:pPr>
            <w:r w:rsidRPr="00E003F0">
              <w:rPr>
                <w:sz w:val="16"/>
                <w:szCs w:val="16"/>
              </w:rPr>
              <w:t> </w:t>
            </w:r>
          </w:p>
        </w:tc>
        <w:tc>
          <w:tcPr>
            <w:tcW w:w="3878" w:type="dxa"/>
            <w:hideMark/>
          </w:tcPr>
          <w:p w14:paraId="0ED99126" w14:textId="77777777" w:rsidR="0031700C" w:rsidRPr="00E003F0" w:rsidRDefault="0031700C" w:rsidP="00986700">
            <w:pPr>
              <w:rPr>
                <w:sz w:val="16"/>
                <w:szCs w:val="16"/>
              </w:rPr>
            </w:pPr>
            <w:r w:rsidRPr="00E003F0">
              <w:rPr>
                <w:sz w:val="16"/>
                <w:szCs w:val="16"/>
              </w:rPr>
              <w:t>Diversité géographique : pourcentage du personnel par région</w:t>
            </w:r>
          </w:p>
        </w:tc>
        <w:tc>
          <w:tcPr>
            <w:tcW w:w="2449" w:type="dxa"/>
            <w:hideMark/>
          </w:tcPr>
          <w:p w14:paraId="4BA20AA3" w14:textId="77777777" w:rsidR="0031700C" w:rsidRPr="00E003F0" w:rsidRDefault="0031700C" w:rsidP="00986700">
            <w:pPr>
              <w:jc w:val="center"/>
              <w:rPr>
                <w:sz w:val="16"/>
                <w:szCs w:val="16"/>
              </w:rPr>
            </w:pPr>
            <w:r w:rsidRPr="00E003F0">
              <w:rPr>
                <w:sz w:val="16"/>
                <w:szCs w:val="16"/>
              </w:rPr>
              <w:t>Programme 23</w:t>
            </w:r>
          </w:p>
        </w:tc>
      </w:tr>
      <w:tr w:rsidR="0031700C" w:rsidRPr="00E003F0" w14:paraId="44051934" w14:textId="77777777" w:rsidTr="00560330">
        <w:trPr>
          <w:cantSplit/>
        </w:trPr>
        <w:tc>
          <w:tcPr>
            <w:tcW w:w="2960" w:type="dxa"/>
            <w:hideMark/>
          </w:tcPr>
          <w:p w14:paraId="7B3DDE8E" w14:textId="77777777" w:rsidR="0031700C" w:rsidRPr="00E003F0" w:rsidRDefault="0031700C" w:rsidP="00986700">
            <w:pPr>
              <w:rPr>
                <w:sz w:val="16"/>
                <w:szCs w:val="16"/>
              </w:rPr>
            </w:pPr>
            <w:r w:rsidRPr="00E003F0">
              <w:rPr>
                <w:sz w:val="16"/>
                <w:szCs w:val="16"/>
              </w:rPr>
              <w:t> </w:t>
            </w:r>
          </w:p>
        </w:tc>
        <w:tc>
          <w:tcPr>
            <w:tcW w:w="3878" w:type="dxa"/>
            <w:hideMark/>
          </w:tcPr>
          <w:p w14:paraId="0F8FE254" w14:textId="77777777" w:rsidR="0031700C" w:rsidRPr="00E003F0" w:rsidRDefault="0031700C" w:rsidP="00986700">
            <w:pPr>
              <w:rPr>
                <w:sz w:val="16"/>
                <w:szCs w:val="16"/>
              </w:rPr>
            </w:pPr>
            <w:r w:rsidRPr="00E003F0">
              <w:rPr>
                <w:sz w:val="16"/>
                <w:szCs w:val="16"/>
              </w:rPr>
              <w:t>Délais de recrutement</w:t>
            </w:r>
          </w:p>
        </w:tc>
        <w:tc>
          <w:tcPr>
            <w:tcW w:w="2449" w:type="dxa"/>
            <w:hideMark/>
          </w:tcPr>
          <w:p w14:paraId="1DEA63D8" w14:textId="77777777" w:rsidR="0031700C" w:rsidRPr="00E003F0" w:rsidRDefault="0031700C" w:rsidP="00986700">
            <w:pPr>
              <w:jc w:val="center"/>
              <w:rPr>
                <w:sz w:val="16"/>
                <w:szCs w:val="16"/>
              </w:rPr>
            </w:pPr>
            <w:r w:rsidRPr="00E003F0">
              <w:rPr>
                <w:sz w:val="16"/>
                <w:szCs w:val="16"/>
              </w:rPr>
              <w:t>Programme 23</w:t>
            </w:r>
          </w:p>
        </w:tc>
      </w:tr>
      <w:tr w:rsidR="0031700C" w:rsidRPr="00E003F0" w14:paraId="14A08958" w14:textId="77777777" w:rsidTr="00560330">
        <w:trPr>
          <w:cantSplit/>
        </w:trPr>
        <w:tc>
          <w:tcPr>
            <w:tcW w:w="2960" w:type="dxa"/>
            <w:hideMark/>
          </w:tcPr>
          <w:p w14:paraId="12A4C186" w14:textId="77777777" w:rsidR="0031700C" w:rsidRPr="00E003F0" w:rsidRDefault="0031700C" w:rsidP="00986700">
            <w:pPr>
              <w:rPr>
                <w:sz w:val="16"/>
                <w:szCs w:val="16"/>
              </w:rPr>
            </w:pPr>
            <w:r w:rsidRPr="00E003F0">
              <w:rPr>
                <w:sz w:val="16"/>
                <w:szCs w:val="16"/>
              </w:rPr>
              <w:t> </w:t>
            </w:r>
          </w:p>
        </w:tc>
        <w:tc>
          <w:tcPr>
            <w:tcW w:w="3878" w:type="dxa"/>
            <w:hideMark/>
          </w:tcPr>
          <w:p w14:paraId="55A0FF28" w14:textId="77777777" w:rsidR="0031700C" w:rsidRPr="00E003F0" w:rsidRDefault="0031700C" w:rsidP="00986700">
            <w:pPr>
              <w:rPr>
                <w:sz w:val="16"/>
                <w:szCs w:val="16"/>
              </w:rPr>
            </w:pPr>
            <w:r w:rsidRPr="00E003F0">
              <w:rPr>
                <w:sz w:val="16"/>
                <w:szCs w:val="16"/>
              </w:rPr>
              <w:t>Pourcentage des membres du personnel dont le travail est évalué en fonction d’objectifs et de compétences individuels</w:t>
            </w:r>
          </w:p>
        </w:tc>
        <w:tc>
          <w:tcPr>
            <w:tcW w:w="2449" w:type="dxa"/>
            <w:hideMark/>
          </w:tcPr>
          <w:p w14:paraId="1C697454" w14:textId="77777777" w:rsidR="0031700C" w:rsidRPr="00E003F0" w:rsidRDefault="0031700C" w:rsidP="00986700">
            <w:pPr>
              <w:jc w:val="center"/>
              <w:rPr>
                <w:sz w:val="16"/>
                <w:szCs w:val="16"/>
              </w:rPr>
            </w:pPr>
            <w:r w:rsidRPr="00E003F0">
              <w:rPr>
                <w:sz w:val="16"/>
                <w:szCs w:val="16"/>
              </w:rPr>
              <w:t>Programme 23</w:t>
            </w:r>
          </w:p>
        </w:tc>
      </w:tr>
      <w:tr w:rsidR="0031700C" w:rsidRPr="00E003F0" w14:paraId="05A25EC1" w14:textId="77777777" w:rsidTr="00560330">
        <w:trPr>
          <w:cantSplit/>
        </w:trPr>
        <w:tc>
          <w:tcPr>
            <w:tcW w:w="2960" w:type="dxa"/>
            <w:hideMark/>
          </w:tcPr>
          <w:p w14:paraId="6DC1ABBD" w14:textId="77777777" w:rsidR="0031700C" w:rsidRPr="00E003F0" w:rsidRDefault="0031700C" w:rsidP="00986700">
            <w:pPr>
              <w:rPr>
                <w:sz w:val="16"/>
                <w:szCs w:val="16"/>
              </w:rPr>
            </w:pPr>
            <w:r w:rsidRPr="00E003F0">
              <w:rPr>
                <w:sz w:val="16"/>
                <w:szCs w:val="16"/>
              </w:rPr>
              <w:t> </w:t>
            </w:r>
          </w:p>
        </w:tc>
        <w:tc>
          <w:tcPr>
            <w:tcW w:w="3878" w:type="dxa"/>
            <w:hideMark/>
          </w:tcPr>
          <w:p w14:paraId="39E66965" w14:textId="38AC8202" w:rsidR="0031700C" w:rsidRPr="00E003F0" w:rsidRDefault="0031700C" w:rsidP="00986700">
            <w:pPr>
              <w:rPr>
                <w:sz w:val="16"/>
                <w:szCs w:val="16"/>
              </w:rPr>
            </w:pPr>
            <w:r w:rsidRPr="00E003F0">
              <w:rPr>
                <w:sz w:val="16"/>
                <w:szCs w:val="16"/>
              </w:rPr>
              <w:t>Nombre de jours nécessaires pour : i) notifier au personnel les décisions concernant les requêtes en réexamen;  ii) notifier au personnel les décisions concernant les plaintes;  iii) notifier au personnel les décisions concernant les objections;  iv) notifier au personnel les décisions concernant les mesures disciplinaires;  et v) répondre aux demandes de conseil</w:t>
            </w:r>
          </w:p>
        </w:tc>
        <w:tc>
          <w:tcPr>
            <w:tcW w:w="2449" w:type="dxa"/>
            <w:hideMark/>
          </w:tcPr>
          <w:p w14:paraId="57662B92" w14:textId="77777777" w:rsidR="0031700C" w:rsidRPr="00E003F0" w:rsidRDefault="0031700C" w:rsidP="00986700">
            <w:pPr>
              <w:jc w:val="center"/>
              <w:rPr>
                <w:sz w:val="16"/>
                <w:szCs w:val="16"/>
              </w:rPr>
            </w:pPr>
            <w:r w:rsidRPr="00E003F0">
              <w:rPr>
                <w:sz w:val="16"/>
                <w:szCs w:val="16"/>
              </w:rPr>
              <w:t>Programme 23</w:t>
            </w:r>
          </w:p>
        </w:tc>
      </w:tr>
      <w:tr w:rsidR="0031700C" w:rsidRPr="00E003F0" w14:paraId="7F7FE55F" w14:textId="77777777" w:rsidTr="00560330">
        <w:trPr>
          <w:cantSplit/>
        </w:trPr>
        <w:tc>
          <w:tcPr>
            <w:tcW w:w="2960" w:type="dxa"/>
            <w:hideMark/>
          </w:tcPr>
          <w:p w14:paraId="4119B601" w14:textId="77777777" w:rsidR="0031700C" w:rsidRPr="00E003F0" w:rsidRDefault="0031700C" w:rsidP="00986700">
            <w:pPr>
              <w:rPr>
                <w:sz w:val="16"/>
                <w:szCs w:val="16"/>
              </w:rPr>
            </w:pPr>
            <w:r w:rsidRPr="00E003F0">
              <w:rPr>
                <w:sz w:val="16"/>
                <w:szCs w:val="16"/>
              </w:rPr>
              <w:t> </w:t>
            </w:r>
          </w:p>
        </w:tc>
        <w:tc>
          <w:tcPr>
            <w:tcW w:w="3878" w:type="dxa"/>
            <w:hideMark/>
          </w:tcPr>
          <w:p w14:paraId="12681E6E" w14:textId="676D1805" w:rsidR="0031700C" w:rsidRPr="00E003F0" w:rsidRDefault="0031700C" w:rsidP="00986700">
            <w:pPr>
              <w:rPr>
                <w:sz w:val="16"/>
                <w:szCs w:val="16"/>
              </w:rPr>
            </w:pPr>
            <w:r w:rsidRPr="00E003F0">
              <w:rPr>
                <w:sz w:val="16"/>
                <w:szCs w:val="16"/>
              </w:rPr>
              <w:t xml:space="preserve">Rendement des fonds investis conforme aux valeurs de référence fixées par le Comité consultatif des investissements ou </w:t>
            </w:r>
            <w:r w:rsidR="00560330">
              <w:rPr>
                <w:sz w:val="16"/>
                <w:szCs w:val="16"/>
              </w:rPr>
              <w:t>aux termes de</w:t>
            </w:r>
            <w:r w:rsidRPr="00E003F0">
              <w:rPr>
                <w:sz w:val="16"/>
                <w:szCs w:val="16"/>
              </w:rPr>
              <w:t xml:space="preserve"> la politique en matière de placements</w:t>
            </w:r>
          </w:p>
        </w:tc>
        <w:tc>
          <w:tcPr>
            <w:tcW w:w="2449" w:type="dxa"/>
            <w:hideMark/>
          </w:tcPr>
          <w:p w14:paraId="3F64222D" w14:textId="77777777" w:rsidR="0031700C" w:rsidRPr="00E003F0" w:rsidRDefault="0031700C" w:rsidP="00986700">
            <w:pPr>
              <w:jc w:val="center"/>
              <w:rPr>
                <w:sz w:val="16"/>
                <w:szCs w:val="16"/>
              </w:rPr>
            </w:pPr>
            <w:r w:rsidRPr="00E003F0">
              <w:rPr>
                <w:sz w:val="16"/>
                <w:szCs w:val="16"/>
              </w:rPr>
              <w:t>Programme 22</w:t>
            </w:r>
          </w:p>
        </w:tc>
      </w:tr>
      <w:tr w:rsidR="0031700C" w:rsidRPr="00E003F0" w14:paraId="1110E5AE" w14:textId="77777777" w:rsidTr="00560330">
        <w:trPr>
          <w:cantSplit/>
        </w:trPr>
        <w:tc>
          <w:tcPr>
            <w:tcW w:w="2960" w:type="dxa"/>
            <w:hideMark/>
          </w:tcPr>
          <w:p w14:paraId="688F6339" w14:textId="77777777" w:rsidR="0031700C" w:rsidRPr="00E003F0" w:rsidRDefault="0031700C" w:rsidP="00986700">
            <w:pPr>
              <w:rPr>
                <w:sz w:val="16"/>
                <w:szCs w:val="16"/>
              </w:rPr>
            </w:pPr>
            <w:r w:rsidRPr="00E003F0">
              <w:rPr>
                <w:sz w:val="16"/>
                <w:szCs w:val="16"/>
              </w:rPr>
              <w:t> </w:t>
            </w:r>
          </w:p>
        </w:tc>
        <w:tc>
          <w:tcPr>
            <w:tcW w:w="3878" w:type="dxa"/>
            <w:hideMark/>
          </w:tcPr>
          <w:p w14:paraId="5FDE6955" w14:textId="77777777" w:rsidR="0031700C" w:rsidRPr="00E003F0" w:rsidRDefault="0031700C" w:rsidP="00986700">
            <w:pPr>
              <w:rPr>
                <w:sz w:val="16"/>
                <w:szCs w:val="16"/>
              </w:rPr>
            </w:pPr>
            <w:r w:rsidRPr="00E003F0">
              <w:rPr>
                <w:sz w:val="16"/>
                <w:szCs w:val="16"/>
              </w:rPr>
              <w:t>Développement accru de la gestion axée sur les résultats (y compris gestion du risque)</w:t>
            </w:r>
          </w:p>
        </w:tc>
        <w:tc>
          <w:tcPr>
            <w:tcW w:w="2449" w:type="dxa"/>
            <w:hideMark/>
          </w:tcPr>
          <w:p w14:paraId="727BC3BC" w14:textId="77777777" w:rsidR="0031700C" w:rsidRPr="00E003F0" w:rsidRDefault="0031700C" w:rsidP="00986700">
            <w:pPr>
              <w:jc w:val="center"/>
              <w:rPr>
                <w:sz w:val="16"/>
                <w:szCs w:val="16"/>
              </w:rPr>
            </w:pPr>
            <w:r w:rsidRPr="00E003F0">
              <w:rPr>
                <w:sz w:val="16"/>
                <w:szCs w:val="16"/>
              </w:rPr>
              <w:t>Programme 22</w:t>
            </w:r>
          </w:p>
        </w:tc>
      </w:tr>
      <w:tr w:rsidR="0031700C" w:rsidRPr="00E003F0" w14:paraId="4CDE259D" w14:textId="77777777" w:rsidTr="00560330">
        <w:trPr>
          <w:cantSplit/>
        </w:trPr>
        <w:tc>
          <w:tcPr>
            <w:tcW w:w="2960" w:type="dxa"/>
            <w:hideMark/>
          </w:tcPr>
          <w:p w14:paraId="50480AB8" w14:textId="77777777" w:rsidR="0031700C" w:rsidRPr="00E003F0" w:rsidRDefault="0031700C" w:rsidP="00986700">
            <w:pPr>
              <w:rPr>
                <w:sz w:val="16"/>
                <w:szCs w:val="16"/>
              </w:rPr>
            </w:pPr>
            <w:r w:rsidRPr="00E003F0">
              <w:rPr>
                <w:sz w:val="16"/>
                <w:szCs w:val="16"/>
              </w:rPr>
              <w:t> </w:t>
            </w:r>
          </w:p>
        </w:tc>
        <w:tc>
          <w:tcPr>
            <w:tcW w:w="3878" w:type="dxa"/>
            <w:hideMark/>
          </w:tcPr>
          <w:p w14:paraId="76D00BC2" w14:textId="77777777" w:rsidR="0031700C" w:rsidRPr="00E003F0" w:rsidRDefault="0031700C" w:rsidP="00986700">
            <w:pPr>
              <w:rPr>
                <w:sz w:val="16"/>
                <w:szCs w:val="16"/>
              </w:rPr>
            </w:pPr>
            <w:r w:rsidRPr="00E003F0">
              <w:rPr>
                <w:sz w:val="16"/>
                <w:szCs w:val="16"/>
              </w:rPr>
              <w:t>Pourcentage d’unités opérationnelles de l’OMPI appliquant le système de classement des activités par degré de contribution à la promotion de l’égalité des sexes dans leur programme de travail annuel</w:t>
            </w:r>
          </w:p>
        </w:tc>
        <w:tc>
          <w:tcPr>
            <w:tcW w:w="2449" w:type="dxa"/>
            <w:hideMark/>
          </w:tcPr>
          <w:p w14:paraId="2660064B" w14:textId="77777777" w:rsidR="0031700C" w:rsidRPr="00E003F0" w:rsidRDefault="0031700C" w:rsidP="00986700">
            <w:pPr>
              <w:jc w:val="center"/>
              <w:rPr>
                <w:sz w:val="16"/>
                <w:szCs w:val="16"/>
              </w:rPr>
            </w:pPr>
            <w:r w:rsidRPr="00E003F0">
              <w:rPr>
                <w:sz w:val="16"/>
                <w:szCs w:val="16"/>
              </w:rPr>
              <w:t>Programme 22</w:t>
            </w:r>
          </w:p>
        </w:tc>
      </w:tr>
      <w:tr w:rsidR="0031700C" w:rsidRPr="00E003F0" w14:paraId="2D754425" w14:textId="77777777" w:rsidTr="00560330">
        <w:trPr>
          <w:cantSplit/>
        </w:trPr>
        <w:tc>
          <w:tcPr>
            <w:tcW w:w="2960" w:type="dxa"/>
            <w:hideMark/>
          </w:tcPr>
          <w:p w14:paraId="0155E4FC" w14:textId="77777777" w:rsidR="0031700C" w:rsidRPr="00E003F0" w:rsidRDefault="0031700C" w:rsidP="00986700">
            <w:pPr>
              <w:rPr>
                <w:sz w:val="16"/>
                <w:szCs w:val="16"/>
              </w:rPr>
            </w:pPr>
            <w:r w:rsidRPr="00E003F0">
              <w:rPr>
                <w:sz w:val="16"/>
                <w:szCs w:val="16"/>
              </w:rPr>
              <w:t> </w:t>
            </w:r>
          </w:p>
        </w:tc>
        <w:tc>
          <w:tcPr>
            <w:tcW w:w="3878" w:type="dxa"/>
            <w:hideMark/>
          </w:tcPr>
          <w:p w14:paraId="573E4F11" w14:textId="77777777" w:rsidR="0031700C" w:rsidRPr="00E003F0" w:rsidRDefault="0031700C" w:rsidP="00986700">
            <w:pPr>
              <w:rPr>
                <w:sz w:val="16"/>
                <w:szCs w:val="16"/>
              </w:rPr>
            </w:pPr>
            <w:r w:rsidRPr="00E003F0">
              <w:rPr>
                <w:sz w:val="16"/>
                <w:szCs w:val="16"/>
              </w:rPr>
              <w:t>Parité hommes-femmes : pourcentage de femmes occupant un poste de niveau P-4 à D-2</w:t>
            </w:r>
          </w:p>
        </w:tc>
        <w:tc>
          <w:tcPr>
            <w:tcW w:w="2449" w:type="dxa"/>
            <w:hideMark/>
          </w:tcPr>
          <w:p w14:paraId="0C6C2FDF" w14:textId="77777777" w:rsidR="0031700C" w:rsidRPr="00E003F0" w:rsidRDefault="0031700C" w:rsidP="00986700">
            <w:pPr>
              <w:jc w:val="center"/>
              <w:rPr>
                <w:sz w:val="16"/>
                <w:szCs w:val="16"/>
              </w:rPr>
            </w:pPr>
            <w:r w:rsidRPr="00E003F0">
              <w:rPr>
                <w:sz w:val="16"/>
                <w:szCs w:val="16"/>
              </w:rPr>
              <w:t>Programme 23</w:t>
            </w:r>
          </w:p>
        </w:tc>
      </w:tr>
      <w:tr w:rsidR="0031700C" w:rsidRPr="00E003F0" w14:paraId="7C7C7BA0" w14:textId="77777777" w:rsidTr="00560330">
        <w:trPr>
          <w:cantSplit/>
        </w:trPr>
        <w:tc>
          <w:tcPr>
            <w:tcW w:w="2960" w:type="dxa"/>
            <w:hideMark/>
          </w:tcPr>
          <w:p w14:paraId="06C419E2" w14:textId="77777777" w:rsidR="0031700C" w:rsidRPr="00E003F0" w:rsidRDefault="0031700C" w:rsidP="00986700">
            <w:pPr>
              <w:rPr>
                <w:sz w:val="16"/>
                <w:szCs w:val="16"/>
              </w:rPr>
            </w:pPr>
            <w:r w:rsidRPr="00E003F0">
              <w:rPr>
                <w:sz w:val="16"/>
                <w:szCs w:val="16"/>
              </w:rPr>
              <w:t> </w:t>
            </w:r>
          </w:p>
        </w:tc>
        <w:tc>
          <w:tcPr>
            <w:tcW w:w="3878" w:type="dxa"/>
            <w:hideMark/>
          </w:tcPr>
          <w:p w14:paraId="2C21AFCC" w14:textId="77777777" w:rsidR="0031700C" w:rsidRPr="00E003F0" w:rsidRDefault="0031700C" w:rsidP="00986700">
            <w:pPr>
              <w:rPr>
                <w:sz w:val="16"/>
                <w:szCs w:val="16"/>
              </w:rPr>
            </w:pPr>
            <w:r w:rsidRPr="00E003F0">
              <w:rPr>
                <w:sz w:val="16"/>
                <w:szCs w:val="16"/>
              </w:rPr>
              <w:t>Perfectionnement de la planification des ressources humaines</w:t>
            </w:r>
          </w:p>
        </w:tc>
        <w:tc>
          <w:tcPr>
            <w:tcW w:w="2449" w:type="dxa"/>
            <w:hideMark/>
          </w:tcPr>
          <w:p w14:paraId="2361DD88" w14:textId="77777777" w:rsidR="0031700C" w:rsidRPr="00E003F0" w:rsidRDefault="0031700C" w:rsidP="00986700">
            <w:pPr>
              <w:jc w:val="center"/>
              <w:rPr>
                <w:sz w:val="16"/>
                <w:szCs w:val="16"/>
              </w:rPr>
            </w:pPr>
            <w:r w:rsidRPr="00E003F0">
              <w:rPr>
                <w:sz w:val="16"/>
                <w:szCs w:val="16"/>
              </w:rPr>
              <w:t>Programme 23</w:t>
            </w:r>
          </w:p>
        </w:tc>
      </w:tr>
      <w:tr w:rsidR="0031700C" w:rsidRPr="00E003F0" w14:paraId="5E974996" w14:textId="77777777" w:rsidTr="00560330">
        <w:trPr>
          <w:cantSplit/>
        </w:trPr>
        <w:tc>
          <w:tcPr>
            <w:tcW w:w="2960" w:type="dxa"/>
            <w:hideMark/>
          </w:tcPr>
          <w:p w14:paraId="4E9FA56E" w14:textId="77777777" w:rsidR="0031700C" w:rsidRPr="00E003F0" w:rsidRDefault="0031700C" w:rsidP="00986700">
            <w:pPr>
              <w:rPr>
                <w:sz w:val="16"/>
                <w:szCs w:val="16"/>
              </w:rPr>
            </w:pPr>
            <w:r w:rsidRPr="00E003F0">
              <w:rPr>
                <w:sz w:val="16"/>
                <w:szCs w:val="16"/>
              </w:rPr>
              <w:t> </w:t>
            </w:r>
          </w:p>
        </w:tc>
        <w:tc>
          <w:tcPr>
            <w:tcW w:w="3878" w:type="dxa"/>
            <w:hideMark/>
          </w:tcPr>
          <w:p w14:paraId="5D9A53FC" w14:textId="5A7F7AFD" w:rsidR="0031700C" w:rsidRPr="00E003F0" w:rsidRDefault="0031700C" w:rsidP="00986700">
            <w:pPr>
              <w:rPr>
                <w:sz w:val="16"/>
                <w:szCs w:val="16"/>
              </w:rPr>
            </w:pPr>
            <w:r w:rsidRPr="00E003F0">
              <w:rPr>
                <w:sz w:val="16"/>
                <w:szCs w:val="16"/>
              </w:rPr>
              <w:t xml:space="preserve">Pourcentage des fonctionnaires a) déjà en poste et b) recrutés récemment ayant mené à bien les programmes de formation obligatoire </w:t>
            </w:r>
          </w:p>
        </w:tc>
        <w:tc>
          <w:tcPr>
            <w:tcW w:w="2449" w:type="dxa"/>
            <w:hideMark/>
          </w:tcPr>
          <w:p w14:paraId="0494E163" w14:textId="77777777" w:rsidR="0031700C" w:rsidRPr="00E003F0" w:rsidRDefault="0031700C" w:rsidP="00986700">
            <w:pPr>
              <w:jc w:val="center"/>
              <w:rPr>
                <w:sz w:val="16"/>
                <w:szCs w:val="16"/>
              </w:rPr>
            </w:pPr>
            <w:r w:rsidRPr="00E003F0">
              <w:rPr>
                <w:sz w:val="16"/>
                <w:szCs w:val="16"/>
              </w:rPr>
              <w:t>Programme 23</w:t>
            </w:r>
          </w:p>
        </w:tc>
      </w:tr>
      <w:tr w:rsidR="0031700C" w:rsidRPr="00E003F0" w14:paraId="6C327D51" w14:textId="77777777" w:rsidTr="00560330">
        <w:trPr>
          <w:cantSplit/>
        </w:trPr>
        <w:tc>
          <w:tcPr>
            <w:tcW w:w="2960" w:type="dxa"/>
            <w:hideMark/>
          </w:tcPr>
          <w:p w14:paraId="6CEEE94A" w14:textId="77777777" w:rsidR="0031700C" w:rsidRPr="00E003F0" w:rsidRDefault="0031700C" w:rsidP="00986700">
            <w:pPr>
              <w:rPr>
                <w:sz w:val="16"/>
                <w:szCs w:val="16"/>
              </w:rPr>
            </w:pPr>
            <w:r w:rsidRPr="00E003F0">
              <w:rPr>
                <w:sz w:val="16"/>
                <w:szCs w:val="16"/>
              </w:rPr>
              <w:t> </w:t>
            </w:r>
          </w:p>
        </w:tc>
        <w:tc>
          <w:tcPr>
            <w:tcW w:w="3878" w:type="dxa"/>
            <w:hideMark/>
          </w:tcPr>
          <w:p w14:paraId="2478A802" w14:textId="77777777" w:rsidR="0031700C" w:rsidRPr="00E003F0" w:rsidRDefault="0031700C" w:rsidP="00986700">
            <w:pPr>
              <w:rPr>
                <w:sz w:val="16"/>
                <w:szCs w:val="16"/>
              </w:rPr>
            </w:pPr>
            <w:r w:rsidRPr="00E003F0">
              <w:rPr>
                <w:sz w:val="16"/>
                <w:szCs w:val="16"/>
              </w:rPr>
              <w:t xml:space="preserve">Renforcement de la résilience et de la capacité de réaction de l’Organisation </w:t>
            </w:r>
          </w:p>
        </w:tc>
        <w:tc>
          <w:tcPr>
            <w:tcW w:w="2449" w:type="dxa"/>
            <w:hideMark/>
          </w:tcPr>
          <w:p w14:paraId="43D20C66" w14:textId="77777777" w:rsidR="0031700C" w:rsidRPr="00E003F0" w:rsidRDefault="0031700C" w:rsidP="00986700">
            <w:pPr>
              <w:jc w:val="center"/>
              <w:rPr>
                <w:sz w:val="16"/>
                <w:szCs w:val="16"/>
              </w:rPr>
            </w:pPr>
            <w:r w:rsidRPr="00E003F0">
              <w:rPr>
                <w:sz w:val="16"/>
                <w:szCs w:val="16"/>
              </w:rPr>
              <w:t>Programme 21</w:t>
            </w:r>
          </w:p>
        </w:tc>
      </w:tr>
      <w:tr w:rsidR="0031700C" w:rsidRPr="00E003F0" w14:paraId="70D0C9CB" w14:textId="77777777" w:rsidTr="00560330">
        <w:trPr>
          <w:cantSplit/>
        </w:trPr>
        <w:tc>
          <w:tcPr>
            <w:tcW w:w="2960" w:type="dxa"/>
            <w:hideMark/>
          </w:tcPr>
          <w:p w14:paraId="67FE8B94" w14:textId="77777777" w:rsidR="0031700C" w:rsidRPr="00E003F0" w:rsidRDefault="0031700C" w:rsidP="00986700">
            <w:pPr>
              <w:rPr>
                <w:sz w:val="16"/>
                <w:szCs w:val="16"/>
              </w:rPr>
            </w:pPr>
            <w:r w:rsidRPr="00E003F0">
              <w:rPr>
                <w:sz w:val="16"/>
                <w:szCs w:val="16"/>
              </w:rPr>
              <w:t> </w:t>
            </w:r>
          </w:p>
        </w:tc>
        <w:tc>
          <w:tcPr>
            <w:tcW w:w="3878" w:type="dxa"/>
            <w:hideMark/>
          </w:tcPr>
          <w:p w14:paraId="2B3D900C" w14:textId="77777777" w:rsidR="0031700C" w:rsidRPr="00E003F0" w:rsidRDefault="0031700C" w:rsidP="00986700">
            <w:pPr>
              <w:rPr>
                <w:sz w:val="16"/>
                <w:szCs w:val="16"/>
              </w:rPr>
            </w:pPr>
            <w:r w:rsidRPr="00E003F0">
              <w:rPr>
                <w:sz w:val="16"/>
                <w:szCs w:val="16"/>
              </w:rPr>
              <w:t>Paiements versés aux fournisseurs commerciaux dans les délais</w:t>
            </w:r>
          </w:p>
        </w:tc>
        <w:tc>
          <w:tcPr>
            <w:tcW w:w="2449" w:type="dxa"/>
            <w:hideMark/>
          </w:tcPr>
          <w:p w14:paraId="73CBE9AF" w14:textId="77777777" w:rsidR="0031700C" w:rsidRPr="00E003F0" w:rsidRDefault="0031700C" w:rsidP="00986700">
            <w:pPr>
              <w:jc w:val="center"/>
              <w:rPr>
                <w:sz w:val="16"/>
                <w:szCs w:val="16"/>
              </w:rPr>
            </w:pPr>
            <w:r w:rsidRPr="00E003F0">
              <w:rPr>
                <w:sz w:val="16"/>
                <w:szCs w:val="16"/>
              </w:rPr>
              <w:t>Programme 22</w:t>
            </w:r>
          </w:p>
        </w:tc>
      </w:tr>
      <w:tr w:rsidR="0031700C" w:rsidRPr="00E003F0" w14:paraId="5A836AF0" w14:textId="77777777" w:rsidTr="00560330">
        <w:trPr>
          <w:cantSplit/>
        </w:trPr>
        <w:tc>
          <w:tcPr>
            <w:tcW w:w="2960" w:type="dxa"/>
            <w:hideMark/>
          </w:tcPr>
          <w:p w14:paraId="14DA6E41" w14:textId="77777777" w:rsidR="0031700C" w:rsidRPr="00E003F0" w:rsidRDefault="0031700C" w:rsidP="00986700">
            <w:pPr>
              <w:rPr>
                <w:sz w:val="16"/>
                <w:szCs w:val="16"/>
              </w:rPr>
            </w:pPr>
            <w:r w:rsidRPr="00E003F0">
              <w:rPr>
                <w:sz w:val="16"/>
                <w:szCs w:val="16"/>
              </w:rPr>
              <w:lastRenderedPageBreak/>
              <w:t> </w:t>
            </w:r>
          </w:p>
        </w:tc>
        <w:tc>
          <w:tcPr>
            <w:tcW w:w="3878" w:type="dxa"/>
            <w:hideMark/>
          </w:tcPr>
          <w:p w14:paraId="1AC470AF" w14:textId="77777777" w:rsidR="0031700C" w:rsidRPr="00E003F0" w:rsidRDefault="0031700C" w:rsidP="00986700">
            <w:pPr>
              <w:rPr>
                <w:sz w:val="16"/>
                <w:szCs w:val="16"/>
              </w:rPr>
            </w:pPr>
            <w:r w:rsidRPr="00E003F0">
              <w:rPr>
                <w:sz w:val="16"/>
                <w:szCs w:val="16"/>
              </w:rPr>
              <w:t>Augmentation du nombre de candidatures provenant d’États membres non représentés et de pays situés dans des régions sous-représentées</w:t>
            </w:r>
          </w:p>
        </w:tc>
        <w:tc>
          <w:tcPr>
            <w:tcW w:w="2449" w:type="dxa"/>
            <w:hideMark/>
          </w:tcPr>
          <w:p w14:paraId="7D239E78" w14:textId="77777777" w:rsidR="0031700C" w:rsidRPr="00E003F0" w:rsidRDefault="0031700C" w:rsidP="00986700">
            <w:pPr>
              <w:jc w:val="center"/>
              <w:rPr>
                <w:sz w:val="16"/>
                <w:szCs w:val="16"/>
              </w:rPr>
            </w:pPr>
            <w:r w:rsidRPr="00E003F0">
              <w:rPr>
                <w:sz w:val="16"/>
                <w:szCs w:val="16"/>
              </w:rPr>
              <w:t>Programme 23</w:t>
            </w:r>
          </w:p>
        </w:tc>
      </w:tr>
      <w:tr w:rsidR="00560330" w:rsidRPr="00E003F0" w14:paraId="4D632D77" w14:textId="77777777" w:rsidTr="00560330">
        <w:trPr>
          <w:cantSplit/>
        </w:trPr>
        <w:tc>
          <w:tcPr>
            <w:tcW w:w="2960" w:type="dxa"/>
            <w:vMerge w:val="restart"/>
            <w:hideMark/>
          </w:tcPr>
          <w:p w14:paraId="7EAA5113" w14:textId="3AC7EE08" w:rsidR="00560330" w:rsidRPr="00E003F0" w:rsidRDefault="00560330" w:rsidP="00986700">
            <w:pPr>
              <w:rPr>
                <w:sz w:val="16"/>
                <w:szCs w:val="16"/>
              </w:rPr>
            </w:pPr>
            <w:r w:rsidRPr="00E003F0">
              <w:rPr>
                <w:sz w:val="16"/>
                <w:szCs w:val="16"/>
              </w:rPr>
              <w:t>IX.3 Un environnement de travail stimulant étayé par un cadre réglementaire efficace et des voies appropriées pour répondre aux préoccupations du personnel</w:t>
            </w:r>
          </w:p>
        </w:tc>
        <w:tc>
          <w:tcPr>
            <w:tcW w:w="3878" w:type="dxa"/>
            <w:hideMark/>
          </w:tcPr>
          <w:p w14:paraId="66F54893" w14:textId="77777777" w:rsidR="00560330" w:rsidRPr="00E003F0" w:rsidRDefault="00560330" w:rsidP="00986700">
            <w:pPr>
              <w:rPr>
                <w:sz w:val="16"/>
                <w:szCs w:val="16"/>
              </w:rPr>
            </w:pPr>
            <w:r w:rsidRPr="00E003F0">
              <w:rPr>
                <w:sz w:val="16"/>
                <w:szCs w:val="16"/>
              </w:rPr>
              <w:t>Pourcentage de fonctionnaires ayant connaissance des principes et des politiques de l’OMPI dans le domaine éthique</w:t>
            </w:r>
          </w:p>
        </w:tc>
        <w:tc>
          <w:tcPr>
            <w:tcW w:w="2449" w:type="dxa"/>
            <w:hideMark/>
          </w:tcPr>
          <w:p w14:paraId="6AEE2736" w14:textId="77777777" w:rsidR="00560330" w:rsidRPr="00E003F0" w:rsidRDefault="00560330" w:rsidP="00986700">
            <w:pPr>
              <w:jc w:val="center"/>
              <w:rPr>
                <w:sz w:val="16"/>
                <w:szCs w:val="16"/>
              </w:rPr>
            </w:pPr>
            <w:r w:rsidRPr="00E003F0">
              <w:rPr>
                <w:sz w:val="16"/>
                <w:szCs w:val="16"/>
              </w:rPr>
              <w:t>Programme 21</w:t>
            </w:r>
          </w:p>
        </w:tc>
      </w:tr>
      <w:tr w:rsidR="00560330" w:rsidRPr="00E003F0" w14:paraId="507095FB" w14:textId="77777777" w:rsidTr="00560330">
        <w:trPr>
          <w:cantSplit/>
        </w:trPr>
        <w:tc>
          <w:tcPr>
            <w:tcW w:w="2960" w:type="dxa"/>
            <w:vMerge/>
            <w:hideMark/>
          </w:tcPr>
          <w:p w14:paraId="70D408D1" w14:textId="1837B29C" w:rsidR="00560330" w:rsidRPr="00E003F0" w:rsidRDefault="00560330" w:rsidP="00986700">
            <w:pPr>
              <w:rPr>
                <w:sz w:val="16"/>
                <w:szCs w:val="16"/>
              </w:rPr>
            </w:pPr>
          </w:p>
        </w:tc>
        <w:tc>
          <w:tcPr>
            <w:tcW w:w="3878" w:type="dxa"/>
            <w:hideMark/>
          </w:tcPr>
          <w:p w14:paraId="11632AEC" w14:textId="77777777" w:rsidR="00560330" w:rsidRPr="00E003F0" w:rsidRDefault="00560330" w:rsidP="00986700">
            <w:pPr>
              <w:rPr>
                <w:sz w:val="16"/>
                <w:szCs w:val="16"/>
              </w:rPr>
            </w:pPr>
            <w:r w:rsidRPr="00E003F0">
              <w:rPr>
                <w:sz w:val="16"/>
                <w:szCs w:val="16"/>
              </w:rPr>
              <w:t>Sensibilisation et responsabilisation accrues des chefs de service concernant l’application du cadre réglementaire</w:t>
            </w:r>
          </w:p>
        </w:tc>
        <w:tc>
          <w:tcPr>
            <w:tcW w:w="2449" w:type="dxa"/>
            <w:hideMark/>
          </w:tcPr>
          <w:p w14:paraId="24724FEA" w14:textId="77777777" w:rsidR="00560330" w:rsidRPr="00E003F0" w:rsidRDefault="00560330" w:rsidP="00986700">
            <w:pPr>
              <w:jc w:val="center"/>
              <w:rPr>
                <w:sz w:val="16"/>
                <w:szCs w:val="16"/>
              </w:rPr>
            </w:pPr>
            <w:r w:rsidRPr="00E003F0">
              <w:rPr>
                <w:sz w:val="16"/>
                <w:szCs w:val="16"/>
              </w:rPr>
              <w:t>Programme 22</w:t>
            </w:r>
          </w:p>
        </w:tc>
      </w:tr>
      <w:tr w:rsidR="00560330" w:rsidRPr="00E003F0" w14:paraId="636F261D" w14:textId="77777777" w:rsidTr="00560330">
        <w:trPr>
          <w:cantSplit/>
        </w:trPr>
        <w:tc>
          <w:tcPr>
            <w:tcW w:w="2960" w:type="dxa"/>
            <w:vMerge w:val="restart"/>
            <w:hideMark/>
          </w:tcPr>
          <w:p w14:paraId="0A368D16" w14:textId="5FF98076" w:rsidR="00560330" w:rsidRPr="00E003F0" w:rsidRDefault="00560330" w:rsidP="00986700">
            <w:pPr>
              <w:rPr>
                <w:sz w:val="16"/>
                <w:szCs w:val="16"/>
              </w:rPr>
            </w:pPr>
            <w:r w:rsidRPr="00E003F0">
              <w:rPr>
                <w:sz w:val="16"/>
                <w:szCs w:val="16"/>
              </w:rPr>
              <w:t>IX.4 Une organisation écologiquement et socialement responsable assurant la sûreté et la sécurité du personnel, des délégués, des visiteurs, de l’information et des biens</w:t>
            </w:r>
          </w:p>
        </w:tc>
        <w:tc>
          <w:tcPr>
            <w:tcW w:w="3878" w:type="dxa"/>
            <w:hideMark/>
          </w:tcPr>
          <w:p w14:paraId="69CF42BB" w14:textId="77777777" w:rsidR="00560330" w:rsidRPr="00E003F0" w:rsidRDefault="00560330" w:rsidP="00986700">
            <w:pPr>
              <w:rPr>
                <w:sz w:val="16"/>
                <w:szCs w:val="16"/>
              </w:rPr>
            </w:pPr>
            <w:r w:rsidRPr="00E003F0">
              <w:rPr>
                <w:sz w:val="16"/>
                <w:szCs w:val="16"/>
              </w:rPr>
              <w:t>Amélioration de l’accès physique au campus de l’OMPI</w:t>
            </w:r>
          </w:p>
        </w:tc>
        <w:tc>
          <w:tcPr>
            <w:tcW w:w="2449" w:type="dxa"/>
            <w:hideMark/>
          </w:tcPr>
          <w:p w14:paraId="4F3FF38C" w14:textId="77777777" w:rsidR="00560330" w:rsidRPr="00E003F0" w:rsidRDefault="00560330" w:rsidP="00986700">
            <w:pPr>
              <w:jc w:val="center"/>
              <w:rPr>
                <w:sz w:val="16"/>
                <w:szCs w:val="16"/>
              </w:rPr>
            </w:pPr>
            <w:r w:rsidRPr="00E003F0">
              <w:rPr>
                <w:sz w:val="16"/>
                <w:szCs w:val="16"/>
              </w:rPr>
              <w:t>Programme 24</w:t>
            </w:r>
          </w:p>
        </w:tc>
      </w:tr>
      <w:tr w:rsidR="00560330" w:rsidRPr="00E003F0" w14:paraId="3363E133" w14:textId="77777777" w:rsidTr="00560330">
        <w:trPr>
          <w:cantSplit/>
        </w:trPr>
        <w:tc>
          <w:tcPr>
            <w:tcW w:w="2960" w:type="dxa"/>
            <w:vMerge/>
            <w:hideMark/>
          </w:tcPr>
          <w:p w14:paraId="3A1601B9" w14:textId="17B797B7" w:rsidR="00560330" w:rsidRPr="00E003F0" w:rsidRDefault="00560330" w:rsidP="00986700">
            <w:pPr>
              <w:rPr>
                <w:sz w:val="16"/>
                <w:szCs w:val="16"/>
              </w:rPr>
            </w:pPr>
          </w:p>
        </w:tc>
        <w:tc>
          <w:tcPr>
            <w:tcW w:w="3878" w:type="dxa"/>
            <w:hideMark/>
          </w:tcPr>
          <w:p w14:paraId="794CF237" w14:textId="77777777" w:rsidR="00560330" w:rsidRPr="00E003F0" w:rsidRDefault="00560330" w:rsidP="00986700">
            <w:pPr>
              <w:rPr>
                <w:sz w:val="16"/>
                <w:szCs w:val="16"/>
              </w:rPr>
            </w:pPr>
            <w:r w:rsidRPr="00E003F0">
              <w:rPr>
                <w:sz w:val="16"/>
                <w:szCs w:val="16"/>
              </w:rPr>
              <w:t>Réduction de l’impact environnemental des activités de l’OMPI</w:t>
            </w:r>
          </w:p>
        </w:tc>
        <w:tc>
          <w:tcPr>
            <w:tcW w:w="2449" w:type="dxa"/>
            <w:hideMark/>
          </w:tcPr>
          <w:p w14:paraId="17F52A49" w14:textId="77777777" w:rsidR="00560330" w:rsidRPr="00E003F0" w:rsidRDefault="00560330" w:rsidP="00986700">
            <w:pPr>
              <w:jc w:val="center"/>
              <w:rPr>
                <w:sz w:val="16"/>
                <w:szCs w:val="16"/>
              </w:rPr>
            </w:pPr>
            <w:r w:rsidRPr="00E003F0">
              <w:rPr>
                <w:sz w:val="16"/>
                <w:szCs w:val="16"/>
              </w:rPr>
              <w:t>Programme 24</w:t>
            </w:r>
          </w:p>
        </w:tc>
      </w:tr>
      <w:tr w:rsidR="00560330" w:rsidRPr="00E003F0" w14:paraId="4596D544" w14:textId="77777777" w:rsidTr="00560330">
        <w:trPr>
          <w:cantSplit/>
        </w:trPr>
        <w:tc>
          <w:tcPr>
            <w:tcW w:w="2960" w:type="dxa"/>
            <w:vMerge/>
            <w:hideMark/>
          </w:tcPr>
          <w:p w14:paraId="19C34197" w14:textId="74118F2C" w:rsidR="00560330" w:rsidRPr="00E003F0" w:rsidRDefault="00560330" w:rsidP="00986700">
            <w:pPr>
              <w:rPr>
                <w:sz w:val="16"/>
                <w:szCs w:val="16"/>
              </w:rPr>
            </w:pPr>
          </w:p>
        </w:tc>
        <w:tc>
          <w:tcPr>
            <w:tcW w:w="3878" w:type="dxa"/>
            <w:hideMark/>
          </w:tcPr>
          <w:p w14:paraId="72B7EC15" w14:textId="77777777" w:rsidR="00560330" w:rsidRPr="00E003F0" w:rsidRDefault="00560330" w:rsidP="00986700">
            <w:pPr>
              <w:rPr>
                <w:sz w:val="16"/>
                <w:szCs w:val="16"/>
              </w:rPr>
            </w:pPr>
            <w:r w:rsidRPr="00E003F0">
              <w:rPr>
                <w:sz w:val="16"/>
                <w:szCs w:val="16"/>
              </w:rPr>
              <w:t>Les bureaux de l’OMPI respectent les normes découlant des évaluations des risques en matière de sécurité</w:t>
            </w:r>
          </w:p>
        </w:tc>
        <w:tc>
          <w:tcPr>
            <w:tcW w:w="2449" w:type="dxa"/>
            <w:hideMark/>
          </w:tcPr>
          <w:p w14:paraId="14E8E49B" w14:textId="77777777" w:rsidR="00560330" w:rsidRPr="00E003F0" w:rsidRDefault="00560330" w:rsidP="00986700">
            <w:pPr>
              <w:jc w:val="center"/>
              <w:rPr>
                <w:sz w:val="16"/>
                <w:szCs w:val="16"/>
              </w:rPr>
            </w:pPr>
            <w:r w:rsidRPr="00E003F0">
              <w:rPr>
                <w:sz w:val="16"/>
                <w:szCs w:val="16"/>
              </w:rPr>
              <w:t>Programme 28</w:t>
            </w:r>
          </w:p>
        </w:tc>
      </w:tr>
      <w:tr w:rsidR="0031700C" w:rsidRPr="00E003F0" w14:paraId="495B1EBC" w14:textId="77777777" w:rsidTr="00560330">
        <w:trPr>
          <w:cantSplit/>
        </w:trPr>
        <w:tc>
          <w:tcPr>
            <w:tcW w:w="2960" w:type="dxa"/>
            <w:hideMark/>
          </w:tcPr>
          <w:p w14:paraId="46806C11" w14:textId="77777777" w:rsidR="0031700C" w:rsidRPr="00E003F0" w:rsidRDefault="0031700C" w:rsidP="00986700">
            <w:pPr>
              <w:rPr>
                <w:sz w:val="16"/>
                <w:szCs w:val="16"/>
              </w:rPr>
            </w:pPr>
            <w:r w:rsidRPr="00E003F0">
              <w:rPr>
                <w:sz w:val="16"/>
                <w:szCs w:val="16"/>
              </w:rPr>
              <w:t> </w:t>
            </w:r>
          </w:p>
        </w:tc>
        <w:tc>
          <w:tcPr>
            <w:tcW w:w="3878" w:type="dxa"/>
            <w:hideMark/>
          </w:tcPr>
          <w:p w14:paraId="47BEA443" w14:textId="102D4761" w:rsidR="0031700C" w:rsidRPr="00E003F0" w:rsidRDefault="0031700C" w:rsidP="00986700">
            <w:pPr>
              <w:rPr>
                <w:sz w:val="16"/>
                <w:szCs w:val="16"/>
              </w:rPr>
            </w:pPr>
            <w:r w:rsidRPr="00E003F0">
              <w:rPr>
                <w:sz w:val="16"/>
                <w:szCs w:val="16"/>
              </w:rPr>
              <w:t xml:space="preserve">Pourcentage de risques pour l’information, y compris les risques tiers, détectés et gérés conformément aux seuils </w:t>
            </w:r>
            <w:r w:rsidR="00560330">
              <w:rPr>
                <w:sz w:val="16"/>
                <w:szCs w:val="16"/>
              </w:rPr>
              <w:t>de tolérance définis par l’OMPI</w:t>
            </w:r>
          </w:p>
        </w:tc>
        <w:tc>
          <w:tcPr>
            <w:tcW w:w="2449" w:type="dxa"/>
            <w:hideMark/>
          </w:tcPr>
          <w:p w14:paraId="77B0813E" w14:textId="77777777" w:rsidR="0031700C" w:rsidRPr="00E003F0" w:rsidRDefault="0031700C" w:rsidP="00986700">
            <w:pPr>
              <w:jc w:val="center"/>
              <w:rPr>
                <w:sz w:val="16"/>
                <w:szCs w:val="16"/>
              </w:rPr>
            </w:pPr>
            <w:r w:rsidRPr="00E003F0">
              <w:rPr>
                <w:sz w:val="16"/>
                <w:szCs w:val="16"/>
              </w:rPr>
              <w:t>Programme 28</w:t>
            </w:r>
          </w:p>
        </w:tc>
      </w:tr>
      <w:tr w:rsidR="0031700C" w:rsidRPr="00E003F0" w14:paraId="5CE2EF79" w14:textId="77777777" w:rsidTr="00560330">
        <w:trPr>
          <w:cantSplit/>
        </w:trPr>
        <w:tc>
          <w:tcPr>
            <w:tcW w:w="2960" w:type="dxa"/>
            <w:hideMark/>
          </w:tcPr>
          <w:p w14:paraId="47B6EBD6" w14:textId="77777777" w:rsidR="0031700C" w:rsidRPr="00E003F0" w:rsidRDefault="0031700C" w:rsidP="00986700">
            <w:pPr>
              <w:rPr>
                <w:sz w:val="16"/>
                <w:szCs w:val="16"/>
              </w:rPr>
            </w:pPr>
            <w:r w:rsidRPr="00E003F0">
              <w:rPr>
                <w:sz w:val="16"/>
                <w:szCs w:val="16"/>
              </w:rPr>
              <w:t> </w:t>
            </w:r>
          </w:p>
        </w:tc>
        <w:tc>
          <w:tcPr>
            <w:tcW w:w="3878" w:type="dxa"/>
            <w:hideMark/>
          </w:tcPr>
          <w:p w14:paraId="4F824CE7" w14:textId="77777777" w:rsidR="0031700C" w:rsidRPr="00E003F0" w:rsidRDefault="0031700C" w:rsidP="00986700">
            <w:pPr>
              <w:rPr>
                <w:sz w:val="16"/>
                <w:szCs w:val="16"/>
              </w:rPr>
            </w:pPr>
            <w:r w:rsidRPr="00E003F0">
              <w:rPr>
                <w:sz w:val="16"/>
                <w:szCs w:val="16"/>
              </w:rPr>
              <w:t>Les failles en matière de sécurité de l’information sont corrigées dans les délais convenus</w:t>
            </w:r>
          </w:p>
        </w:tc>
        <w:tc>
          <w:tcPr>
            <w:tcW w:w="2449" w:type="dxa"/>
            <w:hideMark/>
          </w:tcPr>
          <w:p w14:paraId="54CD23CA" w14:textId="77777777" w:rsidR="0031700C" w:rsidRPr="00E003F0" w:rsidRDefault="0031700C" w:rsidP="00986700">
            <w:pPr>
              <w:jc w:val="center"/>
              <w:rPr>
                <w:sz w:val="16"/>
                <w:szCs w:val="16"/>
              </w:rPr>
            </w:pPr>
            <w:r w:rsidRPr="00E003F0">
              <w:rPr>
                <w:sz w:val="16"/>
                <w:szCs w:val="16"/>
              </w:rPr>
              <w:t>Programme 28</w:t>
            </w:r>
          </w:p>
        </w:tc>
      </w:tr>
      <w:tr w:rsidR="0031700C" w:rsidRPr="00E003F0" w14:paraId="2F11A596" w14:textId="77777777" w:rsidTr="00560330">
        <w:trPr>
          <w:cantSplit/>
        </w:trPr>
        <w:tc>
          <w:tcPr>
            <w:tcW w:w="2960" w:type="dxa"/>
            <w:hideMark/>
          </w:tcPr>
          <w:p w14:paraId="0909CECD" w14:textId="77777777" w:rsidR="0031700C" w:rsidRPr="00E003F0" w:rsidRDefault="0031700C" w:rsidP="00986700">
            <w:pPr>
              <w:rPr>
                <w:sz w:val="16"/>
                <w:szCs w:val="16"/>
              </w:rPr>
            </w:pPr>
            <w:r w:rsidRPr="00E003F0">
              <w:rPr>
                <w:sz w:val="16"/>
                <w:szCs w:val="16"/>
              </w:rPr>
              <w:t> </w:t>
            </w:r>
          </w:p>
        </w:tc>
        <w:tc>
          <w:tcPr>
            <w:tcW w:w="3878" w:type="dxa"/>
            <w:hideMark/>
          </w:tcPr>
          <w:p w14:paraId="584F39C8" w14:textId="12F64992" w:rsidR="0031700C" w:rsidRPr="00E003F0" w:rsidRDefault="0031700C" w:rsidP="00986700">
            <w:pPr>
              <w:rPr>
                <w:sz w:val="16"/>
                <w:szCs w:val="16"/>
              </w:rPr>
            </w:pPr>
            <w:r w:rsidRPr="00E003F0">
              <w:rPr>
                <w:sz w:val="16"/>
                <w:szCs w:val="16"/>
              </w:rPr>
              <w:t xml:space="preserve">Respect accru </w:t>
            </w:r>
            <w:r w:rsidR="00560330">
              <w:rPr>
                <w:sz w:val="16"/>
                <w:szCs w:val="16"/>
              </w:rPr>
              <w:t>du manuel consacré à</w:t>
            </w:r>
            <w:r w:rsidRPr="00E003F0">
              <w:rPr>
                <w:sz w:val="16"/>
                <w:szCs w:val="16"/>
              </w:rPr>
              <w:t xml:space="preserve"> l’organisation générale des responsabilités dans le système de gestion de la sécurité des organismes des Nations Unies</w:t>
            </w:r>
          </w:p>
        </w:tc>
        <w:tc>
          <w:tcPr>
            <w:tcW w:w="2449" w:type="dxa"/>
            <w:hideMark/>
          </w:tcPr>
          <w:p w14:paraId="7268870B" w14:textId="77777777" w:rsidR="0031700C" w:rsidRPr="00E003F0" w:rsidRDefault="0031700C" w:rsidP="00986700">
            <w:pPr>
              <w:jc w:val="center"/>
              <w:rPr>
                <w:sz w:val="16"/>
                <w:szCs w:val="16"/>
              </w:rPr>
            </w:pPr>
            <w:r w:rsidRPr="00E003F0">
              <w:rPr>
                <w:sz w:val="16"/>
                <w:szCs w:val="16"/>
              </w:rPr>
              <w:t>Programme 28</w:t>
            </w:r>
          </w:p>
        </w:tc>
      </w:tr>
      <w:tr w:rsidR="0031700C" w:rsidRPr="00E003F0" w14:paraId="308F1824" w14:textId="77777777" w:rsidTr="00560330">
        <w:trPr>
          <w:cantSplit/>
        </w:trPr>
        <w:tc>
          <w:tcPr>
            <w:tcW w:w="2960" w:type="dxa"/>
            <w:hideMark/>
          </w:tcPr>
          <w:p w14:paraId="530A373E" w14:textId="77777777" w:rsidR="0031700C" w:rsidRPr="00E003F0" w:rsidRDefault="0031700C" w:rsidP="00986700">
            <w:pPr>
              <w:rPr>
                <w:sz w:val="16"/>
                <w:szCs w:val="16"/>
              </w:rPr>
            </w:pPr>
            <w:r w:rsidRPr="00E003F0">
              <w:rPr>
                <w:sz w:val="16"/>
                <w:szCs w:val="16"/>
              </w:rPr>
              <w:t> </w:t>
            </w:r>
          </w:p>
        </w:tc>
        <w:tc>
          <w:tcPr>
            <w:tcW w:w="3878" w:type="dxa"/>
            <w:hideMark/>
          </w:tcPr>
          <w:p w14:paraId="49F637DD" w14:textId="77777777" w:rsidR="0031700C" w:rsidRPr="00E003F0" w:rsidRDefault="0031700C" w:rsidP="00986700">
            <w:pPr>
              <w:rPr>
                <w:sz w:val="16"/>
                <w:szCs w:val="16"/>
              </w:rPr>
            </w:pPr>
            <w:r w:rsidRPr="00E003F0">
              <w:rPr>
                <w:sz w:val="16"/>
                <w:szCs w:val="16"/>
              </w:rPr>
              <w:t>Respect accru des politiques en matière de sécurité informatique</w:t>
            </w:r>
          </w:p>
        </w:tc>
        <w:tc>
          <w:tcPr>
            <w:tcW w:w="2449" w:type="dxa"/>
            <w:hideMark/>
          </w:tcPr>
          <w:p w14:paraId="05C9FA2C" w14:textId="77777777" w:rsidR="0031700C" w:rsidRPr="00E003F0" w:rsidRDefault="0031700C" w:rsidP="00986700">
            <w:pPr>
              <w:jc w:val="center"/>
              <w:rPr>
                <w:sz w:val="16"/>
                <w:szCs w:val="16"/>
              </w:rPr>
            </w:pPr>
            <w:r w:rsidRPr="00E003F0">
              <w:rPr>
                <w:sz w:val="16"/>
                <w:szCs w:val="16"/>
              </w:rPr>
              <w:t>Programme 28</w:t>
            </w:r>
          </w:p>
        </w:tc>
      </w:tr>
      <w:tr w:rsidR="0031700C" w:rsidRPr="00E003F0" w14:paraId="7D2A1AD5" w14:textId="77777777" w:rsidTr="00560330">
        <w:trPr>
          <w:cantSplit/>
        </w:trPr>
        <w:tc>
          <w:tcPr>
            <w:tcW w:w="2960" w:type="dxa"/>
            <w:hideMark/>
          </w:tcPr>
          <w:p w14:paraId="7C9DF2B8" w14:textId="77777777" w:rsidR="0031700C" w:rsidRPr="00E003F0" w:rsidRDefault="0031700C" w:rsidP="00986700">
            <w:pPr>
              <w:rPr>
                <w:sz w:val="16"/>
                <w:szCs w:val="16"/>
              </w:rPr>
            </w:pPr>
            <w:r w:rsidRPr="00E003F0">
              <w:rPr>
                <w:sz w:val="16"/>
                <w:szCs w:val="16"/>
              </w:rPr>
              <w:t> </w:t>
            </w:r>
          </w:p>
        </w:tc>
        <w:tc>
          <w:tcPr>
            <w:tcW w:w="3878" w:type="dxa"/>
            <w:hideMark/>
          </w:tcPr>
          <w:p w14:paraId="52756E49" w14:textId="77777777" w:rsidR="0031700C" w:rsidRPr="00E003F0" w:rsidRDefault="0031700C" w:rsidP="00986700">
            <w:pPr>
              <w:rPr>
                <w:sz w:val="16"/>
                <w:szCs w:val="16"/>
              </w:rPr>
            </w:pPr>
            <w:r w:rsidRPr="00E003F0">
              <w:rPr>
                <w:sz w:val="16"/>
                <w:szCs w:val="16"/>
              </w:rPr>
              <w:t>Capacité accrue de détection des menaces informatiques et de réaction à ces menaces, garantissant une interruption minimale des opérations.</w:t>
            </w:r>
          </w:p>
        </w:tc>
        <w:tc>
          <w:tcPr>
            <w:tcW w:w="2449" w:type="dxa"/>
            <w:hideMark/>
          </w:tcPr>
          <w:p w14:paraId="7E14C081" w14:textId="77777777" w:rsidR="0031700C" w:rsidRPr="00E003F0" w:rsidRDefault="0031700C" w:rsidP="00986700">
            <w:pPr>
              <w:jc w:val="center"/>
              <w:rPr>
                <w:sz w:val="16"/>
                <w:szCs w:val="16"/>
              </w:rPr>
            </w:pPr>
            <w:r w:rsidRPr="00E003F0">
              <w:rPr>
                <w:sz w:val="16"/>
                <w:szCs w:val="16"/>
              </w:rPr>
              <w:t>Programme 28</w:t>
            </w:r>
          </w:p>
        </w:tc>
      </w:tr>
      <w:tr w:rsidR="00560330" w:rsidRPr="00E003F0" w14:paraId="116661BF" w14:textId="77777777" w:rsidTr="00560330">
        <w:trPr>
          <w:cantSplit/>
        </w:trPr>
        <w:tc>
          <w:tcPr>
            <w:tcW w:w="2960" w:type="dxa"/>
            <w:vMerge w:val="restart"/>
            <w:hideMark/>
          </w:tcPr>
          <w:p w14:paraId="65497DE0" w14:textId="5892C5B2" w:rsidR="00560330" w:rsidRPr="00E003F0" w:rsidRDefault="00560330" w:rsidP="00986700">
            <w:pPr>
              <w:rPr>
                <w:sz w:val="16"/>
                <w:szCs w:val="16"/>
              </w:rPr>
            </w:pPr>
            <w:r w:rsidRPr="00E003F0">
              <w:rPr>
                <w:sz w:val="16"/>
                <w:szCs w:val="16"/>
              </w:rPr>
              <w:t>IX.5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3878" w:type="dxa"/>
            <w:hideMark/>
          </w:tcPr>
          <w:p w14:paraId="4F6EEC6A" w14:textId="77777777" w:rsidR="00560330" w:rsidRPr="00E003F0" w:rsidRDefault="00560330" w:rsidP="00986700">
            <w:pPr>
              <w:rPr>
                <w:sz w:val="16"/>
                <w:szCs w:val="16"/>
              </w:rPr>
            </w:pPr>
            <w:r w:rsidRPr="00E003F0">
              <w:rPr>
                <w:sz w:val="16"/>
                <w:szCs w:val="16"/>
              </w:rPr>
              <w:t>Aucune interférence et indépendance perçue par les principales parties prenantes</w:t>
            </w:r>
          </w:p>
        </w:tc>
        <w:tc>
          <w:tcPr>
            <w:tcW w:w="2449" w:type="dxa"/>
            <w:hideMark/>
          </w:tcPr>
          <w:p w14:paraId="6D7089E1" w14:textId="77777777" w:rsidR="00560330" w:rsidRPr="00E003F0" w:rsidRDefault="00560330" w:rsidP="00986700">
            <w:pPr>
              <w:jc w:val="center"/>
              <w:rPr>
                <w:sz w:val="16"/>
                <w:szCs w:val="16"/>
              </w:rPr>
            </w:pPr>
            <w:r w:rsidRPr="00E003F0">
              <w:rPr>
                <w:sz w:val="16"/>
                <w:szCs w:val="16"/>
              </w:rPr>
              <w:t>Programme 26</w:t>
            </w:r>
          </w:p>
        </w:tc>
      </w:tr>
      <w:tr w:rsidR="00560330" w:rsidRPr="00E003F0" w14:paraId="59D3E381" w14:textId="77777777" w:rsidTr="00560330">
        <w:trPr>
          <w:cantSplit/>
        </w:trPr>
        <w:tc>
          <w:tcPr>
            <w:tcW w:w="2960" w:type="dxa"/>
            <w:vMerge/>
            <w:hideMark/>
          </w:tcPr>
          <w:p w14:paraId="1FC08A2C" w14:textId="7EB3CB1B" w:rsidR="00560330" w:rsidRPr="00E003F0" w:rsidRDefault="00560330" w:rsidP="00986700">
            <w:pPr>
              <w:rPr>
                <w:sz w:val="16"/>
                <w:szCs w:val="16"/>
              </w:rPr>
            </w:pPr>
          </w:p>
        </w:tc>
        <w:tc>
          <w:tcPr>
            <w:tcW w:w="3878" w:type="dxa"/>
            <w:hideMark/>
          </w:tcPr>
          <w:p w14:paraId="38816CC9" w14:textId="77777777" w:rsidR="00560330" w:rsidRPr="00E003F0" w:rsidRDefault="00560330" w:rsidP="00986700">
            <w:pPr>
              <w:rPr>
                <w:sz w:val="16"/>
                <w:szCs w:val="16"/>
              </w:rPr>
            </w:pPr>
            <w:r w:rsidRPr="00E003F0">
              <w:rPr>
                <w:sz w:val="16"/>
                <w:szCs w:val="16"/>
              </w:rPr>
              <w:t>Pourcentage des travaux de supervision achevés et ayant fait l’objet d’un rapport dans les délais impartis</w:t>
            </w:r>
          </w:p>
        </w:tc>
        <w:tc>
          <w:tcPr>
            <w:tcW w:w="2449" w:type="dxa"/>
            <w:hideMark/>
          </w:tcPr>
          <w:p w14:paraId="58373AB4" w14:textId="77777777" w:rsidR="00560330" w:rsidRPr="00E003F0" w:rsidRDefault="00560330" w:rsidP="00986700">
            <w:pPr>
              <w:jc w:val="center"/>
              <w:rPr>
                <w:sz w:val="16"/>
                <w:szCs w:val="16"/>
              </w:rPr>
            </w:pPr>
            <w:r w:rsidRPr="00E003F0">
              <w:rPr>
                <w:sz w:val="16"/>
                <w:szCs w:val="16"/>
              </w:rPr>
              <w:t>Programme 26</w:t>
            </w:r>
          </w:p>
        </w:tc>
      </w:tr>
      <w:tr w:rsidR="00560330" w:rsidRPr="00E003F0" w14:paraId="6BF9D760" w14:textId="77777777" w:rsidTr="00560330">
        <w:trPr>
          <w:cantSplit/>
        </w:trPr>
        <w:tc>
          <w:tcPr>
            <w:tcW w:w="2960" w:type="dxa"/>
            <w:vMerge/>
            <w:hideMark/>
          </w:tcPr>
          <w:p w14:paraId="30CBBD15" w14:textId="700604F0" w:rsidR="00560330" w:rsidRPr="00E003F0" w:rsidRDefault="00560330" w:rsidP="00986700">
            <w:pPr>
              <w:rPr>
                <w:sz w:val="16"/>
                <w:szCs w:val="16"/>
              </w:rPr>
            </w:pPr>
          </w:p>
        </w:tc>
        <w:tc>
          <w:tcPr>
            <w:tcW w:w="3878" w:type="dxa"/>
            <w:hideMark/>
          </w:tcPr>
          <w:p w14:paraId="132193B7" w14:textId="77777777" w:rsidR="00560330" w:rsidRPr="00E003F0" w:rsidRDefault="00560330" w:rsidP="00986700">
            <w:pPr>
              <w:rPr>
                <w:sz w:val="16"/>
                <w:szCs w:val="16"/>
              </w:rPr>
            </w:pPr>
            <w:r w:rsidRPr="00E003F0">
              <w:rPr>
                <w:sz w:val="16"/>
                <w:szCs w:val="16"/>
              </w:rPr>
              <w:t>Pourcentage de parties prenantes internes qui considèrent que les recommandations de la DSI sont précises, mesurables, réalistes, pertinentes et assorties de délais (SMART)</w:t>
            </w:r>
          </w:p>
        </w:tc>
        <w:tc>
          <w:tcPr>
            <w:tcW w:w="2449" w:type="dxa"/>
            <w:hideMark/>
          </w:tcPr>
          <w:p w14:paraId="0A2C9918" w14:textId="77777777" w:rsidR="00560330" w:rsidRPr="00E003F0" w:rsidRDefault="00560330" w:rsidP="00986700">
            <w:pPr>
              <w:jc w:val="center"/>
              <w:rPr>
                <w:sz w:val="16"/>
                <w:szCs w:val="16"/>
              </w:rPr>
            </w:pPr>
            <w:r w:rsidRPr="00E003F0">
              <w:rPr>
                <w:sz w:val="16"/>
                <w:szCs w:val="16"/>
              </w:rPr>
              <w:t>Programme 26</w:t>
            </w:r>
          </w:p>
        </w:tc>
      </w:tr>
      <w:tr w:rsidR="00560330" w:rsidRPr="00E003F0" w14:paraId="4A2B5AF1" w14:textId="77777777" w:rsidTr="00560330">
        <w:trPr>
          <w:cantSplit/>
        </w:trPr>
        <w:tc>
          <w:tcPr>
            <w:tcW w:w="2960" w:type="dxa"/>
            <w:vMerge/>
            <w:hideMark/>
          </w:tcPr>
          <w:p w14:paraId="6AC87DC6" w14:textId="10447C3E" w:rsidR="00560330" w:rsidRPr="00E003F0" w:rsidRDefault="00560330" w:rsidP="00986700">
            <w:pPr>
              <w:rPr>
                <w:sz w:val="16"/>
                <w:szCs w:val="16"/>
              </w:rPr>
            </w:pPr>
          </w:p>
        </w:tc>
        <w:tc>
          <w:tcPr>
            <w:tcW w:w="3878" w:type="dxa"/>
            <w:hideMark/>
          </w:tcPr>
          <w:p w14:paraId="288E1788" w14:textId="77777777" w:rsidR="00560330" w:rsidRPr="00E003F0" w:rsidRDefault="00560330" w:rsidP="00986700">
            <w:pPr>
              <w:rPr>
                <w:sz w:val="16"/>
                <w:szCs w:val="16"/>
              </w:rPr>
            </w:pPr>
            <w:r w:rsidRPr="00E003F0">
              <w:rPr>
                <w:sz w:val="16"/>
                <w:szCs w:val="16"/>
              </w:rPr>
              <w:t>Pourcentage de parties prenantes internes qui considèrent que les travaux de supervision sont pertinents</w:t>
            </w:r>
          </w:p>
        </w:tc>
        <w:tc>
          <w:tcPr>
            <w:tcW w:w="2449" w:type="dxa"/>
            <w:hideMark/>
          </w:tcPr>
          <w:p w14:paraId="6E2986F5" w14:textId="77777777" w:rsidR="00560330" w:rsidRPr="00E003F0" w:rsidRDefault="00560330" w:rsidP="00986700">
            <w:pPr>
              <w:jc w:val="center"/>
              <w:rPr>
                <w:sz w:val="16"/>
                <w:szCs w:val="16"/>
              </w:rPr>
            </w:pPr>
            <w:r w:rsidRPr="00E003F0">
              <w:rPr>
                <w:sz w:val="16"/>
                <w:szCs w:val="16"/>
              </w:rPr>
              <w:t>Programme 26</w:t>
            </w:r>
          </w:p>
        </w:tc>
      </w:tr>
      <w:tr w:rsidR="00560330" w:rsidRPr="00E003F0" w14:paraId="5087006A" w14:textId="77777777" w:rsidTr="00560330">
        <w:trPr>
          <w:cantSplit/>
        </w:trPr>
        <w:tc>
          <w:tcPr>
            <w:tcW w:w="2960" w:type="dxa"/>
            <w:vMerge/>
            <w:hideMark/>
          </w:tcPr>
          <w:p w14:paraId="7C4CA5A4" w14:textId="4CD4763A" w:rsidR="00560330" w:rsidRPr="00E003F0" w:rsidRDefault="00560330" w:rsidP="00986700">
            <w:pPr>
              <w:rPr>
                <w:sz w:val="16"/>
                <w:szCs w:val="16"/>
              </w:rPr>
            </w:pPr>
          </w:p>
        </w:tc>
        <w:tc>
          <w:tcPr>
            <w:tcW w:w="3878" w:type="dxa"/>
            <w:hideMark/>
          </w:tcPr>
          <w:p w14:paraId="237B7978" w14:textId="77777777" w:rsidR="00560330" w:rsidRPr="00E003F0" w:rsidRDefault="00560330" w:rsidP="00986700">
            <w:pPr>
              <w:rPr>
                <w:sz w:val="16"/>
                <w:szCs w:val="16"/>
              </w:rPr>
            </w:pPr>
            <w:r w:rsidRPr="00E003F0">
              <w:rPr>
                <w:sz w:val="16"/>
                <w:szCs w:val="16"/>
              </w:rPr>
              <w:t>Nombre de recommandations en matière de supervision acceptées et mises en œuvre</w:t>
            </w:r>
          </w:p>
        </w:tc>
        <w:tc>
          <w:tcPr>
            <w:tcW w:w="2449" w:type="dxa"/>
            <w:hideMark/>
          </w:tcPr>
          <w:p w14:paraId="52EFB1DB" w14:textId="77777777" w:rsidR="00560330" w:rsidRPr="00E003F0" w:rsidRDefault="00560330" w:rsidP="00986700">
            <w:pPr>
              <w:jc w:val="center"/>
              <w:rPr>
                <w:sz w:val="16"/>
                <w:szCs w:val="16"/>
              </w:rPr>
            </w:pPr>
            <w:r w:rsidRPr="00E003F0">
              <w:rPr>
                <w:sz w:val="16"/>
                <w:szCs w:val="16"/>
              </w:rPr>
              <w:t>Programme 26</w:t>
            </w:r>
          </w:p>
        </w:tc>
      </w:tr>
    </w:tbl>
    <w:p w14:paraId="41702874" w14:textId="77777777" w:rsidR="0031700C" w:rsidRPr="00E003F0" w:rsidRDefault="0031700C" w:rsidP="00986700"/>
    <w:p w14:paraId="797E7ABB" w14:textId="77777777" w:rsidR="0031700C" w:rsidRDefault="0031700C" w:rsidP="00986700">
      <w:pPr>
        <w:rPr>
          <w:b/>
          <w:caps/>
          <w:sz w:val="22"/>
        </w:rPr>
      </w:pPr>
      <w:r>
        <w:br w:type="page"/>
      </w:r>
    </w:p>
    <w:p w14:paraId="07956FFD" w14:textId="06CCCA6D" w:rsidR="00426A7C" w:rsidRPr="0060494B" w:rsidRDefault="0060494B" w:rsidP="00986700">
      <w:pPr>
        <w:pStyle w:val="Heading2"/>
      </w:pPr>
      <w:bookmarkStart w:id="75" w:name="_Toc482979506"/>
      <w:r w:rsidRPr="0060494B">
        <w:lastRenderedPageBreak/>
        <w:t>Programme </w:t>
      </w:r>
      <w:r w:rsidR="00426A7C" w:rsidRPr="0060494B">
        <w:t>21</w:t>
      </w:r>
      <w:r w:rsidR="00426A7C" w:rsidRPr="0060494B">
        <w:tab/>
      </w:r>
      <w:r w:rsidRPr="0060494B">
        <w:t>Direction générale</w:t>
      </w:r>
      <w:bookmarkEnd w:id="75"/>
    </w:p>
    <w:p w14:paraId="0AF5E05B" w14:textId="77777777" w:rsidR="00426A7C" w:rsidRPr="00E33B0D" w:rsidRDefault="00426A7C" w:rsidP="00986700">
      <w:pPr>
        <w:pStyle w:val="StyleHeading3ComplexItalic"/>
        <w:rPr>
          <w:rStyle w:val="StyleStyleHeading3ComplexItalicLatin12ptChar"/>
          <w:rFonts w:eastAsia="SimSun"/>
          <w:b/>
          <w:szCs w:val="20"/>
        </w:rPr>
      </w:pPr>
    </w:p>
    <w:p w14:paraId="15ACB351" w14:textId="77777777" w:rsidR="00426A7C" w:rsidRPr="00E33B0D" w:rsidRDefault="00426A7C" w:rsidP="00986700">
      <w:pPr>
        <w:pStyle w:val="StyleHeading3ComplexItalic"/>
        <w:rPr>
          <w:rStyle w:val="StyleStyleHeading3ComplexItalicLatin12ptChar"/>
          <w:rFonts w:eastAsia="SimSun"/>
          <w:szCs w:val="20"/>
        </w:rPr>
      </w:pPr>
    </w:p>
    <w:tbl>
      <w:tblPr>
        <w:tblW w:w="5000" w:type="pct"/>
        <w:tblCellMar>
          <w:top w:w="57" w:type="dxa"/>
          <w:bottom w:w="57" w:type="dxa"/>
        </w:tblCellMar>
        <w:tblLook w:val="01E0" w:firstRow="1" w:lastRow="1" w:firstColumn="1" w:lastColumn="1" w:noHBand="0" w:noVBand="0"/>
      </w:tblPr>
      <w:tblGrid>
        <w:gridCol w:w="9287"/>
      </w:tblGrid>
      <w:tr w:rsidR="00426A7C" w:rsidRPr="00E33B0D" w14:paraId="34963A25" w14:textId="77777777" w:rsidTr="00426A7C">
        <w:trPr>
          <w:cantSplit/>
        </w:trPr>
        <w:tc>
          <w:tcPr>
            <w:tcW w:w="9571" w:type="dxa"/>
            <w:shd w:val="clear" w:color="auto" w:fill="C6D9F1" w:themeFill="text2" w:themeFillTint="33"/>
            <w:vAlign w:val="center"/>
          </w:tcPr>
          <w:p w14:paraId="1D67DD01" w14:textId="77777777" w:rsidR="00426A7C" w:rsidRPr="00E33B0D" w:rsidRDefault="00426A7C" w:rsidP="00986700">
            <w:pPr>
              <w:keepNext/>
              <w:keepLines/>
              <w:jc w:val="center"/>
              <w:rPr>
                <w:rFonts w:eastAsia="Times New Roman" w:cs="Arial"/>
                <w:b/>
                <w:bCs/>
                <w:szCs w:val="20"/>
                <w:lang w:eastAsia="en-US"/>
              </w:rPr>
            </w:pPr>
            <w:r w:rsidRPr="00E33B0D">
              <w:rPr>
                <w:rFonts w:eastAsia="Times New Roman" w:cs="Arial"/>
                <w:b/>
                <w:bCs/>
                <w:szCs w:val="20"/>
                <w:lang w:eastAsia="en-US"/>
              </w:rPr>
              <w:t xml:space="preserve">Stratégies de mise en œuvre </w:t>
            </w:r>
          </w:p>
        </w:tc>
      </w:tr>
    </w:tbl>
    <w:p w14:paraId="02415B90" w14:textId="77777777" w:rsidR="00426A7C" w:rsidRPr="00E33B0D" w:rsidRDefault="00426A7C" w:rsidP="00986700">
      <w:pPr>
        <w:jc w:val="both"/>
        <w:rPr>
          <w:rFonts w:cs="Arial"/>
          <w:szCs w:val="20"/>
        </w:rPr>
      </w:pPr>
    </w:p>
    <w:p w14:paraId="206246AE"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Renforcer l’engagement auprès des États membres :</w:t>
      </w:r>
      <w:r w:rsidRPr="00E33B0D">
        <w:rPr>
          <w:rFonts w:cs="Arial"/>
          <w:szCs w:val="20"/>
        </w:rPr>
        <w:t xml:space="preserve"> communiquer de façon régulière et ciblée avec les États membres afin de diffuser l’information et de recueillir des commentaires sur la mise en œuvre des programmes pour renforcer encore la transparence;</w:t>
      </w:r>
    </w:p>
    <w:p w14:paraId="753E50DC" w14:textId="77777777" w:rsidR="00426A7C" w:rsidRPr="00E33B0D" w:rsidRDefault="00426A7C" w:rsidP="00986700">
      <w:pPr>
        <w:ind w:left="567" w:hanging="567"/>
        <w:jc w:val="both"/>
        <w:rPr>
          <w:rFonts w:cs="Arial"/>
          <w:szCs w:val="20"/>
        </w:rPr>
      </w:pPr>
    </w:p>
    <w:p w14:paraId="72B0FBFC"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Renforcer la cohésion interne :</w:t>
      </w:r>
      <w:r w:rsidRPr="00E33B0D">
        <w:rPr>
          <w:rFonts w:cs="Arial"/>
          <w:szCs w:val="20"/>
        </w:rPr>
        <w:t xml:space="preserve"> défendre et soutenir les mesures qui visent à assurer une direction forte, intégrée et fiable tournée vers les résultats, et à rendre plus transparente la gestion.  Assurer la bonne coordination des activités de l’OMPI qui contribuent à la réalisation des objectifs de développement durable.  Coordonner le fonctionnement des bureaux extérieurs de l’OMPI afin d’assurer que le réseau apporte une valeur ajoutée et accroisse l’efficacité et l’efficience de l’exécution du programme de façon coordonnée et complémentaire, et assurer la croissance progressive du réseau conformément aux décisions des États membres;  </w:t>
      </w:r>
    </w:p>
    <w:p w14:paraId="0ABFDA53" w14:textId="77777777" w:rsidR="00426A7C" w:rsidRPr="00E33B0D" w:rsidRDefault="00426A7C" w:rsidP="00986700">
      <w:pPr>
        <w:ind w:left="567" w:hanging="567"/>
        <w:jc w:val="both"/>
        <w:rPr>
          <w:rFonts w:cs="Arial"/>
          <w:szCs w:val="20"/>
        </w:rPr>
      </w:pPr>
    </w:p>
    <w:p w14:paraId="7D276BA7"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Fournir des avis et des services juridiques rapides et fiables :</w:t>
      </w:r>
      <w:r w:rsidRPr="00E33B0D">
        <w:rPr>
          <w:rFonts w:cs="Arial"/>
          <w:szCs w:val="20"/>
        </w:rPr>
        <w:t xml:space="preserve"> fournir un appui et des avis opportuns au Directeur général, au Secrétariat et aux États membres sur un large éventail de question</w:t>
      </w:r>
      <w:r>
        <w:rPr>
          <w:rFonts w:cs="Arial"/>
          <w:szCs w:val="20"/>
        </w:rPr>
        <w:t xml:space="preserve">s </w:t>
      </w:r>
      <w:r w:rsidRPr="00E33B0D">
        <w:rPr>
          <w:rFonts w:cs="Arial"/>
          <w:szCs w:val="20"/>
        </w:rPr>
        <w:t>relatives au droit constitutionnel, au droit des contrats, au droit des traités et au d</w:t>
      </w:r>
      <w:r>
        <w:rPr>
          <w:rFonts w:cs="Arial"/>
          <w:szCs w:val="20"/>
        </w:rPr>
        <w:t>ro</w:t>
      </w:r>
      <w:r w:rsidRPr="00E33B0D">
        <w:rPr>
          <w:rFonts w:cs="Arial"/>
          <w:szCs w:val="20"/>
        </w:rPr>
        <w:t>it administratif, conformément aux exigences légales et au droit applicable, afin d’assurer la bonne gestion et le bon fonctionnement de l’Organisation et de l’ensemble des règles de droit, y compris le bon déroulement des réunions de ses organes statutaires;</w:t>
      </w:r>
    </w:p>
    <w:p w14:paraId="6C59ED23" w14:textId="77777777" w:rsidR="00426A7C" w:rsidRPr="00E33B0D" w:rsidRDefault="00426A7C" w:rsidP="00986700">
      <w:pPr>
        <w:ind w:left="567" w:hanging="567"/>
        <w:jc w:val="both"/>
        <w:rPr>
          <w:rFonts w:cs="Arial"/>
          <w:szCs w:val="20"/>
        </w:rPr>
      </w:pPr>
    </w:p>
    <w:p w14:paraId="50EB4123"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Améliorer l’organisation des assemblées de l’OMPI :</w:t>
      </w:r>
      <w:r w:rsidRPr="00E33B0D">
        <w:rPr>
          <w:rFonts w:cs="Arial"/>
          <w:szCs w:val="20"/>
        </w:rPr>
        <w:t xml:space="preserve"> assurer, aux niveaux interne et externe, une coordination, une planification et une préparation efficaces et opportunes des assemblées, afin de faciliter le travail des États membres et des observateurs au sein des organes directeurs de l’OMPI;</w:t>
      </w:r>
    </w:p>
    <w:p w14:paraId="6C2ECB6E" w14:textId="77777777" w:rsidR="00426A7C" w:rsidRPr="00E33B0D" w:rsidRDefault="00426A7C" w:rsidP="00986700">
      <w:pPr>
        <w:ind w:left="567" w:hanging="567"/>
        <w:jc w:val="both"/>
        <w:rPr>
          <w:rFonts w:cs="Arial"/>
          <w:szCs w:val="20"/>
        </w:rPr>
      </w:pPr>
    </w:p>
    <w:p w14:paraId="5A3F347E"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Poursuivre le développement du système complet de déontologie et d’intégrité de l’OMPI :</w:t>
      </w:r>
      <w:r w:rsidRPr="00E33B0D">
        <w:rPr>
          <w:rFonts w:cs="Arial"/>
          <w:szCs w:val="20"/>
        </w:rPr>
        <w:t xml:space="preserve"> poursuivre le développement de normes et de principes satisfaisant aux meilleures pratiques du système des Nations Unies tout en consolidant les principes d’éthique et d’intégrité énoncés dans le code de déontologie.  Mener des activités de sensibilisation afin de poursuivre l’instauration d’une culture solide de la déontologie et de renforcer les principes éthiques en matière de gestion.  Fournir des services consultatifs aux chefs de service et aux fonctionnaires de l’OMPI tout en améliorant les procédures de suivi et les services d’encadrement;</w:t>
      </w:r>
    </w:p>
    <w:p w14:paraId="45CDB797" w14:textId="77777777" w:rsidR="00426A7C" w:rsidRPr="00E33B0D" w:rsidRDefault="00426A7C" w:rsidP="00986700">
      <w:pPr>
        <w:ind w:left="567" w:hanging="567"/>
        <w:jc w:val="both"/>
        <w:rPr>
          <w:rFonts w:cs="Arial"/>
          <w:szCs w:val="20"/>
        </w:rPr>
      </w:pPr>
    </w:p>
    <w:p w14:paraId="0008F254"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Renforcer la résilience opérationnelle globale de l’OMPI :</w:t>
      </w:r>
      <w:r w:rsidRPr="00E33B0D">
        <w:rPr>
          <w:rFonts w:cs="Arial"/>
          <w:szCs w:val="20"/>
        </w:rPr>
        <w:t xml:space="preserve"> poursuivre l’élaboration de politiques, de procédures et d’orientations afin de renforcer encore les capacités de l’Organisation de poursuivre ses opérations en cas d’exposition à une large palette de risques.  Organiser des formations ciblées pour les membres de l’Équipe chargée de la gestion des crises et les membres des équipes de fonctionnaires remplissant des fonctions essentielles.  Mener des activités de sensibilisation tout en renforçant la collaboration en ce qui concerne la formation à la sécurité et les exercices de reprise des opérations après un sinistre;   </w:t>
      </w:r>
    </w:p>
    <w:p w14:paraId="72452527" w14:textId="77777777" w:rsidR="00426A7C" w:rsidRPr="00E33B0D" w:rsidRDefault="00426A7C" w:rsidP="00986700">
      <w:pPr>
        <w:ind w:left="567" w:hanging="567"/>
        <w:jc w:val="both"/>
        <w:rPr>
          <w:rFonts w:cs="Arial"/>
          <w:szCs w:val="20"/>
        </w:rPr>
      </w:pPr>
    </w:p>
    <w:p w14:paraId="61AF428D"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Renforcer la contribution de l’OMPI au Conseil des chefs de secrétariat (CCS) des organismes des Nations Unies :</w:t>
      </w:r>
      <w:r w:rsidRPr="00E33B0D">
        <w:rPr>
          <w:rFonts w:cs="Arial"/>
          <w:szCs w:val="20"/>
        </w:rPr>
        <w:t xml:space="preserve"> renforcer la participation de l’OMPI au sein du CCS pour faciliter la coordination et la coopération dans le cadre du système des Nations Unies, notamment en ce qui concerne sa contribution à la stratégie globale pour la réalisation des objectifs de développement durable.  Participer aux initiatives menées à l’échelle du système des Nations Unies pour promouvoir l’innovation et la créativité, ainsi que le partage de pratiques recommandées et des enseignements tirés.</w:t>
      </w:r>
    </w:p>
    <w:p w14:paraId="1B990CBE" w14:textId="77777777" w:rsidR="00426A7C" w:rsidRPr="00E33B0D" w:rsidRDefault="00426A7C" w:rsidP="00986700">
      <w:pPr>
        <w:ind w:left="567" w:hanging="567"/>
        <w:jc w:val="both"/>
        <w:rPr>
          <w:rFonts w:cs="Arial"/>
          <w:szCs w:val="20"/>
        </w:rPr>
      </w:pPr>
    </w:p>
    <w:p w14:paraId="598A8F9E"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Fournir des services en rapport avec des manifestations proposées aux États membres et aux parties prenantes :</w:t>
      </w:r>
      <w:r w:rsidRPr="00E33B0D">
        <w:rPr>
          <w:rFonts w:cs="Arial"/>
          <w:szCs w:val="20"/>
        </w:rPr>
        <w:t xml:space="preserve"> fournir un appui aux États membres et aux autres parties prenantes dans le cadre de l’organisation de manifestations de haut niveau afin d’augmenter la visibilité de l’Organisation et de faire mieux connaître le rôle joué par la propriété intellectuelle dans le développement économique, social et culturel;</w:t>
      </w:r>
    </w:p>
    <w:p w14:paraId="33B47BE3" w14:textId="77777777" w:rsidR="00426A7C" w:rsidRPr="00E33B0D" w:rsidRDefault="00426A7C" w:rsidP="00986700">
      <w:pPr>
        <w:ind w:left="567" w:hanging="567"/>
        <w:jc w:val="both"/>
        <w:rPr>
          <w:rFonts w:cs="Arial"/>
          <w:szCs w:val="20"/>
        </w:rPr>
      </w:pPr>
    </w:p>
    <w:p w14:paraId="2E0184FD" w14:textId="77777777" w:rsidR="00426A7C" w:rsidRPr="00E33B0D" w:rsidRDefault="00426A7C" w:rsidP="00986700">
      <w:pPr>
        <w:pStyle w:val="ListParagraph"/>
        <w:numPr>
          <w:ilvl w:val="0"/>
          <w:numId w:val="8"/>
        </w:numPr>
        <w:ind w:left="567" w:hanging="567"/>
        <w:jc w:val="both"/>
        <w:rPr>
          <w:rFonts w:cs="Arial"/>
          <w:szCs w:val="20"/>
        </w:rPr>
      </w:pPr>
      <w:r w:rsidRPr="00E33B0D">
        <w:rPr>
          <w:rFonts w:cs="Arial"/>
          <w:i/>
          <w:szCs w:val="20"/>
        </w:rPr>
        <w:t>Améliorer la prévention et le traitement des plaintes et des conflits :</w:t>
      </w:r>
      <w:r w:rsidRPr="00E33B0D">
        <w:rPr>
          <w:rFonts w:cs="Arial"/>
          <w:szCs w:val="20"/>
        </w:rPr>
        <w:t xml:space="preserve"> mener des actions de sensibilisation ciblées auprès des fonctionnaires, en organisant des discussions bilatérales, des </w:t>
      </w:r>
      <w:r w:rsidRPr="00E33B0D">
        <w:rPr>
          <w:rFonts w:cs="Arial"/>
          <w:szCs w:val="20"/>
        </w:rPr>
        <w:lastRenderedPageBreak/>
        <w:t>réunions de personnel, des cours de formation et des tables</w:t>
      </w:r>
      <w:r>
        <w:rPr>
          <w:rFonts w:cs="Arial"/>
          <w:szCs w:val="20"/>
        </w:rPr>
        <w:t xml:space="preserve"> </w:t>
      </w:r>
      <w:r w:rsidRPr="00E33B0D">
        <w:rPr>
          <w:rFonts w:cs="Arial"/>
          <w:szCs w:val="20"/>
        </w:rPr>
        <w:t>rondes, afin de faire mieux connaître les mécanismes de règlement des conflits, notamment la médiation, et d’encourager leur utilisation, pour contribuer à l’instauration d’un environnement de travail harmonieux et efficace.</w:t>
      </w:r>
    </w:p>
    <w:p w14:paraId="0B57A95E" w14:textId="77777777" w:rsidR="00426A7C" w:rsidRPr="00E33B0D" w:rsidRDefault="00426A7C" w:rsidP="00986700">
      <w:pPr>
        <w:ind w:left="567" w:hanging="567"/>
        <w:rPr>
          <w:rFonts w:cs="Arial"/>
          <w:szCs w:val="20"/>
        </w:rPr>
      </w:pPr>
    </w:p>
    <w:p w14:paraId="3D092B41" w14:textId="77777777" w:rsidR="00426A7C" w:rsidRPr="00E33B0D" w:rsidRDefault="00426A7C" w:rsidP="00986700">
      <w:pPr>
        <w:ind w:left="567" w:hanging="567"/>
        <w:jc w:val="both"/>
        <w:rPr>
          <w:rFonts w:cs="Arial"/>
          <w:szCs w:val="20"/>
        </w:rPr>
      </w:pPr>
    </w:p>
    <w:tbl>
      <w:tblPr>
        <w:tblW w:w="5000" w:type="pct"/>
        <w:tblCellMar>
          <w:top w:w="57" w:type="dxa"/>
          <w:bottom w:w="57" w:type="dxa"/>
        </w:tblCellMar>
        <w:tblLook w:val="01E0" w:firstRow="1" w:lastRow="1" w:firstColumn="1" w:lastColumn="1" w:noHBand="0" w:noVBand="0"/>
      </w:tblPr>
      <w:tblGrid>
        <w:gridCol w:w="4653"/>
        <w:gridCol w:w="4634"/>
      </w:tblGrid>
      <w:tr w:rsidR="00426A7C" w:rsidRPr="00E33B0D" w14:paraId="0D3E0B9B" w14:textId="77777777" w:rsidTr="00094A7D">
        <w:trPr>
          <w:cantSplit/>
        </w:trPr>
        <w:tc>
          <w:tcPr>
            <w:tcW w:w="4785" w:type="dxa"/>
            <w:shd w:val="clear" w:color="auto" w:fill="C6D9F1" w:themeFill="text2" w:themeFillTint="33"/>
            <w:vAlign w:val="center"/>
            <w:hideMark/>
          </w:tcPr>
          <w:p w14:paraId="23CD279E" w14:textId="77777777" w:rsidR="00426A7C" w:rsidRPr="00E33B0D" w:rsidRDefault="00426A7C" w:rsidP="00986700">
            <w:pPr>
              <w:keepNext/>
              <w:keepLines/>
              <w:jc w:val="center"/>
              <w:rPr>
                <w:rFonts w:cs="Arial"/>
                <w:b/>
                <w:bCs/>
                <w:sz w:val="18"/>
                <w:szCs w:val="18"/>
              </w:rPr>
            </w:pPr>
            <w:r w:rsidRPr="00E33B0D">
              <w:rPr>
                <w:rFonts w:cs="Arial"/>
                <w:b/>
                <w:bCs/>
                <w:sz w:val="18"/>
                <w:szCs w:val="18"/>
              </w:rPr>
              <w:t>Risques</w:t>
            </w:r>
          </w:p>
        </w:tc>
        <w:tc>
          <w:tcPr>
            <w:tcW w:w="4786" w:type="dxa"/>
            <w:shd w:val="clear" w:color="auto" w:fill="C6D9F1" w:themeFill="text2" w:themeFillTint="33"/>
            <w:vAlign w:val="center"/>
            <w:hideMark/>
          </w:tcPr>
          <w:p w14:paraId="1075AB6C" w14:textId="77777777" w:rsidR="00426A7C" w:rsidRPr="00E33B0D" w:rsidRDefault="00426A7C" w:rsidP="00986700">
            <w:pPr>
              <w:keepNext/>
              <w:keepLines/>
              <w:jc w:val="center"/>
              <w:rPr>
                <w:rFonts w:cs="Arial"/>
                <w:b/>
                <w:bCs/>
                <w:sz w:val="18"/>
                <w:szCs w:val="18"/>
              </w:rPr>
            </w:pPr>
            <w:r w:rsidRPr="00E33B0D">
              <w:rPr>
                <w:rFonts w:cs="Arial"/>
                <w:b/>
                <w:bCs/>
                <w:sz w:val="18"/>
                <w:szCs w:val="18"/>
              </w:rPr>
              <w:t>Mesures d’atténuation</w:t>
            </w:r>
          </w:p>
        </w:tc>
      </w:tr>
      <w:tr w:rsidR="00426A7C" w:rsidRPr="00E33B0D" w14:paraId="2E14CEEC" w14:textId="77777777" w:rsidTr="00094A7D">
        <w:trPr>
          <w:cantSplit/>
        </w:trPr>
        <w:tc>
          <w:tcPr>
            <w:tcW w:w="4785" w:type="dxa"/>
            <w:tcMar>
              <w:top w:w="57" w:type="dxa"/>
              <w:left w:w="108" w:type="dxa"/>
              <w:bottom w:w="57" w:type="dxa"/>
              <w:right w:w="108" w:type="dxa"/>
            </w:tcMar>
            <w:hideMark/>
          </w:tcPr>
          <w:p w14:paraId="204FE3B8" w14:textId="77777777" w:rsidR="00426A7C" w:rsidRPr="00E33B0D" w:rsidRDefault="00426A7C" w:rsidP="00986700">
            <w:pPr>
              <w:keepNext/>
              <w:keepLines/>
              <w:rPr>
                <w:rFonts w:cs="Arial"/>
                <w:color w:val="000000"/>
                <w:sz w:val="16"/>
              </w:rPr>
            </w:pPr>
            <w:r w:rsidRPr="00E33B0D">
              <w:rPr>
                <w:rFonts w:cs="Arial"/>
                <w:color w:val="000000"/>
                <w:sz w:val="16"/>
              </w:rPr>
              <w:t>L’éloignement géographique des bureaux extérieurs par rapport au siège pourrait entraîner une fragmentation en matière de coordination et de communication.</w:t>
            </w:r>
          </w:p>
        </w:tc>
        <w:tc>
          <w:tcPr>
            <w:tcW w:w="4786" w:type="dxa"/>
            <w:tcMar>
              <w:top w:w="57" w:type="dxa"/>
              <w:left w:w="108" w:type="dxa"/>
              <w:bottom w:w="57" w:type="dxa"/>
              <w:right w:w="108" w:type="dxa"/>
            </w:tcMar>
            <w:hideMark/>
          </w:tcPr>
          <w:p w14:paraId="33DFDC57" w14:textId="42041FB3" w:rsidR="00426A7C" w:rsidRPr="00E33B0D" w:rsidRDefault="00426A7C" w:rsidP="00986700">
            <w:pPr>
              <w:keepNext/>
              <w:keepLines/>
              <w:rPr>
                <w:rFonts w:cs="Arial"/>
                <w:color w:val="000000"/>
                <w:sz w:val="16"/>
              </w:rPr>
            </w:pPr>
            <w:r w:rsidRPr="00E33B0D">
              <w:rPr>
                <w:rFonts w:cs="Arial"/>
                <w:color w:val="000000"/>
                <w:sz w:val="16"/>
              </w:rPr>
              <w:t>Maintenir une participation constante et structurée afin de veiller à ce que les travaux des bureaux extérieurs soient pleinement intégrés au sein d’un réseau cohérent et coordonné, conformément au cadre de résultats, aux plans de travail et au fonctionnement quotidien de l’Organisation</w:t>
            </w:r>
            <w:r w:rsidR="00064132">
              <w:rPr>
                <w:rStyle w:val="FootnoteReference"/>
                <w:rFonts w:cs="Arial"/>
                <w:color w:val="000000"/>
                <w:sz w:val="16"/>
              </w:rPr>
              <w:footnoteReference w:id="39"/>
            </w:r>
            <w:r w:rsidRPr="00E33B0D">
              <w:rPr>
                <w:rFonts w:cs="Arial"/>
                <w:color w:val="000000"/>
                <w:sz w:val="16"/>
              </w:rPr>
              <w:t>.</w:t>
            </w:r>
          </w:p>
        </w:tc>
      </w:tr>
      <w:tr w:rsidR="00426A7C" w:rsidRPr="00E33B0D" w14:paraId="3A86278F" w14:textId="77777777" w:rsidTr="00094A7D">
        <w:trPr>
          <w:cantSplit/>
        </w:trPr>
        <w:tc>
          <w:tcPr>
            <w:tcW w:w="4785" w:type="dxa"/>
            <w:tcMar>
              <w:top w:w="57" w:type="dxa"/>
              <w:left w:w="108" w:type="dxa"/>
              <w:bottom w:w="57" w:type="dxa"/>
              <w:right w:w="108" w:type="dxa"/>
            </w:tcMar>
          </w:tcPr>
          <w:p w14:paraId="6F52FAFD" w14:textId="77777777" w:rsidR="00426A7C" w:rsidRPr="00E33B0D" w:rsidRDefault="00426A7C" w:rsidP="00986700">
            <w:pPr>
              <w:pStyle w:val="Default"/>
              <w:rPr>
                <w:sz w:val="16"/>
                <w:szCs w:val="16"/>
              </w:rPr>
            </w:pPr>
            <w:r w:rsidRPr="00E33B0D">
              <w:rPr>
                <w:sz w:val="16"/>
                <w:szCs w:val="16"/>
              </w:rPr>
              <w:t>L’engagement effectif de l’OMPI auprès des États membres est capital pour l’obtention de résultats dans les délais impartis.  Le ralentissement des processus intergouvernementaux de l’OMPI, y compris dans le cadre des discussions normatives, et une augmentation des coûts ou un allongement des calendriers d’exécution des programmes correspondants sont à craindre.  Cette situation nuirait à la crédibilité de l’OMPI en tant qu’organe normatif en matière de propriété intellectuelle.</w:t>
            </w:r>
          </w:p>
        </w:tc>
        <w:tc>
          <w:tcPr>
            <w:tcW w:w="4786" w:type="dxa"/>
            <w:tcMar>
              <w:top w:w="57" w:type="dxa"/>
              <w:left w:w="108" w:type="dxa"/>
              <w:bottom w:w="57" w:type="dxa"/>
              <w:right w:w="108" w:type="dxa"/>
            </w:tcMar>
          </w:tcPr>
          <w:p w14:paraId="5D73B225" w14:textId="77777777" w:rsidR="00426A7C" w:rsidRPr="00E33B0D" w:rsidRDefault="00426A7C" w:rsidP="00986700">
            <w:pPr>
              <w:pStyle w:val="Default"/>
              <w:rPr>
                <w:sz w:val="16"/>
                <w:szCs w:val="16"/>
              </w:rPr>
            </w:pPr>
            <w:r w:rsidRPr="00E33B0D">
              <w:rPr>
                <w:sz w:val="16"/>
                <w:szCs w:val="16"/>
              </w:rPr>
              <w:t>Maintien d’une coordination étroite, fiable et transparente entre le Secrétariat et les États membres.</w:t>
            </w:r>
          </w:p>
        </w:tc>
      </w:tr>
    </w:tbl>
    <w:p w14:paraId="47A864ED" w14:textId="77777777" w:rsidR="00426A7C" w:rsidRPr="00E33B0D" w:rsidRDefault="00426A7C" w:rsidP="00986700">
      <w:pPr>
        <w:jc w:val="both"/>
        <w:rPr>
          <w:rFonts w:cs="Arial"/>
          <w:szCs w:val="20"/>
        </w:rPr>
      </w:pPr>
    </w:p>
    <w:p w14:paraId="2234B8FB" w14:textId="77777777" w:rsidR="00426A7C" w:rsidRPr="00E33B0D" w:rsidRDefault="00426A7C"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42"/>
        <w:gridCol w:w="2342"/>
        <w:gridCol w:w="2301"/>
        <w:gridCol w:w="2302"/>
      </w:tblGrid>
      <w:tr w:rsidR="00426A7C" w:rsidRPr="00E33B0D" w14:paraId="317D8166" w14:textId="77777777" w:rsidTr="00094A7D">
        <w:trPr>
          <w:cantSplit/>
          <w:tblHeader/>
        </w:trPr>
        <w:tc>
          <w:tcPr>
            <w:tcW w:w="2392" w:type="dxa"/>
            <w:shd w:val="clear" w:color="000000" w:fill="C5D9F1"/>
            <w:vAlign w:val="center"/>
            <w:hideMark/>
          </w:tcPr>
          <w:p w14:paraId="5BA949B4" w14:textId="77777777" w:rsidR="00426A7C" w:rsidRPr="00E33B0D" w:rsidRDefault="00426A7C" w:rsidP="00986700">
            <w:pPr>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 xml:space="preserve">Résultat escompté </w:t>
            </w:r>
          </w:p>
        </w:tc>
        <w:tc>
          <w:tcPr>
            <w:tcW w:w="2393" w:type="dxa"/>
            <w:shd w:val="clear" w:color="000000" w:fill="C5D9F1"/>
            <w:vAlign w:val="center"/>
            <w:hideMark/>
          </w:tcPr>
          <w:p w14:paraId="087D540A" w14:textId="77777777" w:rsidR="00426A7C" w:rsidRPr="00E33B0D" w:rsidRDefault="00426A7C" w:rsidP="00986700">
            <w:pPr>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Indicateurs d’exécution</w:t>
            </w:r>
          </w:p>
        </w:tc>
        <w:tc>
          <w:tcPr>
            <w:tcW w:w="2393" w:type="dxa"/>
            <w:shd w:val="clear" w:color="000000" w:fill="C5D9F1"/>
            <w:vAlign w:val="center"/>
            <w:hideMark/>
          </w:tcPr>
          <w:p w14:paraId="4B0DA859" w14:textId="77777777" w:rsidR="00426A7C" w:rsidRPr="00E33B0D" w:rsidRDefault="00426A7C" w:rsidP="00986700">
            <w:pPr>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Niveaux de référence</w:t>
            </w:r>
          </w:p>
        </w:tc>
        <w:tc>
          <w:tcPr>
            <w:tcW w:w="2393" w:type="dxa"/>
            <w:shd w:val="clear" w:color="000000" w:fill="C5D9F1"/>
            <w:vAlign w:val="center"/>
            <w:hideMark/>
          </w:tcPr>
          <w:p w14:paraId="66003852" w14:textId="77777777" w:rsidR="00426A7C" w:rsidRPr="00E33B0D" w:rsidRDefault="00426A7C" w:rsidP="00986700">
            <w:pPr>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Objectifs visés</w:t>
            </w:r>
          </w:p>
        </w:tc>
      </w:tr>
      <w:tr w:rsidR="00426A7C" w:rsidRPr="00E33B0D" w14:paraId="0481C4DB" w14:textId="77777777" w:rsidTr="00094A7D">
        <w:trPr>
          <w:cantSplit/>
        </w:trPr>
        <w:tc>
          <w:tcPr>
            <w:tcW w:w="2392" w:type="dxa"/>
            <w:shd w:val="clear" w:color="000000" w:fill="FFFFFF"/>
            <w:tcMar>
              <w:top w:w="57" w:type="dxa"/>
            </w:tcMar>
            <w:hideMark/>
          </w:tcPr>
          <w:p w14:paraId="36D9F734" w14:textId="6A2BB39D"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I.1 Renforcement de la coopération entre les États membres en ce qui concerne l’élaboration de cadres normatifs internationaux équilibrés dans le domaine de la propriété intellectuelle </w:t>
            </w:r>
          </w:p>
        </w:tc>
        <w:tc>
          <w:tcPr>
            <w:tcW w:w="2393" w:type="dxa"/>
            <w:shd w:val="clear" w:color="000000" w:fill="FFFFFF"/>
            <w:tcMar>
              <w:top w:w="57" w:type="dxa"/>
            </w:tcMar>
            <w:hideMark/>
          </w:tcPr>
          <w:p w14:paraId="62ED54D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Pourcentage de notifications concernant les traités traitées rapidement par le Bureau du </w:t>
            </w:r>
            <w:r>
              <w:rPr>
                <w:rFonts w:eastAsia="Times New Roman" w:cs="Arial"/>
                <w:color w:val="000000"/>
                <w:sz w:val="16"/>
                <w:szCs w:val="16"/>
                <w:lang w:eastAsia="en-US"/>
              </w:rPr>
              <w:t>c</w:t>
            </w:r>
            <w:r w:rsidRPr="00E33B0D">
              <w:rPr>
                <w:rFonts w:eastAsia="Times New Roman" w:cs="Arial"/>
                <w:color w:val="000000"/>
                <w:sz w:val="16"/>
                <w:szCs w:val="16"/>
                <w:lang w:eastAsia="en-US"/>
              </w:rPr>
              <w:t>onseiller juridique</w:t>
            </w:r>
          </w:p>
        </w:tc>
        <w:tc>
          <w:tcPr>
            <w:tcW w:w="2393" w:type="dxa"/>
            <w:shd w:val="clear" w:color="000000" w:fill="FFFFFF"/>
            <w:tcMar>
              <w:top w:w="57" w:type="dxa"/>
            </w:tcMar>
            <w:hideMark/>
          </w:tcPr>
          <w:p w14:paraId="45DD8D5C"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95% des notifications concernant les traités sont traitées par le Bureau du </w:t>
            </w:r>
            <w:r>
              <w:rPr>
                <w:rFonts w:eastAsia="Times New Roman" w:cs="Arial"/>
                <w:color w:val="000000"/>
                <w:sz w:val="16"/>
                <w:szCs w:val="16"/>
                <w:lang w:eastAsia="en-US"/>
              </w:rPr>
              <w:t>conseiller</w:t>
            </w:r>
            <w:r w:rsidRPr="00E33B0D">
              <w:rPr>
                <w:rFonts w:eastAsia="Times New Roman" w:cs="Arial"/>
                <w:color w:val="000000"/>
                <w:sz w:val="16"/>
                <w:szCs w:val="16"/>
                <w:lang w:eastAsia="en-US"/>
              </w:rPr>
              <w:t xml:space="preserve"> juridique dans un délai de trois jours</w:t>
            </w:r>
          </w:p>
        </w:tc>
        <w:tc>
          <w:tcPr>
            <w:tcW w:w="2393" w:type="dxa"/>
            <w:shd w:val="clear" w:color="000000" w:fill="FFFFFF"/>
            <w:tcMar>
              <w:top w:w="57" w:type="dxa"/>
            </w:tcMar>
            <w:hideMark/>
          </w:tcPr>
          <w:p w14:paraId="5F84CB8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95%</w:t>
            </w:r>
          </w:p>
        </w:tc>
      </w:tr>
      <w:tr w:rsidR="00426A7C" w:rsidRPr="00E33B0D" w14:paraId="10366490" w14:textId="77777777" w:rsidTr="00094A7D">
        <w:trPr>
          <w:cantSplit/>
        </w:trPr>
        <w:tc>
          <w:tcPr>
            <w:tcW w:w="2392" w:type="dxa"/>
            <w:shd w:val="clear" w:color="000000" w:fill="FFFFFF"/>
            <w:tcMar>
              <w:top w:w="57" w:type="dxa"/>
            </w:tcMar>
            <w:hideMark/>
          </w:tcPr>
          <w:p w14:paraId="0169B6DE" w14:textId="784C2EC1"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VIII.1 Communication plus efficace avec un public large et varié concernant la propriété intellectuelle et le rôle de l’OMPI</w:t>
            </w:r>
          </w:p>
        </w:tc>
        <w:tc>
          <w:tcPr>
            <w:tcW w:w="2393" w:type="dxa"/>
            <w:shd w:val="clear" w:color="000000" w:fill="FFFFFF"/>
            <w:tcMar>
              <w:top w:w="57" w:type="dxa"/>
            </w:tcMar>
            <w:hideMark/>
          </w:tcPr>
          <w:p w14:paraId="4F9903B1"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Nombre d’États membres participant au programme d’attribution de prix de l’OMPI</w:t>
            </w:r>
          </w:p>
        </w:tc>
        <w:tc>
          <w:tcPr>
            <w:tcW w:w="2393" w:type="dxa"/>
            <w:shd w:val="clear" w:color="000000" w:fill="FFFFFF"/>
            <w:tcMar>
              <w:top w:w="57" w:type="dxa"/>
            </w:tcMar>
            <w:hideMark/>
          </w:tcPr>
          <w:p w14:paraId="3C2F7B1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45 (à la fin de 2016)</w:t>
            </w:r>
          </w:p>
        </w:tc>
        <w:tc>
          <w:tcPr>
            <w:tcW w:w="2393" w:type="dxa"/>
            <w:shd w:val="clear" w:color="000000" w:fill="FFFFFF"/>
            <w:tcMar>
              <w:top w:w="57" w:type="dxa"/>
            </w:tcMar>
            <w:hideMark/>
          </w:tcPr>
          <w:p w14:paraId="0492D65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45 par année</w:t>
            </w:r>
          </w:p>
        </w:tc>
      </w:tr>
      <w:tr w:rsidR="00426A7C" w:rsidRPr="00E33B0D" w14:paraId="5F3EB3EB" w14:textId="77777777" w:rsidTr="00094A7D">
        <w:trPr>
          <w:cantSplit/>
        </w:trPr>
        <w:tc>
          <w:tcPr>
            <w:tcW w:w="2392" w:type="dxa"/>
            <w:shd w:val="clear" w:color="000000" w:fill="FFFFFF"/>
            <w:tcMar>
              <w:top w:w="57" w:type="dxa"/>
            </w:tcMar>
            <w:hideMark/>
          </w:tcPr>
          <w:p w14:paraId="11BC9353"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VIII.3 Engagement réel auprès des États membres</w:t>
            </w:r>
          </w:p>
        </w:tc>
        <w:tc>
          <w:tcPr>
            <w:tcW w:w="2393" w:type="dxa"/>
            <w:shd w:val="clear" w:color="000000" w:fill="FFFFFF"/>
            <w:tcMar>
              <w:top w:w="57" w:type="dxa"/>
            </w:tcMar>
            <w:hideMark/>
          </w:tcPr>
          <w:p w14:paraId="0A6C94AC"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Pourcentage de réunions de comité pour lesquelles des réunions d’information préalables sont tenues pour les États membres</w:t>
            </w:r>
          </w:p>
        </w:tc>
        <w:tc>
          <w:tcPr>
            <w:tcW w:w="2393" w:type="dxa"/>
            <w:shd w:val="clear" w:color="000000" w:fill="FFFFFF"/>
            <w:tcMar>
              <w:top w:w="57" w:type="dxa"/>
            </w:tcMar>
            <w:hideMark/>
          </w:tcPr>
          <w:p w14:paraId="029042D6"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100% selon une enquête réalisée auprès des secrétariats des comités</w:t>
            </w:r>
          </w:p>
        </w:tc>
        <w:tc>
          <w:tcPr>
            <w:tcW w:w="2393" w:type="dxa"/>
            <w:shd w:val="clear" w:color="000000" w:fill="FFFFFF"/>
            <w:tcMar>
              <w:top w:w="57" w:type="dxa"/>
            </w:tcMar>
            <w:hideMark/>
          </w:tcPr>
          <w:p w14:paraId="7360AFA1"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90%</w:t>
            </w:r>
          </w:p>
        </w:tc>
      </w:tr>
      <w:tr w:rsidR="00426A7C" w:rsidRPr="00E33B0D" w14:paraId="7C62323C" w14:textId="77777777" w:rsidTr="00094A7D">
        <w:trPr>
          <w:cantSplit/>
        </w:trPr>
        <w:tc>
          <w:tcPr>
            <w:tcW w:w="2392" w:type="dxa"/>
            <w:shd w:val="clear" w:color="000000" w:fill="FFFFFF"/>
            <w:tcMar>
              <w:top w:w="57" w:type="dxa"/>
            </w:tcMar>
            <w:vAlign w:val="bottom"/>
            <w:hideMark/>
          </w:tcPr>
          <w:p w14:paraId="038915AB" w14:textId="77777777" w:rsidR="00426A7C" w:rsidRPr="00E33B0D" w:rsidRDefault="00426A7C" w:rsidP="00986700">
            <w:pPr>
              <w:jc w:val="right"/>
              <w:rPr>
                <w:rFonts w:eastAsia="Times New Roman" w:cs="Arial"/>
                <w:color w:val="000000"/>
                <w:sz w:val="16"/>
                <w:szCs w:val="16"/>
                <w:lang w:eastAsia="en-US"/>
              </w:rPr>
            </w:pPr>
            <w:r w:rsidRPr="00E33B0D">
              <w:rPr>
                <w:rFonts w:eastAsia="Times New Roman" w:cs="Arial"/>
                <w:color w:val="000000"/>
                <w:sz w:val="16"/>
                <w:szCs w:val="16"/>
                <w:lang w:eastAsia="en-US"/>
              </w:rPr>
              <w:t> </w:t>
            </w:r>
          </w:p>
        </w:tc>
        <w:tc>
          <w:tcPr>
            <w:tcW w:w="2393" w:type="dxa"/>
            <w:shd w:val="clear" w:color="000000" w:fill="FFFFFF"/>
            <w:tcMar>
              <w:top w:w="57" w:type="dxa"/>
            </w:tcMar>
            <w:hideMark/>
          </w:tcPr>
          <w:p w14:paraId="3D10E5B0"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Taux de satisfaction des États membres et des parties prenantes en ce qui concerne l’organisation des événements</w:t>
            </w:r>
          </w:p>
        </w:tc>
        <w:tc>
          <w:tcPr>
            <w:tcW w:w="2393" w:type="dxa"/>
            <w:shd w:val="clear" w:color="000000" w:fill="FFFFFF"/>
            <w:tcMar>
              <w:top w:w="57" w:type="dxa"/>
            </w:tcMar>
            <w:hideMark/>
          </w:tcPr>
          <w:p w14:paraId="1A64C032"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87% des personnes ayant répondu au questionnaire d’enquête</w:t>
            </w:r>
          </w:p>
          <w:p w14:paraId="4C485CFD" w14:textId="4A96E890"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(en 2016)</w:t>
            </w:r>
          </w:p>
        </w:tc>
        <w:tc>
          <w:tcPr>
            <w:tcW w:w="2393" w:type="dxa"/>
            <w:shd w:val="clear" w:color="000000" w:fill="FFFFFF"/>
            <w:tcMar>
              <w:top w:w="57" w:type="dxa"/>
            </w:tcMar>
            <w:hideMark/>
          </w:tcPr>
          <w:p w14:paraId="0F243DC4"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85%</w:t>
            </w:r>
          </w:p>
        </w:tc>
      </w:tr>
      <w:tr w:rsidR="00426A7C" w:rsidRPr="00E33B0D" w14:paraId="21B2A85F" w14:textId="77777777" w:rsidTr="00094A7D">
        <w:trPr>
          <w:cantSplit/>
        </w:trPr>
        <w:tc>
          <w:tcPr>
            <w:tcW w:w="2392" w:type="dxa"/>
            <w:shd w:val="clear" w:color="000000" w:fill="FFFFFF"/>
            <w:tcMar>
              <w:top w:w="57" w:type="dxa"/>
            </w:tcMar>
            <w:vAlign w:val="bottom"/>
            <w:hideMark/>
          </w:tcPr>
          <w:p w14:paraId="5E2E242D" w14:textId="77777777" w:rsidR="00426A7C" w:rsidRPr="00E33B0D" w:rsidRDefault="00426A7C" w:rsidP="00986700">
            <w:pPr>
              <w:jc w:val="right"/>
              <w:rPr>
                <w:rFonts w:eastAsia="Times New Roman" w:cs="Arial"/>
                <w:color w:val="000000"/>
                <w:sz w:val="16"/>
                <w:szCs w:val="16"/>
                <w:lang w:eastAsia="en-US"/>
              </w:rPr>
            </w:pPr>
            <w:r w:rsidRPr="00E33B0D">
              <w:rPr>
                <w:rFonts w:eastAsia="Times New Roman" w:cs="Arial"/>
                <w:color w:val="000000"/>
                <w:sz w:val="16"/>
                <w:szCs w:val="16"/>
                <w:lang w:eastAsia="en-US"/>
              </w:rPr>
              <w:t> </w:t>
            </w:r>
          </w:p>
        </w:tc>
        <w:tc>
          <w:tcPr>
            <w:tcW w:w="2393" w:type="dxa"/>
            <w:shd w:val="clear" w:color="000000" w:fill="FFFFFF"/>
            <w:tcMar>
              <w:top w:w="57" w:type="dxa"/>
            </w:tcMar>
            <w:hideMark/>
          </w:tcPr>
          <w:p w14:paraId="2B2EC045"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Pourcentage de documents officiels établis par le Bureau du </w:t>
            </w:r>
            <w:r>
              <w:rPr>
                <w:rFonts w:eastAsia="Times New Roman" w:cs="Arial"/>
                <w:color w:val="000000"/>
                <w:sz w:val="16"/>
                <w:szCs w:val="16"/>
                <w:lang w:eastAsia="en-US"/>
              </w:rPr>
              <w:t>c</w:t>
            </w:r>
            <w:r w:rsidRPr="00E33B0D">
              <w:rPr>
                <w:rFonts w:eastAsia="Times New Roman" w:cs="Arial"/>
                <w:color w:val="000000"/>
                <w:sz w:val="16"/>
                <w:szCs w:val="16"/>
                <w:lang w:eastAsia="en-US"/>
              </w:rPr>
              <w:t>onseiller juridique qui sont publiés dans les délais</w:t>
            </w:r>
          </w:p>
        </w:tc>
        <w:tc>
          <w:tcPr>
            <w:tcW w:w="2393" w:type="dxa"/>
            <w:shd w:val="clear" w:color="000000" w:fill="FFFFFF"/>
            <w:tcMar>
              <w:top w:w="57" w:type="dxa"/>
            </w:tcMar>
            <w:hideMark/>
          </w:tcPr>
          <w:p w14:paraId="3B92DC73"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À déterminer </w:t>
            </w:r>
          </w:p>
        </w:tc>
        <w:tc>
          <w:tcPr>
            <w:tcW w:w="2393" w:type="dxa"/>
            <w:shd w:val="clear" w:color="000000" w:fill="FFFFFF"/>
            <w:tcMar>
              <w:top w:w="57" w:type="dxa"/>
            </w:tcMar>
            <w:hideMark/>
          </w:tcPr>
          <w:p w14:paraId="0C200943" w14:textId="77777777" w:rsidR="00426A7C" w:rsidRPr="00E33B0D" w:rsidRDefault="00426A7C" w:rsidP="00986700">
            <w:pPr>
              <w:pStyle w:val="ListParagraph"/>
              <w:ind w:left="0"/>
              <w:rPr>
                <w:rFonts w:eastAsia="Times New Roman" w:cs="Arial"/>
                <w:color w:val="000000"/>
                <w:sz w:val="16"/>
                <w:szCs w:val="16"/>
                <w:lang w:eastAsia="en-US"/>
              </w:rPr>
            </w:pPr>
            <w:r w:rsidRPr="00E33B0D">
              <w:rPr>
                <w:rFonts w:eastAsia="Times New Roman" w:cs="Arial"/>
                <w:color w:val="000000"/>
                <w:sz w:val="16"/>
                <w:szCs w:val="16"/>
                <w:lang w:eastAsia="en-US"/>
              </w:rPr>
              <w:t>65% dans les délais</w:t>
            </w:r>
          </w:p>
          <w:p w14:paraId="44100EE1" w14:textId="77777777" w:rsidR="00426A7C" w:rsidRPr="00E33B0D" w:rsidRDefault="00426A7C" w:rsidP="00986700">
            <w:pPr>
              <w:pStyle w:val="ListParagraph"/>
              <w:ind w:left="0"/>
              <w:rPr>
                <w:rFonts w:eastAsia="Times New Roman" w:cs="Arial"/>
                <w:color w:val="000000"/>
                <w:sz w:val="16"/>
                <w:szCs w:val="16"/>
                <w:lang w:eastAsia="en-US"/>
              </w:rPr>
            </w:pPr>
            <w:r w:rsidRPr="00E33B0D">
              <w:rPr>
                <w:rFonts w:eastAsia="Times New Roman" w:cs="Arial"/>
                <w:color w:val="000000"/>
                <w:sz w:val="16"/>
                <w:szCs w:val="16"/>
                <w:lang w:eastAsia="en-US"/>
              </w:rPr>
              <w:t>3% de plus dans la semaine qui suit le délai imparti</w:t>
            </w:r>
          </w:p>
          <w:p w14:paraId="3717A8C7" w14:textId="77777777" w:rsidR="00426A7C" w:rsidRPr="00E33B0D" w:rsidRDefault="00426A7C" w:rsidP="00986700">
            <w:pPr>
              <w:pStyle w:val="ListParagraph"/>
              <w:ind w:left="0"/>
              <w:rPr>
                <w:rFonts w:eastAsia="Times New Roman" w:cs="Arial"/>
                <w:color w:val="000000"/>
                <w:sz w:val="16"/>
                <w:szCs w:val="16"/>
                <w:lang w:eastAsia="en-US"/>
              </w:rPr>
            </w:pPr>
            <w:r w:rsidRPr="00E33B0D">
              <w:rPr>
                <w:rFonts w:eastAsia="Times New Roman" w:cs="Arial"/>
                <w:color w:val="000000"/>
                <w:sz w:val="16"/>
                <w:szCs w:val="16"/>
                <w:lang w:eastAsia="en-US"/>
              </w:rPr>
              <w:t>12% de plus dans les quatre semaines qui suivent le délai imparti</w:t>
            </w:r>
          </w:p>
        </w:tc>
      </w:tr>
      <w:tr w:rsidR="00426A7C" w:rsidRPr="00E33B0D" w14:paraId="767AA82B" w14:textId="77777777" w:rsidTr="00094A7D">
        <w:trPr>
          <w:cantSplit/>
        </w:trPr>
        <w:tc>
          <w:tcPr>
            <w:tcW w:w="2392" w:type="dxa"/>
            <w:shd w:val="clear" w:color="000000" w:fill="FFFFFF"/>
            <w:tcMar>
              <w:top w:w="57" w:type="dxa"/>
            </w:tcMar>
            <w:vAlign w:val="bottom"/>
            <w:hideMark/>
          </w:tcPr>
          <w:p w14:paraId="5DF20253" w14:textId="77777777" w:rsidR="00426A7C" w:rsidRPr="00E33B0D" w:rsidRDefault="00426A7C" w:rsidP="00986700">
            <w:pPr>
              <w:jc w:val="right"/>
              <w:rPr>
                <w:rFonts w:eastAsia="Times New Roman" w:cs="Arial"/>
                <w:color w:val="000000"/>
                <w:sz w:val="16"/>
                <w:szCs w:val="16"/>
                <w:lang w:eastAsia="en-US"/>
              </w:rPr>
            </w:pPr>
            <w:r w:rsidRPr="00E33B0D">
              <w:rPr>
                <w:rFonts w:eastAsia="Times New Roman" w:cs="Arial"/>
                <w:color w:val="000000"/>
                <w:sz w:val="16"/>
                <w:szCs w:val="16"/>
                <w:lang w:eastAsia="en-US"/>
              </w:rPr>
              <w:t> </w:t>
            </w:r>
          </w:p>
        </w:tc>
        <w:tc>
          <w:tcPr>
            <w:tcW w:w="2393" w:type="dxa"/>
            <w:shd w:val="clear" w:color="000000" w:fill="FFFFFF"/>
            <w:tcMar>
              <w:top w:w="57" w:type="dxa"/>
            </w:tcMar>
            <w:hideMark/>
          </w:tcPr>
          <w:p w14:paraId="285024B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Délais de publication des documents des assemblées</w:t>
            </w:r>
          </w:p>
        </w:tc>
        <w:tc>
          <w:tcPr>
            <w:tcW w:w="2393" w:type="dxa"/>
            <w:shd w:val="clear" w:color="000000" w:fill="FFFFFF"/>
            <w:tcMar>
              <w:top w:w="57" w:type="dxa"/>
            </w:tcMar>
            <w:hideMark/>
          </w:tcPr>
          <w:p w14:paraId="259E206F"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93,5% dans les délais</w:t>
            </w:r>
          </w:p>
        </w:tc>
        <w:tc>
          <w:tcPr>
            <w:tcW w:w="2393" w:type="dxa"/>
            <w:shd w:val="clear" w:color="000000" w:fill="FFFFFF"/>
            <w:tcMar>
              <w:top w:w="57" w:type="dxa"/>
            </w:tcMar>
            <w:hideMark/>
          </w:tcPr>
          <w:p w14:paraId="3E4EF786"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95% dans les délais</w:t>
            </w:r>
          </w:p>
        </w:tc>
      </w:tr>
      <w:tr w:rsidR="00426A7C" w:rsidRPr="00E33B0D" w14:paraId="079DDCD2" w14:textId="77777777" w:rsidTr="00094A7D">
        <w:trPr>
          <w:cantSplit/>
        </w:trPr>
        <w:tc>
          <w:tcPr>
            <w:tcW w:w="2392" w:type="dxa"/>
            <w:shd w:val="clear" w:color="000000" w:fill="FFFFFF"/>
            <w:tcMar>
              <w:top w:w="57" w:type="dxa"/>
            </w:tcMar>
            <w:vAlign w:val="bottom"/>
            <w:hideMark/>
          </w:tcPr>
          <w:p w14:paraId="5A926751" w14:textId="77777777" w:rsidR="00426A7C" w:rsidRPr="00E33B0D" w:rsidRDefault="00426A7C" w:rsidP="00986700">
            <w:pPr>
              <w:jc w:val="right"/>
              <w:rPr>
                <w:rFonts w:eastAsia="Times New Roman" w:cs="Arial"/>
                <w:color w:val="000000"/>
                <w:sz w:val="16"/>
                <w:szCs w:val="16"/>
                <w:lang w:eastAsia="en-US"/>
              </w:rPr>
            </w:pPr>
            <w:r w:rsidRPr="00E33B0D">
              <w:rPr>
                <w:rFonts w:eastAsia="Times New Roman" w:cs="Arial"/>
                <w:color w:val="000000"/>
                <w:sz w:val="16"/>
                <w:szCs w:val="16"/>
                <w:lang w:eastAsia="en-US"/>
              </w:rPr>
              <w:t> </w:t>
            </w:r>
          </w:p>
        </w:tc>
        <w:tc>
          <w:tcPr>
            <w:tcW w:w="2393" w:type="dxa"/>
            <w:shd w:val="clear" w:color="000000" w:fill="FFFFFF"/>
            <w:tcMar>
              <w:top w:w="57" w:type="dxa"/>
            </w:tcMar>
            <w:hideMark/>
          </w:tcPr>
          <w:p w14:paraId="3D926545"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Niveau de satisfaction des délégués en ce qui concerne l’organisation des assemblées</w:t>
            </w:r>
          </w:p>
        </w:tc>
        <w:tc>
          <w:tcPr>
            <w:tcW w:w="2393" w:type="dxa"/>
            <w:shd w:val="clear" w:color="000000" w:fill="FFFFFF"/>
            <w:tcMar>
              <w:top w:w="57" w:type="dxa"/>
            </w:tcMar>
            <w:hideMark/>
          </w:tcPr>
          <w:p w14:paraId="4C56C9D8"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94% satisfaits des dispositions prises </w:t>
            </w:r>
          </w:p>
          <w:p w14:paraId="3443CF8D" w14:textId="262DF683"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(assemblées de 2016)</w:t>
            </w:r>
          </w:p>
        </w:tc>
        <w:tc>
          <w:tcPr>
            <w:tcW w:w="2393" w:type="dxa"/>
            <w:shd w:val="clear" w:color="000000" w:fill="FFFFFF"/>
            <w:tcMar>
              <w:top w:w="57" w:type="dxa"/>
            </w:tcMar>
            <w:hideMark/>
          </w:tcPr>
          <w:p w14:paraId="287E12A4"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80% satisfaits des dispositions prises </w:t>
            </w:r>
          </w:p>
        </w:tc>
      </w:tr>
      <w:tr w:rsidR="00426A7C" w:rsidRPr="00E33B0D" w14:paraId="5C37CF46" w14:textId="77777777" w:rsidTr="00094A7D">
        <w:trPr>
          <w:cantSplit/>
        </w:trPr>
        <w:tc>
          <w:tcPr>
            <w:tcW w:w="2392" w:type="dxa"/>
            <w:shd w:val="clear" w:color="000000" w:fill="FFFFFF"/>
            <w:tcMar>
              <w:top w:w="57" w:type="dxa"/>
            </w:tcMar>
            <w:hideMark/>
          </w:tcPr>
          <w:p w14:paraId="4E2D2374"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VIII.5 L’OMPI collabore efficacement avec d’autres processus et instances de négociation de l’ONU et d’autres organisations intergouvernementales</w:t>
            </w:r>
          </w:p>
        </w:tc>
        <w:tc>
          <w:tcPr>
            <w:tcW w:w="2393" w:type="dxa"/>
            <w:shd w:val="clear" w:color="000000" w:fill="FFFFFF"/>
            <w:tcMar>
              <w:top w:w="57" w:type="dxa"/>
            </w:tcMar>
            <w:hideMark/>
          </w:tcPr>
          <w:p w14:paraId="34B5F7B3"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Nouvelles initiatives communes avec d’autres organismes des Nations Unies ou organisations intergouvernementales</w:t>
            </w:r>
          </w:p>
        </w:tc>
        <w:tc>
          <w:tcPr>
            <w:tcW w:w="2393" w:type="dxa"/>
            <w:shd w:val="clear" w:color="000000" w:fill="FFFFFF"/>
            <w:tcMar>
              <w:top w:w="57" w:type="dxa"/>
            </w:tcMar>
            <w:hideMark/>
          </w:tcPr>
          <w:p w14:paraId="2A6770FC" w14:textId="560D1F5F"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2</w:t>
            </w:r>
            <w:r w:rsidR="009F5813">
              <w:rPr>
                <w:rFonts w:eastAsia="Times New Roman" w:cs="Arial"/>
                <w:color w:val="000000"/>
                <w:sz w:val="16"/>
                <w:szCs w:val="16"/>
                <w:lang w:eastAsia="en-US"/>
              </w:rPr>
              <w:t xml:space="preserve"> supplémentaires</w:t>
            </w:r>
          </w:p>
          <w:p w14:paraId="43EC70B5" w14:textId="388A3D89"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(en 2016)</w:t>
            </w:r>
          </w:p>
        </w:tc>
        <w:tc>
          <w:tcPr>
            <w:tcW w:w="2393" w:type="dxa"/>
            <w:shd w:val="clear" w:color="000000" w:fill="FFFFFF"/>
            <w:tcMar>
              <w:top w:w="57" w:type="dxa"/>
            </w:tcMar>
            <w:hideMark/>
          </w:tcPr>
          <w:p w14:paraId="60ACB20F" w14:textId="16A961E6"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2</w:t>
            </w:r>
            <w:r w:rsidR="009F5813">
              <w:rPr>
                <w:rFonts w:eastAsia="Times New Roman" w:cs="Arial"/>
                <w:color w:val="000000"/>
                <w:sz w:val="16"/>
                <w:szCs w:val="16"/>
                <w:lang w:eastAsia="en-US"/>
              </w:rPr>
              <w:t xml:space="preserve"> supplémentaires</w:t>
            </w:r>
          </w:p>
        </w:tc>
      </w:tr>
      <w:tr w:rsidR="00426A7C" w:rsidRPr="00E33B0D" w14:paraId="769BE98A" w14:textId="77777777" w:rsidTr="00094A7D">
        <w:trPr>
          <w:cantSplit/>
        </w:trPr>
        <w:tc>
          <w:tcPr>
            <w:tcW w:w="2392" w:type="dxa"/>
            <w:shd w:val="clear" w:color="000000" w:fill="FFFFFF"/>
            <w:tcMar>
              <w:top w:w="57" w:type="dxa"/>
            </w:tcMar>
            <w:hideMark/>
          </w:tcPr>
          <w:p w14:paraId="6417AADC"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lastRenderedPageBreak/>
              <w:t>IX.1 Services d’appui efficaces, efficients, de qualité et tournés vers la clientèle, à l’intention à la fois des clients internes et des parties prenantes externes</w:t>
            </w:r>
          </w:p>
        </w:tc>
        <w:tc>
          <w:tcPr>
            <w:tcW w:w="2393" w:type="dxa"/>
            <w:shd w:val="clear" w:color="000000" w:fill="FFFFFF"/>
            <w:tcMar>
              <w:top w:w="57" w:type="dxa"/>
            </w:tcMar>
            <w:hideMark/>
          </w:tcPr>
          <w:p w14:paraId="7B02B27A"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Pourcentage de demandes d’avis et de services juridique qui reçoivent des réponses rapides du Bureau du </w:t>
            </w:r>
            <w:r>
              <w:rPr>
                <w:rFonts w:eastAsia="Times New Roman" w:cs="Arial"/>
                <w:color w:val="000000"/>
                <w:sz w:val="16"/>
                <w:szCs w:val="16"/>
                <w:lang w:eastAsia="en-US"/>
              </w:rPr>
              <w:t>c</w:t>
            </w:r>
            <w:r w:rsidRPr="00E33B0D">
              <w:rPr>
                <w:rFonts w:eastAsia="Times New Roman" w:cs="Arial"/>
                <w:color w:val="000000"/>
                <w:sz w:val="16"/>
                <w:szCs w:val="16"/>
                <w:lang w:eastAsia="en-US"/>
              </w:rPr>
              <w:t>onseiller juridique</w:t>
            </w:r>
          </w:p>
        </w:tc>
        <w:tc>
          <w:tcPr>
            <w:tcW w:w="2393" w:type="dxa"/>
            <w:shd w:val="clear" w:color="000000" w:fill="FFFFFF"/>
            <w:tcMar>
              <w:top w:w="57" w:type="dxa"/>
            </w:tcMar>
            <w:hideMark/>
          </w:tcPr>
          <w:p w14:paraId="3185FC7D"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95% des demandes d’avis et de services juridiques reçoivent des réponses dans le délai requis ou dans un délai de trois jours lorsqu’aucun délai n’est indiqué</w:t>
            </w:r>
          </w:p>
        </w:tc>
        <w:tc>
          <w:tcPr>
            <w:tcW w:w="2393" w:type="dxa"/>
            <w:shd w:val="clear" w:color="000000" w:fill="FFFFFF"/>
            <w:tcMar>
              <w:top w:w="57" w:type="dxa"/>
            </w:tcMar>
            <w:hideMark/>
          </w:tcPr>
          <w:p w14:paraId="7C341F26"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95%</w:t>
            </w:r>
          </w:p>
        </w:tc>
      </w:tr>
      <w:tr w:rsidR="00426A7C" w:rsidRPr="00E33B0D" w14:paraId="08774231" w14:textId="77777777" w:rsidTr="00094A7D">
        <w:trPr>
          <w:cantSplit/>
        </w:trPr>
        <w:tc>
          <w:tcPr>
            <w:tcW w:w="2392" w:type="dxa"/>
            <w:shd w:val="clear" w:color="000000" w:fill="FFFFFF"/>
            <w:tcMar>
              <w:top w:w="57" w:type="dxa"/>
            </w:tcMar>
            <w:hideMark/>
          </w:tcPr>
          <w:p w14:paraId="565B5356" w14:textId="1DAA9CA0"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IX.2 Un Secrétariat réactif, fonctionnant harmonieusement et doté de ressources humaines bien gérées et compétentes, à même d’obtenir des résultats concrets </w:t>
            </w:r>
          </w:p>
        </w:tc>
        <w:tc>
          <w:tcPr>
            <w:tcW w:w="2393" w:type="dxa"/>
            <w:shd w:val="clear" w:color="000000" w:fill="FFFFFF"/>
            <w:tcMar>
              <w:top w:w="57" w:type="dxa"/>
            </w:tcMar>
            <w:hideMark/>
          </w:tcPr>
          <w:p w14:paraId="0898DBFE"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Amélioration de la stratégie de l’OMPI en matière de résilience et de la préparation aux situations de crise et d’urgence </w:t>
            </w:r>
          </w:p>
        </w:tc>
        <w:tc>
          <w:tcPr>
            <w:tcW w:w="2393" w:type="dxa"/>
            <w:shd w:val="clear" w:color="000000" w:fill="FFFFFF"/>
            <w:tcMar>
              <w:top w:w="57" w:type="dxa"/>
            </w:tcMar>
            <w:hideMark/>
          </w:tcPr>
          <w:p w14:paraId="36C816C1"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Les éléments de la stratégie de l’OMPI en matière de résilience ont été définis (ordres de service envoyés) : </w:t>
            </w:r>
          </w:p>
          <w:p w14:paraId="4E4183DC" w14:textId="62F13FF7"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Stratégie</w:t>
            </w:r>
          </w:p>
          <w:p w14:paraId="55E19CA8" w14:textId="3114FA87"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Politique</w:t>
            </w:r>
          </w:p>
          <w:p w14:paraId="7E3D91AC" w14:textId="6AA2A45E"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 xml:space="preserve">Rôles et attributions </w:t>
            </w:r>
          </w:p>
          <w:p w14:paraId="6B3C5944" w14:textId="4B43AC80"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(fin de 2016)</w:t>
            </w:r>
          </w:p>
        </w:tc>
        <w:tc>
          <w:tcPr>
            <w:tcW w:w="2393" w:type="dxa"/>
            <w:shd w:val="clear" w:color="000000" w:fill="FFFFFF"/>
            <w:tcMar>
              <w:top w:w="57" w:type="dxa"/>
            </w:tcMar>
            <w:hideMark/>
          </w:tcPr>
          <w:p w14:paraId="7BB450B8"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Une stratégie en matière de résilience et des procédures de poursuite des opérations ont été établies pour : </w:t>
            </w:r>
          </w:p>
          <w:p w14:paraId="6B021A67"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i) les fonctions opérationnelles essentielles :</w:t>
            </w:r>
          </w:p>
          <w:p w14:paraId="24FC403D" w14:textId="1EEB53AD"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PCT, Madrid, La Haye, Centre d’arbitrage et de médiation</w:t>
            </w:r>
          </w:p>
          <w:p w14:paraId="363B2F27"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ii) les fonctions d’appui essentielles :</w:t>
            </w:r>
          </w:p>
          <w:p w14:paraId="0EDBEA7D" w14:textId="25BE37E0"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Secteur administration et gestion (achats et voyages)</w:t>
            </w:r>
          </w:p>
          <w:p w14:paraId="3BD08C58" w14:textId="7666B911"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Communications</w:t>
            </w:r>
          </w:p>
          <w:p w14:paraId="33E5BE4D" w14:textId="1166C7C4"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 xml:space="preserve">Département des finances et de la planification des programmes, DGRH, Département des techniques de l’information et de la communication, Bureau du </w:t>
            </w:r>
            <w:r w:rsidR="00426A7C">
              <w:rPr>
                <w:rFonts w:eastAsia="Times New Roman" w:cs="Arial"/>
                <w:color w:val="000000"/>
                <w:sz w:val="16"/>
                <w:szCs w:val="16"/>
                <w:lang w:eastAsia="en-US"/>
              </w:rPr>
              <w:t>c</w:t>
            </w:r>
            <w:r w:rsidR="00426A7C" w:rsidRPr="00E33B0D">
              <w:rPr>
                <w:rFonts w:eastAsia="Times New Roman" w:cs="Arial"/>
                <w:color w:val="000000"/>
                <w:sz w:val="16"/>
                <w:szCs w:val="16"/>
                <w:lang w:eastAsia="en-US"/>
              </w:rPr>
              <w:t xml:space="preserve">onseiller juridique, Division de l’infrastructure des locaux, Division de la sécurité et de l’assurance informatique </w:t>
            </w:r>
          </w:p>
          <w:p w14:paraId="309B9FA6" w14:textId="77777777" w:rsidR="00094A7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iii) Applications et sources de données essentielles couvertes par les procédures de poursuite des opérations pour :</w:t>
            </w:r>
          </w:p>
          <w:p w14:paraId="0539762D" w14:textId="3D4DFBA6" w:rsidR="00426A7C" w:rsidRPr="00E33B0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E33B0D">
              <w:rPr>
                <w:rFonts w:eastAsia="Times New Roman" w:cs="Arial"/>
                <w:color w:val="000000"/>
                <w:sz w:val="16"/>
                <w:szCs w:val="16"/>
                <w:lang w:eastAsia="en-US"/>
              </w:rPr>
              <w:t>Bases de données mondiale</w:t>
            </w:r>
            <w:r w:rsidR="00426A7C">
              <w:rPr>
                <w:rFonts w:eastAsia="Times New Roman" w:cs="Arial"/>
                <w:color w:val="000000"/>
                <w:sz w:val="16"/>
                <w:szCs w:val="16"/>
                <w:lang w:eastAsia="en-US"/>
              </w:rPr>
              <w:t xml:space="preserve">s </w:t>
            </w:r>
            <w:r w:rsidR="00426A7C" w:rsidRPr="00E33B0D">
              <w:rPr>
                <w:rFonts w:eastAsia="Times New Roman" w:cs="Arial"/>
                <w:color w:val="000000"/>
                <w:sz w:val="16"/>
                <w:szCs w:val="16"/>
                <w:lang w:eastAsia="en-US"/>
              </w:rPr>
              <w:t>sur les marques, IPOBS, UPOV</w:t>
            </w:r>
          </w:p>
        </w:tc>
      </w:tr>
      <w:tr w:rsidR="00426A7C" w:rsidRPr="00E33B0D" w14:paraId="2E263E60" w14:textId="77777777" w:rsidTr="00094A7D">
        <w:trPr>
          <w:cantSplit/>
        </w:trPr>
        <w:tc>
          <w:tcPr>
            <w:tcW w:w="2392" w:type="dxa"/>
            <w:shd w:val="clear" w:color="000000" w:fill="FFFFFF"/>
            <w:tcMar>
              <w:top w:w="57" w:type="dxa"/>
            </w:tcMar>
            <w:hideMark/>
          </w:tcPr>
          <w:p w14:paraId="6232FADC"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 xml:space="preserve">IX.3 Un environnement de travail stimulant étayé par un cadre réglementaire efficace et des voies appropriées pour répondre aux préoccupations du personnel </w:t>
            </w:r>
          </w:p>
        </w:tc>
        <w:tc>
          <w:tcPr>
            <w:tcW w:w="2393" w:type="dxa"/>
            <w:shd w:val="clear" w:color="000000" w:fill="FFFFFF"/>
            <w:tcMar>
              <w:top w:w="57" w:type="dxa"/>
            </w:tcMar>
            <w:hideMark/>
          </w:tcPr>
          <w:p w14:paraId="58CEB871"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Pourcentage de fonctionnaires ayant connaissance des principes et des politiques de l’OMPI dans le domaine éthique</w:t>
            </w:r>
          </w:p>
        </w:tc>
        <w:tc>
          <w:tcPr>
            <w:tcW w:w="2393" w:type="dxa"/>
            <w:shd w:val="clear" w:color="000000" w:fill="FFFFFF"/>
            <w:tcMar>
              <w:top w:w="57" w:type="dxa"/>
            </w:tcMar>
            <w:hideMark/>
          </w:tcPr>
          <w:p w14:paraId="0D869DD2"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86% (enquête menée en 2016)</w:t>
            </w:r>
          </w:p>
        </w:tc>
        <w:tc>
          <w:tcPr>
            <w:tcW w:w="2393" w:type="dxa"/>
            <w:shd w:val="clear" w:color="000000" w:fill="FFFFFF"/>
            <w:tcMar>
              <w:top w:w="57" w:type="dxa"/>
            </w:tcMar>
            <w:hideMark/>
          </w:tcPr>
          <w:p w14:paraId="006141CE" w14:textId="77777777" w:rsidR="00426A7C" w:rsidRPr="00E33B0D" w:rsidRDefault="00426A7C" w:rsidP="00986700">
            <w:pPr>
              <w:rPr>
                <w:rFonts w:eastAsia="Times New Roman" w:cs="Arial"/>
                <w:color w:val="000000"/>
                <w:sz w:val="16"/>
                <w:szCs w:val="16"/>
                <w:lang w:eastAsia="en-US"/>
              </w:rPr>
            </w:pPr>
            <w:r w:rsidRPr="00E33B0D">
              <w:rPr>
                <w:rFonts w:eastAsia="Times New Roman" w:cs="Arial"/>
                <w:color w:val="000000"/>
                <w:sz w:val="16"/>
                <w:szCs w:val="16"/>
                <w:lang w:eastAsia="en-US"/>
              </w:rPr>
              <w:t>85%</w:t>
            </w:r>
          </w:p>
        </w:tc>
      </w:tr>
    </w:tbl>
    <w:p w14:paraId="0C33A7BF" w14:textId="77777777" w:rsidR="00426A7C" w:rsidRPr="00E33B0D" w:rsidRDefault="00426A7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2AC404E0" w14:textId="77777777" w:rsidTr="001A722F">
        <w:trPr>
          <w:cantSplit/>
        </w:trPr>
        <w:tc>
          <w:tcPr>
            <w:tcW w:w="9571" w:type="dxa"/>
            <w:shd w:val="clear" w:color="auto" w:fill="C6D9F1" w:themeFill="text2" w:themeFillTint="33"/>
            <w:vAlign w:val="center"/>
          </w:tcPr>
          <w:p w14:paraId="38D05119" w14:textId="77777777" w:rsidR="00277197" w:rsidRPr="00821D15" w:rsidRDefault="00277197" w:rsidP="00986700">
            <w:pPr>
              <w:jc w:val="center"/>
              <w:rPr>
                <w:rFonts w:cs="Arial"/>
                <w:b/>
                <w:szCs w:val="20"/>
              </w:rPr>
            </w:pPr>
            <w:r w:rsidRPr="00821D15">
              <w:rPr>
                <w:rFonts w:cs="Arial"/>
                <w:b/>
                <w:szCs w:val="20"/>
              </w:rPr>
              <w:t>Ressources allouées au programme 21</w:t>
            </w:r>
          </w:p>
        </w:tc>
      </w:tr>
    </w:tbl>
    <w:p w14:paraId="3CFBC238" w14:textId="77777777" w:rsidR="00277197" w:rsidRPr="00821D15" w:rsidRDefault="00277197" w:rsidP="00986700">
      <w:pPr>
        <w:rPr>
          <w:rFonts w:cs="Arial"/>
          <w:szCs w:val="20"/>
        </w:rPr>
      </w:pPr>
    </w:p>
    <w:p w14:paraId="2156A4B4" w14:textId="77777777" w:rsidR="00277197" w:rsidRPr="00821D15" w:rsidRDefault="00277197" w:rsidP="00616FD3">
      <w:pPr>
        <w:pStyle w:val="ListParagraph"/>
        <w:numPr>
          <w:ilvl w:val="0"/>
          <w:numId w:val="83"/>
        </w:numPr>
        <w:ind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baisse de 3% par rapport au budget approuvé pour 2016</w:t>
      </w:r>
      <w:r w:rsidRPr="00821D15">
        <w:rPr>
          <w:rFonts w:cs="Arial"/>
          <w:szCs w:val="20"/>
        </w:rPr>
        <w:noBreakHyphen/>
        <w:t>2017.</w:t>
      </w:r>
    </w:p>
    <w:p w14:paraId="13F95660" w14:textId="77777777" w:rsidR="00277197" w:rsidRPr="00821D15" w:rsidRDefault="00277197" w:rsidP="00986700">
      <w:pPr>
        <w:rPr>
          <w:rFonts w:cs="Arial"/>
          <w:szCs w:val="20"/>
        </w:rPr>
      </w:pPr>
    </w:p>
    <w:p w14:paraId="5F735134" w14:textId="77777777" w:rsidR="00277197" w:rsidRPr="00821D15" w:rsidRDefault="00277197" w:rsidP="00616FD3">
      <w:pPr>
        <w:pStyle w:val="ListParagraph"/>
        <w:numPr>
          <w:ilvl w:val="0"/>
          <w:numId w:val="83"/>
        </w:numPr>
        <w:ind w:firstLine="0"/>
        <w:jc w:val="both"/>
        <w:rPr>
          <w:rFonts w:cs="Arial"/>
          <w:szCs w:val="20"/>
        </w:rPr>
      </w:pPr>
      <w:r w:rsidRPr="00821D15">
        <w:rPr>
          <w:rFonts w:cs="Arial"/>
          <w:szCs w:val="20"/>
        </w:rPr>
        <w:t>La diminution du nombre de postes et des dépenses de personnel correspondantes correspond au transfert de WIPO Lex au programme 13 (bases de données mondiales) au cours de l’exercice biennal 2016</w:t>
      </w:r>
      <w:r w:rsidRPr="00821D15">
        <w:rPr>
          <w:rFonts w:cs="Arial"/>
          <w:szCs w:val="20"/>
        </w:rPr>
        <w:noBreakHyphen/>
        <w:t>2017, dont il est rendu compte sous le résultat escompté IV.2 (amélioration de l’accessibilité et de l’utilisation de l’information en matière de propriété intellectuelle).</w:t>
      </w:r>
    </w:p>
    <w:p w14:paraId="65FF17CC" w14:textId="77777777" w:rsidR="00277197" w:rsidRPr="00821D15" w:rsidRDefault="00277197" w:rsidP="00986700">
      <w:pPr>
        <w:rPr>
          <w:rFonts w:cs="Arial"/>
          <w:szCs w:val="20"/>
        </w:rPr>
      </w:pPr>
    </w:p>
    <w:p w14:paraId="0640DA22" w14:textId="77777777" w:rsidR="00277197" w:rsidRPr="00821D15" w:rsidRDefault="00277197" w:rsidP="00616FD3">
      <w:pPr>
        <w:pStyle w:val="ListParagraph"/>
        <w:numPr>
          <w:ilvl w:val="0"/>
          <w:numId w:val="83"/>
        </w:numPr>
        <w:ind w:firstLine="0"/>
        <w:jc w:val="both"/>
        <w:rPr>
          <w:rFonts w:cs="Arial"/>
          <w:szCs w:val="20"/>
        </w:rPr>
      </w:pPr>
      <w:r w:rsidRPr="00821D15">
        <w:rPr>
          <w:rFonts w:cs="Arial"/>
          <w:szCs w:val="20"/>
        </w:rPr>
        <w:t>L’augmentation nette des dépenses autres que les dépenses de personnel est due, d’une part, à une provision supplémentaire pour l’organisation de manifestations dans les locaux de l’OMPI, les services du protocole et l’organisation des assemblées de l’OMPI, dont il est rendu compte sous le résultat escompté VIII.3 (engagement réel auprès des États membres), et, d’autre part, au transfert de WIPO Lex vers un autre programme.</w:t>
      </w:r>
    </w:p>
    <w:p w14:paraId="00FD08D9" w14:textId="77777777" w:rsidR="00277197" w:rsidRPr="00821D15" w:rsidRDefault="00277197" w:rsidP="00986700">
      <w:pPr>
        <w:rPr>
          <w:rFonts w:cs="Arial"/>
          <w:szCs w:val="20"/>
        </w:rPr>
      </w:pPr>
    </w:p>
    <w:p w14:paraId="06490CAE" w14:textId="77777777" w:rsidR="00277197" w:rsidRPr="00821D15" w:rsidRDefault="00277197" w:rsidP="00616FD3">
      <w:pPr>
        <w:pStyle w:val="ListParagraph"/>
        <w:numPr>
          <w:ilvl w:val="0"/>
          <w:numId w:val="83"/>
        </w:numPr>
        <w:ind w:firstLine="0"/>
        <w:jc w:val="both"/>
        <w:rPr>
          <w:rFonts w:cs="Arial"/>
          <w:szCs w:val="20"/>
        </w:rPr>
      </w:pPr>
      <w:r w:rsidRPr="00821D15">
        <w:rPr>
          <w:rFonts w:cs="Arial"/>
          <w:szCs w:val="20"/>
        </w:rPr>
        <w:t xml:space="preserve">Les ressources allouées aux travaux relatifs aux notifications concernant les traités au sein du bureau du conseiller juridique ont été transférées du résultat escompté VIII.3 (engagement réel auprès des États membres) au résultat escompté I.1 (élaboration de cadres normatifs internationaux) afin de mieux tenir compte de la nature des travaux correspondants.  La diminution des ressources allouées au titre du résultat escompté VIII.4 (échanges ouverts, transparents et dynamiques avec les parties </w:t>
      </w:r>
      <w:r w:rsidRPr="00821D15">
        <w:rPr>
          <w:rFonts w:cs="Arial"/>
          <w:szCs w:val="20"/>
        </w:rPr>
        <w:lastRenderedPageBreak/>
        <w:t>prenantes non gouvernementales) résulte d’un transfert de responsabilités concernant l’engagement avec les ONG du bureau du conseiller juridique au programme 20 (relations extérieures, partenariats et bureaux extérieurs).</w:t>
      </w:r>
    </w:p>
    <w:p w14:paraId="0448214E" w14:textId="77777777" w:rsidR="00A3500F" w:rsidRDefault="00A3500F" w:rsidP="00986700">
      <w:pPr>
        <w:rPr>
          <w:lang w:eastAsia="en-US"/>
        </w:rPr>
      </w:pPr>
    </w:p>
    <w:p w14:paraId="4B77173A" w14:textId="7D50A6E7"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21 : </w:t>
      </w:r>
      <w:r w:rsidRPr="00674550">
        <w:rPr>
          <w:rFonts w:eastAsia="Times New Roman" w:cs="Arial"/>
          <w:b/>
          <w:szCs w:val="20"/>
          <w:lang w:eastAsia="en-US"/>
        </w:rPr>
        <w:t>Ressources par résultat</w:t>
      </w:r>
    </w:p>
    <w:p w14:paraId="32C2FC2A"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5E3251C0" w14:textId="77777777" w:rsidR="00A3500F" w:rsidRDefault="00A3500F" w:rsidP="00986700">
      <w:pPr>
        <w:rPr>
          <w:lang w:eastAsia="en-US"/>
        </w:rPr>
      </w:pPr>
    </w:p>
    <w:p w14:paraId="7E273AED" w14:textId="56E7F25E" w:rsidR="00717231" w:rsidRDefault="00717231" w:rsidP="00986700">
      <w:pPr>
        <w:jc w:val="center"/>
        <w:rPr>
          <w:lang w:eastAsia="en-US"/>
        </w:rPr>
      </w:pPr>
      <w:r w:rsidRPr="00717231">
        <w:rPr>
          <w:noProof/>
          <w:lang w:val="en-US" w:eastAsia="en-US"/>
        </w:rPr>
        <w:drawing>
          <wp:inline distT="0" distB="0" distL="0" distR="0" wp14:anchorId="0E58FBE5" wp14:editId="1E66A30F">
            <wp:extent cx="5400000" cy="4253722"/>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0000" cy="4253722"/>
                    </a:xfrm>
                    <a:prstGeom prst="rect">
                      <a:avLst/>
                    </a:prstGeom>
                    <a:noFill/>
                    <a:ln>
                      <a:noFill/>
                    </a:ln>
                  </pic:spPr>
                </pic:pic>
              </a:graphicData>
            </a:graphic>
          </wp:inline>
        </w:drawing>
      </w:r>
    </w:p>
    <w:p w14:paraId="02958901" w14:textId="77777777" w:rsidR="00B55ECC" w:rsidRDefault="00B55ECC" w:rsidP="00986700">
      <w:pPr>
        <w:rPr>
          <w:lang w:eastAsia="en-US"/>
        </w:rPr>
      </w:pPr>
    </w:p>
    <w:p w14:paraId="48F54316"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21</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77BBB8F7" w14:textId="041B73FE"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77B3C90C" w14:textId="77777777" w:rsidR="008778B5" w:rsidRDefault="008778B5" w:rsidP="00986700">
      <w:pPr>
        <w:keepNext/>
        <w:rPr>
          <w:lang w:eastAsia="en-US"/>
        </w:rPr>
      </w:pPr>
    </w:p>
    <w:p w14:paraId="402AD229" w14:textId="4F2C7859" w:rsidR="00B55ECC" w:rsidRDefault="008778B5" w:rsidP="00986700">
      <w:pPr>
        <w:jc w:val="center"/>
        <w:rPr>
          <w:lang w:eastAsia="en-US"/>
        </w:rPr>
      </w:pPr>
      <w:r w:rsidRPr="008778B5">
        <w:rPr>
          <w:noProof/>
          <w:lang w:val="en-US" w:eastAsia="en-US"/>
        </w:rPr>
        <w:drawing>
          <wp:inline distT="0" distB="0" distL="0" distR="0" wp14:anchorId="5F5A035B" wp14:editId="3B2A7D30">
            <wp:extent cx="5400000" cy="6031770"/>
            <wp:effectExtent l="0" t="0" r="0" b="762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45CD42E4" w14:textId="77777777" w:rsidR="00B55ECC" w:rsidRDefault="00B55ECC" w:rsidP="00986700">
      <w:pPr>
        <w:rPr>
          <w:lang w:eastAsia="en-US"/>
        </w:rPr>
      </w:pPr>
    </w:p>
    <w:p w14:paraId="6F831CAF" w14:textId="77777777" w:rsidR="00637026" w:rsidRDefault="00637026" w:rsidP="00986700">
      <w:pPr>
        <w:rPr>
          <w:lang w:eastAsia="en-US"/>
        </w:rPr>
      </w:pPr>
    </w:p>
    <w:p w14:paraId="5330840D" w14:textId="77777777" w:rsidR="00637026" w:rsidRPr="00E61AC7" w:rsidRDefault="00637026" w:rsidP="00637026">
      <w:pPr>
        <w:keepNext/>
        <w:jc w:val="center"/>
        <w:rPr>
          <w:b/>
          <w:szCs w:val="20"/>
          <w:lang w:eastAsia="en-US"/>
        </w:rPr>
      </w:pPr>
      <w:r w:rsidRPr="00E61AC7">
        <w:rPr>
          <w:b/>
          <w:szCs w:val="20"/>
          <w:lang w:eastAsia="en-US"/>
        </w:rPr>
        <w:t>Fonds fiduciaires potentiellement disponibles aux fins d’activités de programme en 2018-20191</w:t>
      </w:r>
    </w:p>
    <w:p w14:paraId="0746D386" w14:textId="77777777" w:rsidR="00637026" w:rsidRPr="00E61AC7" w:rsidRDefault="00637026" w:rsidP="00637026">
      <w:pPr>
        <w:keepNext/>
        <w:jc w:val="center"/>
        <w:rPr>
          <w:i/>
          <w:szCs w:val="20"/>
          <w:lang w:eastAsia="en-US"/>
        </w:rPr>
      </w:pPr>
      <w:r w:rsidRPr="00E61AC7">
        <w:rPr>
          <w:i/>
          <w:szCs w:val="20"/>
          <w:lang w:eastAsia="en-US"/>
        </w:rPr>
        <w:t>(en milliers de francs suisses)</w:t>
      </w:r>
    </w:p>
    <w:p w14:paraId="432D6544" w14:textId="77777777" w:rsidR="00637026" w:rsidRDefault="00637026" w:rsidP="00637026">
      <w:pPr>
        <w:keepNext/>
        <w:rPr>
          <w:lang w:eastAsia="en-US"/>
        </w:rPr>
      </w:pPr>
    </w:p>
    <w:p w14:paraId="3F92B446" w14:textId="3B5FDBD9" w:rsidR="00637026" w:rsidRDefault="00637026" w:rsidP="00637026">
      <w:r w:rsidRPr="00637026">
        <w:rPr>
          <w:noProof/>
          <w:lang w:val="en-US" w:eastAsia="en-US"/>
        </w:rPr>
        <w:drawing>
          <wp:inline distT="0" distB="0" distL="0" distR="0" wp14:anchorId="3475386A" wp14:editId="1EA4AC9C">
            <wp:extent cx="5760085" cy="1728209"/>
            <wp:effectExtent l="0" t="0" r="0" b="571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085" cy="1728209"/>
                    </a:xfrm>
                    <a:prstGeom prst="rect">
                      <a:avLst/>
                    </a:prstGeom>
                    <a:noFill/>
                    <a:ln>
                      <a:noFill/>
                    </a:ln>
                  </pic:spPr>
                </pic:pic>
              </a:graphicData>
            </a:graphic>
          </wp:inline>
        </w:drawing>
      </w:r>
    </w:p>
    <w:p w14:paraId="4D977DB4" w14:textId="247B0CF4" w:rsidR="00426A7C" w:rsidRDefault="00426A7C" w:rsidP="00986700">
      <w:pPr>
        <w:rPr>
          <w:lang w:eastAsia="en-US"/>
        </w:rPr>
      </w:pPr>
      <w:r>
        <w:rPr>
          <w:lang w:eastAsia="en-US"/>
        </w:rPr>
        <w:br w:type="page"/>
      </w:r>
    </w:p>
    <w:p w14:paraId="598F9183" w14:textId="27F02C6A" w:rsidR="00426A7C" w:rsidRPr="0060494B" w:rsidRDefault="0060494B" w:rsidP="00986700">
      <w:pPr>
        <w:pStyle w:val="Heading2"/>
      </w:pPr>
      <w:bookmarkStart w:id="76" w:name="_Toc482979507"/>
      <w:r w:rsidRPr="0060494B">
        <w:lastRenderedPageBreak/>
        <w:t>Programme </w:t>
      </w:r>
      <w:r w:rsidR="00426A7C" w:rsidRPr="0060494B">
        <w:t>22</w:t>
      </w:r>
      <w:r w:rsidR="00426A7C" w:rsidRPr="0060494B">
        <w:tab/>
      </w:r>
      <w:r w:rsidRPr="0060494B">
        <w:t>Gestion du programme et des ressources</w:t>
      </w:r>
      <w:bookmarkEnd w:id="76"/>
    </w:p>
    <w:p w14:paraId="73CE4127" w14:textId="77777777" w:rsidR="00426A7C" w:rsidRPr="00526EFE" w:rsidRDefault="00426A7C" w:rsidP="00986700">
      <w:pPr>
        <w:pStyle w:val="StyleHeading3ComplexItalic"/>
        <w:rPr>
          <w:rStyle w:val="StyleStyleHeading3ComplexItalicLatin12ptChar"/>
          <w:rFonts w:eastAsia="SimSun"/>
          <w:szCs w:val="20"/>
        </w:rPr>
      </w:pPr>
    </w:p>
    <w:p w14:paraId="4AA66AF4" w14:textId="77777777" w:rsidR="00426A7C" w:rsidRPr="00526EFE" w:rsidRDefault="00426A7C" w:rsidP="00986700">
      <w:pPr>
        <w:tabs>
          <w:tab w:val="left" w:pos="1701"/>
        </w:tabs>
        <w:ind w:left="1701" w:hanging="1701"/>
        <w:rPr>
          <w:rFonts w:cs="Arial"/>
          <w:bCs/>
          <w:iCs/>
          <w:szCs w:val="20"/>
        </w:rPr>
      </w:pPr>
    </w:p>
    <w:tbl>
      <w:tblPr>
        <w:tblW w:w="5000" w:type="pct"/>
        <w:tblCellMar>
          <w:top w:w="57" w:type="dxa"/>
          <w:bottom w:w="57" w:type="dxa"/>
        </w:tblCellMar>
        <w:tblLook w:val="01E0" w:firstRow="1" w:lastRow="1" w:firstColumn="1" w:lastColumn="1" w:noHBand="0" w:noVBand="0"/>
      </w:tblPr>
      <w:tblGrid>
        <w:gridCol w:w="9287"/>
      </w:tblGrid>
      <w:tr w:rsidR="00426A7C" w:rsidRPr="00526EFE" w14:paraId="63D358A9" w14:textId="77777777" w:rsidTr="00426A7C">
        <w:trPr>
          <w:cantSplit/>
        </w:trPr>
        <w:tc>
          <w:tcPr>
            <w:tcW w:w="9571" w:type="dxa"/>
            <w:shd w:val="clear" w:color="auto" w:fill="C6D9F1" w:themeFill="text2" w:themeFillTint="33"/>
            <w:vAlign w:val="center"/>
          </w:tcPr>
          <w:p w14:paraId="6D620128" w14:textId="77777777" w:rsidR="00426A7C" w:rsidRPr="00526EFE" w:rsidRDefault="00426A7C" w:rsidP="00986700">
            <w:pPr>
              <w:keepNext/>
              <w:keepLines/>
              <w:jc w:val="center"/>
              <w:rPr>
                <w:rFonts w:eastAsia="Times New Roman" w:cs="Arial"/>
                <w:b/>
                <w:bCs/>
                <w:szCs w:val="20"/>
                <w:lang w:eastAsia="en-US"/>
              </w:rPr>
            </w:pPr>
            <w:r w:rsidRPr="00526EFE">
              <w:rPr>
                <w:rFonts w:eastAsia="Times New Roman" w:cs="Arial"/>
                <w:b/>
                <w:bCs/>
                <w:szCs w:val="20"/>
                <w:lang w:eastAsia="en-US"/>
              </w:rPr>
              <w:t xml:space="preserve">Stratégies de mise en œuvre </w:t>
            </w:r>
          </w:p>
        </w:tc>
      </w:tr>
    </w:tbl>
    <w:p w14:paraId="3DFD326C" w14:textId="77777777" w:rsidR="00426A7C" w:rsidRPr="00526EFE" w:rsidRDefault="00426A7C" w:rsidP="00986700">
      <w:pPr>
        <w:jc w:val="both"/>
        <w:rPr>
          <w:rFonts w:cs="Arial"/>
          <w:szCs w:val="20"/>
        </w:rPr>
      </w:pPr>
    </w:p>
    <w:p w14:paraId="358429B5" w14:textId="77777777"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Gérer les placements, sous la supervision du Comité consultatif pour les placements et avec l’assistance de conseillers en matière de placements (à la fin de 2017, l’Organisation aura placé l’essentiel ou la totalité de ses fonds propres et de sa trésorerie stratégique conformément à sa politique de placement).  Surveiller et gérer de près la trésorerie d’exploitation de l’Organisation dans un contexte de taux d’intérêt négatifs persistants en ce qui concerne le franc suisse;</w:t>
      </w:r>
    </w:p>
    <w:p w14:paraId="2A40E1BE" w14:textId="77777777" w:rsidR="00426A7C" w:rsidRPr="00526EFE" w:rsidRDefault="00426A7C" w:rsidP="00986700">
      <w:pPr>
        <w:pStyle w:val="ListParagraph"/>
        <w:ind w:left="567" w:hanging="567"/>
        <w:jc w:val="both"/>
        <w:rPr>
          <w:rFonts w:cs="Arial"/>
          <w:szCs w:val="20"/>
        </w:rPr>
      </w:pPr>
    </w:p>
    <w:p w14:paraId="1620F976" w14:textId="6526891B"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Renforcer la gestion des risques de change en élargissant progressivement la structure de compensation applicable aux mouvements de devises entre les offices de propriété intellectuelle et le Bureau international à d’autres offices en plus de ceux inclus dans le projet pilote en 2016</w:t>
      </w:r>
      <w:r w:rsidR="00B441CA">
        <w:rPr>
          <w:rFonts w:cs="Arial"/>
          <w:szCs w:val="20"/>
        </w:rPr>
        <w:noBreakHyphen/>
      </w:r>
      <w:r w:rsidRPr="00526EFE">
        <w:rPr>
          <w:rFonts w:cs="Arial"/>
          <w:szCs w:val="20"/>
        </w:rPr>
        <w:t>2017;</w:t>
      </w:r>
    </w:p>
    <w:p w14:paraId="0A0EE9A1" w14:textId="77777777" w:rsidR="00426A7C" w:rsidRPr="00526EFE" w:rsidRDefault="00426A7C" w:rsidP="00986700">
      <w:pPr>
        <w:pStyle w:val="ListParagraph"/>
        <w:ind w:left="567" w:hanging="567"/>
        <w:jc w:val="both"/>
        <w:rPr>
          <w:rFonts w:cs="Arial"/>
          <w:szCs w:val="20"/>
        </w:rPr>
      </w:pPr>
    </w:p>
    <w:p w14:paraId="79257D15" w14:textId="77777777"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Améliorer les services fournis aux clients qui paient des émoluments et taxes dans le cadre des systèmes mondiaux de propriété intellectuelle de l’OMPI par le renforcement des opérations des bureaux des services financiers et la mise en place d’un portail financier amélioré pour les clients.  Créer des synergies avec l’initiative relative au système mondial de propriété intellectuelle et mettre en œuvre une plateforme de paiement commune intégrant mieux les opérations commerciales de l’Organisation, notamment celles qui génèrent des recettes;</w:t>
      </w:r>
    </w:p>
    <w:p w14:paraId="2E3C864A" w14:textId="77777777" w:rsidR="00426A7C" w:rsidRPr="00526EFE" w:rsidRDefault="00426A7C" w:rsidP="00986700">
      <w:pPr>
        <w:pStyle w:val="ListParagraph"/>
        <w:ind w:left="567" w:hanging="567"/>
        <w:jc w:val="both"/>
        <w:rPr>
          <w:rFonts w:cs="Arial"/>
          <w:szCs w:val="20"/>
        </w:rPr>
      </w:pPr>
    </w:p>
    <w:p w14:paraId="62F8A1DE" w14:textId="77777777"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Continuer de consolider et de perfectionner les pratiques de gestion axée sur les résultats afin d’améliorer les performances et la rentabilité des opérations de l’OMPI et la responsabilisation des cadres supérieurs.  Intégrer les considérations liées à l’égalité des sexes dans toutes les politiques et tous les programmes de l’OMPI, notamment par la définition et le suivi d’indicateurs tenant compte des disparités entre les hommes et les femmes;</w:t>
      </w:r>
    </w:p>
    <w:p w14:paraId="7766AB72" w14:textId="77777777" w:rsidR="00426A7C" w:rsidRPr="00526EFE" w:rsidRDefault="00426A7C" w:rsidP="00986700">
      <w:pPr>
        <w:pStyle w:val="ListParagraph"/>
        <w:ind w:left="567" w:hanging="567"/>
        <w:jc w:val="both"/>
        <w:rPr>
          <w:rFonts w:cs="Arial"/>
          <w:szCs w:val="20"/>
        </w:rPr>
      </w:pPr>
    </w:p>
    <w:p w14:paraId="38CC2089" w14:textId="77777777"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Soutenir les travaux du Groupe de gestion des risques, effectuer un suivi systématique des recommandations en matière d’audit et de supervision et faire mieux connaître les mécanismes de contrôle et les risques liés à la fraude;</w:t>
      </w:r>
    </w:p>
    <w:p w14:paraId="0A0905CF" w14:textId="77777777" w:rsidR="00426A7C" w:rsidRPr="00526EFE" w:rsidRDefault="00426A7C" w:rsidP="00986700">
      <w:pPr>
        <w:pStyle w:val="ListParagraph"/>
        <w:ind w:left="567" w:hanging="567"/>
        <w:jc w:val="both"/>
        <w:rPr>
          <w:rFonts w:cs="Arial"/>
          <w:szCs w:val="20"/>
        </w:rPr>
      </w:pPr>
    </w:p>
    <w:p w14:paraId="1730881B" w14:textId="77777777" w:rsidR="00426A7C" w:rsidRPr="00526EFE" w:rsidRDefault="00426A7C" w:rsidP="00986700">
      <w:pPr>
        <w:pStyle w:val="ListParagraph"/>
        <w:numPr>
          <w:ilvl w:val="0"/>
          <w:numId w:val="9"/>
        </w:numPr>
        <w:ind w:left="567" w:hanging="567"/>
        <w:jc w:val="both"/>
        <w:rPr>
          <w:rFonts w:cs="Arial"/>
          <w:szCs w:val="20"/>
        </w:rPr>
      </w:pPr>
      <w:r w:rsidRPr="00526EFE">
        <w:rPr>
          <w:rFonts w:cs="Arial"/>
          <w:szCs w:val="20"/>
        </w:rPr>
        <w:t>Mener à bien et clore les projets dans le cadre du portefeuille de projets ERP et intégrer efficacement les systèmes élaborés dans les opérations.  L’empreinte étendue des systèmes ERP et le fait que de multiples processus opérationnels essentiels en dépendent, appellent une maturation importante pour assurer le bon fonctionnement du système ERP et son évolution constante pour répondre aux besoins opérationnels.  Cela nécessitera une transformation progressive en termes de structure, de processus et de compétences et un passage vers des services gérés.</w:t>
      </w:r>
    </w:p>
    <w:p w14:paraId="3BE2263C" w14:textId="77777777" w:rsidR="00426A7C" w:rsidRPr="00526EFE" w:rsidRDefault="00426A7C" w:rsidP="00986700">
      <w:pPr>
        <w:jc w:val="both"/>
        <w:rPr>
          <w:rFonts w:cs="Arial"/>
          <w:szCs w:val="20"/>
        </w:rPr>
      </w:pPr>
    </w:p>
    <w:p w14:paraId="6DE1AF00" w14:textId="77777777" w:rsidR="00426A7C" w:rsidRPr="00526EFE" w:rsidRDefault="00426A7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4643"/>
        <w:gridCol w:w="4644"/>
      </w:tblGrid>
      <w:tr w:rsidR="00426A7C" w:rsidRPr="00526EFE" w14:paraId="0A9BD901" w14:textId="77777777" w:rsidTr="00426A7C">
        <w:trPr>
          <w:cantSplit/>
        </w:trPr>
        <w:tc>
          <w:tcPr>
            <w:tcW w:w="4785" w:type="dxa"/>
            <w:shd w:val="clear" w:color="auto" w:fill="C6D9F1" w:themeFill="text2" w:themeFillTint="33"/>
            <w:vAlign w:val="center"/>
            <w:hideMark/>
          </w:tcPr>
          <w:p w14:paraId="06037FBA" w14:textId="77777777" w:rsidR="00426A7C" w:rsidRPr="00526EFE" w:rsidRDefault="00426A7C" w:rsidP="00986700">
            <w:pPr>
              <w:jc w:val="center"/>
              <w:rPr>
                <w:rFonts w:cs="Arial"/>
                <w:b/>
                <w:bCs/>
                <w:sz w:val="18"/>
                <w:szCs w:val="18"/>
              </w:rPr>
            </w:pPr>
            <w:r w:rsidRPr="00526EFE">
              <w:rPr>
                <w:rFonts w:cs="Arial"/>
                <w:b/>
                <w:bCs/>
                <w:sz w:val="18"/>
                <w:szCs w:val="18"/>
              </w:rPr>
              <w:t>Risques</w:t>
            </w:r>
          </w:p>
        </w:tc>
        <w:tc>
          <w:tcPr>
            <w:tcW w:w="4786" w:type="dxa"/>
            <w:shd w:val="clear" w:color="auto" w:fill="C6D9F1" w:themeFill="text2" w:themeFillTint="33"/>
            <w:vAlign w:val="center"/>
            <w:hideMark/>
          </w:tcPr>
          <w:p w14:paraId="4F47A543" w14:textId="77777777" w:rsidR="00426A7C" w:rsidRPr="00526EFE" w:rsidRDefault="00426A7C" w:rsidP="00986700">
            <w:pPr>
              <w:jc w:val="center"/>
              <w:rPr>
                <w:rFonts w:cs="Arial"/>
                <w:b/>
                <w:bCs/>
                <w:sz w:val="18"/>
                <w:szCs w:val="18"/>
              </w:rPr>
            </w:pPr>
            <w:r w:rsidRPr="00526EFE">
              <w:rPr>
                <w:rFonts w:cs="Arial"/>
                <w:b/>
                <w:bCs/>
                <w:sz w:val="18"/>
                <w:szCs w:val="18"/>
              </w:rPr>
              <w:t>Mesures d’atténuation</w:t>
            </w:r>
          </w:p>
        </w:tc>
      </w:tr>
      <w:tr w:rsidR="00426A7C" w:rsidRPr="00526EFE" w14:paraId="5B1DC312" w14:textId="77777777" w:rsidTr="00426A7C">
        <w:trPr>
          <w:cantSplit/>
        </w:trPr>
        <w:tc>
          <w:tcPr>
            <w:tcW w:w="4785" w:type="dxa"/>
            <w:tcMar>
              <w:top w:w="57" w:type="dxa"/>
              <w:left w:w="108" w:type="dxa"/>
              <w:bottom w:w="57" w:type="dxa"/>
              <w:right w:w="108" w:type="dxa"/>
            </w:tcMar>
            <w:hideMark/>
          </w:tcPr>
          <w:p w14:paraId="21EAFC6B" w14:textId="47D6AD45" w:rsidR="00426A7C" w:rsidRPr="00526EFE" w:rsidRDefault="00426A7C" w:rsidP="00986700">
            <w:pPr>
              <w:rPr>
                <w:rFonts w:cs="Arial"/>
                <w:sz w:val="16"/>
                <w:szCs w:val="16"/>
              </w:rPr>
            </w:pPr>
            <w:r w:rsidRPr="00526EFE">
              <w:rPr>
                <w:rFonts w:cs="Arial"/>
                <w:color w:val="000000"/>
                <w:sz w:val="16"/>
              </w:rPr>
              <w:t>Comme suite à la mise en œuvre de la nouvelle politique de placement de l’Organisation (approuvées par les États membres en 2015), les fonds propres seront placés sur une période de cinq ans tandis que la trésorerie stratégique sera placée sur une période de vingt ans, l’objectif étant d’obtenir un rendement positif sur ces périodes.  Au cours de ces périodes, il existe un risque que la valeur de certains ou de la totalité de ces placements chute, temporairement ou de manière permanente, ce qui pourrait entraîner une réduction de l’actif net (réserves).  En outre, si les taux d’intérêts négatifs devaient perdurer, cela représenterait un risque en ce qui concerne la valeur des liquidités détenues auprès des banques commerciales.</w:t>
            </w:r>
          </w:p>
        </w:tc>
        <w:tc>
          <w:tcPr>
            <w:tcW w:w="4786" w:type="dxa"/>
            <w:tcMar>
              <w:top w:w="57" w:type="dxa"/>
              <w:left w:w="108" w:type="dxa"/>
              <w:bottom w:w="57" w:type="dxa"/>
              <w:right w:w="108" w:type="dxa"/>
            </w:tcMar>
          </w:tcPr>
          <w:p w14:paraId="4EE24FD7" w14:textId="77777777" w:rsidR="00426A7C" w:rsidRPr="00526EFE" w:rsidRDefault="00426A7C" w:rsidP="00986700">
            <w:pPr>
              <w:rPr>
                <w:rFonts w:cs="Arial"/>
                <w:sz w:val="16"/>
                <w:szCs w:val="16"/>
              </w:rPr>
            </w:pPr>
            <w:r w:rsidRPr="00526EFE">
              <w:rPr>
                <w:rFonts w:cs="Arial"/>
                <w:sz w:val="16"/>
                <w:szCs w:val="16"/>
              </w:rPr>
              <w:t>Les placements de fonds propres et de trésorerie stratégique seront diversifiés, seront détenus conformément aux notations autorisées par la nouvelle politique de placement et seront faits sur la base d’avis indépendants.  Leur performance sera suivie de près par le Comité consultatif pour les placements et par les conseillers en matière de placements de l’Organisation et des mesures de redressement seront prises en cas de nécessité.  La nouvelle politique de placement permet à l’Organisation de placer ses liquidités auprès d’institutions financières ayant des notations inférieures à celles précédemment autorisées.  Cela permettra à l’OMPI de détenir des fonds auprès d’une plus large palette d’institutions financières et de rester ainsi dans les limites de fonds en deçà desquelles aucun taux d’intérêt négatif n’est prélevé par les partenaires bancaires de l’OMPI.</w:t>
            </w:r>
          </w:p>
        </w:tc>
      </w:tr>
    </w:tbl>
    <w:p w14:paraId="1FD16CD2" w14:textId="77777777" w:rsidR="00426A7C" w:rsidRDefault="00426A7C" w:rsidP="00986700">
      <w:pPr>
        <w:jc w:val="both"/>
        <w:rPr>
          <w:rFonts w:cs="Arial"/>
          <w:szCs w:val="20"/>
        </w:rPr>
      </w:pPr>
    </w:p>
    <w:p w14:paraId="6B709513" w14:textId="77777777" w:rsidR="007D0D32" w:rsidRPr="00526EFE" w:rsidRDefault="007D0D32" w:rsidP="00986700">
      <w:pPr>
        <w:jc w:val="both"/>
        <w:rPr>
          <w:rFonts w:cs="Arial"/>
          <w:szCs w:val="20"/>
        </w:rPr>
      </w:pPr>
    </w:p>
    <w:tbl>
      <w:tblPr>
        <w:tblW w:w="5000" w:type="pct"/>
        <w:tblCellMar>
          <w:top w:w="57" w:type="dxa"/>
          <w:bottom w:w="57" w:type="dxa"/>
        </w:tblCellMar>
        <w:tblLook w:val="04A0" w:firstRow="1" w:lastRow="0" w:firstColumn="1" w:lastColumn="0" w:noHBand="0" w:noVBand="1"/>
      </w:tblPr>
      <w:tblGrid>
        <w:gridCol w:w="2393"/>
        <w:gridCol w:w="2301"/>
        <w:gridCol w:w="2301"/>
        <w:gridCol w:w="2292"/>
      </w:tblGrid>
      <w:tr w:rsidR="007D0D32" w:rsidRPr="00E33B0D" w14:paraId="4D70621B" w14:textId="77777777" w:rsidTr="00E833DE">
        <w:trPr>
          <w:cantSplit/>
          <w:tblHeader/>
        </w:trPr>
        <w:tc>
          <w:tcPr>
            <w:tcW w:w="2393" w:type="dxa"/>
            <w:shd w:val="clear" w:color="000000" w:fill="C5D9F1"/>
            <w:vAlign w:val="center"/>
            <w:hideMark/>
          </w:tcPr>
          <w:p w14:paraId="1663112D" w14:textId="77777777" w:rsidR="007D0D32" w:rsidRPr="00E33B0D" w:rsidRDefault="007D0D32" w:rsidP="00986700">
            <w:pPr>
              <w:keepNext/>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lastRenderedPageBreak/>
              <w:t xml:space="preserve">Résultat escompté </w:t>
            </w:r>
          </w:p>
        </w:tc>
        <w:tc>
          <w:tcPr>
            <w:tcW w:w="2301" w:type="dxa"/>
            <w:shd w:val="clear" w:color="000000" w:fill="C5D9F1"/>
            <w:vAlign w:val="center"/>
            <w:hideMark/>
          </w:tcPr>
          <w:p w14:paraId="71969AA0" w14:textId="77777777" w:rsidR="007D0D32" w:rsidRPr="00E33B0D" w:rsidRDefault="007D0D32" w:rsidP="00986700">
            <w:pPr>
              <w:keepNext/>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Indicateurs d’exécution</w:t>
            </w:r>
          </w:p>
        </w:tc>
        <w:tc>
          <w:tcPr>
            <w:tcW w:w="2301" w:type="dxa"/>
            <w:shd w:val="clear" w:color="000000" w:fill="C5D9F1"/>
            <w:vAlign w:val="center"/>
            <w:hideMark/>
          </w:tcPr>
          <w:p w14:paraId="39B6DD91" w14:textId="77777777" w:rsidR="007D0D32" w:rsidRPr="00E33B0D" w:rsidRDefault="007D0D32" w:rsidP="00986700">
            <w:pPr>
              <w:keepNext/>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Niveaux de référence</w:t>
            </w:r>
          </w:p>
        </w:tc>
        <w:tc>
          <w:tcPr>
            <w:tcW w:w="2292" w:type="dxa"/>
            <w:shd w:val="clear" w:color="000000" w:fill="C5D9F1"/>
            <w:vAlign w:val="center"/>
            <w:hideMark/>
          </w:tcPr>
          <w:p w14:paraId="375EDDD1" w14:textId="77777777" w:rsidR="007D0D32" w:rsidRPr="00E33B0D" w:rsidRDefault="007D0D32" w:rsidP="00986700">
            <w:pPr>
              <w:keepNext/>
              <w:jc w:val="center"/>
              <w:rPr>
                <w:rFonts w:eastAsia="Times New Roman" w:cs="Arial"/>
                <w:b/>
                <w:bCs/>
                <w:color w:val="000000"/>
                <w:sz w:val="18"/>
                <w:szCs w:val="18"/>
                <w:lang w:eastAsia="en-US"/>
              </w:rPr>
            </w:pPr>
            <w:r w:rsidRPr="00E33B0D">
              <w:rPr>
                <w:rFonts w:eastAsia="Times New Roman" w:cs="Arial"/>
                <w:b/>
                <w:bCs/>
                <w:color w:val="000000"/>
                <w:sz w:val="18"/>
                <w:szCs w:val="18"/>
                <w:lang w:eastAsia="en-US"/>
              </w:rPr>
              <w:t>Objectifs visés</w:t>
            </w:r>
          </w:p>
        </w:tc>
      </w:tr>
      <w:tr w:rsidR="00426A7C" w:rsidRPr="00526EFE" w14:paraId="0167D95A" w14:textId="77777777" w:rsidTr="00E833DE">
        <w:trPr>
          <w:cantSplit/>
        </w:trPr>
        <w:tc>
          <w:tcPr>
            <w:tcW w:w="2393" w:type="dxa"/>
            <w:shd w:val="clear" w:color="000000" w:fill="FFFFFF"/>
            <w:tcMar>
              <w:top w:w="57" w:type="dxa"/>
            </w:tcMar>
            <w:hideMark/>
          </w:tcPr>
          <w:p w14:paraId="3EFF5FAD" w14:textId="35475901" w:rsidR="00426A7C" w:rsidRPr="00526EFE" w:rsidRDefault="00426A7C" w:rsidP="00986700">
            <w:pPr>
              <w:keepNext/>
              <w:keepLines/>
              <w:rPr>
                <w:rFonts w:eastAsia="Times New Roman" w:cs="Arial"/>
                <w:color w:val="000000"/>
                <w:sz w:val="16"/>
                <w:szCs w:val="16"/>
                <w:lang w:eastAsia="en-US"/>
              </w:rPr>
            </w:pPr>
            <w:r w:rsidRPr="00526EFE">
              <w:rPr>
                <w:rFonts w:eastAsia="Times New Roman" w:cs="Arial"/>
                <w:color w:val="000000"/>
                <w:sz w:val="16"/>
                <w:szCs w:val="16"/>
                <w:lang w:eastAsia="en-US"/>
              </w:rPr>
              <w:t>IX.1 Services d’appui efficaces, efficients, de qualité et tournés vers la clientèle, à l’intention à la fois des clients internes et des parties prenantes externes</w:t>
            </w:r>
          </w:p>
        </w:tc>
        <w:tc>
          <w:tcPr>
            <w:tcW w:w="2301" w:type="dxa"/>
            <w:shd w:val="clear" w:color="000000" w:fill="FFFFFF"/>
            <w:tcMar>
              <w:top w:w="57" w:type="dxa"/>
            </w:tcMar>
            <w:hideMark/>
          </w:tcPr>
          <w:p w14:paraId="660636F4" w14:textId="77777777" w:rsidR="00426A7C" w:rsidRPr="00526EFE" w:rsidRDefault="00426A7C" w:rsidP="00986700">
            <w:pPr>
              <w:keepNext/>
              <w:keepLines/>
              <w:rPr>
                <w:rFonts w:eastAsia="Times New Roman" w:cs="Arial"/>
                <w:color w:val="000000"/>
                <w:sz w:val="16"/>
                <w:szCs w:val="16"/>
                <w:lang w:eastAsia="en-US"/>
              </w:rPr>
            </w:pPr>
            <w:r w:rsidRPr="00526EFE">
              <w:rPr>
                <w:rFonts w:eastAsia="Times New Roman" w:cs="Arial"/>
                <w:color w:val="000000"/>
                <w:sz w:val="16"/>
                <w:szCs w:val="16"/>
                <w:lang w:eastAsia="en-US"/>
              </w:rPr>
              <w:t>Mise à disposition dans les délais des rapports et analyses de nature financière et de gestion demandés par la haute direction, les chefs de programmes et les États membres</w:t>
            </w:r>
          </w:p>
        </w:tc>
        <w:tc>
          <w:tcPr>
            <w:tcW w:w="2301" w:type="dxa"/>
            <w:shd w:val="clear" w:color="000000" w:fill="FFFFFF"/>
            <w:tcMar>
              <w:top w:w="57" w:type="dxa"/>
            </w:tcMar>
            <w:hideMark/>
          </w:tcPr>
          <w:p w14:paraId="177716F2" w14:textId="77777777" w:rsidR="00426A7C" w:rsidRPr="00526EFE" w:rsidRDefault="00426A7C" w:rsidP="00986700">
            <w:pPr>
              <w:keepNext/>
              <w:keepLines/>
              <w:rPr>
                <w:rFonts w:eastAsia="Times New Roman" w:cs="Arial"/>
                <w:color w:val="000000"/>
                <w:sz w:val="16"/>
                <w:szCs w:val="16"/>
                <w:lang w:eastAsia="en-US"/>
              </w:rPr>
            </w:pPr>
            <w:r w:rsidRPr="00526EFE">
              <w:rPr>
                <w:rFonts w:eastAsia="Times New Roman" w:cs="Arial"/>
                <w:color w:val="000000"/>
                <w:sz w:val="16"/>
                <w:szCs w:val="16"/>
                <w:lang w:eastAsia="en-US"/>
              </w:rPr>
              <w:t>Clôture mensuelle à effectuer dans les 10</w:t>
            </w:r>
            <w:r>
              <w:rPr>
                <w:rFonts w:eastAsia="Times New Roman" w:cs="Arial"/>
                <w:color w:val="000000"/>
                <w:sz w:val="16"/>
                <w:szCs w:val="16"/>
                <w:lang w:eastAsia="en-US"/>
              </w:rPr>
              <w:t> </w:t>
            </w:r>
            <w:r w:rsidRPr="00526EFE">
              <w:rPr>
                <w:rFonts w:eastAsia="Times New Roman" w:cs="Arial"/>
                <w:color w:val="000000"/>
                <w:sz w:val="16"/>
                <w:szCs w:val="16"/>
                <w:lang w:eastAsia="en-US"/>
              </w:rPr>
              <w:t>jours ouvrables à compter de la fin du mois</w:t>
            </w:r>
          </w:p>
        </w:tc>
        <w:tc>
          <w:tcPr>
            <w:tcW w:w="2292" w:type="dxa"/>
            <w:shd w:val="clear" w:color="000000" w:fill="FFFFFF"/>
            <w:tcMar>
              <w:top w:w="57" w:type="dxa"/>
            </w:tcMar>
            <w:hideMark/>
          </w:tcPr>
          <w:p w14:paraId="4EB7EF65" w14:textId="77777777" w:rsidR="00426A7C" w:rsidRPr="00526EFE" w:rsidRDefault="00426A7C" w:rsidP="00986700">
            <w:pPr>
              <w:keepNext/>
              <w:keepLines/>
              <w:rPr>
                <w:rFonts w:eastAsia="Times New Roman" w:cs="Arial"/>
                <w:color w:val="000000"/>
                <w:sz w:val="16"/>
                <w:szCs w:val="16"/>
                <w:lang w:eastAsia="en-US"/>
              </w:rPr>
            </w:pPr>
            <w:r w:rsidRPr="00526EFE">
              <w:rPr>
                <w:rFonts w:eastAsia="Times New Roman" w:cs="Arial"/>
                <w:color w:val="000000"/>
                <w:sz w:val="16"/>
                <w:szCs w:val="16"/>
                <w:lang w:eastAsia="en-US"/>
              </w:rPr>
              <w:t>Identique aux niveaux de référence</w:t>
            </w:r>
          </w:p>
        </w:tc>
      </w:tr>
      <w:tr w:rsidR="00426A7C" w:rsidRPr="00526EFE" w14:paraId="28DBBC60" w14:textId="77777777" w:rsidTr="00E833DE">
        <w:trPr>
          <w:cantSplit/>
        </w:trPr>
        <w:tc>
          <w:tcPr>
            <w:tcW w:w="2393" w:type="dxa"/>
            <w:shd w:val="clear" w:color="000000" w:fill="FFFFFF"/>
            <w:tcMar>
              <w:top w:w="57" w:type="dxa"/>
            </w:tcMar>
            <w:hideMark/>
          </w:tcPr>
          <w:p w14:paraId="0809F524"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 </w:t>
            </w:r>
          </w:p>
        </w:tc>
        <w:tc>
          <w:tcPr>
            <w:tcW w:w="2301" w:type="dxa"/>
            <w:shd w:val="clear" w:color="auto" w:fill="auto"/>
            <w:tcMar>
              <w:top w:w="57" w:type="dxa"/>
            </w:tcMar>
            <w:hideMark/>
          </w:tcPr>
          <w:p w14:paraId="010E1656"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Le système ERP de l’Organisation (AIMS) fonctionne de manière efficiente et est géré, conformément aux pratiques recommandées</w:t>
            </w:r>
          </w:p>
        </w:tc>
        <w:tc>
          <w:tcPr>
            <w:tcW w:w="2301" w:type="dxa"/>
            <w:shd w:val="clear" w:color="auto" w:fill="auto"/>
            <w:tcMar>
              <w:top w:w="57" w:type="dxa"/>
            </w:tcMar>
            <w:hideMark/>
          </w:tcPr>
          <w:p w14:paraId="400A10B8" w14:textId="0A032C98"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 xml:space="preserve">Temps de fonctionnement : 99,90% </w:t>
            </w:r>
          </w:p>
          <w:p w14:paraId="1D69E4B3" w14:textId="44D98FD1"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 xml:space="preserve">Délai moyen pour clore des incidents de priorité élevée : </w:t>
            </w:r>
            <w:r w:rsidR="00D62A6A">
              <w:rPr>
                <w:rFonts w:eastAsia="Times New Roman" w:cs="Arial"/>
                <w:color w:val="000000"/>
                <w:sz w:val="16"/>
                <w:szCs w:val="16"/>
                <w:lang w:eastAsia="en-US"/>
              </w:rPr>
              <w:t>25</w:t>
            </w:r>
            <w:r w:rsidR="00165F8F">
              <w:rPr>
                <w:rFonts w:eastAsia="Times New Roman" w:cs="Arial"/>
                <w:color w:val="000000"/>
                <w:sz w:val="16"/>
                <w:szCs w:val="16"/>
                <w:lang w:eastAsia="en-US"/>
              </w:rPr>
              <w:t> </w:t>
            </w:r>
            <w:r w:rsidR="00426A7C" w:rsidRPr="00526EFE">
              <w:rPr>
                <w:rFonts w:eastAsia="Times New Roman" w:cs="Arial"/>
                <w:color w:val="000000"/>
                <w:sz w:val="16"/>
                <w:szCs w:val="16"/>
                <w:lang w:eastAsia="en-US"/>
              </w:rPr>
              <w:t>jours</w:t>
            </w:r>
            <w:r w:rsidR="00005557">
              <w:rPr>
                <w:rFonts w:eastAsia="Times New Roman" w:cs="Arial"/>
                <w:color w:val="000000"/>
                <w:sz w:val="16"/>
                <w:szCs w:val="16"/>
                <w:lang w:eastAsia="en-US"/>
              </w:rPr>
              <w:t xml:space="preserve"> (2016)</w:t>
            </w:r>
          </w:p>
          <w:p w14:paraId="38C38DEE" w14:textId="78A11D09"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Processus conformes à la norme ITIL : 3</w:t>
            </w:r>
          </w:p>
          <w:p w14:paraId="147B9F53" w14:textId="56B5D3C8" w:rsidR="00426A7C" w:rsidRPr="00526EFE" w:rsidRDefault="00791FEF" w:rsidP="00D62A6A">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Coût mo</w:t>
            </w:r>
            <w:r w:rsidR="00D62A6A">
              <w:rPr>
                <w:rFonts w:eastAsia="Times New Roman" w:cs="Arial"/>
                <w:color w:val="000000"/>
                <w:sz w:val="16"/>
                <w:szCs w:val="16"/>
                <w:lang w:eastAsia="en-US"/>
              </w:rPr>
              <w:t>yen par incident : à déterminer</w:t>
            </w:r>
          </w:p>
        </w:tc>
        <w:tc>
          <w:tcPr>
            <w:tcW w:w="2292" w:type="dxa"/>
            <w:shd w:val="clear" w:color="auto" w:fill="auto"/>
            <w:tcMar>
              <w:top w:w="57" w:type="dxa"/>
            </w:tcMar>
            <w:hideMark/>
          </w:tcPr>
          <w:p w14:paraId="53FB8FC0" w14:textId="416E880C"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 xml:space="preserve">Temps de fonctionnement : 99,90% </w:t>
            </w:r>
          </w:p>
          <w:p w14:paraId="0031E532" w14:textId="0F7A9DD9"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Délai moyen pour clore des incidents de priorité élevée : 14</w:t>
            </w:r>
            <w:r w:rsidR="00165F8F">
              <w:rPr>
                <w:rFonts w:eastAsia="Times New Roman" w:cs="Arial"/>
                <w:color w:val="000000"/>
                <w:sz w:val="16"/>
                <w:szCs w:val="16"/>
                <w:lang w:eastAsia="en-US"/>
              </w:rPr>
              <w:t> </w:t>
            </w:r>
            <w:r w:rsidR="00426A7C" w:rsidRPr="00526EFE">
              <w:rPr>
                <w:rFonts w:eastAsia="Times New Roman" w:cs="Arial"/>
                <w:color w:val="000000"/>
                <w:sz w:val="16"/>
                <w:szCs w:val="16"/>
                <w:lang w:eastAsia="en-US"/>
              </w:rPr>
              <w:t>jours</w:t>
            </w:r>
          </w:p>
          <w:p w14:paraId="4A12F2D6" w14:textId="0163211C"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Processus conformes à la norme ITIL : 3</w:t>
            </w:r>
          </w:p>
          <w:p w14:paraId="659BE637" w14:textId="15CD4CEF" w:rsidR="00426A7C" w:rsidRPr="00526EFE" w:rsidRDefault="00791FEF" w:rsidP="00D62A6A">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Coût mo</w:t>
            </w:r>
            <w:r w:rsidR="00D62A6A">
              <w:rPr>
                <w:rFonts w:eastAsia="Times New Roman" w:cs="Arial"/>
                <w:color w:val="000000"/>
                <w:sz w:val="16"/>
                <w:szCs w:val="16"/>
                <w:lang w:eastAsia="en-US"/>
              </w:rPr>
              <w:t>yen par incident : à déterminer</w:t>
            </w:r>
          </w:p>
        </w:tc>
      </w:tr>
      <w:tr w:rsidR="00426A7C" w:rsidRPr="00526EFE" w14:paraId="25735B42" w14:textId="77777777" w:rsidTr="00E833DE">
        <w:trPr>
          <w:cantSplit/>
        </w:trPr>
        <w:tc>
          <w:tcPr>
            <w:tcW w:w="2393" w:type="dxa"/>
            <w:shd w:val="clear" w:color="000000" w:fill="FFFFFF"/>
            <w:tcMar>
              <w:top w:w="57" w:type="dxa"/>
            </w:tcMar>
            <w:hideMark/>
          </w:tcPr>
          <w:p w14:paraId="10D67409"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 </w:t>
            </w:r>
          </w:p>
        </w:tc>
        <w:tc>
          <w:tcPr>
            <w:tcW w:w="2301" w:type="dxa"/>
            <w:shd w:val="clear" w:color="auto" w:fill="auto"/>
            <w:tcMar>
              <w:top w:w="57" w:type="dxa"/>
            </w:tcMar>
            <w:hideMark/>
          </w:tcPr>
          <w:p w14:paraId="0E2E49DA"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Les améliorations en cours du système AIMS sont mises en place efficacement et répondent aux besoins opérationnels</w:t>
            </w:r>
          </w:p>
        </w:tc>
        <w:tc>
          <w:tcPr>
            <w:tcW w:w="2301" w:type="dxa"/>
            <w:shd w:val="clear" w:color="auto" w:fill="auto"/>
            <w:tcMar>
              <w:top w:w="57" w:type="dxa"/>
            </w:tcMar>
            <w:hideMark/>
          </w:tcPr>
          <w:p w14:paraId="592A8B7D" w14:textId="77777777" w:rsidR="00094A7D"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Coût moyen par demande de changement : à déterminer à la fin de 2017</w:t>
            </w:r>
          </w:p>
          <w:p w14:paraId="1BA48CA2" w14:textId="77777777" w:rsidR="00094A7D" w:rsidRDefault="00094A7D" w:rsidP="00986700">
            <w:pPr>
              <w:rPr>
                <w:rFonts w:eastAsia="Times New Roman" w:cs="Arial"/>
                <w:color w:val="000000"/>
                <w:sz w:val="16"/>
                <w:szCs w:val="16"/>
                <w:lang w:eastAsia="en-US"/>
              </w:rPr>
            </w:pPr>
          </w:p>
          <w:p w14:paraId="20D3D5BD" w14:textId="1CAC5E26"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Niveau de satisfaction des utilisateurs : à déterminer</w:t>
            </w:r>
          </w:p>
        </w:tc>
        <w:tc>
          <w:tcPr>
            <w:tcW w:w="2292" w:type="dxa"/>
            <w:shd w:val="clear" w:color="auto" w:fill="auto"/>
            <w:tcMar>
              <w:top w:w="57" w:type="dxa"/>
            </w:tcMar>
            <w:hideMark/>
          </w:tcPr>
          <w:p w14:paraId="2A03211F" w14:textId="53BD50B7" w:rsidR="00094A7D" w:rsidRDefault="00426A7C" w:rsidP="00D62A6A">
            <w:pPr>
              <w:rPr>
                <w:rFonts w:eastAsia="Times New Roman" w:cs="Arial"/>
                <w:color w:val="000000"/>
                <w:sz w:val="16"/>
                <w:szCs w:val="16"/>
                <w:lang w:eastAsia="en-US"/>
              </w:rPr>
            </w:pPr>
            <w:r w:rsidRPr="00526EFE">
              <w:rPr>
                <w:rFonts w:eastAsia="Times New Roman" w:cs="Arial"/>
                <w:color w:val="000000"/>
                <w:sz w:val="16"/>
                <w:szCs w:val="16"/>
                <w:lang w:eastAsia="en-US"/>
              </w:rPr>
              <w:t xml:space="preserve">Coût moyen par demande de changement : à déterminer </w:t>
            </w:r>
          </w:p>
          <w:p w14:paraId="73ECA50E" w14:textId="77777777" w:rsidR="00094A7D" w:rsidRDefault="00094A7D" w:rsidP="00986700">
            <w:pPr>
              <w:rPr>
                <w:rFonts w:eastAsia="Times New Roman" w:cs="Arial"/>
                <w:color w:val="000000"/>
                <w:sz w:val="16"/>
                <w:szCs w:val="16"/>
                <w:lang w:eastAsia="en-US"/>
              </w:rPr>
            </w:pPr>
          </w:p>
          <w:p w14:paraId="20CE5EA4" w14:textId="77777777" w:rsidR="00D62A6A" w:rsidRDefault="00D62A6A" w:rsidP="00986700">
            <w:pPr>
              <w:rPr>
                <w:rFonts w:eastAsia="Times New Roman" w:cs="Arial"/>
                <w:color w:val="000000"/>
                <w:sz w:val="16"/>
                <w:szCs w:val="16"/>
                <w:lang w:eastAsia="en-US"/>
              </w:rPr>
            </w:pPr>
          </w:p>
          <w:p w14:paraId="79BB6735" w14:textId="551A7AFA"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Niveau de satisfaction des utilisateurs : à déterminer</w:t>
            </w:r>
          </w:p>
        </w:tc>
      </w:tr>
      <w:tr w:rsidR="00426A7C" w:rsidRPr="00526EFE" w14:paraId="4DD12230" w14:textId="77777777" w:rsidTr="00E833DE">
        <w:trPr>
          <w:cantSplit/>
        </w:trPr>
        <w:tc>
          <w:tcPr>
            <w:tcW w:w="2393" w:type="dxa"/>
            <w:shd w:val="clear" w:color="000000" w:fill="FFFFFF"/>
            <w:tcMar>
              <w:top w:w="57" w:type="dxa"/>
            </w:tcMar>
            <w:hideMark/>
          </w:tcPr>
          <w:p w14:paraId="5580C852"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 </w:t>
            </w:r>
          </w:p>
        </w:tc>
        <w:tc>
          <w:tcPr>
            <w:tcW w:w="2301" w:type="dxa"/>
            <w:shd w:val="clear" w:color="000000" w:fill="FFFFFF"/>
            <w:tcMar>
              <w:top w:w="57" w:type="dxa"/>
            </w:tcMar>
            <w:hideMark/>
          </w:tcPr>
          <w:p w14:paraId="4891C75B"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 xml:space="preserve">Pourcentage de documents du PBC publiés dans les délais </w:t>
            </w:r>
          </w:p>
        </w:tc>
        <w:tc>
          <w:tcPr>
            <w:tcW w:w="2301" w:type="dxa"/>
            <w:shd w:val="clear" w:color="000000" w:fill="FFFFFF"/>
            <w:tcMar>
              <w:top w:w="57" w:type="dxa"/>
            </w:tcMar>
            <w:hideMark/>
          </w:tcPr>
          <w:p w14:paraId="009B4512" w14:textId="1E012B79"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50% dans les délais</w:t>
            </w:r>
          </w:p>
          <w:p w14:paraId="4FB2057B" w14:textId="0B254627"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0% dans la semaine qui suit le délai imparti</w:t>
            </w:r>
          </w:p>
          <w:p w14:paraId="1B99D889" w14:textId="316775C0" w:rsidR="00426A7C" w:rsidRPr="00526EFE"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25% dans les quatre semaines qui suivent le délai imparti</w:t>
            </w:r>
            <w:r w:rsidR="00094A7D">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(en 2016)</w:t>
            </w:r>
          </w:p>
        </w:tc>
        <w:tc>
          <w:tcPr>
            <w:tcW w:w="2292" w:type="dxa"/>
            <w:shd w:val="clear" w:color="000000" w:fill="FFFFFF"/>
            <w:tcMar>
              <w:top w:w="57" w:type="dxa"/>
            </w:tcMar>
            <w:hideMark/>
          </w:tcPr>
          <w:p w14:paraId="07155144" w14:textId="1D4454DC"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60% dans les délais</w:t>
            </w:r>
          </w:p>
          <w:p w14:paraId="15F98A0A" w14:textId="5A4C32E6"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5% dans la semaine qui suit le délai imparti</w:t>
            </w:r>
          </w:p>
          <w:p w14:paraId="7814B783" w14:textId="77B3507B" w:rsidR="00426A7C" w:rsidRPr="00526EFE"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15% dans les quatre semaines qui suivent le délai imparti</w:t>
            </w:r>
          </w:p>
        </w:tc>
      </w:tr>
      <w:tr w:rsidR="00426A7C" w:rsidRPr="00526EFE" w14:paraId="56032D5A" w14:textId="77777777" w:rsidTr="00E833DE">
        <w:trPr>
          <w:cantSplit/>
        </w:trPr>
        <w:tc>
          <w:tcPr>
            <w:tcW w:w="2393" w:type="dxa"/>
            <w:shd w:val="clear" w:color="000000" w:fill="FFFFFF"/>
            <w:tcMar>
              <w:top w:w="57" w:type="dxa"/>
            </w:tcMar>
            <w:hideMark/>
          </w:tcPr>
          <w:p w14:paraId="6B19602E"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IX.2 Un Secrétariat réactif, fonctionnant harmonieusement et doté de ressources humaines bien gérées et compétentes, à même d’obtenir des résultats concrets</w:t>
            </w:r>
          </w:p>
        </w:tc>
        <w:tc>
          <w:tcPr>
            <w:tcW w:w="2301" w:type="dxa"/>
            <w:shd w:val="clear" w:color="000000" w:fill="FFFFFF"/>
            <w:tcMar>
              <w:top w:w="57" w:type="dxa"/>
            </w:tcMar>
            <w:hideMark/>
          </w:tcPr>
          <w:p w14:paraId="478BAF42"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Les vérificateurs externes des comptes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2301" w:type="dxa"/>
            <w:shd w:val="clear" w:color="000000" w:fill="FFFFFF"/>
            <w:tcMar>
              <w:top w:w="57" w:type="dxa"/>
            </w:tcMar>
            <w:hideMark/>
          </w:tcPr>
          <w:p w14:paraId="54CF5C34" w14:textId="0A4E15B8"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Réception d’un rapport d’audit favorable pour 2018</w:t>
            </w:r>
            <w:r w:rsidR="00B441CA">
              <w:rPr>
                <w:rFonts w:eastAsia="Times New Roman" w:cs="Arial"/>
                <w:color w:val="000000"/>
                <w:sz w:val="16"/>
                <w:szCs w:val="16"/>
                <w:lang w:eastAsia="en-US"/>
              </w:rPr>
              <w:noBreakHyphen/>
            </w:r>
            <w:r w:rsidRPr="00526EFE">
              <w:rPr>
                <w:rFonts w:eastAsia="Times New Roman" w:cs="Arial"/>
                <w:color w:val="000000"/>
                <w:sz w:val="16"/>
                <w:szCs w:val="16"/>
                <w:lang w:eastAsia="en-US"/>
              </w:rPr>
              <w:t>2019 et réponses apportées à toutes les recommandations relatives à la vérification des états financiers</w:t>
            </w:r>
          </w:p>
        </w:tc>
        <w:tc>
          <w:tcPr>
            <w:tcW w:w="2292" w:type="dxa"/>
            <w:shd w:val="clear" w:color="000000" w:fill="FFFFFF"/>
            <w:tcMar>
              <w:top w:w="57" w:type="dxa"/>
            </w:tcMar>
            <w:hideMark/>
          </w:tcPr>
          <w:p w14:paraId="32111FF1"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Rapport d’audit favorable pour les deux années de l’exercice</w:t>
            </w:r>
          </w:p>
        </w:tc>
      </w:tr>
      <w:tr w:rsidR="00426A7C" w:rsidRPr="00526EFE" w14:paraId="5512157A" w14:textId="77777777" w:rsidTr="00E833DE">
        <w:trPr>
          <w:cantSplit/>
        </w:trPr>
        <w:tc>
          <w:tcPr>
            <w:tcW w:w="2393" w:type="dxa"/>
            <w:shd w:val="clear" w:color="000000" w:fill="FFFFFF"/>
            <w:tcMar>
              <w:top w:w="57" w:type="dxa"/>
            </w:tcMar>
          </w:tcPr>
          <w:p w14:paraId="0A69D63B" w14:textId="77777777" w:rsidR="00426A7C" w:rsidRPr="00526EFE" w:rsidRDefault="00426A7C" w:rsidP="00986700">
            <w:pPr>
              <w:rPr>
                <w:rFonts w:eastAsia="Times New Roman" w:cs="Arial"/>
                <w:color w:val="000000"/>
                <w:sz w:val="16"/>
                <w:szCs w:val="16"/>
                <w:lang w:eastAsia="en-US"/>
              </w:rPr>
            </w:pPr>
          </w:p>
        </w:tc>
        <w:tc>
          <w:tcPr>
            <w:tcW w:w="2301" w:type="dxa"/>
            <w:shd w:val="clear" w:color="000000" w:fill="FFFFFF"/>
            <w:tcMar>
              <w:top w:w="57" w:type="dxa"/>
            </w:tcMar>
          </w:tcPr>
          <w:p w14:paraId="194C5C9E" w14:textId="0CA6C7B8"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Retour sur investissements conforme aux critères établis par le Comité consultatif pour l’investissement (CCI) ou par la politique de placement</w:t>
            </w:r>
          </w:p>
        </w:tc>
        <w:tc>
          <w:tcPr>
            <w:tcW w:w="2301" w:type="dxa"/>
            <w:shd w:val="clear" w:color="000000" w:fill="FFFFFF"/>
            <w:tcMar>
              <w:top w:w="57" w:type="dxa"/>
            </w:tcMar>
          </w:tcPr>
          <w:p w14:paraId="2189E24E" w14:textId="75488CE5"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Les placements sont détenus conformément à la politique de placement et sont conformes aux critères établis par la politique de placement ou par le CCI</w:t>
            </w:r>
          </w:p>
        </w:tc>
        <w:tc>
          <w:tcPr>
            <w:tcW w:w="2292" w:type="dxa"/>
            <w:shd w:val="clear" w:color="000000" w:fill="FFFFFF"/>
            <w:tcMar>
              <w:top w:w="57" w:type="dxa"/>
            </w:tcMar>
          </w:tcPr>
          <w:p w14:paraId="41BB9A0F" w14:textId="7B523016"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Retour sur investissements conforme aux critères établis par la politique de placement ou par le CCI</w:t>
            </w:r>
          </w:p>
        </w:tc>
      </w:tr>
      <w:tr w:rsidR="00426A7C" w:rsidRPr="00526EFE" w14:paraId="2B60D909" w14:textId="77777777" w:rsidTr="00E833DE">
        <w:trPr>
          <w:cantSplit/>
        </w:trPr>
        <w:tc>
          <w:tcPr>
            <w:tcW w:w="2393" w:type="dxa"/>
            <w:tcMar>
              <w:top w:w="57" w:type="dxa"/>
            </w:tcMar>
            <w:vAlign w:val="center"/>
            <w:hideMark/>
          </w:tcPr>
          <w:p w14:paraId="0F6E6124" w14:textId="77777777" w:rsidR="00426A7C" w:rsidRPr="00526EFE" w:rsidRDefault="00426A7C" w:rsidP="00986700">
            <w:pPr>
              <w:rPr>
                <w:rFonts w:eastAsia="Times New Roman" w:cs="Arial"/>
                <w:color w:val="000000"/>
                <w:sz w:val="16"/>
                <w:szCs w:val="16"/>
                <w:lang w:eastAsia="en-US"/>
              </w:rPr>
            </w:pPr>
          </w:p>
        </w:tc>
        <w:tc>
          <w:tcPr>
            <w:tcW w:w="2301" w:type="dxa"/>
            <w:shd w:val="clear" w:color="000000" w:fill="FFFFFF"/>
            <w:tcMar>
              <w:top w:w="57" w:type="dxa"/>
            </w:tcMar>
            <w:hideMark/>
          </w:tcPr>
          <w:p w14:paraId="189161FF"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Paiements aux fournisseurs commerciaux effectués dans les délais</w:t>
            </w:r>
          </w:p>
        </w:tc>
        <w:tc>
          <w:tcPr>
            <w:tcW w:w="2301" w:type="dxa"/>
            <w:shd w:val="clear" w:color="auto" w:fill="auto"/>
            <w:tcMar>
              <w:top w:w="57" w:type="dxa"/>
            </w:tcMar>
            <w:hideMark/>
          </w:tcPr>
          <w:p w14:paraId="0C931E55" w14:textId="28CD5E94" w:rsidR="00094A7D"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Paiements nets à 30</w:t>
            </w:r>
            <w:r>
              <w:rPr>
                <w:rFonts w:eastAsia="Times New Roman" w:cs="Arial"/>
                <w:color w:val="000000"/>
                <w:sz w:val="16"/>
                <w:szCs w:val="16"/>
                <w:lang w:eastAsia="en-US"/>
              </w:rPr>
              <w:t> </w:t>
            </w:r>
            <w:r w:rsidRPr="00526EFE">
              <w:rPr>
                <w:rFonts w:eastAsia="Times New Roman" w:cs="Arial"/>
                <w:color w:val="000000"/>
                <w:sz w:val="16"/>
                <w:szCs w:val="16"/>
                <w:lang w:eastAsia="en-US"/>
              </w:rPr>
              <w:t>jours</w:t>
            </w:r>
            <w:r w:rsidR="00FD48A8">
              <w:rPr>
                <w:rFonts w:eastAsia="Times New Roman" w:cs="Arial"/>
                <w:color w:val="000000"/>
                <w:sz w:val="16"/>
                <w:szCs w:val="16"/>
                <w:lang w:eastAsia="en-US"/>
              </w:rPr>
              <w:t> :</w:t>
            </w:r>
          </w:p>
          <w:p w14:paraId="1841D700" w14:textId="29C84A41"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94% des paiements effectués dans les délais compte tenu de la date de la facture indiquée par le fournisseur;</w:t>
            </w:r>
          </w:p>
          <w:p w14:paraId="64CBC3B0" w14:textId="2C3FEFBE" w:rsidR="00094A7D" w:rsidRDefault="00791FEF" w:rsidP="00986700">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3% des paiements effectués dans les sept jours en cas de réception tardive;  et</w:t>
            </w:r>
          </w:p>
          <w:p w14:paraId="1C6924CB" w14:textId="607D7559" w:rsidR="00426A7C" w:rsidRPr="00526EFE" w:rsidRDefault="00791FEF" w:rsidP="00AC3B37">
            <w:pPr>
              <w:rPr>
                <w:rFonts w:eastAsia="Times New Roman" w:cs="Arial"/>
                <w:color w:val="000000"/>
                <w:sz w:val="16"/>
                <w:szCs w:val="16"/>
                <w:lang w:eastAsia="en-US"/>
              </w:rPr>
            </w:pPr>
            <w:r>
              <w:rPr>
                <w:rFonts w:eastAsia="Times New Roman" w:cs="Arial"/>
                <w:color w:val="000000"/>
                <w:sz w:val="16"/>
                <w:szCs w:val="16"/>
                <w:lang w:eastAsia="en-US"/>
              </w:rPr>
              <w:t xml:space="preserve">– </w:t>
            </w:r>
            <w:r w:rsidR="00426A7C" w:rsidRPr="00526EFE">
              <w:rPr>
                <w:rFonts w:eastAsia="Times New Roman" w:cs="Arial"/>
                <w:color w:val="000000"/>
                <w:sz w:val="16"/>
                <w:szCs w:val="16"/>
                <w:lang w:eastAsia="en-US"/>
              </w:rPr>
              <w:t>3% des paiements effectués ultérieurement (facture tardive ou absence de demande dans le système)</w:t>
            </w:r>
          </w:p>
        </w:tc>
        <w:tc>
          <w:tcPr>
            <w:tcW w:w="2292" w:type="dxa"/>
            <w:shd w:val="clear" w:color="000000" w:fill="FFFFFF"/>
            <w:tcMar>
              <w:top w:w="57" w:type="dxa"/>
            </w:tcMar>
            <w:hideMark/>
          </w:tcPr>
          <w:p w14:paraId="656C5EF2" w14:textId="77777777" w:rsidR="00094A7D"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90% des paiements nets à 30</w:t>
            </w:r>
            <w:r>
              <w:rPr>
                <w:rFonts w:eastAsia="Times New Roman" w:cs="Arial"/>
                <w:color w:val="000000"/>
                <w:sz w:val="16"/>
                <w:szCs w:val="16"/>
                <w:lang w:eastAsia="en-US"/>
              </w:rPr>
              <w:t> </w:t>
            </w:r>
            <w:r w:rsidRPr="00526EFE">
              <w:rPr>
                <w:rFonts w:eastAsia="Times New Roman" w:cs="Arial"/>
                <w:color w:val="000000"/>
                <w:sz w:val="16"/>
                <w:szCs w:val="16"/>
                <w:lang w:eastAsia="en-US"/>
              </w:rPr>
              <w:t>jours sont effectués dans les délais compte tenu de la date de la facture indiquée par le fournisseur</w:t>
            </w:r>
          </w:p>
          <w:p w14:paraId="0C522EB6" w14:textId="77777777" w:rsidR="00094A7D" w:rsidRDefault="00094A7D" w:rsidP="00986700">
            <w:pPr>
              <w:rPr>
                <w:rFonts w:eastAsia="Times New Roman" w:cs="Arial"/>
                <w:color w:val="000000"/>
                <w:sz w:val="16"/>
                <w:szCs w:val="16"/>
                <w:lang w:eastAsia="en-US"/>
              </w:rPr>
            </w:pPr>
          </w:p>
          <w:p w14:paraId="08B53938" w14:textId="0983474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90% des paiements immédiats sont effectués dans la semaine à compter de la date de réception de la facture</w:t>
            </w:r>
          </w:p>
        </w:tc>
      </w:tr>
      <w:tr w:rsidR="00AC3B37" w:rsidRPr="00526EFE" w14:paraId="1DD9E080" w14:textId="77777777" w:rsidTr="00E833DE">
        <w:trPr>
          <w:cantSplit/>
        </w:trPr>
        <w:tc>
          <w:tcPr>
            <w:tcW w:w="2393" w:type="dxa"/>
            <w:tcMar>
              <w:top w:w="57" w:type="dxa"/>
            </w:tcMar>
            <w:vAlign w:val="center"/>
          </w:tcPr>
          <w:p w14:paraId="71E0A28B" w14:textId="77777777" w:rsidR="00AC3B37" w:rsidRPr="00526EFE" w:rsidRDefault="00AC3B37" w:rsidP="00986700">
            <w:pPr>
              <w:rPr>
                <w:rFonts w:eastAsia="Times New Roman" w:cs="Arial"/>
                <w:color w:val="000000"/>
                <w:sz w:val="16"/>
                <w:szCs w:val="16"/>
                <w:lang w:eastAsia="en-US"/>
              </w:rPr>
            </w:pPr>
          </w:p>
        </w:tc>
        <w:tc>
          <w:tcPr>
            <w:tcW w:w="2301" w:type="dxa"/>
            <w:shd w:val="clear" w:color="000000" w:fill="FFFFFF"/>
            <w:tcMar>
              <w:top w:w="57" w:type="dxa"/>
            </w:tcMar>
          </w:tcPr>
          <w:p w14:paraId="51C8AC4D" w14:textId="77777777" w:rsidR="00AC3B37" w:rsidRPr="00526EFE" w:rsidRDefault="00AC3B37" w:rsidP="00986700">
            <w:pPr>
              <w:rPr>
                <w:rFonts w:eastAsia="Times New Roman" w:cs="Arial"/>
                <w:color w:val="000000"/>
                <w:sz w:val="16"/>
                <w:szCs w:val="16"/>
                <w:lang w:eastAsia="en-US"/>
              </w:rPr>
            </w:pPr>
          </w:p>
        </w:tc>
        <w:tc>
          <w:tcPr>
            <w:tcW w:w="2301" w:type="dxa"/>
            <w:shd w:val="clear" w:color="auto" w:fill="auto"/>
            <w:tcMar>
              <w:top w:w="57" w:type="dxa"/>
            </w:tcMar>
          </w:tcPr>
          <w:p w14:paraId="480BC314" w14:textId="77777777" w:rsidR="00AC3B37" w:rsidRDefault="00AC3B37" w:rsidP="00AC3B37">
            <w:pPr>
              <w:rPr>
                <w:rFonts w:eastAsia="Times New Roman" w:cs="Arial"/>
                <w:color w:val="000000"/>
                <w:sz w:val="16"/>
                <w:szCs w:val="16"/>
                <w:lang w:eastAsia="en-US"/>
              </w:rPr>
            </w:pPr>
            <w:r w:rsidRPr="00526EFE">
              <w:rPr>
                <w:rFonts w:eastAsia="Times New Roman" w:cs="Arial"/>
                <w:color w:val="000000"/>
                <w:sz w:val="16"/>
                <w:szCs w:val="16"/>
                <w:lang w:eastAsia="en-US"/>
              </w:rPr>
              <w:t>Paiements immédiats</w:t>
            </w:r>
            <w:r>
              <w:rPr>
                <w:rFonts w:eastAsia="Times New Roman" w:cs="Arial"/>
                <w:color w:val="000000"/>
                <w:sz w:val="16"/>
                <w:szCs w:val="16"/>
                <w:lang w:eastAsia="en-US"/>
              </w:rPr>
              <w:t> :</w:t>
            </w:r>
          </w:p>
          <w:p w14:paraId="0647B7C0" w14:textId="77777777" w:rsidR="00AC3B37" w:rsidRDefault="00AC3B37" w:rsidP="00AC3B37">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526EFE">
              <w:rPr>
                <w:rFonts w:eastAsia="Times New Roman" w:cs="Arial"/>
                <w:color w:val="000000"/>
                <w:sz w:val="16"/>
                <w:szCs w:val="16"/>
                <w:lang w:eastAsia="en-US"/>
              </w:rPr>
              <w:t>94% des paiements effectués dans la semaine à compter de la date de réception de la facture;  et</w:t>
            </w:r>
          </w:p>
          <w:p w14:paraId="1A86DEEA" w14:textId="0861004B" w:rsidR="00AC3B37" w:rsidRPr="00526EFE" w:rsidRDefault="00AC3B37" w:rsidP="00AC3B37">
            <w:pPr>
              <w:rPr>
                <w:rFonts w:eastAsia="Times New Roman" w:cs="Arial"/>
                <w:color w:val="000000"/>
                <w:sz w:val="16"/>
                <w:szCs w:val="16"/>
                <w:lang w:eastAsia="en-US"/>
              </w:rPr>
            </w:pPr>
            <w:r>
              <w:rPr>
                <w:rFonts w:eastAsia="Times New Roman" w:cs="Arial"/>
                <w:color w:val="000000"/>
                <w:sz w:val="16"/>
                <w:szCs w:val="16"/>
                <w:lang w:eastAsia="en-US"/>
              </w:rPr>
              <w:t xml:space="preserve">– </w:t>
            </w:r>
            <w:r w:rsidRPr="00526EFE">
              <w:rPr>
                <w:rFonts w:eastAsia="Times New Roman" w:cs="Arial"/>
                <w:color w:val="000000"/>
                <w:sz w:val="16"/>
                <w:szCs w:val="16"/>
                <w:lang w:eastAsia="en-US"/>
              </w:rPr>
              <w:t>6% des paiements effectués ultérieurement (facture tardive ou absence de demande dans le système)</w:t>
            </w:r>
            <w:r w:rsidRPr="00526EFE">
              <w:rPr>
                <w:rFonts w:eastAsia="Times New Roman" w:cs="Arial"/>
                <w:color w:val="000000"/>
                <w:sz w:val="16"/>
                <w:szCs w:val="16"/>
                <w:lang w:eastAsia="en-US"/>
              </w:rPr>
              <w:br/>
              <w:t>(en 2016)</w:t>
            </w:r>
          </w:p>
        </w:tc>
        <w:tc>
          <w:tcPr>
            <w:tcW w:w="2292" w:type="dxa"/>
            <w:shd w:val="clear" w:color="000000" w:fill="FFFFFF"/>
            <w:tcMar>
              <w:top w:w="57" w:type="dxa"/>
            </w:tcMar>
          </w:tcPr>
          <w:p w14:paraId="432281C9" w14:textId="77777777" w:rsidR="00AC3B37" w:rsidRPr="00526EFE" w:rsidRDefault="00AC3B37" w:rsidP="00986700">
            <w:pPr>
              <w:rPr>
                <w:rFonts w:eastAsia="Times New Roman" w:cs="Arial"/>
                <w:color w:val="000000"/>
                <w:sz w:val="16"/>
                <w:szCs w:val="16"/>
                <w:lang w:eastAsia="en-US"/>
              </w:rPr>
            </w:pPr>
          </w:p>
        </w:tc>
      </w:tr>
      <w:tr w:rsidR="00426A7C" w:rsidRPr="00526EFE" w14:paraId="3E3F450A" w14:textId="77777777" w:rsidTr="00E833DE">
        <w:trPr>
          <w:cantSplit/>
        </w:trPr>
        <w:tc>
          <w:tcPr>
            <w:tcW w:w="2393" w:type="dxa"/>
            <w:tcMar>
              <w:top w:w="57" w:type="dxa"/>
            </w:tcMar>
            <w:vAlign w:val="center"/>
            <w:hideMark/>
          </w:tcPr>
          <w:p w14:paraId="3D72F0E2" w14:textId="77777777" w:rsidR="00426A7C" w:rsidRPr="00526EFE" w:rsidRDefault="00426A7C" w:rsidP="00986700">
            <w:pPr>
              <w:rPr>
                <w:rFonts w:eastAsia="Times New Roman" w:cs="Arial"/>
                <w:color w:val="000000"/>
                <w:sz w:val="16"/>
                <w:szCs w:val="16"/>
                <w:lang w:eastAsia="en-US"/>
              </w:rPr>
            </w:pPr>
          </w:p>
        </w:tc>
        <w:tc>
          <w:tcPr>
            <w:tcW w:w="2301" w:type="dxa"/>
            <w:shd w:val="clear" w:color="000000" w:fill="FFFFFF"/>
            <w:tcMar>
              <w:top w:w="57" w:type="dxa"/>
            </w:tcMar>
            <w:hideMark/>
          </w:tcPr>
          <w:p w14:paraId="7D8FD3EE"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Développement accru de la gestion axée sur les résultats (y compris de la gestion des risques)</w:t>
            </w:r>
          </w:p>
        </w:tc>
        <w:tc>
          <w:tcPr>
            <w:tcW w:w="2301" w:type="dxa"/>
            <w:shd w:val="clear" w:color="000000" w:fill="FFFFFF"/>
            <w:tcMar>
              <w:top w:w="57" w:type="dxa"/>
            </w:tcMar>
            <w:hideMark/>
          </w:tcPr>
          <w:p w14:paraId="11C25CC1"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Développement niveau</w:t>
            </w:r>
            <w:r>
              <w:rPr>
                <w:rFonts w:eastAsia="Times New Roman" w:cs="Arial"/>
                <w:color w:val="000000"/>
                <w:sz w:val="16"/>
                <w:szCs w:val="16"/>
                <w:lang w:eastAsia="en-US"/>
              </w:rPr>
              <w:t> </w:t>
            </w:r>
            <w:r w:rsidRPr="00526EFE">
              <w:rPr>
                <w:rFonts w:eastAsia="Times New Roman" w:cs="Arial"/>
                <w:color w:val="000000"/>
                <w:sz w:val="16"/>
                <w:szCs w:val="16"/>
                <w:lang w:eastAsia="en-US"/>
              </w:rPr>
              <w:t>4</w:t>
            </w:r>
          </w:p>
        </w:tc>
        <w:tc>
          <w:tcPr>
            <w:tcW w:w="2292" w:type="dxa"/>
            <w:shd w:val="clear" w:color="000000" w:fill="FFFFFF"/>
            <w:tcMar>
              <w:top w:w="57" w:type="dxa"/>
            </w:tcMar>
            <w:hideMark/>
          </w:tcPr>
          <w:p w14:paraId="686D255D"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Développement niveau</w:t>
            </w:r>
            <w:r>
              <w:rPr>
                <w:rFonts w:eastAsia="Times New Roman" w:cs="Arial"/>
                <w:color w:val="000000"/>
                <w:sz w:val="16"/>
                <w:szCs w:val="16"/>
                <w:lang w:eastAsia="en-US"/>
              </w:rPr>
              <w:t> </w:t>
            </w:r>
            <w:r w:rsidRPr="00526EFE">
              <w:rPr>
                <w:rFonts w:eastAsia="Times New Roman" w:cs="Arial"/>
                <w:color w:val="000000"/>
                <w:sz w:val="16"/>
                <w:szCs w:val="16"/>
                <w:lang w:eastAsia="en-US"/>
              </w:rPr>
              <w:t>4.2</w:t>
            </w:r>
          </w:p>
        </w:tc>
      </w:tr>
      <w:tr w:rsidR="00426A7C" w:rsidRPr="00526EFE" w14:paraId="35390F20" w14:textId="77777777" w:rsidTr="00E833DE">
        <w:trPr>
          <w:cantSplit/>
        </w:trPr>
        <w:tc>
          <w:tcPr>
            <w:tcW w:w="2393" w:type="dxa"/>
            <w:tcMar>
              <w:top w:w="57" w:type="dxa"/>
            </w:tcMar>
            <w:vAlign w:val="center"/>
            <w:hideMark/>
          </w:tcPr>
          <w:p w14:paraId="1C486BD3" w14:textId="77777777" w:rsidR="00426A7C" w:rsidRPr="00526EFE" w:rsidRDefault="00426A7C" w:rsidP="00986700">
            <w:pPr>
              <w:rPr>
                <w:rFonts w:eastAsia="Times New Roman" w:cs="Arial"/>
                <w:color w:val="000000"/>
                <w:sz w:val="16"/>
                <w:szCs w:val="16"/>
                <w:lang w:eastAsia="en-US"/>
              </w:rPr>
            </w:pPr>
          </w:p>
        </w:tc>
        <w:tc>
          <w:tcPr>
            <w:tcW w:w="2301" w:type="dxa"/>
            <w:shd w:val="clear" w:color="000000" w:fill="FFFFFF"/>
            <w:tcMar>
              <w:top w:w="57" w:type="dxa"/>
            </w:tcMar>
            <w:hideMark/>
          </w:tcPr>
          <w:p w14:paraId="215D334E"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Pourcentage d’unités opérationnelles de l’OMPI appliquant le système de classement des activités par degré de contribution à la promotion de l’égalité des sexes dans leur programme de travail annuel</w:t>
            </w:r>
          </w:p>
        </w:tc>
        <w:tc>
          <w:tcPr>
            <w:tcW w:w="2301" w:type="dxa"/>
            <w:shd w:val="clear" w:color="000000" w:fill="FFFFFF"/>
            <w:tcMar>
              <w:top w:w="57" w:type="dxa"/>
            </w:tcMar>
            <w:hideMark/>
          </w:tcPr>
          <w:p w14:paraId="0F85ECEA" w14:textId="77777777" w:rsidR="00426A7C" w:rsidRPr="00526EFE" w:rsidRDefault="00426A7C" w:rsidP="00986700">
            <w:pPr>
              <w:rPr>
                <w:rFonts w:eastAsia="Times New Roman" w:cs="Arial"/>
                <w:color w:val="000000"/>
                <w:sz w:val="16"/>
                <w:szCs w:val="16"/>
                <w:lang w:eastAsia="en-US"/>
              </w:rPr>
            </w:pPr>
            <w:r>
              <w:rPr>
                <w:rFonts w:eastAsia="Times New Roman" w:cs="Arial"/>
                <w:color w:val="000000"/>
                <w:sz w:val="16"/>
                <w:szCs w:val="16"/>
                <w:lang w:eastAsia="en-US"/>
              </w:rPr>
              <w:t>8 </w:t>
            </w:r>
            <w:r w:rsidRPr="00526EFE">
              <w:rPr>
                <w:rFonts w:eastAsia="Times New Roman" w:cs="Arial"/>
                <w:color w:val="000000"/>
                <w:sz w:val="16"/>
                <w:szCs w:val="16"/>
                <w:lang w:eastAsia="en-US"/>
              </w:rPr>
              <w:t>unités opérationnelles (8%)</w:t>
            </w:r>
            <w:r>
              <w:rPr>
                <w:rFonts w:eastAsia="Times New Roman" w:cs="Arial"/>
                <w:color w:val="000000"/>
                <w:sz w:val="16"/>
                <w:szCs w:val="16"/>
                <w:lang w:eastAsia="en-US"/>
              </w:rPr>
              <w:t xml:space="preserve"> sur </w:t>
            </w:r>
            <w:r w:rsidRPr="00526EFE">
              <w:rPr>
                <w:rFonts w:eastAsia="Times New Roman" w:cs="Arial"/>
                <w:color w:val="000000"/>
                <w:sz w:val="16"/>
                <w:szCs w:val="16"/>
                <w:lang w:eastAsia="en-US"/>
              </w:rPr>
              <w:t>97 appliquant le système de classement des activités par degré de contribution à la promotion de l’égalité des sexes dans leur programme de travail annuel</w:t>
            </w:r>
          </w:p>
        </w:tc>
        <w:tc>
          <w:tcPr>
            <w:tcW w:w="2292" w:type="dxa"/>
            <w:shd w:val="clear" w:color="000000" w:fill="FFFFFF"/>
            <w:tcMar>
              <w:top w:w="57" w:type="dxa"/>
            </w:tcMar>
            <w:hideMark/>
          </w:tcPr>
          <w:p w14:paraId="1FDE7B9E"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Au moins 40% des unités opérationnelles de l’OMPI appliquent le système de classement des activités par degré de contribution à la promotion de l’égalité des sexes dans leur programme de travail annuel</w:t>
            </w:r>
          </w:p>
        </w:tc>
      </w:tr>
      <w:tr w:rsidR="00426A7C" w:rsidRPr="00526EFE" w14:paraId="61198A50" w14:textId="77777777" w:rsidTr="00E833DE">
        <w:trPr>
          <w:cantSplit/>
        </w:trPr>
        <w:tc>
          <w:tcPr>
            <w:tcW w:w="2393" w:type="dxa"/>
            <w:shd w:val="clear" w:color="000000" w:fill="FFFFFF"/>
            <w:tcMar>
              <w:top w:w="57" w:type="dxa"/>
            </w:tcMar>
            <w:hideMark/>
          </w:tcPr>
          <w:p w14:paraId="69061757"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IX.3 Un environnement de travail stimulant étayé par un cadre réglementaire efficace et des voies appropriées pour répondre aux préoccupations du personnel</w:t>
            </w:r>
          </w:p>
        </w:tc>
        <w:tc>
          <w:tcPr>
            <w:tcW w:w="2301" w:type="dxa"/>
            <w:shd w:val="clear" w:color="000000" w:fill="FFFFFF"/>
            <w:tcMar>
              <w:top w:w="57" w:type="dxa"/>
            </w:tcMar>
            <w:hideMark/>
          </w:tcPr>
          <w:p w14:paraId="29BA40D8"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Gestion, connaissance et responsabilité améliorées en ce qui concerne l’application du cadre réglementaire</w:t>
            </w:r>
          </w:p>
        </w:tc>
        <w:tc>
          <w:tcPr>
            <w:tcW w:w="2301" w:type="dxa"/>
            <w:shd w:val="clear" w:color="000000" w:fill="FFFFFF"/>
            <w:tcMar>
              <w:top w:w="57" w:type="dxa"/>
            </w:tcMar>
            <w:hideMark/>
          </w:tcPr>
          <w:p w14:paraId="695668F2"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 xml:space="preserve">À déterminer </w:t>
            </w:r>
          </w:p>
        </w:tc>
        <w:tc>
          <w:tcPr>
            <w:tcW w:w="2292" w:type="dxa"/>
            <w:shd w:val="clear" w:color="000000" w:fill="FFFFFF"/>
            <w:tcMar>
              <w:top w:w="57" w:type="dxa"/>
            </w:tcMar>
            <w:hideMark/>
          </w:tcPr>
          <w:p w14:paraId="3304FAE2" w14:textId="77777777" w:rsidR="00426A7C" w:rsidRPr="00526EFE" w:rsidRDefault="00426A7C" w:rsidP="00986700">
            <w:pPr>
              <w:rPr>
                <w:rFonts w:eastAsia="Times New Roman" w:cs="Arial"/>
                <w:color w:val="000000"/>
                <w:sz w:val="16"/>
                <w:szCs w:val="16"/>
                <w:lang w:eastAsia="en-US"/>
              </w:rPr>
            </w:pPr>
            <w:r w:rsidRPr="00526EFE">
              <w:rPr>
                <w:rFonts w:eastAsia="Times New Roman" w:cs="Arial"/>
                <w:color w:val="000000"/>
                <w:sz w:val="16"/>
                <w:szCs w:val="16"/>
                <w:lang w:eastAsia="en-US"/>
              </w:rPr>
              <w:t>À déterminer</w:t>
            </w:r>
          </w:p>
        </w:tc>
      </w:tr>
    </w:tbl>
    <w:p w14:paraId="291759FB" w14:textId="77777777" w:rsidR="00426A7C" w:rsidRPr="00526EFE" w:rsidRDefault="00426A7C"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60D0074D" w14:textId="77777777" w:rsidTr="001A722F">
        <w:trPr>
          <w:cantSplit/>
        </w:trPr>
        <w:tc>
          <w:tcPr>
            <w:tcW w:w="9571" w:type="dxa"/>
            <w:shd w:val="clear" w:color="auto" w:fill="C6D9F1" w:themeFill="text2" w:themeFillTint="33"/>
            <w:vAlign w:val="center"/>
          </w:tcPr>
          <w:p w14:paraId="0A8D10F4" w14:textId="77777777" w:rsidR="00277197" w:rsidRPr="00821D15" w:rsidRDefault="00277197" w:rsidP="00986700">
            <w:pPr>
              <w:jc w:val="center"/>
              <w:rPr>
                <w:rFonts w:cs="Arial"/>
                <w:b/>
                <w:szCs w:val="20"/>
              </w:rPr>
            </w:pPr>
            <w:r w:rsidRPr="00821D15">
              <w:rPr>
                <w:rFonts w:cs="Arial"/>
                <w:b/>
                <w:szCs w:val="20"/>
              </w:rPr>
              <w:t>Ressources allouées au programme 22</w:t>
            </w:r>
          </w:p>
        </w:tc>
      </w:tr>
    </w:tbl>
    <w:p w14:paraId="27B50AB0" w14:textId="77777777" w:rsidR="00277197" w:rsidRPr="00821D15" w:rsidRDefault="00277197" w:rsidP="00986700">
      <w:pPr>
        <w:rPr>
          <w:rFonts w:cs="Arial"/>
          <w:szCs w:val="20"/>
        </w:rPr>
      </w:pPr>
    </w:p>
    <w:p w14:paraId="6767C31F" w14:textId="77777777" w:rsidR="00277197" w:rsidRPr="00821D15" w:rsidRDefault="00277197" w:rsidP="00616FD3">
      <w:pPr>
        <w:pStyle w:val="ListParagraph"/>
        <w:numPr>
          <w:ilvl w:val="0"/>
          <w:numId w:val="84"/>
        </w:numPr>
        <w:ind w:firstLine="0"/>
        <w:jc w:val="both"/>
        <w:rPr>
          <w:rFonts w:cs="Arial"/>
          <w:szCs w:val="20"/>
        </w:rPr>
      </w:pPr>
      <w:r w:rsidRPr="00821D15">
        <w:rPr>
          <w:rFonts w:cs="Arial"/>
          <w:szCs w:val="20"/>
        </w:rPr>
        <w:t>Les ressources globales allouées au programme indiquent une augmentation de 14,8% en 2018</w:t>
      </w:r>
      <w:r w:rsidRPr="00821D15">
        <w:rPr>
          <w:rFonts w:cs="Arial"/>
          <w:szCs w:val="20"/>
        </w:rPr>
        <w:noBreakHyphen/>
        <w:t>2019 par rapport au budget approuvé pour 2016</w:t>
      </w:r>
      <w:r w:rsidRPr="00821D15">
        <w:rPr>
          <w:rFonts w:cs="Arial"/>
          <w:szCs w:val="20"/>
        </w:rPr>
        <w:noBreakHyphen/>
        <w:t>2017.</w:t>
      </w:r>
    </w:p>
    <w:p w14:paraId="12B57D84" w14:textId="77777777" w:rsidR="00277197" w:rsidRPr="00821D15" w:rsidRDefault="00277197" w:rsidP="00986700">
      <w:pPr>
        <w:rPr>
          <w:rFonts w:cs="Arial"/>
          <w:szCs w:val="20"/>
        </w:rPr>
      </w:pPr>
    </w:p>
    <w:p w14:paraId="579CF117" w14:textId="77777777" w:rsidR="00277197" w:rsidRPr="00821D15" w:rsidRDefault="00277197" w:rsidP="00616FD3">
      <w:pPr>
        <w:pStyle w:val="ListParagraph"/>
        <w:numPr>
          <w:ilvl w:val="0"/>
          <w:numId w:val="84"/>
        </w:numPr>
        <w:ind w:firstLine="0"/>
        <w:jc w:val="both"/>
        <w:rPr>
          <w:rFonts w:cs="Arial"/>
          <w:szCs w:val="20"/>
        </w:rPr>
      </w:pPr>
      <w:r w:rsidRPr="00821D15">
        <w:rPr>
          <w:rFonts w:cs="Arial"/>
          <w:szCs w:val="20"/>
        </w:rPr>
        <w:t>Cette augmentation des ressources est due aux provisions pour couvrir les améliorations en cours du système AIMS, l’intégration des projets résultant du portefeuille de projets ERP, dont il est rendu compte sous le résultat escompté IX.1 (services d’appui tournés vers la clientèle), et aux ressources supplémentaires nécessaires pour la gestion de la trésorerie, la mise en œuvre de la politique de placement, l’extension à d’autres offices de la solution de compensation pour les fluctuations de change entre les offices de propriété intellectuelle et le Bureau international et la mise en œuvre d’une plateforme commune de paiement.  Cette augmentation est compensée par la diminution de la provision pour les taux d’intérêt négatifs sur les dépôts en francs suisses, dont il est rendu compte dans le budget approuvé pour 2016</w:t>
      </w:r>
      <w:r w:rsidRPr="00821D15">
        <w:rPr>
          <w:rFonts w:cs="Arial"/>
          <w:szCs w:val="20"/>
        </w:rPr>
        <w:noBreakHyphen/>
        <w:t>2017 sous le résultat escompté IX.2 (Secrétariat fonctionnant harmonieusement).</w:t>
      </w:r>
    </w:p>
    <w:p w14:paraId="3AD9EBC7" w14:textId="77777777" w:rsidR="00277197" w:rsidRPr="00821D15" w:rsidRDefault="00277197" w:rsidP="00986700">
      <w:pPr>
        <w:rPr>
          <w:rFonts w:cs="Arial"/>
          <w:szCs w:val="20"/>
        </w:rPr>
      </w:pPr>
    </w:p>
    <w:p w14:paraId="3C2CFA0B" w14:textId="57010CD5" w:rsidR="00E833DE" w:rsidRPr="00E833DE" w:rsidRDefault="00277197" w:rsidP="00E833DE">
      <w:pPr>
        <w:pStyle w:val="ListParagraph"/>
        <w:numPr>
          <w:ilvl w:val="0"/>
          <w:numId w:val="84"/>
        </w:numPr>
        <w:ind w:firstLine="0"/>
        <w:jc w:val="both"/>
        <w:rPr>
          <w:rFonts w:eastAsia="Times New Roman" w:cs="Arial"/>
          <w:b/>
          <w:szCs w:val="20"/>
          <w:lang w:eastAsia="en-US"/>
        </w:rPr>
      </w:pPr>
      <w:r w:rsidRPr="00E833DE">
        <w:rPr>
          <w:rFonts w:cs="Arial"/>
          <w:szCs w:val="20"/>
        </w:rPr>
        <w:t>L’augmentation nette du nombre de postes et des dépenses de personnel correspondantes résulte de la combinaison des régularisations achevées en 2016</w:t>
      </w:r>
      <w:r w:rsidRPr="00E833DE">
        <w:rPr>
          <w:rFonts w:cs="Arial"/>
          <w:szCs w:val="20"/>
        </w:rPr>
        <w:noBreakHyphen/>
        <w:t>2017 (reflétées par la diminution correspondante du nombre d’agents temporaires) et de la création de postes dans le cadre du programme pour i) renforcer les services comptables, ii) renforcer la gestion au sein du centre d’assistance et iii) assurer le développement cohérent du système AIMS sur la base d’une architecture de système bien définie.</w:t>
      </w:r>
      <w:r w:rsidR="00E833DE" w:rsidRPr="00E833DE">
        <w:rPr>
          <w:rFonts w:eastAsia="Times New Roman" w:cs="Arial"/>
          <w:b/>
          <w:szCs w:val="20"/>
          <w:lang w:eastAsia="en-US"/>
        </w:rPr>
        <w:br w:type="page"/>
      </w:r>
    </w:p>
    <w:p w14:paraId="562DCD5F" w14:textId="56E577AD"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22 : </w:t>
      </w:r>
      <w:r w:rsidRPr="00674550">
        <w:rPr>
          <w:rFonts w:eastAsia="Times New Roman" w:cs="Arial"/>
          <w:b/>
          <w:szCs w:val="20"/>
          <w:lang w:eastAsia="en-US"/>
        </w:rPr>
        <w:t>Ressources par résultat</w:t>
      </w:r>
    </w:p>
    <w:p w14:paraId="362C9D83" w14:textId="77777777" w:rsidR="00A3500F" w:rsidRPr="00674550" w:rsidRDefault="00A3500F" w:rsidP="00AC3B37">
      <w:pPr>
        <w:keepNext/>
        <w:keepLines/>
        <w:spacing w:after="60"/>
        <w:jc w:val="center"/>
        <w:rPr>
          <w:rFonts w:eastAsia="Times New Roman" w:cs="Arial"/>
          <w:i/>
          <w:iCs/>
          <w:szCs w:val="20"/>
          <w:lang w:eastAsia="en-US"/>
        </w:rPr>
      </w:pPr>
      <w:r w:rsidRPr="00674550">
        <w:rPr>
          <w:rFonts w:eastAsia="Times New Roman" w:cs="Arial"/>
          <w:i/>
          <w:iCs/>
          <w:szCs w:val="20"/>
          <w:lang w:eastAsia="en-US"/>
        </w:rPr>
        <w:t>(en milliers de francs suisses)</w:t>
      </w:r>
    </w:p>
    <w:p w14:paraId="1B49D618" w14:textId="692EB230" w:rsidR="00717231" w:rsidRPr="00426A7C" w:rsidRDefault="00717231" w:rsidP="00986700">
      <w:pPr>
        <w:jc w:val="center"/>
        <w:rPr>
          <w:lang w:eastAsia="en-US"/>
        </w:rPr>
      </w:pPr>
      <w:r w:rsidRPr="00717231">
        <w:rPr>
          <w:noProof/>
          <w:lang w:val="en-US" w:eastAsia="en-US"/>
        </w:rPr>
        <w:drawing>
          <wp:inline distT="0" distB="0" distL="0" distR="0" wp14:anchorId="0CB14EEC" wp14:editId="111DDCC9">
            <wp:extent cx="5220000" cy="2506137"/>
            <wp:effectExtent l="0" t="0" r="0" b="889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20000" cy="2506137"/>
                    </a:xfrm>
                    <a:prstGeom prst="rect">
                      <a:avLst/>
                    </a:prstGeom>
                    <a:noFill/>
                    <a:ln>
                      <a:noFill/>
                    </a:ln>
                  </pic:spPr>
                </pic:pic>
              </a:graphicData>
            </a:graphic>
          </wp:inline>
        </w:drawing>
      </w:r>
    </w:p>
    <w:p w14:paraId="52090203" w14:textId="77777777" w:rsidR="0027684D" w:rsidRPr="00B55ECC" w:rsidRDefault="00B55ECC" w:rsidP="00AC3B37">
      <w:pPr>
        <w:keepNext/>
        <w:keepLines/>
        <w:spacing w:before="120"/>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22</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59AA95EE" w14:textId="3E9F1BD6" w:rsidR="008778B5" w:rsidRDefault="0027684D" w:rsidP="00AC3B37">
      <w:pPr>
        <w:keepNext/>
        <w:keepLines/>
        <w:spacing w:after="60"/>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51D892E5" w14:textId="0C54F1ED" w:rsidR="00791FEF" w:rsidRDefault="008778B5" w:rsidP="00AC3B37">
      <w:pPr>
        <w:jc w:val="center"/>
        <w:rPr>
          <w:lang w:eastAsia="en-US"/>
        </w:rPr>
      </w:pPr>
      <w:r w:rsidRPr="008778B5">
        <w:rPr>
          <w:noProof/>
          <w:lang w:val="en-US" w:eastAsia="en-US"/>
        </w:rPr>
        <w:drawing>
          <wp:inline distT="0" distB="0" distL="0" distR="0" wp14:anchorId="61B83D39" wp14:editId="5BAA368E">
            <wp:extent cx="5220000" cy="5830711"/>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20000" cy="5830711"/>
                    </a:xfrm>
                    <a:prstGeom prst="rect">
                      <a:avLst/>
                    </a:prstGeom>
                    <a:noFill/>
                    <a:ln>
                      <a:noFill/>
                    </a:ln>
                  </pic:spPr>
                </pic:pic>
              </a:graphicData>
            </a:graphic>
          </wp:inline>
        </w:drawing>
      </w:r>
      <w:r w:rsidR="00791FEF">
        <w:rPr>
          <w:lang w:eastAsia="en-US"/>
        </w:rPr>
        <w:br w:type="page"/>
      </w:r>
    </w:p>
    <w:p w14:paraId="34B2535B" w14:textId="5F7B397C" w:rsidR="007C6CCA" w:rsidRPr="007C6CCA" w:rsidRDefault="007C6CCA" w:rsidP="00986700">
      <w:pPr>
        <w:pStyle w:val="Heading2"/>
      </w:pPr>
      <w:bookmarkStart w:id="77" w:name="_Toc482979508"/>
      <w:r w:rsidRPr="007C6CCA">
        <w:lastRenderedPageBreak/>
        <w:t>Programme 23</w:t>
      </w:r>
      <w:r w:rsidRPr="007C6CCA">
        <w:tab/>
        <w:t>Gestion et mise en valeur des ressources humaines</w:t>
      </w:r>
      <w:bookmarkEnd w:id="77"/>
    </w:p>
    <w:p w14:paraId="38349D9B" w14:textId="77777777" w:rsidR="007C6CCA" w:rsidRPr="006F346C" w:rsidRDefault="007C6CCA" w:rsidP="00986700">
      <w:pPr>
        <w:pStyle w:val="StyleHeading3ComplexItalic"/>
        <w:rPr>
          <w:rStyle w:val="StyleStyleHeading3ComplexItalicLatin12ptChar"/>
          <w:rFonts w:eastAsia="SimSun"/>
          <w:szCs w:val="20"/>
        </w:rPr>
      </w:pPr>
    </w:p>
    <w:p w14:paraId="558F0B17" w14:textId="77777777" w:rsidR="007C6CCA" w:rsidRPr="006F346C" w:rsidRDefault="007C6CCA" w:rsidP="00986700">
      <w:pPr>
        <w:tabs>
          <w:tab w:val="left" w:pos="1701"/>
        </w:tabs>
        <w:ind w:left="1701" w:hanging="1701"/>
        <w:rPr>
          <w:rFonts w:cs="Arial"/>
          <w:bCs/>
          <w:iCs/>
          <w:szCs w:val="20"/>
        </w:rPr>
      </w:pPr>
    </w:p>
    <w:tbl>
      <w:tblPr>
        <w:tblW w:w="5000" w:type="pct"/>
        <w:tblCellMar>
          <w:top w:w="57" w:type="dxa"/>
          <w:bottom w:w="57" w:type="dxa"/>
        </w:tblCellMar>
        <w:tblLook w:val="01E0" w:firstRow="1" w:lastRow="1" w:firstColumn="1" w:lastColumn="1" w:noHBand="0" w:noVBand="0"/>
      </w:tblPr>
      <w:tblGrid>
        <w:gridCol w:w="9287"/>
      </w:tblGrid>
      <w:tr w:rsidR="007C6CCA" w:rsidRPr="006F346C" w14:paraId="58C7CE0F" w14:textId="77777777" w:rsidTr="007C6CCA">
        <w:trPr>
          <w:cantSplit/>
        </w:trPr>
        <w:tc>
          <w:tcPr>
            <w:tcW w:w="9571" w:type="dxa"/>
            <w:shd w:val="clear" w:color="auto" w:fill="C6D9F1" w:themeFill="text2" w:themeFillTint="33"/>
            <w:vAlign w:val="center"/>
          </w:tcPr>
          <w:p w14:paraId="6BA94BA4" w14:textId="77777777" w:rsidR="007C6CCA" w:rsidRPr="006F346C" w:rsidRDefault="007C6CCA" w:rsidP="00986700">
            <w:pPr>
              <w:jc w:val="center"/>
              <w:rPr>
                <w:rFonts w:eastAsia="Times New Roman" w:cs="Arial"/>
                <w:b/>
                <w:bCs/>
                <w:szCs w:val="20"/>
                <w:lang w:eastAsia="en-US"/>
              </w:rPr>
            </w:pPr>
            <w:r w:rsidRPr="006F346C">
              <w:rPr>
                <w:rFonts w:eastAsia="Times New Roman" w:cs="Arial"/>
                <w:b/>
                <w:bCs/>
                <w:szCs w:val="20"/>
                <w:lang w:eastAsia="en-US"/>
              </w:rPr>
              <w:t>Stratégies de mise en œuvre</w:t>
            </w:r>
          </w:p>
        </w:tc>
      </w:tr>
    </w:tbl>
    <w:p w14:paraId="0438FC7B" w14:textId="77777777" w:rsidR="007C6CCA" w:rsidRPr="006F346C" w:rsidRDefault="007C6CCA" w:rsidP="00986700">
      <w:pPr>
        <w:jc w:val="both"/>
        <w:rPr>
          <w:rFonts w:cs="Arial"/>
          <w:szCs w:val="20"/>
        </w:rPr>
      </w:pPr>
    </w:p>
    <w:p w14:paraId="193AA4CC" w14:textId="77777777"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Créer un environnement propice à une plus grande flexibilité du personnel à travers la mise en adéquation de ses compétences, une meilleure planification des effectifs, conformément aux objectifs stratégiques de l’Organisation, et à la rationalisation des processus en matière de ressources humaines;</w:t>
      </w:r>
    </w:p>
    <w:p w14:paraId="79D0DCBB" w14:textId="77777777" w:rsidR="007C6CCA" w:rsidRPr="006F346C" w:rsidRDefault="007C6CCA" w:rsidP="00986700">
      <w:pPr>
        <w:ind w:left="567" w:hanging="567"/>
        <w:jc w:val="both"/>
        <w:rPr>
          <w:rFonts w:cs="Arial"/>
          <w:szCs w:val="20"/>
        </w:rPr>
      </w:pPr>
    </w:p>
    <w:p w14:paraId="5CB0DBBB" w14:textId="5A13904A"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Renforcer le statut de l’OMPI en tant qu’employeur de choix en offrant des conditions d’emploi compétitives, un environnement de travail harmonieux et des possibilités de perfectionnement professionnel, ainsi qu’en veillant au bien</w:t>
      </w:r>
      <w:r w:rsidR="00B441CA">
        <w:rPr>
          <w:rFonts w:cs="Arial"/>
          <w:szCs w:val="20"/>
        </w:rPr>
        <w:noBreakHyphen/>
      </w:r>
      <w:r w:rsidRPr="006F346C">
        <w:rPr>
          <w:rFonts w:cs="Arial"/>
          <w:szCs w:val="20"/>
        </w:rPr>
        <w:t>être du personnel et en promouvant l’équilibre entre vie professionnelle et vie privée;</w:t>
      </w:r>
    </w:p>
    <w:p w14:paraId="07EA810F" w14:textId="77777777" w:rsidR="007C6CCA" w:rsidRPr="006F346C" w:rsidRDefault="007C6CCA" w:rsidP="00986700">
      <w:pPr>
        <w:ind w:left="567" w:hanging="567"/>
        <w:jc w:val="both"/>
        <w:rPr>
          <w:rFonts w:cs="Arial"/>
          <w:szCs w:val="20"/>
        </w:rPr>
      </w:pPr>
    </w:p>
    <w:p w14:paraId="4A65D40C" w14:textId="77777777"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Renforcer le rôle du DGRH pour ce qui est d’établir des partenariats avec les secteurs, de fournir un soutien et des conseils aux chefs de service et aux fonctionnaires;</w:t>
      </w:r>
    </w:p>
    <w:p w14:paraId="3F84A1A8" w14:textId="77777777" w:rsidR="007C6CCA" w:rsidRPr="006F346C" w:rsidRDefault="007C6CCA" w:rsidP="00986700">
      <w:pPr>
        <w:ind w:left="567" w:hanging="567"/>
        <w:jc w:val="both"/>
        <w:rPr>
          <w:rFonts w:cs="Arial"/>
          <w:szCs w:val="20"/>
        </w:rPr>
      </w:pPr>
    </w:p>
    <w:p w14:paraId="5E3A86F1" w14:textId="77777777"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Instaurer une culture de l’effort et de la responsabilisation afin d’assurer une gestion efficace des ressources humaines en fournissant des orientations et formations adaptées aux besoins des chefs de service;</w:t>
      </w:r>
    </w:p>
    <w:p w14:paraId="0657AE63" w14:textId="77777777" w:rsidR="007C6CCA" w:rsidRPr="006F346C" w:rsidRDefault="007C6CCA" w:rsidP="00986700">
      <w:pPr>
        <w:ind w:left="567" w:hanging="567"/>
        <w:jc w:val="both"/>
        <w:rPr>
          <w:rFonts w:cs="Arial"/>
          <w:szCs w:val="20"/>
        </w:rPr>
      </w:pPr>
    </w:p>
    <w:p w14:paraId="6CC9AF7A" w14:textId="77777777"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Maintenir un cadre réglementaire fiable, moderne et adapté aux réalités actuelles en matière de gestion des ressources humaines qui contribue à l’efficience opérationnelle et permette de répondre à l’évolution des besoins de l’Organisation et de son personnel;</w:t>
      </w:r>
    </w:p>
    <w:p w14:paraId="105DDF46" w14:textId="77777777" w:rsidR="007C6CCA" w:rsidRPr="006F346C" w:rsidRDefault="007C6CCA" w:rsidP="00986700">
      <w:pPr>
        <w:ind w:left="567" w:hanging="567"/>
        <w:jc w:val="both"/>
        <w:rPr>
          <w:rFonts w:cs="Arial"/>
          <w:szCs w:val="20"/>
        </w:rPr>
      </w:pPr>
    </w:p>
    <w:p w14:paraId="7C4B2EF5" w14:textId="1C0700CB"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Continuer d’œuvrer en faveur d’une répartition géographique plus équitable et d’une plus grande parité hommes</w:t>
      </w:r>
      <w:r w:rsidR="00B441CA">
        <w:rPr>
          <w:rFonts w:cs="Arial"/>
          <w:szCs w:val="20"/>
        </w:rPr>
        <w:noBreakHyphen/>
      </w:r>
      <w:r w:rsidRPr="006F346C">
        <w:rPr>
          <w:rFonts w:cs="Arial"/>
          <w:szCs w:val="20"/>
        </w:rPr>
        <w:t>femmes en améliorant les programmes et initiatives de sensibilisation en matière de recrutement en partenariat avec les États membres actifs à ce sujet;</w:t>
      </w:r>
    </w:p>
    <w:p w14:paraId="6B55657C" w14:textId="77777777" w:rsidR="007C6CCA" w:rsidRPr="006F346C" w:rsidRDefault="007C6CCA" w:rsidP="00986700">
      <w:pPr>
        <w:ind w:left="567" w:hanging="567"/>
        <w:jc w:val="both"/>
        <w:rPr>
          <w:rFonts w:cs="Arial"/>
          <w:szCs w:val="20"/>
        </w:rPr>
      </w:pPr>
    </w:p>
    <w:p w14:paraId="4623493F" w14:textId="77777777" w:rsidR="007C6CCA" w:rsidRPr="006F346C" w:rsidRDefault="007C6CCA" w:rsidP="00616FD3">
      <w:pPr>
        <w:pStyle w:val="ListParagraph"/>
        <w:numPr>
          <w:ilvl w:val="0"/>
          <w:numId w:val="39"/>
        </w:numPr>
        <w:ind w:left="567" w:hanging="567"/>
        <w:jc w:val="both"/>
        <w:rPr>
          <w:rFonts w:cs="Arial"/>
          <w:szCs w:val="20"/>
        </w:rPr>
      </w:pPr>
      <w:r w:rsidRPr="006F346C">
        <w:rPr>
          <w:rFonts w:cs="Arial"/>
          <w:szCs w:val="20"/>
        </w:rPr>
        <w:t>Poursuivre la modernisation et l’intégration des systèmes de planification des ressources de l’Organisation (ERP) relatifs aux processus en matière de ressources humaines afin de réaliser des gains d’efficacité sur le plan des opérations et de fournir des données de haute qualité pour la prise de décisions tout en encourageant le personnel et les chefs de service à renforcer leurs connaissances au sujet de l’utilisation de ces systèmes.</w:t>
      </w:r>
    </w:p>
    <w:p w14:paraId="52BDD1D3" w14:textId="77777777" w:rsidR="007C6CCA" w:rsidRPr="006F346C" w:rsidRDefault="007C6CCA" w:rsidP="00986700">
      <w:pPr>
        <w:jc w:val="both"/>
        <w:rPr>
          <w:rFonts w:cs="Arial"/>
          <w:szCs w:val="20"/>
        </w:rPr>
      </w:pPr>
    </w:p>
    <w:p w14:paraId="5727609F" w14:textId="77777777" w:rsidR="007C6CCA" w:rsidRPr="006F346C" w:rsidRDefault="007C6CCA" w:rsidP="00986700">
      <w:pPr>
        <w:jc w:val="both"/>
        <w:rPr>
          <w:rFonts w:cs="Arial"/>
          <w:szCs w:val="20"/>
        </w:rPr>
      </w:pPr>
    </w:p>
    <w:tbl>
      <w:tblPr>
        <w:tblW w:w="4813" w:type="pct"/>
        <w:tblCellMar>
          <w:top w:w="57" w:type="dxa"/>
          <w:bottom w:w="57" w:type="dxa"/>
        </w:tblCellMar>
        <w:tblLook w:val="01E0" w:firstRow="1" w:lastRow="1" w:firstColumn="1" w:lastColumn="1" w:noHBand="0" w:noVBand="0"/>
      </w:tblPr>
      <w:tblGrid>
        <w:gridCol w:w="4470"/>
        <w:gridCol w:w="4470"/>
      </w:tblGrid>
      <w:tr w:rsidR="007C6CCA" w:rsidRPr="006F346C" w14:paraId="09B649E3" w14:textId="77777777" w:rsidTr="007C6CCA">
        <w:trPr>
          <w:cantSplit/>
        </w:trPr>
        <w:tc>
          <w:tcPr>
            <w:tcW w:w="4606" w:type="dxa"/>
            <w:shd w:val="clear" w:color="auto" w:fill="C6D9F1" w:themeFill="text2" w:themeFillTint="33"/>
            <w:vAlign w:val="center"/>
          </w:tcPr>
          <w:p w14:paraId="1CB28CDB" w14:textId="77777777" w:rsidR="007C6CCA" w:rsidRPr="006F346C" w:rsidRDefault="007C6CCA" w:rsidP="00986700">
            <w:pPr>
              <w:jc w:val="center"/>
              <w:rPr>
                <w:rFonts w:eastAsia="Times New Roman" w:cs="Arial"/>
                <w:b/>
                <w:bCs/>
                <w:sz w:val="18"/>
                <w:szCs w:val="20"/>
              </w:rPr>
            </w:pPr>
            <w:r w:rsidRPr="006F346C">
              <w:rPr>
                <w:rFonts w:eastAsia="Times New Roman" w:cs="Arial"/>
                <w:b/>
                <w:bCs/>
                <w:sz w:val="18"/>
                <w:szCs w:val="20"/>
              </w:rPr>
              <w:t>Risques</w:t>
            </w:r>
          </w:p>
        </w:tc>
        <w:tc>
          <w:tcPr>
            <w:tcW w:w="4607" w:type="dxa"/>
            <w:shd w:val="clear" w:color="auto" w:fill="C6D9F1" w:themeFill="text2" w:themeFillTint="33"/>
            <w:vAlign w:val="center"/>
          </w:tcPr>
          <w:p w14:paraId="08D25FEA" w14:textId="77777777" w:rsidR="007C6CCA" w:rsidRPr="006F346C" w:rsidRDefault="007C6CCA" w:rsidP="00986700">
            <w:pPr>
              <w:jc w:val="center"/>
              <w:rPr>
                <w:rFonts w:eastAsia="Times New Roman" w:cs="Arial"/>
                <w:b/>
                <w:bCs/>
                <w:sz w:val="18"/>
                <w:szCs w:val="20"/>
              </w:rPr>
            </w:pPr>
            <w:r w:rsidRPr="006F346C">
              <w:rPr>
                <w:rFonts w:eastAsia="Times New Roman" w:cs="Arial"/>
                <w:b/>
                <w:bCs/>
                <w:sz w:val="18"/>
                <w:szCs w:val="20"/>
              </w:rPr>
              <w:t>Mesures d’atténuation</w:t>
            </w:r>
          </w:p>
        </w:tc>
      </w:tr>
      <w:tr w:rsidR="007C6CCA" w:rsidRPr="006F346C" w14:paraId="13538783" w14:textId="77777777" w:rsidTr="007C6CCA">
        <w:trPr>
          <w:cantSplit/>
        </w:trPr>
        <w:tc>
          <w:tcPr>
            <w:tcW w:w="4606" w:type="dxa"/>
            <w:shd w:val="clear" w:color="auto" w:fill="auto"/>
            <w:tcMar>
              <w:top w:w="57" w:type="dxa"/>
              <w:bottom w:w="57" w:type="dxa"/>
            </w:tcMar>
          </w:tcPr>
          <w:p w14:paraId="313D2D95" w14:textId="10597708" w:rsidR="007C6CCA" w:rsidRPr="006F346C" w:rsidRDefault="007C6CCA" w:rsidP="00986700">
            <w:pPr>
              <w:rPr>
                <w:rFonts w:eastAsia="Times New Roman" w:cs="Arial"/>
                <w:sz w:val="16"/>
                <w:szCs w:val="20"/>
              </w:rPr>
            </w:pPr>
            <w:r w:rsidRPr="006F346C">
              <w:rPr>
                <w:rFonts w:eastAsia="Times New Roman" w:cs="Arial"/>
                <w:sz w:val="16"/>
                <w:szCs w:val="20"/>
              </w:rPr>
              <w:t>L’évolution rapide des activités extérieures nécessitant de nouveaux processus, de nouvelles compétences et de nouvelles solutions informatiques peut entraîner une inadéquation de la main</w:t>
            </w:r>
            <w:r w:rsidR="00B441CA">
              <w:rPr>
                <w:rFonts w:eastAsia="Times New Roman" w:cs="Arial"/>
                <w:sz w:val="16"/>
                <w:szCs w:val="20"/>
              </w:rPr>
              <w:noBreakHyphen/>
            </w:r>
            <w:r w:rsidRPr="006F346C">
              <w:rPr>
                <w:rFonts w:eastAsia="Times New Roman" w:cs="Arial"/>
                <w:sz w:val="16"/>
                <w:szCs w:val="20"/>
              </w:rPr>
              <w:t>d’œuvre dans les secteurs clés de l’OMPI.  Cela pourrait se traduire par des coûts élevés liés au recrutement à court terme de personnel supplémentaire, des processus inefficaces, des retards dans les secteurs vitaux et pourrait nuire à la réputation de l’OMPI.</w:t>
            </w:r>
          </w:p>
        </w:tc>
        <w:tc>
          <w:tcPr>
            <w:tcW w:w="4607" w:type="dxa"/>
            <w:shd w:val="clear" w:color="auto" w:fill="auto"/>
            <w:tcMar>
              <w:top w:w="57" w:type="dxa"/>
              <w:bottom w:w="57" w:type="dxa"/>
            </w:tcMar>
          </w:tcPr>
          <w:p w14:paraId="130A75BD" w14:textId="2E1D1EFA" w:rsidR="007C6CCA" w:rsidRPr="006F346C" w:rsidRDefault="007C6CCA" w:rsidP="00986700">
            <w:pPr>
              <w:rPr>
                <w:rFonts w:eastAsia="Times New Roman" w:cs="Arial"/>
                <w:sz w:val="16"/>
                <w:szCs w:val="20"/>
              </w:rPr>
            </w:pPr>
            <w:r w:rsidRPr="006F346C">
              <w:rPr>
                <w:rFonts w:eastAsia="Times New Roman" w:cs="Arial"/>
                <w:sz w:val="16"/>
                <w:szCs w:val="20"/>
              </w:rPr>
              <w:t>Développement progressif d’une main</w:t>
            </w:r>
            <w:r w:rsidR="00B441CA">
              <w:rPr>
                <w:rFonts w:eastAsia="Times New Roman" w:cs="Arial"/>
                <w:sz w:val="16"/>
                <w:szCs w:val="20"/>
              </w:rPr>
              <w:noBreakHyphen/>
            </w:r>
            <w:r w:rsidRPr="006F346C">
              <w:rPr>
                <w:rFonts w:eastAsia="Times New Roman" w:cs="Arial"/>
                <w:sz w:val="16"/>
                <w:szCs w:val="20"/>
              </w:rPr>
              <w:t>d’œuvre plus réactive et plus adaptable, avec une structure qui soit à même de réagir en fonction des fluctuations de la demande et de l’introduction de nouveaux objectifs pragmatiques;  analyse détaillée et évaluation des besoins de compétences et d’effectifs, suivies par des plans d’exécution prévoyant la réaffectation de membres du personnel, la formation adéquate du personnel, le recrutement des compétences essentielles, l’externalisation et l’utilisation de mécanismes contractuels plus variés aux fins du recrutement.</w:t>
            </w:r>
          </w:p>
        </w:tc>
      </w:tr>
    </w:tbl>
    <w:p w14:paraId="06827ABE" w14:textId="77777777" w:rsidR="007C6CCA" w:rsidRPr="006F346C" w:rsidRDefault="007C6CCA" w:rsidP="00986700">
      <w:pPr>
        <w:jc w:val="both"/>
        <w:rPr>
          <w:rFonts w:cs="Arial"/>
          <w:szCs w:val="20"/>
        </w:rPr>
      </w:pPr>
    </w:p>
    <w:tbl>
      <w:tblPr>
        <w:tblW w:w="4813" w:type="pct"/>
        <w:tblCellMar>
          <w:top w:w="57" w:type="dxa"/>
          <w:bottom w:w="57" w:type="dxa"/>
        </w:tblCellMar>
        <w:tblLook w:val="04A0" w:firstRow="1" w:lastRow="0" w:firstColumn="1" w:lastColumn="0" w:noHBand="0" w:noVBand="1"/>
      </w:tblPr>
      <w:tblGrid>
        <w:gridCol w:w="2240"/>
        <w:gridCol w:w="2244"/>
        <w:gridCol w:w="2236"/>
        <w:gridCol w:w="2220"/>
      </w:tblGrid>
      <w:tr w:rsidR="007C6CCA" w:rsidRPr="006F346C" w14:paraId="5A4C70E4" w14:textId="77777777" w:rsidTr="00AC3B37">
        <w:trPr>
          <w:cantSplit/>
          <w:tblHeader/>
        </w:trPr>
        <w:tc>
          <w:tcPr>
            <w:tcW w:w="2240" w:type="dxa"/>
            <w:shd w:val="clear" w:color="000000" w:fill="C5D9F1"/>
            <w:vAlign w:val="center"/>
            <w:hideMark/>
          </w:tcPr>
          <w:p w14:paraId="0EB8C84D" w14:textId="77777777" w:rsidR="007C6CCA" w:rsidRPr="006F346C" w:rsidRDefault="007C6CCA" w:rsidP="00986700">
            <w:pPr>
              <w:keepNext/>
              <w:keepLines/>
              <w:jc w:val="center"/>
              <w:rPr>
                <w:rFonts w:eastAsia="Times New Roman" w:cs="Arial"/>
                <w:b/>
                <w:bCs/>
                <w:sz w:val="18"/>
                <w:szCs w:val="18"/>
                <w:lang w:eastAsia="en-US"/>
              </w:rPr>
            </w:pPr>
            <w:r w:rsidRPr="006F346C">
              <w:rPr>
                <w:rFonts w:eastAsia="Times New Roman" w:cs="Arial"/>
                <w:b/>
                <w:bCs/>
                <w:sz w:val="18"/>
                <w:szCs w:val="18"/>
                <w:lang w:eastAsia="en-US"/>
              </w:rPr>
              <w:lastRenderedPageBreak/>
              <w:t xml:space="preserve">Résultat escompté </w:t>
            </w:r>
          </w:p>
        </w:tc>
        <w:tc>
          <w:tcPr>
            <w:tcW w:w="2244" w:type="dxa"/>
            <w:shd w:val="clear" w:color="000000" w:fill="C5D9F1"/>
            <w:vAlign w:val="center"/>
            <w:hideMark/>
          </w:tcPr>
          <w:p w14:paraId="61E8EC1E" w14:textId="77777777" w:rsidR="007C6CCA" w:rsidRPr="006F346C" w:rsidRDefault="007C6CCA" w:rsidP="00986700">
            <w:pPr>
              <w:keepNext/>
              <w:keepLines/>
              <w:jc w:val="center"/>
              <w:rPr>
                <w:rFonts w:eastAsia="Times New Roman" w:cs="Arial"/>
                <w:b/>
                <w:bCs/>
                <w:sz w:val="18"/>
                <w:szCs w:val="18"/>
                <w:lang w:eastAsia="en-US"/>
              </w:rPr>
            </w:pPr>
            <w:r w:rsidRPr="006F346C">
              <w:rPr>
                <w:rFonts w:eastAsia="Times New Roman" w:cs="Arial"/>
                <w:b/>
                <w:bCs/>
                <w:sz w:val="18"/>
                <w:szCs w:val="18"/>
                <w:lang w:eastAsia="en-US"/>
              </w:rPr>
              <w:t>Indicateurs d’exécution</w:t>
            </w:r>
          </w:p>
        </w:tc>
        <w:tc>
          <w:tcPr>
            <w:tcW w:w="2236" w:type="dxa"/>
            <w:shd w:val="clear" w:color="000000" w:fill="C5D9F1"/>
            <w:vAlign w:val="center"/>
            <w:hideMark/>
          </w:tcPr>
          <w:p w14:paraId="3FB712F1" w14:textId="77777777" w:rsidR="007C6CCA" w:rsidRPr="006F346C" w:rsidRDefault="007C6CCA" w:rsidP="00986700">
            <w:pPr>
              <w:keepNext/>
              <w:keepLines/>
              <w:jc w:val="center"/>
              <w:rPr>
                <w:rFonts w:eastAsia="Times New Roman" w:cs="Arial"/>
                <w:b/>
                <w:bCs/>
                <w:sz w:val="18"/>
                <w:szCs w:val="18"/>
                <w:lang w:eastAsia="en-US"/>
              </w:rPr>
            </w:pPr>
            <w:r w:rsidRPr="006F346C">
              <w:rPr>
                <w:rFonts w:eastAsia="Times New Roman" w:cs="Arial"/>
                <w:b/>
                <w:bCs/>
                <w:sz w:val="18"/>
                <w:szCs w:val="18"/>
                <w:lang w:eastAsia="en-US"/>
              </w:rPr>
              <w:t>Niveaux de référence</w:t>
            </w:r>
          </w:p>
        </w:tc>
        <w:tc>
          <w:tcPr>
            <w:tcW w:w="2220" w:type="dxa"/>
            <w:shd w:val="clear" w:color="000000" w:fill="C5D9F1"/>
            <w:vAlign w:val="center"/>
            <w:hideMark/>
          </w:tcPr>
          <w:p w14:paraId="6D5E6B6F" w14:textId="77777777" w:rsidR="007C6CCA" w:rsidRPr="006F346C" w:rsidRDefault="007C6CCA" w:rsidP="00986700">
            <w:pPr>
              <w:keepNext/>
              <w:keepLines/>
              <w:jc w:val="center"/>
              <w:rPr>
                <w:rFonts w:eastAsia="Times New Roman" w:cs="Arial"/>
                <w:b/>
                <w:bCs/>
                <w:sz w:val="18"/>
                <w:szCs w:val="18"/>
                <w:lang w:eastAsia="en-US"/>
              </w:rPr>
            </w:pPr>
            <w:r w:rsidRPr="006F346C">
              <w:rPr>
                <w:rFonts w:eastAsia="Times New Roman" w:cs="Arial"/>
                <w:b/>
                <w:bCs/>
                <w:sz w:val="18"/>
                <w:szCs w:val="18"/>
                <w:lang w:eastAsia="en-US"/>
              </w:rPr>
              <w:t>Objectifs visés</w:t>
            </w:r>
          </w:p>
        </w:tc>
      </w:tr>
      <w:tr w:rsidR="007C6CCA" w:rsidRPr="006F346C" w14:paraId="3403D520" w14:textId="77777777" w:rsidTr="00AC3B37">
        <w:trPr>
          <w:cantSplit/>
        </w:trPr>
        <w:tc>
          <w:tcPr>
            <w:tcW w:w="2240" w:type="dxa"/>
            <w:vMerge w:val="restart"/>
            <w:shd w:val="clear" w:color="000000" w:fill="FFFFFF"/>
            <w:tcMar>
              <w:top w:w="57" w:type="dxa"/>
            </w:tcMar>
            <w:hideMark/>
          </w:tcPr>
          <w:p w14:paraId="4193C680"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IX.1 Services d’appui efficaces, efficients, de qualité et tournés vers la clientèle, à l’intention à la fois des clients internes et des parties prenantes externes</w:t>
            </w:r>
          </w:p>
        </w:tc>
        <w:tc>
          <w:tcPr>
            <w:tcW w:w="2244" w:type="dxa"/>
            <w:shd w:val="clear" w:color="000000" w:fill="FFFFFF"/>
            <w:tcMar>
              <w:top w:w="57" w:type="dxa"/>
            </w:tcMar>
          </w:tcPr>
          <w:p w14:paraId="5D32F703"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Taux de couverture de l’assurance maladie collective</w:t>
            </w:r>
            <w:r w:rsidRPr="006F346C">
              <w:rPr>
                <w:rStyle w:val="FootnoteReference"/>
                <w:rFonts w:eastAsia="Times New Roman" w:cs="Arial"/>
                <w:sz w:val="16"/>
                <w:szCs w:val="16"/>
                <w:lang w:eastAsia="en-US"/>
              </w:rPr>
              <w:footnoteReference w:id="40"/>
            </w:r>
          </w:p>
        </w:tc>
        <w:tc>
          <w:tcPr>
            <w:tcW w:w="2236" w:type="dxa"/>
            <w:shd w:val="clear" w:color="000000" w:fill="FFFFFF"/>
            <w:tcMar>
              <w:top w:w="57" w:type="dxa"/>
            </w:tcMar>
          </w:tcPr>
          <w:p w14:paraId="073B181E"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87,8% (2016)</w:t>
            </w:r>
          </w:p>
        </w:tc>
        <w:tc>
          <w:tcPr>
            <w:tcW w:w="2220" w:type="dxa"/>
            <w:shd w:val="clear" w:color="000000" w:fill="FFFFFF"/>
            <w:tcMar>
              <w:top w:w="57" w:type="dxa"/>
            </w:tcMar>
          </w:tcPr>
          <w:p w14:paraId="0118EB34"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Maintien</w:t>
            </w:r>
          </w:p>
        </w:tc>
      </w:tr>
      <w:tr w:rsidR="007C6CCA" w:rsidRPr="006F346C" w14:paraId="4DB6447B" w14:textId="77777777" w:rsidTr="00AC3B37">
        <w:trPr>
          <w:cantSplit/>
        </w:trPr>
        <w:tc>
          <w:tcPr>
            <w:tcW w:w="2240" w:type="dxa"/>
            <w:vMerge/>
            <w:shd w:val="clear" w:color="000000" w:fill="FFFFFF"/>
            <w:tcMar>
              <w:top w:w="57" w:type="dxa"/>
            </w:tcMar>
          </w:tcPr>
          <w:p w14:paraId="1213FF0D" w14:textId="77777777" w:rsidR="007C6CCA" w:rsidRPr="006F346C" w:rsidRDefault="007C6CCA" w:rsidP="00AC3B37">
            <w:pPr>
              <w:keepNext/>
              <w:keepLines/>
              <w:rPr>
                <w:rFonts w:eastAsia="Times New Roman" w:cs="Arial"/>
                <w:sz w:val="16"/>
                <w:szCs w:val="16"/>
                <w:lang w:eastAsia="en-US"/>
              </w:rPr>
            </w:pPr>
          </w:p>
        </w:tc>
        <w:tc>
          <w:tcPr>
            <w:tcW w:w="2244" w:type="dxa"/>
            <w:shd w:val="clear" w:color="000000" w:fill="FFFFFF"/>
            <w:tcMar>
              <w:top w:w="57" w:type="dxa"/>
            </w:tcMar>
          </w:tcPr>
          <w:p w14:paraId="242C4D36"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Introduction de nouveaux processus automatisés et amélioration des processus existants au sein du Service des opérations relatives aux ressources humaines</w:t>
            </w:r>
          </w:p>
        </w:tc>
        <w:tc>
          <w:tcPr>
            <w:tcW w:w="2236" w:type="dxa"/>
            <w:shd w:val="clear" w:color="000000" w:fill="FFFFFF"/>
            <w:tcMar>
              <w:top w:w="57" w:type="dxa"/>
            </w:tcMar>
          </w:tcPr>
          <w:p w14:paraId="529AC448"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8 sur 18 (44%) (cumul à la fin de 2016)</w:t>
            </w:r>
          </w:p>
        </w:tc>
        <w:tc>
          <w:tcPr>
            <w:tcW w:w="2220" w:type="dxa"/>
            <w:shd w:val="clear" w:color="000000" w:fill="FFFFFF"/>
            <w:tcMar>
              <w:top w:w="57" w:type="dxa"/>
            </w:tcMar>
          </w:tcPr>
          <w:p w14:paraId="1668CE12" w14:textId="77777777" w:rsidR="007C6CCA" w:rsidRPr="006F346C" w:rsidRDefault="007C6CCA" w:rsidP="00AC3B37">
            <w:pPr>
              <w:keepNext/>
              <w:keepLines/>
              <w:rPr>
                <w:rFonts w:eastAsia="Times New Roman" w:cs="Arial"/>
                <w:sz w:val="16"/>
                <w:szCs w:val="16"/>
                <w:lang w:eastAsia="en-US"/>
              </w:rPr>
            </w:pPr>
            <w:r w:rsidRPr="006F346C">
              <w:rPr>
                <w:rFonts w:eastAsia="Times New Roman" w:cs="Arial"/>
                <w:sz w:val="16"/>
                <w:szCs w:val="16"/>
                <w:lang w:eastAsia="en-US"/>
              </w:rPr>
              <w:t>18 (au total)</w:t>
            </w:r>
          </w:p>
        </w:tc>
      </w:tr>
      <w:tr w:rsidR="007C6CCA" w:rsidRPr="006F346C" w14:paraId="6702DD01" w14:textId="77777777" w:rsidTr="00AC3B37">
        <w:trPr>
          <w:cantSplit/>
        </w:trPr>
        <w:tc>
          <w:tcPr>
            <w:tcW w:w="2240" w:type="dxa"/>
            <w:vMerge w:val="restart"/>
            <w:shd w:val="clear" w:color="000000" w:fill="FFFFFF"/>
            <w:tcMar>
              <w:top w:w="57" w:type="dxa"/>
            </w:tcMar>
            <w:hideMark/>
          </w:tcPr>
          <w:p w14:paraId="646E0882" w14:textId="77777777" w:rsidR="007C6CCA" w:rsidRPr="006F346C" w:rsidRDefault="007C6CCA" w:rsidP="00AC3B37">
            <w:pPr>
              <w:rPr>
                <w:rFonts w:eastAsia="Times New Roman" w:cs="Arial"/>
                <w:sz w:val="16"/>
                <w:szCs w:val="16"/>
                <w:lang w:eastAsia="en-US"/>
              </w:rPr>
            </w:pPr>
            <w:r w:rsidRPr="006F346C">
              <w:rPr>
                <w:rFonts w:eastAsia="Times New Roman" w:cs="Arial"/>
                <w:sz w:val="16"/>
                <w:szCs w:val="16"/>
                <w:lang w:eastAsia="en-US"/>
              </w:rPr>
              <w:t>IX.2 Un Secrétariat réactif, fonctionnant harmonieusement et doté de ressources humaines bien gérées et compétentes, à même d’obtenir des résultats concrets</w:t>
            </w:r>
          </w:p>
        </w:tc>
        <w:tc>
          <w:tcPr>
            <w:tcW w:w="2244" w:type="dxa"/>
            <w:shd w:val="clear" w:color="000000" w:fill="FFFFFF"/>
            <w:tcMar>
              <w:top w:w="57" w:type="dxa"/>
            </w:tcMar>
            <w:hideMark/>
          </w:tcPr>
          <w:p w14:paraId="6C495DA8" w14:textId="10FCB552" w:rsidR="007C6CCA" w:rsidRPr="006F346C" w:rsidRDefault="007C6CCA" w:rsidP="00AC3B37">
            <w:pPr>
              <w:rPr>
                <w:rFonts w:eastAsia="Times New Roman" w:cs="Arial"/>
                <w:sz w:val="16"/>
                <w:szCs w:val="16"/>
                <w:lang w:eastAsia="en-US"/>
              </w:rPr>
            </w:pPr>
            <w:r w:rsidRPr="006F346C">
              <w:rPr>
                <w:rFonts w:eastAsia="Times New Roman" w:cs="Arial"/>
                <w:sz w:val="16"/>
                <w:szCs w:val="16"/>
                <w:lang w:eastAsia="en-US"/>
              </w:rPr>
              <w:t>Diversité géographique : pourcentage du personnel</w:t>
            </w:r>
            <w:r w:rsidR="002362ED">
              <w:rPr>
                <w:rStyle w:val="FootnoteReference"/>
                <w:rFonts w:eastAsia="Times New Roman" w:cs="Arial"/>
                <w:sz w:val="16"/>
                <w:szCs w:val="16"/>
                <w:lang w:eastAsia="en-US"/>
              </w:rPr>
              <w:footnoteReference w:id="41"/>
            </w:r>
            <w:r w:rsidRPr="006F346C">
              <w:rPr>
                <w:rFonts w:eastAsia="Times New Roman" w:cs="Arial"/>
                <w:sz w:val="16"/>
                <w:szCs w:val="16"/>
                <w:lang w:eastAsia="en-US"/>
              </w:rPr>
              <w:t xml:space="preserve"> par région</w:t>
            </w:r>
          </w:p>
        </w:tc>
        <w:tc>
          <w:tcPr>
            <w:tcW w:w="2236" w:type="dxa"/>
            <w:shd w:val="clear" w:color="000000" w:fill="FFFFFF"/>
            <w:tcMar>
              <w:top w:w="57" w:type="dxa"/>
            </w:tcMar>
            <w:hideMark/>
          </w:tcPr>
          <w:p w14:paraId="559AEE97" w14:textId="0A444396" w:rsidR="007C6CCA" w:rsidRPr="006F346C" w:rsidRDefault="007C6CCA" w:rsidP="00AC3B37">
            <w:pPr>
              <w:rPr>
                <w:rFonts w:eastAsia="Times New Roman" w:cs="Arial"/>
                <w:sz w:val="16"/>
                <w:szCs w:val="16"/>
                <w:lang w:eastAsia="en-US"/>
              </w:rPr>
            </w:pPr>
            <w:r w:rsidRPr="006F346C">
              <w:rPr>
                <w:rFonts w:eastAsia="Times New Roman" w:cs="Arial"/>
                <w:sz w:val="16"/>
                <w:szCs w:val="16"/>
                <w:lang w:eastAsia="en-US"/>
              </w:rPr>
              <w:t xml:space="preserve">Afrique : 11,3% </w:t>
            </w:r>
            <w:r w:rsidRPr="006F346C">
              <w:rPr>
                <w:rFonts w:eastAsia="Times New Roman" w:cs="Arial"/>
                <w:sz w:val="16"/>
                <w:szCs w:val="16"/>
                <w:lang w:eastAsia="en-US"/>
              </w:rPr>
              <w:br/>
              <w:t>Asie et pacifique : 17,3%</w:t>
            </w:r>
            <w:r w:rsidRPr="006F346C">
              <w:rPr>
                <w:rFonts w:eastAsia="Times New Roman" w:cs="Arial"/>
                <w:sz w:val="16"/>
                <w:szCs w:val="16"/>
                <w:lang w:eastAsia="en-US"/>
              </w:rPr>
              <w:br/>
              <w:t xml:space="preserve">Europe de l’Est, Europe centrale et Asie centrale : 7,8% </w:t>
            </w:r>
            <w:r w:rsidRPr="006F346C">
              <w:rPr>
                <w:rFonts w:eastAsia="Times New Roman" w:cs="Arial"/>
                <w:sz w:val="16"/>
                <w:szCs w:val="16"/>
                <w:lang w:eastAsia="en-US"/>
              </w:rPr>
              <w:br/>
              <w:t xml:space="preserve">Amérique latine et Caraïbes : 8,0% </w:t>
            </w:r>
            <w:r w:rsidRPr="006F346C">
              <w:rPr>
                <w:rFonts w:eastAsia="Times New Roman" w:cs="Arial"/>
                <w:sz w:val="16"/>
                <w:szCs w:val="16"/>
                <w:lang w:eastAsia="en-US"/>
              </w:rPr>
              <w:br/>
              <w:t>Moyen</w:t>
            </w:r>
            <w:r w:rsidR="00B441CA">
              <w:rPr>
                <w:rFonts w:eastAsia="Times New Roman" w:cs="Arial"/>
                <w:sz w:val="16"/>
                <w:szCs w:val="16"/>
                <w:lang w:eastAsia="en-US"/>
              </w:rPr>
              <w:noBreakHyphen/>
            </w:r>
            <w:r w:rsidRPr="006F346C">
              <w:rPr>
                <w:rFonts w:eastAsia="Times New Roman" w:cs="Arial"/>
                <w:sz w:val="16"/>
                <w:szCs w:val="16"/>
                <w:lang w:eastAsia="en-US"/>
              </w:rPr>
              <w:t>Orient : 1,3%</w:t>
            </w:r>
            <w:r w:rsidRPr="006F346C">
              <w:rPr>
                <w:rFonts w:eastAsia="Times New Roman" w:cs="Arial"/>
                <w:sz w:val="16"/>
                <w:szCs w:val="16"/>
                <w:lang w:eastAsia="en-US"/>
              </w:rPr>
              <w:br/>
              <w:t>Amérique du Nord : 8,4%</w:t>
            </w:r>
            <w:r w:rsidRPr="006F346C">
              <w:rPr>
                <w:rFonts w:eastAsia="Times New Roman" w:cs="Arial"/>
                <w:sz w:val="16"/>
                <w:szCs w:val="16"/>
                <w:lang w:eastAsia="en-US"/>
              </w:rPr>
              <w:br/>
              <w:t>Europe de l’Ouest : 45,9% (décembre 2016)</w:t>
            </w:r>
          </w:p>
        </w:tc>
        <w:tc>
          <w:tcPr>
            <w:tcW w:w="2220" w:type="dxa"/>
            <w:shd w:val="clear" w:color="000000" w:fill="FFFFFF"/>
            <w:tcMar>
              <w:top w:w="57" w:type="dxa"/>
            </w:tcMar>
            <w:hideMark/>
          </w:tcPr>
          <w:p w14:paraId="33BFFABC" w14:textId="096E8DC2" w:rsidR="007C6CCA" w:rsidRPr="006F346C" w:rsidRDefault="002362ED" w:rsidP="00AC3B37">
            <w:pPr>
              <w:rPr>
                <w:rFonts w:eastAsia="Times New Roman" w:cs="Arial"/>
                <w:sz w:val="16"/>
                <w:szCs w:val="16"/>
                <w:lang w:eastAsia="en-US"/>
              </w:rPr>
            </w:pPr>
            <w:r>
              <w:rPr>
                <w:rFonts w:eastAsia="Times New Roman" w:cs="Arial"/>
                <w:sz w:val="16"/>
                <w:szCs w:val="16"/>
                <w:lang w:eastAsia="en-US"/>
              </w:rPr>
              <w:t>Accord entre les États membres sur l</w:t>
            </w:r>
            <w:r w:rsidR="007C6CCA" w:rsidRPr="006F346C">
              <w:rPr>
                <w:rFonts w:eastAsia="Times New Roman" w:cs="Arial"/>
                <w:sz w:val="16"/>
                <w:szCs w:val="16"/>
                <w:lang w:eastAsia="en-US"/>
              </w:rPr>
              <w:t xml:space="preserve">a politique de l’OMPI </w:t>
            </w:r>
            <w:r>
              <w:rPr>
                <w:rFonts w:eastAsia="Times New Roman" w:cs="Arial"/>
                <w:sz w:val="16"/>
                <w:szCs w:val="16"/>
                <w:lang w:eastAsia="en-US"/>
              </w:rPr>
              <w:t>en matière de répartition géographique</w:t>
            </w:r>
          </w:p>
        </w:tc>
      </w:tr>
      <w:tr w:rsidR="007C6CCA" w:rsidRPr="006F346C" w14:paraId="7E78BE52" w14:textId="77777777" w:rsidTr="00AC3B37">
        <w:trPr>
          <w:cantSplit/>
        </w:trPr>
        <w:tc>
          <w:tcPr>
            <w:tcW w:w="2240" w:type="dxa"/>
            <w:vMerge/>
            <w:shd w:val="clear" w:color="000000" w:fill="FFFFFF"/>
            <w:tcMar>
              <w:top w:w="57" w:type="dxa"/>
            </w:tcMar>
            <w:hideMark/>
          </w:tcPr>
          <w:p w14:paraId="73E55FFA"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419FFA3F" w14:textId="54D61C93"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Parité hommes</w:t>
            </w:r>
            <w:r w:rsidR="00B441CA">
              <w:rPr>
                <w:rFonts w:eastAsia="Times New Roman" w:cs="Arial"/>
                <w:sz w:val="16"/>
                <w:szCs w:val="16"/>
                <w:lang w:eastAsia="en-US"/>
              </w:rPr>
              <w:noBreakHyphen/>
            </w:r>
            <w:r w:rsidRPr="006F346C">
              <w:rPr>
                <w:rFonts w:eastAsia="Times New Roman" w:cs="Arial"/>
                <w:sz w:val="16"/>
                <w:szCs w:val="16"/>
                <w:lang w:eastAsia="en-US"/>
              </w:rPr>
              <w:t>femmes : pourcentage de femmes occupant un poste de niveau P</w:t>
            </w:r>
            <w:r w:rsidR="00B441CA">
              <w:rPr>
                <w:rFonts w:eastAsia="Times New Roman" w:cs="Arial"/>
                <w:sz w:val="16"/>
                <w:szCs w:val="16"/>
                <w:lang w:eastAsia="en-US"/>
              </w:rPr>
              <w:noBreakHyphen/>
            </w:r>
            <w:r w:rsidRPr="006F346C">
              <w:rPr>
                <w:rFonts w:eastAsia="Times New Roman" w:cs="Arial"/>
                <w:sz w:val="16"/>
                <w:szCs w:val="16"/>
                <w:lang w:eastAsia="en-US"/>
              </w:rPr>
              <w:t>4 à D</w:t>
            </w:r>
            <w:r w:rsidR="00B441CA">
              <w:rPr>
                <w:rFonts w:eastAsia="Times New Roman" w:cs="Arial"/>
                <w:sz w:val="16"/>
                <w:szCs w:val="16"/>
                <w:lang w:eastAsia="en-US"/>
              </w:rPr>
              <w:noBreakHyphen/>
            </w:r>
            <w:r w:rsidRPr="006F346C">
              <w:rPr>
                <w:rFonts w:eastAsia="Times New Roman" w:cs="Arial"/>
                <w:sz w:val="16"/>
                <w:szCs w:val="16"/>
                <w:lang w:eastAsia="en-US"/>
              </w:rPr>
              <w:t>2</w:t>
            </w:r>
          </w:p>
        </w:tc>
        <w:tc>
          <w:tcPr>
            <w:tcW w:w="2236" w:type="dxa"/>
            <w:shd w:val="clear" w:color="000000" w:fill="FFFFFF"/>
            <w:tcMar>
              <w:top w:w="57" w:type="dxa"/>
            </w:tcMar>
            <w:hideMark/>
          </w:tcPr>
          <w:p w14:paraId="31502977" w14:textId="226D4094"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w:t>
            </w:r>
            <w:r w:rsidR="00B441CA">
              <w:rPr>
                <w:rFonts w:eastAsia="Times New Roman" w:cs="Arial"/>
                <w:sz w:val="16"/>
                <w:szCs w:val="16"/>
                <w:lang w:eastAsia="en-US"/>
              </w:rPr>
              <w:noBreakHyphen/>
            </w:r>
            <w:r w:rsidRPr="006F346C">
              <w:rPr>
                <w:rFonts w:eastAsia="Times New Roman" w:cs="Arial"/>
                <w:sz w:val="16"/>
                <w:szCs w:val="16"/>
                <w:lang w:eastAsia="en-US"/>
              </w:rPr>
              <w:t xml:space="preserve">4 – 45,6%;  </w:t>
            </w:r>
            <w:r w:rsidRPr="006F346C">
              <w:rPr>
                <w:rFonts w:eastAsia="Times New Roman" w:cs="Arial"/>
                <w:sz w:val="16"/>
                <w:szCs w:val="16"/>
                <w:lang w:eastAsia="en-US"/>
              </w:rPr>
              <w:br/>
              <w:t>P</w:t>
            </w:r>
            <w:r w:rsidR="00B441CA">
              <w:rPr>
                <w:rFonts w:eastAsia="Times New Roman" w:cs="Arial"/>
                <w:sz w:val="16"/>
                <w:szCs w:val="16"/>
                <w:lang w:eastAsia="en-US"/>
              </w:rPr>
              <w:noBreakHyphen/>
            </w:r>
            <w:r w:rsidRPr="006F346C">
              <w:rPr>
                <w:rFonts w:eastAsia="Times New Roman" w:cs="Arial"/>
                <w:sz w:val="16"/>
                <w:szCs w:val="16"/>
                <w:lang w:eastAsia="en-US"/>
              </w:rPr>
              <w:t xml:space="preserve">5 – 35,6%;  </w:t>
            </w:r>
            <w:r w:rsidRPr="006F346C">
              <w:rPr>
                <w:rFonts w:eastAsia="Times New Roman" w:cs="Arial"/>
                <w:sz w:val="16"/>
                <w:szCs w:val="16"/>
                <w:lang w:eastAsia="en-US"/>
              </w:rPr>
              <w:br/>
              <w:t>D</w:t>
            </w:r>
            <w:r w:rsidR="00B441CA">
              <w:rPr>
                <w:rFonts w:eastAsia="Times New Roman" w:cs="Arial"/>
                <w:sz w:val="16"/>
                <w:szCs w:val="16"/>
                <w:lang w:eastAsia="en-US"/>
              </w:rPr>
              <w:noBreakHyphen/>
            </w:r>
            <w:r w:rsidRPr="006F346C">
              <w:rPr>
                <w:rFonts w:eastAsia="Times New Roman" w:cs="Arial"/>
                <w:sz w:val="16"/>
                <w:szCs w:val="16"/>
                <w:lang w:eastAsia="en-US"/>
              </w:rPr>
              <w:t xml:space="preserve">1 – 30,0%;  </w:t>
            </w:r>
            <w:r w:rsidRPr="006F346C">
              <w:rPr>
                <w:rFonts w:eastAsia="Times New Roman" w:cs="Arial"/>
                <w:sz w:val="16"/>
                <w:szCs w:val="16"/>
                <w:lang w:eastAsia="en-US"/>
              </w:rPr>
              <w:br/>
              <w:t>D</w:t>
            </w:r>
            <w:r w:rsidR="00B441CA">
              <w:rPr>
                <w:rFonts w:eastAsia="Times New Roman" w:cs="Arial"/>
                <w:sz w:val="16"/>
                <w:szCs w:val="16"/>
                <w:lang w:eastAsia="en-US"/>
              </w:rPr>
              <w:noBreakHyphen/>
            </w:r>
            <w:r w:rsidRPr="006F346C">
              <w:rPr>
                <w:rFonts w:eastAsia="Times New Roman" w:cs="Arial"/>
                <w:sz w:val="16"/>
                <w:szCs w:val="16"/>
                <w:lang w:eastAsia="en-US"/>
              </w:rPr>
              <w:t xml:space="preserve">2 – 16,7% </w:t>
            </w:r>
            <w:r w:rsidRPr="006F346C">
              <w:rPr>
                <w:rFonts w:eastAsia="Times New Roman" w:cs="Arial"/>
                <w:sz w:val="16"/>
                <w:szCs w:val="16"/>
                <w:lang w:eastAsia="en-US"/>
              </w:rPr>
              <w:br/>
              <w:t>(fin 2016)</w:t>
            </w:r>
          </w:p>
        </w:tc>
        <w:tc>
          <w:tcPr>
            <w:tcW w:w="2220" w:type="dxa"/>
            <w:shd w:val="clear" w:color="000000" w:fill="FFFFFF"/>
            <w:tcMar>
              <w:top w:w="57" w:type="dxa"/>
            </w:tcMar>
            <w:hideMark/>
          </w:tcPr>
          <w:p w14:paraId="6B538741" w14:textId="53B48379"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w:t>
            </w:r>
            <w:r w:rsidR="00B441CA">
              <w:rPr>
                <w:rFonts w:eastAsia="Times New Roman" w:cs="Arial"/>
                <w:sz w:val="16"/>
                <w:szCs w:val="16"/>
                <w:lang w:eastAsia="en-US"/>
              </w:rPr>
              <w:noBreakHyphen/>
            </w:r>
            <w:r w:rsidRPr="006F346C">
              <w:rPr>
                <w:rFonts w:eastAsia="Times New Roman" w:cs="Arial"/>
                <w:sz w:val="16"/>
                <w:szCs w:val="16"/>
                <w:lang w:eastAsia="en-US"/>
              </w:rPr>
              <w:t xml:space="preserve">4 – 48%;  </w:t>
            </w:r>
            <w:r w:rsidRPr="006F346C">
              <w:rPr>
                <w:rFonts w:eastAsia="Times New Roman" w:cs="Arial"/>
                <w:sz w:val="16"/>
                <w:szCs w:val="16"/>
                <w:lang w:eastAsia="en-US"/>
              </w:rPr>
              <w:br/>
              <w:t>P</w:t>
            </w:r>
            <w:r w:rsidR="00B441CA">
              <w:rPr>
                <w:rFonts w:eastAsia="Times New Roman" w:cs="Arial"/>
                <w:sz w:val="16"/>
                <w:szCs w:val="16"/>
                <w:lang w:eastAsia="en-US"/>
              </w:rPr>
              <w:noBreakHyphen/>
            </w:r>
            <w:r w:rsidRPr="006F346C">
              <w:rPr>
                <w:rFonts w:eastAsia="Times New Roman" w:cs="Arial"/>
                <w:sz w:val="16"/>
                <w:szCs w:val="16"/>
                <w:lang w:eastAsia="en-US"/>
              </w:rPr>
              <w:t xml:space="preserve">5 – 40%;  </w:t>
            </w:r>
            <w:r w:rsidRPr="006F346C">
              <w:rPr>
                <w:rFonts w:eastAsia="Times New Roman" w:cs="Arial"/>
                <w:sz w:val="16"/>
                <w:szCs w:val="16"/>
                <w:lang w:eastAsia="en-US"/>
              </w:rPr>
              <w:br/>
              <w:t>D</w:t>
            </w:r>
            <w:r w:rsidR="00B441CA">
              <w:rPr>
                <w:rFonts w:eastAsia="Times New Roman" w:cs="Arial"/>
                <w:sz w:val="16"/>
                <w:szCs w:val="16"/>
                <w:lang w:eastAsia="en-US"/>
              </w:rPr>
              <w:noBreakHyphen/>
            </w:r>
            <w:r w:rsidRPr="006F346C">
              <w:rPr>
                <w:rFonts w:eastAsia="Times New Roman" w:cs="Arial"/>
                <w:sz w:val="16"/>
                <w:szCs w:val="16"/>
                <w:lang w:eastAsia="en-US"/>
              </w:rPr>
              <w:t xml:space="preserve">1 – 35%;  </w:t>
            </w:r>
            <w:r w:rsidRPr="006F346C">
              <w:rPr>
                <w:rFonts w:eastAsia="Times New Roman" w:cs="Arial"/>
                <w:sz w:val="16"/>
                <w:szCs w:val="16"/>
                <w:lang w:eastAsia="en-US"/>
              </w:rPr>
              <w:br/>
              <w:t>D</w:t>
            </w:r>
            <w:r w:rsidR="00B441CA">
              <w:rPr>
                <w:rFonts w:eastAsia="Times New Roman" w:cs="Arial"/>
                <w:sz w:val="16"/>
                <w:szCs w:val="16"/>
                <w:lang w:eastAsia="en-US"/>
              </w:rPr>
              <w:noBreakHyphen/>
            </w:r>
            <w:r w:rsidRPr="006F346C">
              <w:rPr>
                <w:rFonts w:eastAsia="Times New Roman" w:cs="Arial"/>
                <w:sz w:val="16"/>
                <w:szCs w:val="16"/>
                <w:lang w:eastAsia="en-US"/>
              </w:rPr>
              <w:t>2 – 20%</w:t>
            </w:r>
          </w:p>
        </w:tc>
      </w:tr>
      <w:tr w:rsidR="007C6CCA" w:rsidRPr="006F346C" w14:paraId="15FC550E" w14:textId="77777777" w:rsidTr="00AC3B37">
        <w:trPr>
          <w:cantSplit/>
          <w:trHeight w:val="378"/>
        </w:trPr>
        <w:tc>
          <w:tcPr>
            <w:tcW w:w="2240" w:type="dxa"/>
            <w:vMerge/>
            <w:shd w:val="clear" w:color="000000" w:fill="FFFFFF"/>
            <w:tcMar>
              <w:top w:w="57" w:type="dxa"/>
            </w:tcMar>
            <w:hideMark/>
          </w:tcPr>
          <w:p w14:paraId="792A5DC6"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695C7D39"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Délais de recrutement</w:t>
            </w:r>
          </w:p>
        </w:tc>
        <w:tc>
          <w:tcPr>
            <w:tcW w:w="2236" w:type="dxa"/>
            <w:shd w:val="clear" w:color="000000" w:fill="FFFFFF"/>
            <w:tcMar>
              <w:top w:w="57" w:type="dxa"/>
            </w:tcMar>
            <w:hideMark/>
          </w:tcPr>
          <w:p w14:paraId="1C3CDD22"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18,81 semaines (15 postes mis au concours en 2016 étaient toujours en cours de traitement au 15 mars 2017)</w:t>
            </w:r>
          </w:p>
        </w:tc>
        <w:tc>
          <w:tcPr>
            <w:tcW w:w="2220" w:type="dxa"/>
            <w:shd w:val="clear" w:color="000000" w:fill="FFFFFF"/>
            <w:tcMar>
              <w:top w:w="57" w:type="dxa"/>
            </w:tcMar>
            <w:hideMark/>
          </w:tcPr>
          <w:p w14:paraId="65FC2AA1"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19 semaines</w:t>
            </w:r>
          </w:p>
        </w:tc>
      </w:tr>
      <w:tr w:rsidR="007C6CCA" w:rsidRPr="006F346C" w14:paraId="1D17BDE6" w14:textId="77777777" w:rsidTr="00AC3B37">
        <w:trPr>
          <w:cantSplit/>
        </w:trPr>
        <w:tc>
          <w:tcPr>
            <w:tcW w:w="2240" w:type="dxa"/>
            <w:vMerge/>
            <w:shd w:val="clear" w:color="000000" w:fill="FFFFFF"/>
            <w:tcMar>
              <w:top w:w="57" w:type="dxa"/>
            </w:tcMar>
            <w:hideMark/>
          </w:tcPr>
          <w:p w14:paraId="0C57C983"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1EDA6EC0"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Perfectionnement de la planification des ressources humaines</w:t>
            </w:r>
          </w:p>
        </w:tc>
        <w:tc>
          <w:tcPr>
            <w:tcW w:w="2236" w:type="dxa"/>
            <w:shd w:val="clear" w:color="000000" w:fill="FFFFFF"/>
            <w:tcMar>
              <w:top w:w="57" w:type="dxa"/>
            </w:tcMar>
            <w:hideMark/>
          </w:tcPr>
          <w:p w14:paraId="3CD76C27"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Phase 2 (fin 2015)</w:t>
            </w:r>
          </w:p>
        </w:tc>
        <w:tc>
          <w:tcPr>
            <w:tcW w:w="2220" w:type="dxa"/>
            <w:shd w:val="clear" w:color="000000" w:fill="FFFFFF"/>
            <w:tcMar>
              <w:top w:w="57" w:type="dxa"/>
            </w:tcMar>
            <w:hideMark/>
          </w:tcPr>
          <w:p w14:paraId="2F5CFB0C"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Phase 3.5</w:t>
            </w:r>
          </w:p>
        </w:tc>
      </w:tr>
      <w:tr w:rsidR="007C6CCA" w:rsidRPr="006F346C" w14:paraId="346C8151" w14:textId="77777777" w:rsidTr="00AC3B37">
        <w:trPr>
          <w:cantSplit/>
        </w:trPr>
        <w:tc>
          <w:tcPr>
            <w:tcW w:w="2240" w:type="dxa"/>
            <w:vMerge/>
            <w:shd w:val="clear" w:color="000000" w:fill="FFFFFF"/>
            <w:tcMar>
              <w:top w:w="57" w:type="dxa"/>
            </w:tcMar>
            <w:hideMark/>
          </w:tcPr>
          <w:p w14:paraId="32DCDF6C"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5E73F4EB" w14:textId="4B7EF27E"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Augmentation du nombre de candidatures provenant d’États membres non représentés et de pays situés dans des régions sous</w:t>
            </w:r>
            <w:r w:rsidR="00B441CA">
              <w:rPr>
                <w:rFonts w:eastAsia="Times New Roman" w:cs="Arial"/>
                <w:sz w:val="16"/>
                <w:szCs w:val="16"/>
                <w:lang w:eastAsia="en-US"/>
              </w:rPr>
              <w:noBreakHyphen/>
            </w:r>
            <w:r w:rsidRPr="006F346C">
              <w:rPr>
                <w:rFonts w:eastAsia="Times New Roman" w:cs="Arial"/>
                <w:sz w:val="16"/>
                <w:szCs w:val="16"/>
                <w:lang w:eastAsia="en-US"/>
              </w:rPr>
              <w:t>représentées</w:t>
            </w:r>
          </w:p>
        </w:tc>
        <w:tc>
          <w:tcPr>
            <w:tcW w:w="2236" w:type="dxa"/>
            <w:shd w:val="clear" w:color="000000" w:fill="FFFFFF"/>
            <w:tcMar>
              <w:top w:w="57" w:type="dxa"/>
            </w:tcMar>
            <w:hideMark/>
          </w:tcPr>
          <w:p w14:paraId="2187CE8A" w14:textId="629A723C" w:rsidR="007C6CCA" w:rsidRPr="006F346C" w:rsidRDefault="00EF5AEB" w:rsidP="00EF5AEB">
            <w:pPr>
              <w:rPr>
                <w:rFonts w:eastAsia="Times New Roman" w:cs="Arial"/>
                <w:sz w:val="16"/>
                <w:szCs w:val="16"/>
                <w:lang w:eastAsia="en-US"/>
              </w:rPr>
            </w:pPr>
            <w:r>
              <w:rPr>
                <w:rFonts w:eastAsia="Times New Roman" w:cs="Arial"/>
                <w:sz w:val="16"/>
                <w:szCs w:val="16"/>
                <w:lang w:eastAsia="en-US"/>
              </w:rPr>
              <w:t>À déterminer</w:t>
            </w:r>
          </w:p>
        </w:tc>
        <w:tc>
          <w:tcPr>
            <w:tcW w:w="2220" w:type="dxa"/>
            <w:shd w:val="clear" w:color="000000" w:fill="FFFFFF"/>
            <w:tcMar>
              <w:top w:w="57" w:type="dxa"/>
            </w:tcMar>
            <w:hideMark/>
          </w:tcPr>
          <w:p w14:paraId="720B3E93" w14:textId="76AB0532" w:rsidR="007C6CCA" w:rsidRPr="006F346C" w:rsidRDefault="00EF5AEB" w:rsidP="00EF5AEB">
            <w:pPr>
              <w:rPr>
                <w:rFonts w:eastAsia="Times New Roman" w:cs="Arial"/>
                <w:sz w:val="16"/>
                <w:szCs w:val="16"/>
                <w:lang w:eastAsia="en-US"/>
              </w:rPr>
            </w:pPr>
            <w:r>
              <w:rPr>
                <w:rFonts w:eastAsia="Times New Roman" w:cs="Arial"/>
                <w:sz w:val="16"/>
                <w:szCs w:val="16"/>
                <w:lang w:eastAsia="en-US"/>
              </w:rPr>
              <w:t>À déterminer</w:t>
            </w:r>
          </w:p>
        </w:tc>
      </w:tr>
      <w:tr w:rsidR="007C6CCA" w:rsidRPr="006F346C" w14:paraId="5D50DC36" w14:textId="77777777" w:rsidTr="00AC3B37">
        <w:trPr>
          <w:cantSplit/>
          <w:trHeight w:val="887"/>
        </w:trPr>
        <w:tc>
          <w:tcPr>
            <w:tcW w:w="2240" w:type="dxa"/>
            <w:vMerge/>
            <w:shd w:val="clear" w:color="000000" w:fill="FFFFFF"/>
            <w:tcMar>
              <w:top w:w="57" w:type="dxa"/>
            </w:tcMar>
            <w:hideMark/>
          </w:tcPr>
          <w:p w14:paraId="41A9DA44"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2C273460"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Pourcentage des membres du personnel dont le travail est évalué en fonction d’objectifs et de compétences individuels</w:t>
            </w:r>
          </w:p>
        </w:tc>
        <w:tc>
          <w:tcPr>
            <w:tcW w:w="2236" w:type="dxa"/>
            <w:shd w:val="clear" w:color="000000" w:fill="FFFFFF"/>
            <w:tcMar>
              <w:top w:w="57" w:type="dxa"/>
            </w:tcMar>
            <w:hideMark/>
          </w:tcPr>
          <w:p w14:paraId="77112043"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 xml:space="preserve">2016 : 92,7% (au 30 avril de chaque année suivante) </w:t>
            </w:r>
          </w:p>
        </w:tc>
        <w:tc>
          <w:tcPr>
            <w:tcW w:w="2220" w:type="dxa"/>
            <w:shd w:val="clear" w:color="000000" w:fill="FFFFFF"/>
            <w:tcMar>
              <w:top w:w="57" w:type="dxa"/>
            </w:tcMar>
            <w:hideMark/>
          </w:tcPr>
          <w:p w14:paraId="670F9EED"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95%</w:t>
            </w:r>
          </w:p>
        </w:tc>
      </w:tr>
      <w:tr w:rsidR="007C6CCA" w:rsidRPr="006F346C" w14:paraId="4A62596E" w14:textId="77777777" w:rsidTr="00AC3B37">
        <w:trPr>
          <w:cantSplit/>
        </w:trPr>
        <w:tc>
          <w:tcPr>
            <w:tcW w:w="2240" w:type="dxa"/>
            <w:vMerge/>
            <w:shd w:val="clear" w:color="000000" w:fill="FFFFFF"/>
            <w:tcMar>
              <w:top w:w="57" w:type="dxa"/>
            </w:tcMar>
            <w:hideMark/>
          </w:tcPr>
          <w:p w14:paraId="021CF5F6"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2C1498E3"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 xml:space="preserve">Pourcentage des fonctionnaires a) déjà en poste et b) recrutés récemment ayant mené à bien les programmes de formation obligatoire </w:t>
            </w:r>
          </w:p>
        </w:tc>
        <w:tc>
          <w:tcPr>
            <w:tcW w:w="2236" w:type="dxa"/>
            <w:shd w:val="clear" w:color="000000" w:fill="FFFFFF"/>
            <w:tcMar>
              <w:top w:w="57" w:type="dxa"/>
            </w:tcMar>
            <w:hideMark/>
          </w:tcPr>
          <w:p w14:paraId="2D3A10FD"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a) 68% des fonctionnaires déjà en poste</w:t>
            </w:r>
          </w:p>
          <w:p w14:paraId="27AA8032"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b) 54% des fonctionnaires recrutés récemment (fin 2016)</w:t>
            </w:r>
          </w:p>
        </w:tc>
        <w:tc>
          <w:tcPr>
            <w:tcW w:w="2220" w:type="dxa"/>
            <w:shd w:val="clear" w:color="000000" w:fill="FFFFFF"/>
            <w:tcMar>
              <w:top w:w="57" w:type="dxa"/>
            </w:tcMar>
            <w:hideMark/>
          </w:tcPr>
          <w:p w14:paraId="5304C02D"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a) 80% des fonctionnaires déjà en poste</w:t>
            </w:r>
          </w:p>
          <w:p w14:paraId="784D5928" w14:textId="77777777"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b) 80% des fonctionnaires recrutés récemment (exercice biennal)</w:t>
            </w:r>
          </w:p>
        </w:tc>
      </w:tr>
      <w:tr w:rsidR="007C6CCA" w:rsidRPr="006F346C" w14:paraId="4DA2C01F" w14:textId="77777777" w:rsidTr="00AC3B37">
        <w:trPr>
          <w:cantSplit/>
        </w:trPr>
        <w:tc>
          <w:tcPr>
            <w:tcW w:w="2240" w:type="dxa"/>
            <w:vMerge/>
            <w:shd w:val="clear" w:color="000000" w:fill="FFFFFF"/>
            <w:tcMar>
              <w:top w:w="57" w:type="dxa"/>
            </w:tcMar>
            <w:hideMark/>
          </w:tcPr>
          <w:p w14:paraId="3A0D9B37" w14:textId="77777777" w:rsidR="007C6CCA" w:rsidRPr="006F346C" w:rsidRDefault="007C6CCA" w:rsidP="00986700">
            <w:pPr>
              <w:jc w:val="right"/>
              <w:rPr>
                <w:rFonts w:eastAsia="Times New Roman" w:cs="Arial"/>
                <w:sz w:val="16"/>
                <w:szCs w:val="16"/>
                <w:lang w:eastAsia="en-US"/>
              </w:rPr>
            </w:pPr>
          </w:p>
        </w:tc>
        <w:tc>
          <w:tcPr>
            <w:tcW w:w="2244" w:type="dxa"/>
            <w:shd w:val="clear" w:color="000000" w:fill="FFFFFF"/>
            <w:tcMar>
              <w:top w:w="57" w:type="dxa"/>
            </w:tcMar>
            <w:hideMark/>
          </w:tcPr>
          <w:p w14:paraId="3708670C" w14:textId="77777777" w:rsidR="007C6CCA" w:rsidRPr="006F346C" w:rsidRDefault="007C6CCA" w:rsidP="00986700">
            <w:pPr>
              <w:keepNext/>
              <w:keepLines/>
              <w:rPr>
                <w:rFonts w:eastAsia="Times New Roman" w:cs="Arial"/>
                <w:sz w:val="16"/>
                <w:szCs w:val="16"/>
              </w:rPr>
            </w:pPr>
            <w:r w:rsidRPr="006F346C">
              <w:rPr>
                <w:rFonts w:eastAsia="Times New Roman" w:cs="Arial"/>
                <w:sz w:val="16"/>
                <w:szCs w:val="16"/>
              </w:rPr>
              <w:t>Nombre de jours nécessaires pour :</w:t>
            </w:r>
          </w:p>
          <w:p w14:paraId="5865F792" w14:textId="2B9098F7" w:rsidR="007C6CCA" w:rsidRPr="006F346C" w:rsidRDefault="007C6CCA" w:rsidP="00986700">
            <w:pPr>
              <w:keepNext/>
              <w:keepLines/>
              <w:rPr>
                <w:rFonts w:eastAsia="Times New Roman" w:cs="Arial"/>
                <w:sz w:val="16"/>
                <w:szCs w:val="16"/>
              </w:rPr>
            </w:pPr>
            <w:r w:rsidRPr="006F346C">
              <w:rPr>
                <w:rFonts w:eastAsia="Times New Roman" w:cs="Arial"/>
                <w:sz w:val="16"/>
                <w:szCs w:val="16"/>
              </w:rPr>
              <w:t>i) notifier au personnel les décisions concernant les plaintes;</w:t>
            </w:r>
          </w:p>
          <w:p w14:paraId="1AA63E50" w14:textId="6FB3C918" w:rsidR="007C6CCA" w:rsidRPr="006F346C" w:rsidRDefault="007C6CCA" w:rsidP="00986700">
            <w:pPr>
              <w:keepNext/>
              <w:keepLines/>
              <w:rPr>
                <w:rFonts w:eastAsia="Times New Roman" w:cs="Arial"/>
                <w:sz w:val="16"/>
                <w:szCs w:val="16"/>
              </w:rPr>
            </w:pPr>
            <w:r w:rsidRPr="006F346C">
              <w:rPr>
                <w:rFonts w:eastAsia="Times New Roman" w:cs="Arial"/>
                <w:sz w:val="16"/>
                <w:szCs w:val="16"/>
              </w:rPr>
              <w:t>ii) notifier au personnel les décisions concernant les objections;</w:t>
            </w:r>
          </w:p>
          <w:p w14:paraId="09942624" w14:textId="3DB4C641" w:rsidR="007C6CCA" w:rsidRPr="006F346C" w:rsidRDefault="00064132" w:rsidP="00064132">
            <w:pPr>
              <w:keepNext/>
              <w:keepLines/>
              <w:rPr>
                <w:rFonts w:eastAsia="Times New Roman" w:cs="Arial"/>
                <w:sz w:val="16"/>
                <w:szCs w:val="16"/>
              </w:rPr>
            </w:pPr>
            <w:r>
              <w:rPr>
                <w:rFonts w:eastAsia="Times New Roman" w:cs="Arial"/>
                <w:sz w:val="16"/>
                <w:szCs w:val="16"/>
              </w:rPr>
              <w:t>iii</w:t>
            </w:r>
            <w:r w:rsidR="007C6CCA" w:rsidRPr="006F346C">
              <w:rPr>
                <w:rFonts w:eastAsia="Times New Roman" w:cs="Arial"/>
                <w:sz w:val="16"/>
                <w:szCs w:val="16"/>
              </w:rPr>
              <w:t>) répondre aux demandes de conseil.</w:t>
            </w:r>
          </w:p>
        </w:tc>
        <w:tc>
          <w:tcPr>
            <w:tcW w:w="2236" w:type="dxa"/>
            <w:shd w:val="clear" w:color="000000" w:fill="FFFFFF"/>
            <w:tcMar>
              <w:top w:w="57" w:type="dxa"/>
            </w:tcMar>
            <w:hideMark/>
          </w:tcPr>
          <w:p w14:paraId="618D5145" w14:textId="712E6852"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i) 60 jours suivant la réception des réponses aux plaintes;</w:t>
            </w:r>
          </w:p>
          <w:p w14:paraId="0573B9C8" w14:textId="5125DF8C" w:rsidR="007C6CCA" w:rsidRPr="006F346C" w:rsidRDefault="00064132" w:rsidP="00986700">
            <w:pPr>
              <w:rPr>
                <w:rFonts w:eastAsia="Times New Roman" w:cs="Arial"/>
                <w:sz w:val="16"/>
                <w:szCs w:val="16"/>
                <w:lang w:eastAsia="en-US"/>
              </w:rPr>
            </w:pPr>
            <w:r>
              <w:rPr>
                <w:rFonts w:eastAsia="Times New Roman" w:cs="Arial"/>
                <w:sz w:val="16"/>
                <w:szCs w:val="16"/>
                <w:lang w:eastAsia="en-US"/>
              </w:rPr>
              <w:t>ii</w:t>
            </w:r>
            <w:r w:rsidR="007C6CCA" w:rsidRPr="006F346C">
              <w:rPr>
                <w:rFonts w:eastAsia="Times New Roman" w:cs="Arial"/>
                <w:sz w:val="16"/>
                <w:szCs w:val="16"/>
                <w:lang w:eastAsia="en-US"/>
              </w:rPr>
              <w:t>) 30 jours suivant la réception des objections;</w:t>
            </w:r>
          </w:p>
          <w:p w14:paraId="0F99AF5C" w14:textId="0D39D653" w:rsidR="007C6CCA" w:rsidRPr="006F346C" w:rsidRDefault="00064132" w:rsidP="00986700">
            <w:pPr>
              <w:rPr>
                <w:rFonts w:eastAsia="Times New Roman" w:cs="Arial"/>
                <w:sz w:val="16"/>
                <w:szCs w:val="16"/>
                <w:lang w:eastAsia="en-US"/>
              </w:rPr>
            </w:pPr>
            <w:r>
              <w:rPr>
                <w:rFonts w:eastAsia="Times New Roman" w:cs="Arial"/>
                <w:sz w:val="16"/>
                <w:szCs w:val="16"/>
                <w:lang w:eastAsia="en-US"/>
              </w:rPr>
              <w:t>iii</w:t>
            </w:r>
            <w:r w:rsidR="007C6CCA" w:rsidRPr="006F346C">
              <w:rPr>
                <w:rFonts w:eastAsia="Times New Roman" w:cs="Arial"/>
                <w:sz w:val="16"/>
                <w:szCs w:val="16"/>
                <w:lang w:eastAsia="en-US"/>
              </w:rPr>
              <w:t xml:space="preserve">) sur 450 demandes de conseil reçues en 2016, une réponse a été fournie dans un délai d’un jour dans 89,3% des cas, de 2 à 4 jours dans 9,3% des cas, et de 5 jours ouvrables ou plus dans 1,3% des cas (2016).  </w:t>
            </w:r>
          </w:p>
        </w:tc>
        <w:tc>
          <w:tcPr>
            <w:tcW w:w="2220" w:type="dxa"/>
            <w:shd w:val="clear" w:color="000000" w:fill="FFFFFF"/>
            <w:tcMar>
              <w:top w:w="57" w:type="dxa"/>
            </w:tcMar>
            <w:hideMark/>
          </w:tcPr>
          <w:p w14:paraId="2AF9865F" w14:textId="41CB1E98"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i) 60 jours suivant la réception des réponses aux plaintes;</w:t>
            </w:r>
          </w:p>
          <w:p w14:paraId="41A4BDFB" w14:textId="4250278F" w:rsidR="007C6CCA" w:rsidRPr="006F346C" w:rsidRDefault="007C6CCA" w:rsidP="00986700">
            <w:pPr>
              <w:rPr>
                <w:rFonts w:eastAsia="Times New Roman" w:cs="Arial"/>
                <w:sz w:val="16"/>
                <w:szCs w:val="16"/>
                <w:lang w:eastAsia="en-US"/>
              </w:rPr>
            </w:pPr>
            <w:r w:rsidRPr="006F346C">
              <w:rPr>
                <w:rFonts w:eastAsia="Times New Roman" w:cs="Arial"/>
                <w:sz w:val="16"/>
                <w:szCs w:val="16"/>
                <w:lang w:eastAsia="en-US"/>
              </w:rPr>
              <w:t>ii) 30 jours suivant la réception des objections;</w:t>
            </w:r>
          </w:p>
          <w:p w14:paraId="28EE00D5" w14:textId="44905E9D" w:rsidR="007C6CCA" w:rsidRPr="006F346C" w:rsidRDefault="00064132" w:rsidP="00986700">
            <w:pPr>
              <w:rPr>
                <w:rFonts w:eastAsia="Times New Roman" w:cs="Arial"/>
                <w:sz w:val="16"/>
                <w:szCs w:val="16"/>
                <w:lang w:eastAsia="en-US"/>
              </w:rPr>
            </w:pPr>
            <w:r>
              <w:rPr>
                <w:rFonts w:eastAsia="Times New Roman" w:cs="Arial"/>
                <w:sz w:val="16"/>
                <w:szCs w:val="16"/>
                <w:lang w:eastAsia="en-US"/>
              </w:rPr>
              <w:t>iii</w:t>
            </w:r>
            <w:r w:rsidR="007C6CCA" w:rsidRPr="006F346C">
              <w:rPr>
                <w:rFonts w:eastAsia="Times New Roman" w:cs="Arial"/>
                <w:sz w:val="16"/>
                <w:szCs w:val="16"/>
                <w:lang w:eastAsia="en-US"/>
              </w:rPr>
              <w:t>) 5 jours ouvrables à compter de la réception des demandes de conseil.</w:t>
            </w:r>
          </w:p>
        </w:tc>
      </w:tr>
    </w:tbl>
    <w:p w14:paraId="77B14FCF" w14:textId="77777777" w:rsidR="007C6CCA" w:rsidRDefault="007C6CCA"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541AA898" w14:textId="77777777" w:rsidTr="001A722F">
        <w:trPr>
          <w:cantSplit/>
        </w:trPr>
        <w:tc>
          <w:tcPr>
            <w:tcW w:w="9571" w:type="dxa"/>
            <w:shd w:val="clear" w:color="auto" w:fill="C6D9F1" w:themeFill="text2" w:themeFillTint="33"/>
            <w:vAlign w:val="center"/>
          </w:tcPr>
          <w:p w14:paraId="153602EB" w14:textId="77777777" w:rsidR="00277197" w:rsidRPr="00821D15" w:rsidRDefault="00277197" w:rsidP="00986700">
            <w:pPr>
              <w:jc w:val="center"/>
              <w:rPr>
                <w:rFonts w:cs="Arial"/>
                <w:b/>
                <w:szCs w:val="20"/>
              </w:rPr>
            </w:pPr>
            <w:r w:rsidRPr="00821D15">
              <w:rPr>
                <w:rFonts w:cs="Arial"/>
                <w:b/>
                <w:szCs w:val="20"/>
              </w:rPr>
              <w:lastRenderedPageBreak/>
              <w:t>Ressources allouées au programme 23</w:t>
            </w:r>
          </w:p>
        </w:tc>
      </w:tr>
    </w:tbl>
    <w:p w14:paraId="1DC2A40A" w14:textId="77777777" w:rsidR="00277197" w:rsidRPr="00821D15" w:rsidRDefault="00277197" w:rsidP="00986700">
      <w:pPr>
        <w:rPr>
          <w:rFonts w:cs="Arial"/>
          <w:szCs w:val="20"/>
        </w:rPr>
      </w:pPr>
    </w:p>
    <w:p w14:paraId="4F1BDEC9" w14:textId="77777777" w:rsidR="00277197" w:rsidRPr="00821D15" w:rsidRDefault="00277197" w:rsidP="00616FD3">
      <w:pPr>
        <w:pStyle w:val="ListParagraph"/>
        <w:numPr>
          <w:ilvl w:val="0"/>
          <w:numId w:val="85"/>
        </w:numPr>
        <w:ind w:firstLine="0"/>
        <w:jc w:val="both"/>
        <w:rPr>
          <w:rFonts w:cs="Arial"/>
          <w:szCs w:val="20"/>
        </w:rPr>
      </w:pPr>
      <w:r w:rsidRPr="00821D15">
        <w:rPr>
          <w:rFonts w:cs="Arial"/>
          <w:szCs w:val="20"/>
        </w:rPr>
        <w:t>Les ressources globales allouées au programme en 2018</w:t>
      </w:r>
      <w:r w:rsidRPr="00821D15">
        <w:rPr>
          <w:rFonts w:cs="Arial"/>
          <w:szCs w:val="20"/>
        </w:rPr>
        <w:noBreakHyphen/>
        <w:t>2019 restent stables.</w:t>
      </w:r>
    </w:p>
    <w:p w14:paraId="7B3EA5F9" w14:textId="77777777" w:rsidR="00277197" w:rsidRPr="00821D15" w:rsidRDefault="00277197" w:rsidP="00986700">
      <w:pPr>
        <w:rPr>
          <w:rFonts w:cs="Arial"/>
          <w:szCs w:val="20"/>
        </w:rPr>
      </w:pPr>
    </w:p>
    <w:p w14:paraId="2D72434F" w14:textId="77777777" w:rsidR="00277197" w:rsidRPr="00821D15" w:rsidRDefault="00277197" w:rsidP="00616FD3">
      <w:pPr>
        <w:pStyle w:val="ListParagraph"/>
        <w:numPr>
          <w:ilvl w:val="0"/>
          <w:numId w:val="85"/>
        </w:numPr>
        <w:ind w:firstLine="0"/>
        <w:jc w:val="both"/>
        <w:rPr>
          <w:rFonts w:cs="Arial"/>
          <w:szCs w:val="20"/>
        </w:rPr>
      </w:pPr>
      <w:r w:rsidRPr="00821D15">
        <w:rPr>
          <w:rFonts w:cs="Arial"/>
          <w:szCs w:val="20"/>
        </w:rPr>
        <w:t>La légère diminution des dépenses autres que les dépenses de personnel est due à la baisse des provisions pour la couverture des prestations de maladie et de maternité compte tenu de la structure des dépenses passée, partiellement compensée par les ressources supplémentaires pour la promotion du genre.</w:t>
      </w:r>
    </w:p>
    <w:p w14:paraId="138CFF4D" w14:textId="77777777" w:rsidR="00277197" w:rsidRPr="00821D15" w:rsidRDefault="00277197" w:rsidP="00986700">
      <w:pPr>
        <w:rPr>
          <w:rFonts w:cs="Arial"/>
          <w:szCs w:val="20"/>
        </w:rPr>
      </w:pPr>
    </w:p>
    <w:p w14:paraId="232AD908" w14:textId="77777777" w:rsidR="00277197" w:rsidRPr="00821D15" w:rsidRDefault="00277197" w:rsidP="00616FD3">
      <w:pPr>
        <w:pStyle w:val="ListParagraph"/>
        <w:numPr>
          <w:ilvl w:val="0"/>
          <w:numId w:val="85"/>
        </w:numPr>
        <w:ind w:firstLine="0"/>
        <w:jc w:val="both"/>
        <w:rPr>
          <w:rFonts w:cs="Arial"/>
          <w:szCs w:val="20"/>
        </w:rPr>
      </w:pPr>
      <w:r w:rsidRPr="00821D15">
        <w:rPr>
          <w:rFonts w:cs="Arial"/>
          <w:szCs w:val="20"/>
        </w:rPr>
        <w:t>La légère augmentation des dépenses de personnel est due aux augmentations statutaires relatives aux dépenses de personnel.</w:t>
      </w:r>
    </w:p>
    <w:p w14:paraId="0B995A9D" w14:textId="77777777" w:rsidR="00277197" w:rsidRPr="006F346C" w:rsidRDefault="00277197" w:rsidP="00986700">
      <w:pPr>
        <w:jc w:val="both"/>
        <w:rPr>
          <w:rFonts w:cs="Arial"/>
          <w:szCs w:val="20"/>
        </w:rPr>
      </w:pPr>
    </w:p>
    <w:p w14:paraId="35618DEA" w14:textId="4458DAF5"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23 : </w:t>
      </w:r>
      <w:r w:rsidRPr="00674550">
        <w:rPr>
          <w:rFonts w:eastAsia="Times New Roman" w:cs="Arial"/>
          <w:b/>
          <w:szCs w:val="20"/>
          <w:lang w:eastAsia="en-US"/>
        </w:rPr>
        <w:t>Ressources par résultat</w:t>
      </w:r>
    </w:p>
    <w:p w14:paraId="7A8E28A4"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D0E4E1A" w14:textId="77777777" w:rsidR="007C6CCA" w:rsidRPr="006F346C" w:rsidRDefault="007C6CCA" w:rsidP="00986700">
      <w:pPr>
        <w:keepNext/>
        <w:jc w:val="both"/>
        <w:rPr>
          <w:rFonts w:cs="Arial"/>
          <w:szCs w:val="20"/>
        </w:rPr>
      </w:pPr>
    </w:p>
    <w:p w14:paraId="4001454C" w14:textId="12E3E06A" w:rsidR="007C6CCA" w:rsidRPr="006F346C" w:rsidRDefault="00717231" w:rsidP="00986700">
      <w:pPr>
        <w:jc w:val="center"/>
        <w:rPr>
          <w:rFonts w:asciiTheme="minorBidi" w:hAnsiTheme="minorBidi"/>
        </w:rPr>
      </w:pPr>
      <w:r w:rsidRPr="00717231">
        <w:rPr>
          <w:noProof/>
          <w:lang w:val="en-US" w:eastAsia="en-US"/>
        </w:rPr>
        <w:drawing>
          <wp:inline distT="0" distB="0" distL="0" distR="0" wp14:anchorId="40C460C4" wp14:editId="74FAAF6A">
            <wp:extent cx="5400000" cy="1500000"/>
            <wp:effectExtent l="0" t="0" r="0" b="508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000" cy="1500000"/>
                    </a:xfrm>
                    <a:prstGeom prst="rect">
                      <a:avLst/>
                    </a:prstGeom>
                    <a:noFill/>
                    <a:ln>
                      <a:noFill/>
                    </a:ln>
                  </pic:spPr>
                </pic:pic>
              </a:graphicData>
            </a:graphic>
          </wp:inline>
        </w:drawing>
      </w:r>
    </w:p>
    <w:p w14:paraId="0BCC50DA" w14:textId="77777777" w:rsidR="007C6CCA" w:rsidRPr="006F346C" w:rsidRDefault="007C6CCA" w:rsidP="00986700">
      <w:pPr>
        <w:rPr>
          <w:rFonts w:asciiTheme="minorBidi" w:hAnsiTheme="minorBidi"/>
        </w:rPr>
      </w:pPr>
    </w:p>
    <w:p w14:paraId="691E1B3C"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23</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B1CD1D6" w14:textId="4307B6D2"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2BAADCEE" w14:textId="77777777" w:rsidR="008778B5" w:rsidRDefault="008778B5" w:rsidP="00986700">
      <w:pPr>
        <w:keepNext/>
        <w:rPr>
          <w:lang w:eastAsia="en-US"/>
        </w:rPr>
      </w:pPr>
    </w:p>
    <w:p w14:paraId="4B8509F7" w14:textId="33EBB5E8" w:rsidR="00B55ECC" w:rsidRDefault="00155E4B" w:rsidP="00986700">
      <w:pPr>
        <w:jc w:val="center"/>
        <w:rPr>
          <w:lang w:eastAsia="en-US"/>
        </w:rPr>
      </w:pPr>
      <w:r w:rsidRPr="00155E4B">
        <w:rPr>
          <w:noProof/>
          <w:lang w:val="en-US" w:eastAsia="en-US"/>
        </w:rPr>
        <w:drawing>
          <wp:inline distT="0" distB="0" distL="0" distR="0" wp14:anchorId="24934555" wp14:editId="06BA99B7">
            <wp:extent cx="5400000" cy="6031770"/>
            <wp:effectExtent l="0" t="0" r="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49DC293D" w14:textId="77777777" w:rsidR="00B55ECC" w:rsidRPr="00E16214" w:rsidRDefault="00B55ECC" w:rsidP="00986700">
      <w:pPr>
        <w:rPr>
          <w:lang w:eastAsia="en-US"/>
        </w:rPr>
      </w:pPr>
    </w:p>
    <w:p w14:paraId="1C7BE5CC" w14:textId="77777777" w:rsidR="00791FEF" w:rsidRDefault="00791FEF" w:rsidP="00986700">
      <w:pPr>
        <w:rPr>
          <w:lang w:eastAsia="en-US"/>
        </w:rPr>
      </w:pPr>
    </w:p>
    <w:p w14:paraId="3B4A218A" w14:textId="77777777" w:rsidR="00871D8A" w:rsidRDefault="00871D8A" w:rsidP="00986700">
      <w:r>
        <w:br w:type="page"/>
      </w:r>
    </w:p>
    <w:p w14:paraId="768DB709" w14:textId="2978F4A7" w:rsidR="00871D8A" w:rsidRPr="00871D8A" w:rsidRDefault="00871D8A" w:rsidP="00986700">
      <w:pPr>
        <w:pStyle w:val="Heading2"/>
      </w:pPr>
      <w:bookmarkStart w:id="78" w:name="_Toc482979509"/>
      <w:r w:rsidRPr="00871D8A">
        <w:lastRenderedPageBreak/>
        <w:t>Programme 24</w:t>
      </w:r>
      <w:r w:rsidRPr="00871D8A">
        <w:tab/>
        <w:t>Services d’appui généraux</w:t>
      </w:r>
      <w:bookmarkEnd w:id="78"/>
    </w:p>
    <w:p w14:paraId="35B3DA64" w14:textId="77777777" w:rsidR="00871D8A" w:rsidRDefault="00871D8A" w:rsidP="00986700">
      <w:pPr>
        <w:pStyle w:val="StyleHeading3ComplexItalic"/>
        <w:rPr>
          <w:rFonts w:eastAsia="SimSun"/>
        </w:rPr>
      </w:pPr>
    </w:p>
    <w:p w14:paraId="4FCE0D69" w14:textId="77777777" w:rsidR="00871D8A" w:rsidRPr="00C635CE" w:rsidRDefault="00871D8A" w:rsidP="00986700">
      <w:pPr>
        <w:pStyle w:val="StyleHeading3ComplexItalic"/>
        <w:rPr>
          <w:rFonts w:eastAsia="SimSun"/>
        </w:rPr>
      </w:pPr>
    </w:p>
    <w:tbl>
      <w:tblPr>
        <w:tblW w:w="5000" w:type="pct"/>
        <w:tblCellMar>
          <w:top w:w="57" w:type="dxa"/>
          <w:bottom w:w="57" w:type="dxa"/>
        </w:tblCellMar>
        <w:tblLook w:val="01E0" w:firstRow="1" w:lastRow="1" w:firstColumn="1" w:lastColumn="1" w:noHBand="0" w:noVBand="0"/>
      </w:tblPr>
      <w:tblGrid>
        <w:gridCol w:w="9287"/>
      </w:tblGrid>
      <w:tr w:rsidR="00871D8A" w:rsidRPr="00B95416" w14:paraId="30F6A9FC" w14:textId="77777777" w:rsidTr="00871D8A">
        <w:trPr>
          <w:cantSplit/>
        </w:trPr>
        <w:tc>
          <w:tcPr>
            <w:tcW w:w="9571" w:type="dxa"/>
            <w:shd w:val="clear" w:color="auto" w:fill="C6D9F1" w:themeFill="text2" w:themeFillTint="33"/>
            <w:vAlign w:val="center"/>
          </w:tcPr>
          <w:p w14:paraId="2EE5623E" w14:textId="77777777" w:rsidR="00871D8A" w:rsidRPr="00A30161" w:rsidRDefault="00871D8A" w:rsidP="00986700">
            <w:pPr>
              <w:keepNext/>
              <w:keepLines/>
              <w:jc w:val="center"/>
              <w:rPr>
                <w:rFonts w:asciiTheme="minorBidi" w:eastAsia="Times New Roman" w:hAnsiTheme="minorBidi"/>
                <w:b/>
                <w:bCs/>
                <w:szCs w:val="20"/>
                <w:lang w:val="fr-CH" w:eastAsia="en-US"/>
              </w:rPr>
            </w:pPr>
            <w:r w:rsidRPr="00A30161">
              <w:rPr>
                <w:rFonts w:asciiTheme="minorBidi" w:eastAsia="Times New Roman" w:hAnsiTheme="minorBidi"/>
                <w:b/>
                <w:bCs/>
                <w:szCs w:val="20"/>
                <w:lang w:val="fr-CH" w:eastAsia="en-US"/>
              </w:rPr>
              <w:t xml:space="preserve">Stratégies de mise en œuvre </w:t>
            </w:r>
          </w:p>
        </w:tc>
      </w:tr>
    </w:tbl>
    <w:p w14:paraId="01E3EAA3" w14:textId="77777777" w:rsidR="00871D8A" w:rsidRPr="00A30161" w:rsidRDefault="00871D8A" w:rsidP="00986700">
      <w:pPr>
        <w:jc w:val="both"/>
        <w:rPr>
          <w:rFonts w:asciiTheme="minorBidi" w:hAnsiTheme="minorBidi"/>
          <w:szCs w:val="20"/>
          <w:lang w:val="fr-CH"/>
        </w:rPr>
      </w:pPr>
    </w:p>
    <w:p w14:paraId="1FAD2AA3" w14:textId="77777777" w:rsidR="00871D8A" w:rsidRDefault="00871D8A" w:rsidP="00986700">
      <w:pPr>
        <w:jc w:val="both"/>
        <w:rPr>
          <w:rFonts w:asciiTheme="minorBidi" w:hAnsiTheme="minorBidi"/>
          <w:szCs w:val="20"/>
          <w:highlight w:val="yellow"/>
          <w:u w:val="single"/>
        </w:rPr>
      </w:pPr>
      <w:r>
        <w:rPr>
          <w:rFonts w:asciiTheme="minorBidi" w:hAnsiTheme="minorBidi"/>
          <w:szCs w:val="20"/>
          <w:u w:val="single"/>
        </w:rPr>
        <w:t>Achats et voyages</w:t>
      </w:r>
    </w:p>
    <w:p w14:paraId="51496444" w14:textId="77777777" w:rsidR="00871D8A" w:rsidRPr="00C635CE" w:rsidRDefault="00871D8A" w:rsidP="00986700">
      <w:pPr>
        <w:jc w:val="both"/>
        <w:rPr>
          <w:rFonts w:asciiTheme="minorBidi" w:hAnsiTheme="minorBidi"/>
          <w:szCs w:val="20"/>
        </w:rPr>
      </w:pPr>
    </w:p>
    <w:p w14:paraId="07986643" w14:textId="77777777" w:rsidR="00871D8A" w:rsidRPr="00767F17" w:rsidRDefault="00871D8A" w:rsidP="00616FD3">
      <w:pPr>
        <w:pStyle w:val="ListParagraph"/>
        <w:numPr>
          <w:ilvl w:val="0"/>
          <w:numId w:val="19"/>
        </w:numPr>
        <w:ind w:left="567" w:hanging="567"/>
        <w:jc w:val="both"/>
        <w:rPr>
          <w:rFonts w:asciiTheme="minorBidi" w:hAnsiTheme="minorBidi"/>
          <w:szCs w:val="20"/>
          <w:lang w:val="fr-CH"/>
        </w:rPr>
      </w:pPr>
      <w:r>
        <w:rPr>
          <w:rFonts w:asciiTheme="minorBidi" w:hAnsiTheme="minorBidi"/>
          <w:szCs w:val="20"/>
          <w:lang w:val="fr-CH"/>
        </w:rPr>
        <w:t>M</w:t>
      </w:r>
      <w:r w:rsidRPr="00767F17">
        <w:rPr>
          <w:rFonts w:asciiTheme="minorBidi" w:hAnsiTheme="minorBidi"/>
          <w:szCs w:val="20"/>
          <w:lang w:val="fr-CH"/>
        </w:rPr>
        <w:t>ettre en œuvre les activités d</w:t>
      </w:r>
      <w:r>
        <w:rPr>
          <w:rFonts w:asciiTheme="minorBidi" w:hAnsiTheme="minorBidi"/>
          <w:szCs w:val="20"/>
          <w:lang w:val="fr-CH"/>
        </w:rPr>
        <w:t>’</w:t>
      </w:r>
      <w:r w:rsidRPr="00767F17">
        <w:rPr>
          <w:rFonts w:asciiTheme="minorBidi" w:hAnsiTheme="minorBidi"/>
          <w:szCs w:val="20"/>
          <w:lang w:val="fr-CH"/>
        </w:rPr>
        <w:t>approvisionnement de l</w:t>
      </w:r>
      <w:r>
        <w:rPr>
          <w:rFonts w:asciiTheme="minorBidi" w:hAnsiTheme="minorBidi"/>
          <w:szCs w:val="20"/>
          <w:lang w:val="fr-CH"/>
        </w:rPr>
        <w:t>’</w:t>
      </w:r>
      <w:r w:rsidRPr="00767F17">
        <w:rPr>
          <w:rFonts w:asciiTheme="minorBidi" w:hAnsiTheme="minorBidi"/>
          <w:szCs w:val="20"/>
          <w:lang w:val="fr-CH"/>
        </w:rPr>
        <w:t xml:space="preserve">OMPI de manière stratégique et proactive afin de garantir </w:t>
      </w:r>
      <w:r>
        <w:rPr>
          <w:rFonts w:asciiTheme="minorBidi" w:hAnsiTheme="minorBidi"/>
          <w:szCs w:val="20"/>
          <w:lang w:val="fr-CH"/>
        </w:rPr>
        <w:t>l’efficacité, la conformité et l’approche tournée vers la clientèle des procédures et exigences relatives à l’achat de biens et services</w:t>
      </w:r>
      <w:r w:rsidRPr="00767F17">
        <w:rPr>
          <w:rFonts w:asciiTheme="minorBidi" w:hAnsiTheme="minorBidi"/>
          <w:szCs w:val="20"/>
          <w:lang w:val="fr-CH"/>
        </w:rPr>
        <w:t xml:space="preserve">, </w:t>
      </w:r>
      <w:r>
        <w:rPr>
          <w:rFonts w:asciiTheme="minorBidi" w:hAnsiTheme="minorBidi"/>
          <w:szCs w:val="20"/>
          <w:lang w:val="fr-CH"/>
        </w:rPr>
        <w:t>le recours à des contractants et l’organisation de voyages et</w:t>
      </w:r>
      <w:r w:rsidRPr="00767F17">
        <w:rPr>
          <w:rFonts w:asciiTheme="minorBidi" w:hAnsiTheme="minorBidi"/>
          <w:szCs w:val="20"/>
          <w:lang w:val="fr-CH"/>
        </w:rPr>
        <w:t xml:space="preserve"> </w:t>
      </w:r>
      <w:r>
        <w:rPr>
          <w:rFonts w:asciiTheme="minorBidi" w:hAnsiTheme="minorBidi"/>
          <w:szCs w:val="20"/>
          <w:lang w:val="fr-CH"/>
        </w:rPr>
        <w:t>de manifestations</w:t>
      </w:r>
      <w:r w:rsidRPr="00767F17">
        <w:rPr>
          <w:rFonts w:asciiTheme="minorBidi" w:hAnsiTheme="minorBidi"/>
          <w:szCs w:val="20"/>
          <w:lang w:val="fr-CH"/>
        </w:rPr>
        <w:t>;</w:t>
      </w:r>
    </w:p>
    <w:p w14:paraId="7C97DED8" w14:textId="77777777" w:rsidR="00871D8A" w:rsidRPr="00767F17" w:rsidRDefault="00871D8A" w:rsidP="00986700">
      <w:pPr>
        <w:ind w:left="567" w:hanging="567"/>
        <w:jc w:val="both"/>
        <w:rPr>
          <w:rFonts w:asciiTheme="minorBidi" w:hAnsiTheme="minorBidi"/>
          <w:szCs w:val="20"/>
          <w:lang w:val="fr-CH"/>
        </w:rPr>
      </w:pPr>
    </w:p>
    <w:p w14:paraId="694D01BF" w14:textId="024F35F4" w:rsidR="00871D8A" w:rsidRPr="00E46478" w:rsidRDefault="002F0934" w:rsidP="00616FD3">
      <w:pPr>
        <w:pStyle w:val="ListParagraph"/>
        <w:numPr>
          <w:ilvl w:val="0"/>
          <w:numId w:val="19"/>
        </w:numPr>
        <w:ind w:left="567" w:hanging="567"/>
        <w:jc w:val="both"/>
        <w:rPr>
          <w:rFonts w:asciiTheme="minorBidi" w:hAnsiTheme="minorBidi"/>
          <w:szCs w:val="20"/>
          <w:lang w:val="fr-CH"/>
        </w:rPr>
      </w:pPr>
      <w:r>
        <w:rPr>
          <w:rFonts w:asciiTheme="minorBidi" w:hAnsiTheme="minorBidi"/>
          <w:szCs w:val="20"/>
          <w:lang w:val="fr-CH"/>
        </w:rPr>
        <w:t xml:space="preserve">Encourager </w:t>
      </w:r>
      <w:r w:rsidR="00871D8A">
        <w:rPr>
          <w:rFonts w:asciiTheme="minorBidi" w:hAnsiTheme="minorBidi"/>
          <w:szCs w:val="20"/>
          <w:lang w:val="fr-CH"/>
        </w:rPr>
        <w:t>le recours aux</w:t>
      </w:r>
      <w:r w:rsidR="00871D8A" w:rsidRPr="00E46478">
        <w:rPr>
          <w:rFonts w:asciiTheme="minorBidi" w:hAnsiTheme="minorBidi"/>
          <w:szCs w:val="20"/>
          <w:lang w:val="fr-CH"/>
        </w:rPr>
        <w:t xml:space="preserve"> contrats à long terme et renforcer la collaboration avec les </w:t>
      </w:r>
      <w:r w:rsidR="00871D8A">
        <w:rPr>
          <w:rFonts w:asciiTheme="minorBidi" w:hAnsiTheme="minorBidi"/>
          <w:szCs w:val="20"/>
          <w:lang w:val="fr-CH"/>
        </w:rPr>
        <w:t>Nations Unies</w:t>
      </w:r>
      <w:r w:rsidR="00871D8A" w:rsidRPr="00E46478">
        <w:rPr>
          <w:rFonts w:asciiTheme="minorBidi" w:hAnsiTheme="minorBidi"/>
          <w:szCs w:val="20"/>
          <w:lang w:val="fr-CH"/>
        </w:rPr>
        <w:t xml:space="preserve"> </w:t>
      </w:r>
      <w:r w:rsidR="00871D8A">
        <w:rPr>
          <w:rFonts w:asciiTheme="minorBidi" w:hAnsiTheme="minorBidi"/>
          <w:szCs w:val="20"/>
          <w:lang w:val="fr-CH"/>
        </w:rPr>
        <w:t>afin</w:t>
      </w:r>
      <w:r w:rsidR="00871D8A" w:rsidRPr="00E46478">
        <w:rPr>
          <w:rFonts w:asciiTheme="minorBidi" w:hAnsiTheme="minorBidi"/>
          <w:szCs w:val="20"/>
          <w:lang w:val="fr-CH"/>
        </w:rPr>
        <w:t xml:space="preserve"> </w:t>
      </w:r>
      <w:r w:rsidR="00871D8A">
        <w:rPr>
          <w:rFonts w:asciiTheme="minorBidi" w:hAnsiTheme="minorBidi"/>
          <w:szCs w:val="20"/>
          <w:lang w:val="fr-CH"/>
        </w:rPr>
        <w:t xml:space="preserve">d’obtenir </w:t>
      </w:r>
      <w:r w:rsidR="00871D8A" w:rsidRPr="00E46478">
        <w:rPr>
          <w:rFonts w:asciiTheme="minorBidi" w:hAnsiTheme="minorBidi"/>
          <w:szCs w:val="20"/>
          <w:lang w:val="fr-CH"/>
        </w:rPr>
        <w:t>un accès rapid</w:t>
      </w:r>
      <w:r w:rsidR="00871D8A">
        <w:rPr>
          <w:rFonts w:asciiTheme="minorBidi" w:hAnsiTheme="minorBidi"/>
          <w:szCs w:val="20"/>
          <w:lang w:val="fr-CH"/>
        </w:rPr>
        <w:t>e</w:t>
      </w:r>
      <w:r w:rsidR="00871D8A" w:rsidRPr="00E46478">
        <w:rPr>
          <w:rFonts w:asciiTheme="minorBidi" w:hAnsiTheme="minorBidi"/>
          <w:szCs w:val="20"/>
          <w:lang w:val="fr-CH"/>
        </w:rPr>
        <w:t xml:space="preserve"> et</w:t>
      </w:r>
      <w:r w:rsidR="00871D8A">
        <w:rPr>
          <w:rFonts w:asciiTheme="minorBidi" w:hAnsiTheme="minorBidi"/>
          <w:szCs w:val="20"/>
          <w:lang w:val="fr-CH"/>
        </w:rPr>
        <w:t xml:space="preserve"> flexible</w:t>
      </w:r>
      <w:r w:rsidR="00871D8A" w:rsidRPr="00E46478">
        <w:rPr>
          <w:rFonts w:asciiTheme="minorBidi" w:hAnsiTheme="minorBidi"/>
          <w:szCs w:val="20"/>
          <w:lang w:val="fr-CH"/>
        </w:rPr>
        <w:t xml:space="preserve"> aux biens et services et de </w:t>
      </w:r>
      <w:r w:rsidR="00871D8A">
        <w:rPr>
          <w:rFonts w:asciiTheme="minorBidi" w:hAnsiTheme="minorBidi"/>
          <w:szCs w:val="20"/>
          <w:lang w:val="fr-CH"/>
        </w:rPr>
        <w:t xml:space="preserve">faire </w:t>
      </w:r>
      <w:r w:rsidR="00871D8A" w:rsidRPr="00E46478">
        <w:rPr>
          <w:rFonts w:asciiTheme="minorBidi" w:hAnsiTheme="minorBidi"/>
          <w:szCs w:val="20"/>
          <w:lang w:val="fr-CH"/>
        </w:rPr>
        <w:t>u</w:t>
      </w:r>
      <w:r w:rsidR="00871D8A">
        <w:rPr>
          <w:rFonts w:asciiTheme="minorBidi" w:hAnsiTheme="minorBidi"/>
          <w:szCs w:val="20"/>
          <w:lang w:val="fr-CH"/>
        </w:rPr>
        <w:t>n maximum d’</w:t>
      </w:r>
      <w:r w:rsidR="00871D8A" w:rsidRPr="00E46478">
        <w:rPr>
          <w:rFonts w:asciiTheme="minorBidi" w:hAnsiTheme="minorBidi"/>
          <w:szCs w:val="20"/>
          <w:lang w:val="fr-CH"/>
        </w:rPr>
        <w:t xml:space="preserve">économies </w:t>
      </w:r>
      <w:r w:rsidR="00871D8A">
        <w:rPr>
          <w:rFonts w:asciiTheme="minorBidi" w:hAnsiTheme="minorBidi"/>
          <w:szCs w:val="20"/>
          <w:lang w:val="fr-CH"/>
        </w:rPr>
        <w:t>grâce aux</w:t>
      </w:r>
      <w:r w:rsidR="00871D8A" w:rsidRPr="00E46478">
        <w:rPr>
          <w:rFonts w:asciiTheme="minorBidi" w:hAnsiTheme="minorBidi"/>
          <w:szCs w:val="20"/>
          <w:lang w:val="fr-CH"/>
        </w:rPr>
        <w:t xml:space="preserve"> économies </w:t>
      </w:r>
      <w:r w:rsidR="00871D8A">
        <w:rPr>
          <w:rFonts w:asciiTheme="minorBidi" w:hAnsiTheme="minorBidi"/>
          <w:szCs w:val="20"/>
          <w:lang w:val="fr-CH"/>
        </w:rPr>
        <w:t>d’échelle</w:t>
      </w:r>
      <w:r w:rsidR="00871D8A" w:rsidRPr="00E46478">
        <w:rPr>
          <w:rFonts w:asciiTheme="minorBidi" w:hAnsiTheme="minorBidi"/>
          <w:szCs w:val="20"/>
          <w:lang w:val="fr-CH"/>
        </w:rPr>
        <w:t>;</w:t>
      </w:r>
    </w:p>
    <w:p w14:paraId="4A48F133" w14:textId="77777777" w:rsidR="00871D8A" w:rsidRPr="00E46478" w:rsidRDefault="00871D8A" w:rsidP="00986700">
      <w:pPr>
        <w:ind w:left="567" w:hanging="567"/>
        <w:jc w:val="both"/>
        <w:rPr>
          <w:rFonts w:asciiTheme="minorBidi" w:hAnsiTheme="minorBidi"/>
          <w:szCs w:val="20"/>
          <w:lang w:val="fr-CH"/>
        </w:rPr>
      </w:pPr>
    </w:p>
    <w:p w14:paraId="6B5A122F" w14:textId="70CC2FB6" w:rsidR="00871D8A" w:rsidRPr="000014E7" w:rsidRDefault="002F0934" w:rsidP="00616FD3">
      <w:pPr>
        <w:pStyle w:val="ListParagraph"/>
        <w:numPr>
          <w:ilvl w:val="0"/>
          <w:numId w:val="19"/>
        </w:numPr>
        <w:ind w:left="567" w:hanging="567"/>
        <w:jc w:val="both"/>
        <w:rPr>
          <w:rFonts w:asciiTheme="minorBidi" w:hAnsiTheme="minorBidi"/>
          <w:szCs w:val="20"/>
          <w:lang w:val="fr-CH"/>
        </w:rPr>
      </w:pPr>
      <w:r>
        <w:rPr>
          <w:rFonts w:asciiTheme="minorBidi" w:hAnsiTheme="minorBidi"/>
          <w:szCs w:val="20"/>
          <w:lang w:val="fr-CH"/>
        </w:rPr>
        <w:t>Améliorer</w:t>
      </w:r>
      <w:r w:rsidRPr="000014E7">
        <w:rPr>
          <w:rFonts w:asciiTheme="minorBidi" w:hAnsiTheme="minorBidi"/>
          <w:szCs w:val="20"/>
          <w:lang w:val="fr-CH"/>
        </w:rPr>
        <w:t xml:space="preserve"> </w:t>
      </w:r>
      <w:r w:rsidR="00871D8A" w:rsidRPr="000014E7">
        <w:rPr>
          <w:rFonts w:asciiTheme="minorBidi" w:hAnsiTheme="minorBidi"/>
          <w:szCs w:val="20"/>
          <w:lang w:val="fr-CH"/>
        </w:rPr>
        <w:t>l</w:t>
      </w:r>
      <w:r w:rsidR="00871D8A">
        <w:rPr>
          <w:rFonts w:asciiTheme="minorBidi" w:hAnsiTheme="minorBidi"/>
          <w:szCs w:val="20"/>
          <w:lang w:val="fr-CH"/>
        </w:rPr>
        <w:t>’</w:t>
      </w:r>
      <w:r w:rsidR="00871D8A" w:rsidRPr="000014E7">
        <w:rPr>
          <w:rFonts w:asciiTheme="minorBidi" w:hAnsiTheme="minorBidi"/>
          <w:szCs w:val="20"/>
          <w:lang w:val="fr-CH"/>
        </w:rPr>
        <w:t>analyse du marché et l</w:t>
      </w:r>
      <w:r w:rsidR="00871D8A">
        <w:rPr>
          <w:rFonts w:asciiTheme="minorBidi" w:hAnsiTheme="minorBidi"/>
          <w:szCs w:val="20"/>
          <w:lang w:val="fr-CH"/>
        </w:rPr>
        <w:t>’</w:t>
      </w:r>
      <w:r w:rsidR="00871D8A" w:rsidRPr="000014E7">
        <w:rPr>
          <w:rFonts w:asciiTheme="minorBidi" w:hAnsiTheme="minorBidi"/>
          <w:szCs w:val="20"/>
          <w:lang w:val="fr-CH"/>
        </w:rPr>
        <w:t xml:space="preserve">analyse comparative </w:t>
      </w:r>
      <w:r w:rsidR="00871D8A">
        <w:rPr>
          <w:rFonts w:asciiTheme="minorBidi" w:hAnsiTheme="minorBidi"/>
          <w:szCs w:val="20"/>
          <w:lang w:val="fr-CH"/>
        </w:rPr>
        <w:t>à l’aide</w:t>
      </w:r>
      <w:r w:rsidR="00871D8A" w:rsidRPr="000014E7">
        <w:rPr>
          <w:rFonts w:asciiTheme="minorBidi" w:hAnsiTheme="minorBidi"/>
          <w:szCs w:val="20"/>
          <w:lang w:val="fr-CH"/>
        </w:rPr>
        <w:t xml:space="preserve"> </w:t>
      </w:r>
      <w:r w:rsidR="00871D8A">
        <w:rPr>
          <w:rFonts w:asciiTheme="minorBidi" w:hAnsiTheme="minorBidi"/>
          <w:szCs w:val="20"/>
          <w:lang w:val="fr-CH"/>
        </w:rPr>
        <w:t>d</w:t>
      </w:r>
      <w:r w:rsidR="00871D8A" w:rsidRPr="000014E7">
        <w:rPr>
          <w:rFonts w:asciiTheme="minorBidi" w:hAnsiTheme="minorBidi"/>
          <w:szCs w:val="20"/>
          <w:lang w:val="fr-CH"/>
        </w:rPr>
        <w:t xml:space="preserve">es </w:t>
      </w:r>
      <w:r w:rsidR="00871D8A">
        <w:rPr>
          <w:rFonts w:asciiTheme="minorBidi" w:hAnsiTheme="minorBidi"/>
          <w:szCs w:val="20"/>
          <w:lang w:val="fr-CH"/>
        </w:rPr>
        <w:t xml:space="preserve">pratiques les plus optimales </w:t>
      </w:r>
      <w:r w:rsidR="00871D8A" w:rsidRPr="000014E7">
        <w:rPr>
          <w:rFonts w:asciiTheme="minorBidi" w:hAnsiTheme="minorBidi"/>
          <w:szCs w:val="20"/>
          <w:lang w:val="fr-CH"/>
        </w:rPr>
        <w:t>du secteur privé</w:t>
      </w:r>
      <w:r w:rsidR="00871D8A">
        <w:rPr>
          <w:rFonts w:asciiTheme="minorBidi" w:hAnsiTheme="minorBidi"/>
          <w:szCs w:val="20"/>
          <w:lang w:val="fr-CH"/>
        </w:rPr>
        <w:t xml:space="preserve"> en vue de moderniser les procédures de l’OMPI de recenser les meilleures technologies</w:t>
      </w:r>
      <w:r w:rsidR="00871D8A" w:rsidRPr="000014E7">
        <w:rPr>
          <w:rFonts w:asciiTheme="minorBidi" w:hAnsiTheme="minorBidi"/>
          <w:szCs w:val="20"/>
          <w:lang w:val="fr-CH"/>
        </w:rPr>
        <w:t>;</w:t>
      </w:r>
    </w:p>
    <w:p w14:paraId="79787B0C" w14:textId="77777777" w:rsidR="00871D8A" w:rsidRPr="000014E7" w:rsidRDefault="00871D8A" w:rsidP="00986700">
      <w:pPr>
        <w:ind w:left="567" w:hanging="567"/>
        <w:jc w:val="both"/>
        <w:rPr>
          <w:rFonts w:asciiTheme="minorBidi" w:hAnsiTheme="minorBidi"/>
          <w:szCs w:val="20"/>
          <w:lang w:val="fr-CH"/>
        </w:rPr>
      </w:pPr>
    </w:p>
    <w:p w14:paraId="1E1583CE" w14:textId="51174813" w:rsidR="00871D8A" w:rsidRPr="00797941" w:rsidRDefault="002F0934" w:rsidP="00616FD3">
      <w:pPr>
        <w:pStyle w:val="ListParagraph"/>
        <w:numPr>
          <w:ilvl w:val="0"/>
          <w:numId w:val="19"/>
        </w:numPr>
        <w:ind w:left="567" w:hanging="567"/>
        <w:jc w:val="both"/>
        <w:rPr>
          <w:rFonts w:asciiTheme="minorBidi" w:hAnsiTheme="minorBidi"/>
          <w:szCs w:val="20"/>
          <w:lang w:val="fr-CH"/>
        </w:rPr>
      </w:pPr>
      <w:r w:rsidRPr="00797941">
        <w:rPr>
          <w:rFonts w:asciiTheme="minorBidi" w:hAnsiTheme="minorBidi"/>
          <w:szCs w:val="20"/>
          <w:lang w:val="fr-CH"/>
        </w:rPr>
        <w:t xml:space="preserve">Améliorer </w:t>
      </w:r>
      <w:r w:rsidR="00871D8A" w:rsidRPr="00797941">
        <w:rPr>
          <w:rFonts w:asciiTheme="minorBidi" w:hAnsiTheme="minorBidi"/>
          <w:szCs w:val="20"/>
          <w:lang w:val="fr-CH"/>
        </w:rPr>
        <w:t>la gestion de la performance des fournisseurs</w:t>
      </w:r>
      <w:r w:rsidR="00871D8A">
        <w:rPr>
          <w:rFonts w:asciiTheme="minorBidi" w:hAnsiTheme="minorBidi"/>
          <w:szCs w:val="20"/>
          <w:lang w:val="fr-CH"/>
        </w:rPr>
        <w:t xml:space="preserve"> par une collaboration étroite avec les responsables de contrats et par l’utilisation du système de gestion des contenus de l’Organisation en tant que répertoire commun des connaissances</w:t>
      </w:r>
      <w:r w:rsidR="00871D8A" w:rsidRPr="00797941">
        <w:rPr>
          <w:rFonts w:asciiTheme="minorBidi" w:hAnsiTheme="minorBidi"/>
          <w:szCs w:val="20"/>
          <w:lang w:val="fr-CH"/>
        </w:rPr>
        <w:t>;</w:t>
      </w:r>
    </w:p>
    <w:p w14:paraId="3A6E46D6" w14:textId="77777777" w:rsidR="00871D8A" w:rsidRPr="00797941" w:rsidRDefault="00871D8A" w:rsidP="00986700">
      <w:pPr>
        <w:ind w:left="567" w:hanging="567"/>
        <w:jc w:val="both"/>
        <w:rPr>
          <w:rFonts w:asciiTheme="minorBidi" w:hAnsiTheme="minorBidi"/>
          <w:szCs w:val="20"/>
          <w:lang w:val="fr-CH"/>
        </w:rPr>
      </w:pPr>
    </w:p>
    <w:p w14:paraId="33A040C8" w14:textId="561D6F30" w:rsidR="00871D8A" w:rsidRPr="00521B36" w:rsidRDefault="002F0934" w:rsidP="00616FD3">
      <w:pPr>
        <w:pStyle w:val="ListParagraph"/>
        <w:numPr>
          <w:ilvl w:val="0"/>
          <w:numId w:val="19"/>
        </w:numPr>
        <w:ind w:left="567" w:hanging="567"/>
        <w:jc w:val="both"/>
        <w:rPr>
          <w:rFonts w:asciiTheme="minorBidi" w:hAnsiTheme="minorBidi"/>
          <w:szCs w:val="20"/>
          <w:lang w:val="fr-CH"/>
        </w:rPr>
      </w:pPr>
      <w:r w:rsidRPr="00521B36">
        <w:rPr>
          <w:rFonts w:asciiTheme="minorBidi" w:hAnsiTheme="minorBidi"/>
          <w:szCs w:val="20"/>
          <w:lang w:val="fr-CH"/>
        </w:rPr>
        <w:t xml:space="preserve">Continuer </w:t>
      </w:r>
      <w:r w:rsidR="00871D8A" w:rsidRPr="00521B36">
        <w:rPr>
          <w:rFonts w:asciiTheme="minorBidi" w:hAnsiTheme="minorBidi"/>
          <w:szCs w:val="20"/>
          <w:lang w:val="fr-CH"/>
        </w:rPr>
        <w:t xml:space="preserve">de recenser les mesures qui permettent de faire des économies grâce au nouvel outil de gestion </w:t>
      </w:r>
      <w:r w:rsidR="00871D8A">
        <w:rPr>
          <w:rFonts w:asciiTheme="minorBidi" w:hAnsiTheme="minorBidi"/>
          <w:szCs w:val="20"/>
          <w:lang w:val="fr-CH"/>
        </w:rPr>
        <w:t>en ligne</w:t>
      </w:r>
      <w:r w:rsidR="00871D8A" w:rsidRPr="00521B36">
        <w:rPr>
          <w:rFonts w:asciiTheme="minorBidi" w:hAnsiTheme="minorBidi"/>
          <w:szCs w:val="20"/>
          <w:lang w:val="fr-CH"/>
        </w:rPr>
        <w:t xml:space="preserve"> des voyages et des manifestations,</w:t>
      </w:r>
      <w:r w:rsidR="00871D8A">
        <w:rPr>
          <w:rFonts w:asciiTheme="minorBidi" w:hAnsiTheme="minorBidi"/>
          <w:szCs w:val="20"/>
          <w:lang w:val="fr-CH"/>
        </w:rPr>
        <w:t xml:space="preserve"> en particulier</w:t>
      </w:r>
      <w:r w:rsidR="00871D8A" w:rsidRPr="00521B36">
        <w:rPr>
          <w:rFonts w:asciiTheme="minorBidi" w:hAnsiTheme="minorBidi"/>
          <w:szCs w:val="20"/>
          <w:lang w:val="fr-CH"/>
        </w:rPr>
        <w:t xml:space="preserve"> en mettant l</w:t>
      </w:r>
      <w:r w:rsidR="00871D8A">
        <w:rPr>
          <w:rFonts w:asciiTheme="minorBidi" w:hAnsiTheme="minorBidi"/>
          <w:szCs w:val="20"/>
          <w:lang w:val="fr-CH"/>
        </w:rPr>
        <w:t>’</w:t>
      </w:r>
      <w:r w:rsidR="00871D8A" w:rsidRPr="00521B36">
        <w:rPr>
          <w:rFonts w:asciiTheme="minorBidi" w:hAnsiTheme="minorBidi"/>
          <w:szCs w:val="20"/>
          <w:lang w:val="fr-CH"/>
        </w:rPr>
        <w:t xml:space="preserve">accent sur les </w:t>
      </w:r>
      <w:r w:rsidR="00871D8A">
        <w:rPr>
          <w:rFonts w:asciiTheme="minorBidi" w:hAnsiTheme="minorBidi"/>
          <w:szCs w:val="20"/>
          <w:lang w:val="fr-CH"/>
        </w:rPr>
        <w:t>frais de</w:t>
      </w:r>
      <w:r w:rsidR="00871D8A" w:rsidRPr="00521B36">
        <w:rPr>
          <w:rFonts w:asciiTheme="minorBidi" w:hAnsiTheme="minorBidi"/>
          <w:szCs w:val="20"/>
          <w:lang w:val="fr-CH"/>
        </w:rPr>
        <w:t xml:space="preserve"> service (</w:t>
      </w:r>
      <w:r w:rsidR="00871D8A">
        <w:rPr>
          <w:rFonts w:asciiTheme="minorBidi" w:hAnsiTheme="minorBidi"/>
          <w:szCs w:val="20"/>
          <w:lang w:val="fr-CH"/>
        </w:rPr>
        <w:t>par le recours accru à</w:t>
      </w:r>
      <w:r w:rsidR="00871D8A" w:rsidRPr="00521B36">
        <w:rPr>
          <w:rFonts w:asciiTheme="minorBidi" w:hAnsiTheme="minorBidi"/>
          <w:szCs w:val="20"/>
          <w:lang w:val="fr-CH"/>
        </w:rPr>
        <w:t xml:space="preserve"> </w:t>
      </w:r>
      <w:r w:rsidR="00871D8A">
        <w:rPr>
          <w:rFonts w:asciiTheme="minorBidi" w:hAnsiTheme="minorBidi"/>
          <w:szCs w:val="20"/>
          <w:lang w:val="fr-CH"/>
        </w:rPr>
        <w:t>l’outil de réservation en ligne</w:t>
      </w:r>
      <w:r w:rsidR="00871D8A" w:rsidRPr="00521B36">
        <w:rPr>
          <w:rFonts w:asciiTheme="minorBidi" w:hAnsiTheme="minorBidi"/>
          <w:szCs w:val="20"/>
          <w:lang w:val="fr-CH"/>
        </w:rPr>
        <w:t xml:space="preserve"> </w:t>
      </w:r>
      <w:r w:rsidR="00871D8A">
        <w:rPr>
          <w:rFonts w:asciiTheme="minorBidi" w:hAnsiTheme="minorBidi"/>
          <w:szCs w:val="20"/>
          <w:lang w:val="fr-CH"/>
        </w:rPr>
        <w:t>et par l’évaluation du modèle opérationnel fondé sur la</w:t>
      </w:r>
      <w:r w:rsidR="00871D8A" w:rsidRPr="00521B36">
        <w:rPr>
          <w:rFonts w:asciiTheme="minorBidi" w:hAnsiTheme="minorBidi"/>
          <w:szCs w:val="20"/>
          <w:lang w:val="fr-CH"/>
        </w:rPr>
        <w:t xml:space="preserve"> </w:t>
      </w:r>
      <w:r w:rsidR="00871D8A">
        <w:rPr>
          <w:rFonts w:asciiTheme="minorBidi" w:hAnsiTheme="minorBidi"/>
          <w:szCs w:val="20"/>
          <w:lang w:val="fr-CH"/>
        </w:rPr>
        <w:t>commission d’agence</w:t>
      </w:r>
      <w:r w:rsidR="00871D8A" w:rsidRPr="00521B36">
        <w:rPr>
          <w:rFonts w:asciiTheme="minorBidi" w:hAnsiTheme="minorBidi"/>
          <w:szCs w:val="20"/>
          <w:lang w:val="fr-CH"/>
        </w:rPr>
        <w:t xml:space="preserve">) </w:t>
      </w:r>
      <w:r w:rsidR="00871D8A">
        <w:rPr>
          <w:rFonts w:asciiTheme="minorBidi" w:hAnsiTheme="minorBidi"/>
          <w:szCs w:val="20"/>
          <w:lang w:val="fr-CH"/>
        </w:rPr>
        <w:t>et sur le prix des billets</w:t>
      </w:r>
      <w:r w:rsidR="00871D8A" w:rsidRPr="00521B36">
        <w:rPr>
          <w:rFonts w:asciiTheme="minorBidi" w:hAnsiTheme="minorBidi"/>
          <w:szCs w:val="20"/>
          <w:lang w:val="fr-CH"/>
        </w:rPr>
        <w:t xml:space="preserve"> (</w:t>
      </w:r>
      <w:r w:rsidR="00871D8A">
        <w:rPr>
          <w:rFonts w:asciiTheme="minorBidi" w:hAnsiTheme="minorBidi"/>
          <w:szCs w:val="20"/>
          <w:lang w:val="fr-CH"/>
        </w:rPr>
        <w:t>par des négociations plus ciblées avec les compagnies aériennes</w:t>
      </w:r>
      <w:r w:rsidR="00871D8A" w:rsidRPr="00521B36">
        <w:rPr>
          <w:rFonts w:asciiTheme="minorBidi" w:hAnsiTheme="minorBidi"/>
          <w:szCs w:val="20"/>
          <w:lang w:val="fr-CH"/>
        </w:rPr>
        <w:t>);</w:t>
      </w:r>
    </w:p>
    <w:p w14:paraId="25E2059C" w14:textId="77777777" w:rsidR="00871D8A" w:rsidRPr="00521B36" w:rsidRDefault="00871D8A" w:rsidP="00986700">
      <w:pPr>
        <w:ind w:left="567" w:hanging="567"/>
        <w:jc w:val="both"/>
        <w:rPr>
          <w:rFonts w:asciiTheme="minorBidi" w:hAnsiTheme="minorBidi"/>
          <w:szCs w:val="20"/>
          <w:lang w:val="fr-CH"/>
        </w:rPr>
      </w:pPr>
    </w:p>
    <w:p w14:paraId="6AFDFA0D" w14:textId="16132452" w:rsidR="00871D8A" w:rsidRPr="00737686" w:rsidRDefault="002F0934" w:rsidP="00616FD3">
      <w:pPr>
        <w:pStyle w:val="ListParagraph"/>
        <w:numPr>
          <w:ilvl w:val="0"/>
          <w:numId w:val="19"/>
        </w:numPr>
        <w:ind w:left="567" w:hanging="567"/>
        <w:jc w:val="both"/>
        <w:rPr>
          <w:rFonts w:asciiTheme="minorBidi" w:hAnsiTheme="minorBidi"/>
          <w:szCs w:val="20"/>
          <w:lang w:val="fr-CH"/>
        </w:rPr>
      </w:pPr>
      <w:r w:rsidRPr="00737686">
        <w:rPr>
          <w:rFonts w:asciiTheme="minorBidi" w:hAnsiTheme="minorBidi"/>
          <w:szCs w:val="20"/>
          <w:lang w:val="fr-CH"/>
        </w:rPr>
        <w:t xml:space="preserve">Élaborer </w:t>
      </w:r>
      <w:r w:rsidR="00871D8A" w:rsidRPr="00737686">
        <w:rPr>
          <w:rFonts w:asciiTheme="minorBidi" w:hAnsiTheme="minorBidi"/>
          <w:szCs w:val="20"/>
          <w:lang w:val="fr-CH"/>
        </w:rPr>
        <w:t xml:space="preserve">des moyens de sensibilisation </w:t>
      </w:r>
      <w:r w:rsidR="00871D8A">
        <w:rPr>
          <w:rFonts w:asciiTheme="minorBidi" w:hAnsiTheme="minorBidi"/>
          <w:szCs w:val="20"/>
          <w:lang w:val="fr-CH"/>
        </w:rPr>
        <w:t>permettant de</w:t>
      </w:r>
      <w:r w:rsidR="00871D8A" w:rsidRPr="00737686">
        <w:rPr>
          <w:rFonts w:asciiTheme="minorBidi" w:hAnsiTheme="minorBidi"/>
          <w:szCs w:val="20"/>
          <w:lang w:val="fr-CH"/>
        </w:rPr>
        <w:t xml:space="preserve"> recens</w:t>
      </w:r>
      <w:r w:rsidR="00871D8A">
        <w:rPr>
          <w:rFonts w:asciiTheme="minorBidi" w:hAnsiTheme="minorBidi"/>
          <w:szCs w:val="20"/>
          <w:lang w:val="fr-CH"/>
        </w:rPr>
        <w:t>er</w:t>
      </w:r>
      <w:r w:rsidR="00871D8A" w:rsidRPr="00737686">
        <w:rPr>
          <w:rFonts w:asciiTheme="minorBidi" w:hAnsiTheme="minorBidi"/>
          <w:szCs w:val="20"/>
          <w:lang w:val="fr-CH"/>
        </w:rPr>
        <w:t xml:space="preserve"> </w:t>
      </w:r>
      <w:r w:rsidR="00871D8A">
        <w:rPr>
          <w:rFonts w:asciiTheme="minorBidi" w:hAnsiTheme="minorBidi"/>
          <w:szCs w:val="20"/>
          <w:lang w:val="fr-CH"/>
        </w:rPr>
        <w:t>les contractant</w:t>
      </w:r>
      <w:r w:rsidR="00871D8A" w:rsidRPr="00737686">
        <w:rPr>
          <w:rFonts w:asciiTheme="minorBidi" w:hAnsiTheme="minorBidi"/>
          <w:szCs w:val="20"/>
          <w:lang w:val="fr-CH"/>
        </w:rPr>
        <w:t xml:space="preserve">s </w:t>
      </w:r>
      <w:r w:rsidR="00871D8A">
        <w:rPr>
          <w:rFonts w:asciiTheme="minorBidi" w:hAnsiTheme="minorBidi"/>
          <w:szCs w:val="20"/>
          <w:lang w:val="fr-CH"/>
        </w:rPr>
        <w:t>à l’échelle mondiale par une utilisation accrue des réseaux sociaux</w:t>
      </w:r>
      <w:r w:rsidR="00871D8A" w:rsidRPr="00737686">
        <w:rPr>
          <w:rFonts w:asciiTheme="minorBidi" w:hAnsiTheme="minorBidi"/>
          <w:szCs w:val="20"/>
          <w:lang w:val="fr-CH"/>
        </w:rPr>
        <w:t>.</w:t>
      </w:r>
    </w:p>
    <w:p w14:paraId="2C6EB065" w14:textId="77777777" w:rsidR="00871D8A" w:rsidRPr="00737686" w:rsidRDefault="00871D8A" w:rsidP="00986700">
      <w:pPr>
        <w:jc w:val="both"/>
        <w:rPr>
          <w:rFonts w:asciiTheme="minorBidi" w:hAnsiTheme="minorBidi"/>
          <w:szCs w:val="20"/>
          <w:lang w:val="fr-CH"/>
        </w:rPr>
      </w:pPr>
    </w:p>
    <w:p w14:paraId="2D71ED48" w14:textId="77777777" w:rsidR="00871D8A" w:rsidRDefault="00871D8A" w:rsidP="00986700">
      <w:pPr>
        <w:jc w:val="both"/>
        <w:rPr>
          <w:rFonts w:asciiTheme="minorBidi" w:hAnsiTheme="minorBidi"/>
          <w:szCs w:val="20"/>
          <w:highlight w:val="yellow"/>
          <w:u w:val="single"/>
        </w:rPr>
      </w:pPr>
      <w:r>
        <w:rPr>
          <w:rFonts w:asciiTheme="minorBidi" w:hAnsiTheme="minorBidi"/>
          <w:szCs w:val="20"/>
          <w:u w:val="single"/>
        </w:rPr>
        <w:t>Locaux et entretien</w:t>
      </w:r>
    </w:p>
    <w:p w14:paraId="06A8ADCA" w14:textId="77777777" w:rsidR="00871D8A" w:rsidRPr="00C635CE" w:rsidRDefault="00871D8A" w:rsidP="00986700">
      <w:pPr>
        <w:jc w:val="both"/>
        <w:rPr>
          <w:rFonts w:asciiTheme="minorBidi" w:hAnsiTheme="minorBidi"/>
          <w:szCs w:val="20"/>
        </w:rPr>
      </w:pPr>
    </w:p>
    <w:p w14:paraId="101FCE91" w14:textId="760808EE" w:rsidR="00871D8A" w:rsidRPr="000614EA" w:rsidRDefault="002F0934" w:rsidP="00616FD3">
      <w:pPr>
        <w:pStyle w:val="ListParagraph"/>
        <w:numPr>
          <w:ilvl w:val="0"/>
          <w:numId w:val="19"/>
        </w:numPr>
        <w:ind w:left="567" w:hanging="567"/>
        <w:jc w:val="both"/>
        <w:rPr>
          <w:rFonts w:asciiTheme="minorBidi" w:hAnsiTheme="minorBidi"/>
          <w:szCs w:val="20"/>
          <w:lang w:val="fr-CH"/>
        </w:rPr>
      </w:pPr>
      <w:r w:rsidRPr="00E6158D">
        <w:rPr>
          <w:rFonts w:asciiTheme="minorBidi" w:hAnsiTheme="minorBidi"/>
          <w:szCs w:val="20"/>
          <w:lang w:val="fr-CH"/>
        </w:rPr>
        <w:t>E</w:t>
      </w:r>
      <w:r>
        <w:rPr>
          <w:rFonts w:asciiTheme="minorBidi" w:hAnsiTheme="minorBidi"/>
          <w:szCs w:val="20"/>
          <w:lang w:val="fr-CH"/>
        </w:rPr>
        <w:t xml:space="preserve">ffectuer </w:t>
      </w:r>
      <w:r w:rsidR="00871D8A">
        <w:rPr>
          <w:rFonts w:asciiTheme="minorBidi" w:hAnsiTheme="minorBidi"/>
          <w:szCs w:val="20"/>
          <w:lang w:val="fr-CH"/>
        </w:rPr>
        <w:t>régulièrement des travaux d’</w:t>
      </w:r>
      <w:r w:rsidR="00871D8A" w:rsidRPr="000614EA">
        <w:rPr>
          <w:rFonts w:asciiTheme="minorBidi" w:hAnsiTheme="minorBidi"/>
          <w:szCs w:val="20"/>
          <w:lang w:val="fr-CH"/>
        </w:rPr>
        <w:t xml:space="preserve">entretien </w:t>
      </w:r>
      <w:r w:rsidR="00871D8A">
        <w:rPr>
          <w:rFonts w:asciiTheme="minorBidi" w:hAnsiTheme="minorBidi"/>
          <w:szCs w:val="20"/>
          <w:lang w:val="fr-CH"/>
        </w:rPr>
        <w:t xml:space="preserve">de la qualité </w:t>
      </w:r>
      <w:r w:rsidR="00871D8A" w:rsidRPr="000614EA">
        <w:rPr>
          <w:rFonts w:asciiTheme="minorBidi" w:hAnsiTheme="minorBidi"/>
          <w:szCs w:val="20"/>
          <w:lang w:val="fr-CH"/>
        </w:rPr>
        <w:t>des locaux et des installations techniques sur le site de l</w:t>
      </w:r>
      <w:r w:rsidR="00871D8A">
        <w:rPr>
          <w:rFonts w:asciiTheme="minorBidi" w:hAnsiTheme="minorBidi"/>
          <w:szCs w:val="20"/>
          <w:lang w:val="fr-CH"/>
        </w:rPr>
        <w:t>’</w:t>
      </w:r>
      <w:r w:rsidR="00871D8A" w:rsidRPr="000614EA">
        <w:rPr>
          <w:rFonts w:asciiTheme="minorBidi" w:hAnsiTheme="minorBidi"/>
          <w:szCs w:val="20"/>
          <w:lang w:val="fr-CH"/>
        </w:rPr>
        <w:t xml:space="preserve">OMPI en vue de </w:t>
      </w:r>
      <w:r w:rsidR="00871D8A">
        <w:rPr>
          <w:rFonts w:asciiTheme="minorBidi" w:hAnsiTheme="minorBidi"/>
          <w:szCs w:val="20"/>
          <w:lang w:val="fr-CH"/>
        </w:rPr>
        <w:t>maintenir</w:t>
      </w:r>
      <w:r w:rsidR="00871D8A" w:rsidRPr="000614EA">
        <w:rPr>
          <w:rFonts w:asciiTheme="minorBidi" w:hAnsiTheme="minorBidi"/>
          <w:szCs w:val="20"/>
          <w:lang w:val="fr-CH"/>
        </w:rPr>
        <w:t xml:space="preserve"> des conditions de travail optimal</w:t>
      </w:r>
      <w:r w:rsidR="00871D8A">
        <w:rPr>
          <w:rFonts w:asciiTheme="minorBidi" w:hAnsiTheme="minorBidi"/>
          <w:szCs w:val="20"/>
          <w:lang w:val="fr-CH"/>
        </w:rPr>
        <w:t>es</w:t>
      </w:r>
      <w:r w:rsidR="00871D8A" w:rsidRPr="000614EA">
        <w:rPr>
          <w:rFonts w:asciiTheme="minorBidi" w:hAnsiTheme="minorBidi"/>
          <w:szCs w:val="20"/>
          <w:lang w:val="fr-CH"/>
        </w:rPr>
        <w:t xml:space="preserve"> </w:t>
      </w:r>
      <w:r w:rsidR="00871D8A">
        <w:rPr>
          <w:rFonts w:asciiTheme="minorBidi" w:hAnsiTheme="minorBidi"/>
          <w:szCs w:val="20"/>
          <w:lang w:val="fr-CH"/>
        </w:rPr>
        <w:t>et de diminuer le recours aux réparations et interventions d’urgence,</w:t>
      </w:r>
      <w:r w:rsidR="00871D8A" w:rsidRPr="00B95416">
        <w:rPr>
          <w:rFonts w:asciiTheme="minorBidi" w:hAnsiTheme="minorBidi"/>
          <w:szCs w:val="20"/>
          <w:lang w:val="fr-CH"/>
        </w:rPr>
        <w:t xml:space="preserve"> </w:t>
      </w:r>
      <w:r w:rsidR="00871D8A">
        <w:rPr>
          <w:rFonts w:asciiTheme="minorBidi" w:hAnsiTheme="minorBidi"/>
          <w:szCs w:val="20"/>
          <w:lang w:val="fr-CH"/>
        </w:rPr>
        <w:t>tardives et coûteuses</w:t>
      </w:r>
      <w:r w:rsidR="00871D8A" w:rsidRPr="000614EA">
        <w:rPr>
          <w:rFonts w:asciiTheme="minorBidi" w:hAnsiTheme="minorBidi"/>
          <w:szCs w:val="20"/>
          <w:lang w:val="fr-CH"/>
        </w:rPr>
        <w:t>;</w:t>
      </w:r>
    </w:p>
    <w:p w14:paraId="2F443C49" w14:textId="77777777" w:rsidR="00871D8A" w:rsidRPr="000614EA" w:rsidRDefault="00871D8A" w:rsidP="00986700">
      <w:pPr>
        <w:ind w:left="567" w:hanging="567"/>
        <w:jc w:val="both"/>
        <w:rPr>
          <w:rFonts w:asciiTheme="minorBidi" w:hAnsiTheme="minorBidi"/>
          <w:szCs w:val="20"/>
          <w:lang w:val="fr-CH"/>
        </w:rPr>
      </w:pPr>
    </w:p>
    <w:p w14:paraId="67C98B6B" w14:textId="47465581" w:rsidR="00871D8A" w:rsidRPr="00E6158D" w:rsidRDefault="002F0934" w:rsidP="00616FD3">
      <w:pPr>
        <w:pStyle w:val="ListParagraph"/>
        <w:numPr>
          <w:ilvl w:val="0"/>
          <w:numId w:val="19"/>
        </w:numPr>
        <w:ind w:left="567" w:hanging="567"/>
        <w:jc w:val="both"/>
        <w:rPr>
          <w:rFonts w:asciiTheme="minorBidi" w:hAnsiTheme="minorBidi"/>
          <w:szCs w:val="20"/>
          <w:lang w:val="fr-CH"/>
        </w:rPr>
      </w:pPr>
      <w:r w:rsidRPr="00E6158D">
        <w:rPr>
          <w:rFonts w:asciiTheme="minorBidi" w:hAnsiTheme="minorBidi"/>
          <w:szCs w:val="20"/>
          <w:lang w:val="fr-CH"/>
        </w:rPr>
        <w:t xml:space="preserve">Assurer </w:t>
      </w:r>
      <w:r w:rsidR="00871D8A" w:rsidRPr="00E6158D">
        <w:rPr>
          <w:rFonts w:asciiTheme="minorBidi" w:hAnsiTheme="minorBidi"/>
          <w:szCs w:val="20"/>
          <w:lang w:val="fr-CH"/>
        </w:rPr>
        <w:t>la continuité des systèmes et des installations essentiels en cas d</w:t>
      </w:r>
      <w:r w:rsidR="00871D8A">
        <w:rPr>
          <w:rFonts w:asciiTheme="minorBidi" w:hAnsiTheme="minorBidi"/>
          <w:szCs w:val="20"/>
          <w:lang w:val="fr-CH"/>
        </w:rPr>
        <w:t>’</w:t>
      </w:r>
      <w:r w:rsidR="00871D8A" w:rsidRPr="00E6158D">
        <w:rPr>
          <w:rFonts w:asciiTheme="minorBidi" w:hAnsiTheme="minorBidi"/>
          <w:szCs w:val="20"/>
          <w:lang w:val="fr-CH"/>
        </w:rPr>
        <w:t>interruption, d</w:t>
      </w:r>
      <w:r w:rsidR="00871D8A">
        <w:rPr>
          <w:rFonts w:asciiTheme="minorBidi" w:hAnsiTheme="minorBidi"/>
          <w:szCs w:val="20"/>
          <w:lang w:val="fr-CH"/>
        </w:rPr>
        <w:t>’</w:t>
      </w:r>
      <w:r w:rsidR="00871D8A" w:rsidRPr="00E6158D">
        <w:rPr>
          <w:rFonts w:asciiTheme="minorBidi" w:hAnsiTheme="minorBidi"/>
          <w:szCs w:val="20"/>
          <w:lang w:val="fr-CH"/>
        </w:rPr>
        <w:t>incident et d</w:t>
      </w:r>
      <w:r w:rsidR="00871D8A">
        <w:rPr>
          <w:rFonts w:asciiTheme="minorBidi" w:hAnsiTheme="minorBidi"/>
          <w:szCs w:val="20"/>
          <w:lang w:val="fr-CH"/>
        </w:rPr>
        <w:t>’</w:t>
      </w:r>
      <w:r w:rsidR="00871D8A" w:rsidRPr="00E6158D">
        <w:rPr>
          <w:rFonts w:asciiTheme="minorBidi" w:hAnsiTheme="minorBidi"/>
          <w:szCs w:val="20"/>
          <w:lang w:val="fr-CH"/>
        </w:rPr>
        <w:t xml:space="preserve">accident </w:t>
      </w:r>
      <w:r w:rsidR="00871D8A">
        <w:rPr>
          <w:rFonts w:asciiTheme="minorBidi" w:hAnsiTheme="minorBidi"/>
          <w:szCs w:val="20"/>
          <w:lang w:val="fr-CH"/>
        </w:rPr>
        <w:t>inattendus ou imprévus</w:t>
      </w:r>
      <w:r w:rsidR="00871D8A" w:rsidRPr="00E6158D">
        <w:rPr>
          <w:rFonts w:asciiTheme="minorBidi" w:hAnsiTheme="minorBidi"/>
          <w:szCs w:val="20"/>
          <w:lang w:val="fr-CH"/>
        </w:rPr>
        <w:t xml:space="preserve">, </w:t>
      </w:r>
      <w:r w:rsidR="00871D8A">
        <w:rPr>
          <w:rFonts w:asciiTheme="minorBidi" w:hAnsiTheme="minorBidi"/>
          <w:szCs w:val="20"/>
          <w:lang w:val="fr-CH"/>
        </w:rPr>
        <w:t>et examiner la possibilité de les optimiser davantage et d’éviter les doublons</w:t>
      </w:r>
      <w:r w:rsidR="00871D8A" w:rsidRPr="00E6158D">
        <w:rPr>
          <w:rFonts w:asciiTheme="minorBidi" w:hAnsiTheme="minorBidi"/>
          <w:szCs w:val="20"/>
          <w:lang w:val="fr-CH"/>
        </w:rPr>
        <w:t xml:space="preserve">, </w:t>
      </w:r>
      <w:r w:rsidR="00871D8A">
        <w:rPr>
          <w:rFonts w:asciiTheme="minorBidi" w:hAnsiTheme="minorBidi"/>
          <w:szCs w:val="20"/>
          <w:lang w:val="fr-CH"/>
        </w:rPr>
        <w:t>en adéquation avec les éventuels besoins et attentes futurs</w:t>
      </w:r>
      <w:r w:rsidR="00871D8A" w:rsidRPr="00E6158D">
        <w:rPr>
          <w:rFonts w:asciiTheme="minorBidi" w:hAnsiTheme="minorBidi"/>
          <w:szCs w:val="20"/>
          <w:lang w:val="fr-CH"/>
        </w:rPr>
        <w:t>;</w:t>
      </w:r>
    </w:p>
    <w:p w14:paraId="39F66BFA" w14:textId="77777777" w:rsidR="00871D8A" w:rsidRPr="00E6158D" w:rsidRDefault="00871D8A" w:rsidP="00986700">
      <w:pPr>
        <w:ind w:left="567" w:hanging="567"/>
        <w:jc w:val="both"/>
        <w:rPr>
          <w:rFonts w:asciiTheme="minorBidi" w:hAnsiTheme="minorBidi"/>
          <w:szCs w:val="20"/>
          <w:lang w:val="fr-CH"/>
        </w:rPr>
      </w:pPr>
    </w:p>
    <w:p w14:paraId="3D992312" w14:textId="0BA052D1" w:rsidR="00871D8A" w:rsidRPr="00486C2C" w:rsidRDefault="002F0934" w:rsidP="00616FD3">
      <w:pPr>
        <w:pStyle w:val="ListParagraph"/>
        <w:numPr>
          <w:ilvl w:val="0"/>
          <w:numId w:val="19"/>
        </w:numPr>
        <w:ind w:left="567" w:hanging="567"/>
        <w:jc w:val="both"/>
        <w:rPr>
          <w:rFonts w:asciiTheme="minorBidi" w:hAnsiTheme="minorBidi"/>
          <w:szCs w:val="20"/>
          <w:lang w:val="fr-CH"/>
        </w:rPr>
      </w:pPr>
      <w:r w:rsidRPr="00486C2C">
        <w:rPr>
          <w:rFonts w:asciiTheme="minorBidi" w:hAnsiTheme="minorBidi"/>
          <w:szCs w:val="20"/>
          <w:lang w:val="fr-CH"/>
        </w:rPr>
        <w:t xml:space="preserve">Élaborer </w:t>
      </w:r>
      <w:r w:rsidR="00871D8A" w:rsidRPr="00486C2C">
        <w:rPr>
          <w:rFonts w:asciiTheme="minorBidi" w:hAnsiTheme="minorBidi"/>
          <w:szCs w:val="20"/>
          <w:lang w:val="fr-CH"/>
        </w:rPr>
        <w:t xml:space="preserve">et mettre en œuvre une approche progressive </w:t>
      </w:r>
      <w:r w:rsidR="00871D8A">
        <w:rPr>
          <w:rFonts w:asciiTheme="minorBidi" w:hAnsiTheme="minorBidi"/>
          <w:szCs w:val="20"/>
          <w:lang w:val="fr-CH"/>
        </w:rPr>
        <w:t xml:space="preserve">des investissements en matière d’équipement selon un plan cadre à long terme mis en place </w:t>
      </w:r>
      <w:r w:rsidR="00871D8A" w:rsidRPr="00486C2C">
        <w:rPr>
          <w:rFonts w:asciiTheme="minorBidi" w:hAnsiTheme="minorBidi"/>
          <w:szCs w:val="20"/>
          <w:lang w:val="fr-CH"/>
        </w:rPr>
        <w:t>pour les rénovation</w:t>
      </w:r>
      <w:r w:rsidR="00871D8A">
        <w:rPr>
          <w:rFonts w:asciiTheme="minorBidi" w:hAnsiTheme="minorBidi"/>
          <w:szCs w:val="20"/>
          <w:lang w:val="fr-CH"/>
        </w:rPr>
        <w:t>s</w:t>
      </w:r>
      <w:r w:rsidR="00871D8A" w:rsidRPr="00486C2C">
        <w:rPr>
          <w:rFonts w:asciiTheme="minorBidi" w:hAnsiTheme="minorBidi"/>
          <w:szCs w:val="20"/>
          <w:lang w:val="fr-CH"/>
        </w:rPr>
        <w:t xml:space="preserve">, </w:t>
      </w:r>
      <w:r w:rsidR="00871D8A">
        <w:rPr>
          <w:rFonts w:asciiTheme="minorBidi" w:hAnsiTheme="minorBidi"/>
          <w:szCs w:val="20"/>
          <w:lang w:val="fr-CH"/>
        </w:rPr>
        <w:t xml:space="preserve">les </w:t>
      </w:r>
      <w:r w:rsidR="00871D8A" w:rsidRPr="00486C2C">
        <w:rPr>
          <w:rFonts w:asciiTheme="minorBidi" w:hAnsiTheme="minorBidi"/>
          <w:szCs w:val="20"/>
          <w:lang w:val="fr-CH"/>
        </w:rPr>
        <w:t xml:space="preserve">transformations </w:t>
      </w:r>
      <w:r w:rsidR="00871D8A">
        <w:rPr>
          <w:rFonts w:asciiTheme="minorBidi" w:hAnsiTheme="minorBidi"/>
          <w:szCs w:val="20"/>
          <w:lang w:val="fr-CH"/>
        </w:rPr>
        <w:t>ainsi que les mises à niveau ou remplacements majeurs des systèmes et des installations</w:t>
      </w:r>
      <w:r w:rsidR="00871D8A" w:rsidRPr="00486C2C">
        <w:rPr>
          <w:rFonts w:asciiTheme="minorBidi" w:hAnsiTheme="minorBidi"/>
          <w:szCs w:val="20"/>
          <w:lang w:val="fr-CH"/>
        </w:rPr>
        <w:t>;</w:t>
      </w:r>
    </w:p>
    <w:p w14:paraId="36E34DCB" w14:textId="77777777" w:rsidR="00871D8A" w:rsidRPr="00486C2C" w:rsidRDefault="00871D8A" w:rsidP="00986700">
      <w:pPr>
        <w:ind w:left="567" w:hanging="567"/>
        <w:jc w:val="both"/>
        <w:rPr>
          <w:rFonts w:asciiTheme="minorBidi" w:hAnsiTheme="minorBidi"/>
          <w:szCs w:val="20"/>
          <w:lang w:val="fr-CH"/>
        </w:rPr>
      </w:pPr>
    </w:p>
    <w:p w14:paraId="492C3FEF" w14:textId="2D4D00A1" w:rsidR="00871D8A" w:rsidRDefault="002F0934" w:rsidP="00616FD3">
      <w:pPr>
        <w:pStyle w:val="ListParagraph"/>
        <w:numPr>
          <w:ilvl w:val="0"/>
          <w:numId w:val="19"/>
        </w:numPr>
        <w:ind w:left="567" w:hanging="567"/>
        <w:jc w:val="both"/>
        <w:rPr>
          <w:rFonts w:asciiTheme="minorBidi" w:hAnsiTheme="minorBidi"/>
          <w:szCs w:val="20"/>
          <w:lang w:val="fr-CH"/>
        </w:rPr>
      </w:pPr>
      <w:r w:rsidRPr="00461492">
        <w:rPr>
          <w:rFonts w:asciiTheme="minorBidi" w:hAnsiTheme="minorBidi"/>
          <w:szCs w:val="20"/>
          <w:lang w:val="fr-CH"/>
        </w:rPr>
        <w:t xml:space="preserve">Intégrer </w:t>
      </w:r>
      <w:r w:rsidR="00871D8A" w:rsidRPr="00461492">
        <w:rPr>
          <w:rFonts w:asciiTheme="minorBidi" w:hAnsiTheme="minorBidi"/>
          <w:szCs w:val="20"/>
          <w:lang w:val="fr-CH"/>
        </w:rPr>
        <w:t>les questions environnementales dans tous les projets</w:t>
      </w:r>
      <w:r w:rsidR="00871D8A">
        <w:rPr>
          <w:rFonts w:asciiTheme="minorBidi" w:hAnsiTheme="minorBidi"/>
          <w:szCs w:val="20"/>
          <w:lang w:val="fr-CH"/>
        </w:rPr>
        <w:t xml:space="preserve"> relatifs à l’</w:t>
      </w:r>
      <w:r w:rsidR="00871D8A" w:rsidRPr="00461492">
        <w:rPr>
          <w:rFonts w:asciiTheme="minorBidi" w:hAnsiTheme="minorBidi"/>
          <w:szCs w:val="20"/>
          <w:lang w:val="fr-CH"/>
        </w:rPr>
        <w:t xml:space="preserve">entretien </w:t>
      </w:r>
      <w:r w:rsidR="00871D8A">
        <w:rPr>
          <w:rFonts w:asciiTheme="minorBidi" w:hAnsiTheme="minorBidi"/>
          <w:szCs w:val="20"/>
          <w:lang w:val="fr-CH"/>
        </w:rPr>
        <w:t>technique et à la</w:t>
      </w:r>
      <w:r w:rsidR="00871D8A" w:rsidRPr="00461492">
        <w:rPr>
          <w:rFonts w:asciiTheme="minorBidi" w:hAnsiTheme="minorBidi"/>
          <w:szCs w:val="20"/>
          <w:lang w:val="fr-CH"/>
        </w:rPr>
        <w:t xml:space="preserve"> rénovation des b</w:t>
      </w:r>
      <w:r w:rsidR="00871D8A">
        <w:rPr>
          <w:rFonts w:asciiTheme="minorBidi" w:hAnsiTheme="minorBidi"/>
          <w:szCs w:val="20"/>
          <w:lang w:val="fr-CH"/>
        </w:rPr>
        <w:t>âtiments</w:t>
      </w:r>
      <w:r w:rsidR="00871D8A" w:rsidRPr="00461492">
        <w:rPr>
          <w:rFonts w:asciiTheme="minorBidi" w:hAnsiTheme="minorBidi"/>
          <w:szCs w:val="20"/>
          <w:lang w:val="fr-CH"/>
        </w:rPr>
        <w:t xml:space="preserve"> </w:t>
      </w:r>
      <w:r w:rsidR="00871D8A">
        <w:rPr>
          <w:rFonts w:asciiTheme="minorBidi" w:hAnsiTheme="minorBidi"/>
          <w:szCs w:val="20"/>
          <w:lang w:val="fr-CH"/>
        </w:rPr>
        <w:t>afin de réduire l’impact de l’Organisation sur l’environnement conformément aux prescriptions réglementaires</w:t>
      </w:r>
      <w:r w:rsidR="00871D8A" w:rsidRPr="00461492">
        <w:rPr>
          <w:rFonts w:asciiTheme="minorBidi" w:hAnsiTheme="minorBidi"/>
          <w:szCs w:val="20"/>
          <w:lang w:val="fr-CH"/>
        </w:rPr>
        <w:t xml:space="preserve"> </w:t>
      </w:r>
      <w:r w:rsidR="00871D8A">
        <w:rPr>
          <w:rFonts w:asciiTheme="minorBidi" w:hAnsiTheme="minorBidi"/>
          <w:szCs w:val="20"/>
          <w:lang w:val="fr-CH"/>
        </w:rPr>
        <w:t>du</w:t>
      </w:r>
      <w:r w:rsidR="00871D8A" w:rsidRPr="00461492">
        <w:rPr>
          <w:rFonts w:asciiTheme="minorBidi" w:hAnsiTheme="minorBidi"/>
          <w:szCs w:val="20"/>
          <w:lang w:val="fr-CH"/>
        </w:rPr>
        <w:t xml:space="preserve"> pays hôte </w:t>
      </w:r>
      <w:r w:rsidR="00871D8A">
        <w:rPr>
          <w:rFonts w:asciiTheme="minorBidi" w:hAnsiTheme="minorBidi"/>
          <w:szCs w:val="20"/>
          <w:lang w:val="fr-CH"/>
        </w:rPr>
        <w:t xml:space="preserve">et, plus généralement, à la politique des Nations Unies en la matière.  </w:t>
      </w:r>
      <w:r w:rsidR="00871D8A" w:rsidRPr="00A622EF">
        <w:rPr>
          <w:rFonts w:asciiTheme="minorBidi" w:hAnsiTheme="minorBidi"/>
          <w:szCs w:val="20"/>
          <w:lang w:val="fr-CH"/>
        </w:rPr>
        <w:t xml:space="preserve">Encourager et mettre en œuvre des initiatives et des mesures visant </w:t>
      </w:r>
      <w:r w:rsidR="002362ED">
        <w:rPr>
          <w:rFonts w:asciiTheme="minorBidi" w:hAnsiTheme="minorBidi"/>
          <w:szCs w:val="20"/>
          <w:lang w:val="fr-CH"/>
        </w:rPr>
        <w:t xml:space="preserve">notamment </w:t>
      </w:r>
      <w:r w:rsidR="00871D8A" w:rsidRPr="00A622EF">
        <w:rPr>
          <w:rFonts w:asciiTheme="minorBidi" w:hAnsiTheme="minorBidi"/>
          <w:szCs w:val="20"/>
          <w:lang w:val="fr-CH"/>
        </w:rPr>
        <w:t>à réduire les émissions de carbone générées par les activités de l</w:t>
      </w:r>
      <w:r w:rsidR="00871D8A">
        <w:rPr>
          <w:rFonts w:asciiTheme="minorBidi" w:hAnsiTheme="minorBidi"/>
          <w:szCs w:val="20"/>
          <w:lang w:val="fr-CH"/>
        </w:rPr>
        <w:t>’</w:t>
      </w:r>
      <w:r w:rsidR="00871D8A" w:rsidRPr="00A622EF">
        <w:rPr>
          <w:rFonts w:asciiTheme="minorBidi" w:hAnsiTheme="minorBidi"/>
          <w:szCs w:val="20"/>
          <w:lang w:val="fr-CH"/>
        </w:rPr>
        <w:t xml:space="preserve">OMPI dans le cadre </w:t>
      </w:r>
      <w:r w:rsidR="00871D8A">
        <w:rPr>
          <w:rFonts w:asciiTheme="minorBidi" w:hAnsiTheme="minorBidi"/>
          <w:szCs w:val="20"/>
          <w:lang w:val="fr-CH"/>
        </w:rPr>
        <w:t>de l’objectif établi en 2014</w:t>
      </w:r>
      <w:r w:rsidR="00B441CA">
        <w:rPr>
          <w:rFonts w:asciiTheme="minorBidi" w:hAnsiTheme="minorBidi"/>
          <w:szCs w:val="20"/>
          <w:lang w:val="fr-CH"/>
        </w:rPr>
        <w:noBreakHyphen/>
      </w:r>
      <w:r w:rsidR="00871D8A">
        <w:rPr>
          <w:rFonts w:asciiTheme="minorBidi" w:hAnsiTheme="minorBidi"/>
          <w:szCs w:val="20"/>
          <w:lang w:val="fr-CH"/>
        </w:rPr>
        <w:t>20</w:t>
      </w:r>
      <w:r w:rsidR="00871D8A" w:rsidRPr="00A622EF">
        <w:rPr>
          <w:rFonts w:asciiTheme="minorBidi" w:hAnsiTheme="minorBidi"/>
          <w:szCs w:val="20"/>
          <w:lang w:val="fr-CH"/>
        </w:rPr>
        <w:t xml:space="preserve">15 </w:t>
      </w:r>
      <w:r w:rsidR="00871D8A">
        <w:rPr>
          <w:rFonts w:asciiTheme="minorBidi" w:hAnsiTheme="minorBidi"/>
          <w:szCs w:val="20"/>
          <w:lang w:val="fr-CH"/>
        </w:rPr>
        <w:t>qui consiste, pour l’Organisation, à parvenir à la neutralité climatique durant la période </w:t>
      </w:r>
      <w:r w:rsidR="00871D8A" w:rsidRPr="00A622EF">
        <w:rPr>
          <w:rFonts w:asciiTheme="minorBidi" w:hAnsiTheme="minorBidi"/>
          <w:szCs w:val="20"/>
          <w:lang w:val="fr-CH"/>
        </w:rPr>
        <w:t>2014</w:t>
      </w:r>
      <w:r w:rsidR="00B441CA">
        <w:rPr>
          <w:rFonts w:asciiTheme="minorBidi" w:hAnsiTheme="minorBidi"/>
          <w:szCs w:val="20"/>
          <w:lang w:val="fr-CH"/>
        </w:rPr>
        <w:noBreakHyphen/>
      </w:r>
      <w:r w:rsidR="00871D8A" w:rsidRPr="00A622EF">
        <w:rPr>
          <w:rFonts w:asciiTheme="minorBidi" w:hAnsiTheme="minorBidi"/>
          <w:szCs w:val="20"/>
          <w:lang w:val="fr-CH"/>
        </w:rPr>
        <w:t>2020;</w:t>
      </w:r>
    </w:p>
    <w:p w14:paraId="419D8FD6" w14:textId="77777777" w:rsidR="00871D8A" w:rsidRPr="00A622EF" w:rsidRDefault="00871D8A" w:rsidP="00986700">
      <w:pPr>
        <w:ind w:left="567" w:hanging="567"/>
        <w:jc w:val="both"/>
        <w:rPr>
          <w:rFonts w:asciiTheme="minorBidi" w:hAnsiTheme="minorBidi"/>
          <w:szCs w:val="20"/>
          <w:lang w:val="fr-CH"/>
        </w:rPr>
      </w:pPr>
    </w:p>
    <w:p w14:paraId="54A3E0AE" w14:textId="6CD72AB9" w:rsidR="00871D8A" w:rsidRPr="00A622EF" w:rsidRDefault="002F0934" w:rsidP="00616FD3">
      <w:pPr>
        <w:pStyle w:val="ListParagraph"/>
        <w:numPr>
          <w:ilvl w:val="0"/>
          <w:numId w:val="19"/>
        </w:numPr>
        <w:ind w:left="567" w:hanging="567"/>
        <w:jc w:val="both"/>
        <w:rPr>
          <w:rFonts w:asciiTheme="minorBidi" w:hAnsiTheme="minorBidi"/>
          <w:szCs w:val="20"/>
          <w:lang w:val="fr-CH"/>
        </w:rPr>
      </w:pPr>
      <w:r w:rsidRPr="00A622EF">
        <w:rPr>
          <w:rFonts w:asciiTheme="minorBidi" w:hAnsiTheme="minorBidi"/>
          <w:szCs w:val="20"/>
          <w:lang w:val="fr-CH"/>
        </w:rPr>
        <w:t xml:space="preserve">Intégrer </w:t>
      </w:r>
      <w:r w:rsidR="00871D8A" w:rsidRPr="00A622EF">
        <w:rPr>
          <w:rFonts w:asciiTheme="minorBidi" w:hAnsiTheme="minorBidi"/>
          <w:szCs w:val="20"/>
          <w:lang w:val="fr-CH"/>
        </w:rPr>
        <w:t xml:space="preserve">les questions </w:t>
      </w:r>
      <w:r w:rsidR="00871D8A">
        <w:rPr>
          <w:rFonts w:asciiTheme="minorBidi" w:hAnsiTheme="minorBidi"/>
          <w:szCs w:val="20"/>
          <w:lang w:val="fr-CH"/>
        </w:rPr>
        <w:t xml:space="preserve">relatives à la </w:t>
      </w:r>
      <w:r w:rsidR="00871D8A" w:rsidRPr="00A622EF">
        <w:rPr>
          <w:rFonts w:asciiTheme="minorBidi" w:hAnsiTheme="minorBidi"/>
          <w:szCs w:val="20"/>
          <w:lang w:val="fr-CH"/>
        </w:rPr>
        <w:t xml:space="preserve">responsabilité sociale dans tous les projets </w:t>
      </w:r>
      <w:r w:rsidR="00871D8A">
        <w:rPr>
          <w:rFonts w:asciiTheme="minorBidi" w:hAnsiTheme="minorBidi"/>
          <w:szCs w:val="20"/>
          <w:lang w:val="fr-CH"/>
        </w:rPr>
        <w:t>relatifs à l’</w:t>
      </w:r>
      <w:r w:rsidR="00871D8A" w:rsidRPr="00A622EF">
        <w:rPr>
          <w:rFonts w:asciiTheme="minorBidi" w:hAnsiTheme="minorBidi"/>
          <w:szCs w:val="20"/>
          <w:lang w:val="fr-CH"/>
        </w:rPr>
        <w:t>entretien et</w:t>
      </w:r>
      <w:r w:rsidR="00871D8A">
        <w:rPr>
          <w:rFonts w:asciiTheme="minorBidi" w:hAnsiTheme="minorBidi"/>
          <w:szCs w:val="20"/>
          <w:lang w:val="fr-CH"/>
        </w:rPr>
        <w:t xml:space="preserve"> à la</w:t>
      </w:r>
      <w:r w:rsidR="00871D8A" w:rsidRPr="00A622EF">
        <w:rPr>
          <w:rFonts w:asciiTheme="minorBidi" w:hAnsiTheme="minorBidi"/>
          <w:szCs w:val="20"/>
          <w:lang w:val="fr-CH"/>
        </w:rPr>
        <w:t xml:space="preserve"> rénovation des b</w:t>
      </w:r>
      <w:r w:rsidR="00871D8A">
        <w:rPr>
          <w:rFonts w:asciiTheme="minorBidi" w:hAnsiTheme="minorBidi"/>
          <w:szCs w:val="20"/>
          <w:lang w:val="fr-CH"/>
        </w:rPr>
        <w:t>âtiments</w:t>
      </w:r>
      <w:r w:rsidR="002362ED">
        <w:rPr>
          <w:rFonts w:asciiTheme="minorBidi" w:hAnsiTheme="minorBidi"/>
          <w:szCs w:val="20"/>
          <w:lang w:val="fr-CH"/>
        </w:rPr>
        <w:t xml:space="preserve"> notamment,</w:t>
      </w:r>
      <w:r w:rsidR="00871D8A">
        <w:rPr>
          <w:rFonts w:asciiTheme="minorBidi" w:hAnsiTheme="minorBidi"/>
          <w:szCs w:val="20"/>
          <w:lang w:val="fr-CH"/>
        </w:rPr>
        <w:t xml:space="preserve"> afin de</w:t>
      </w:r>
      <w:r w:rsidR="00871D8A" w:rsidRPr="00A622EF">
        <w:rPr>
          <w:rFonts w:asciiTheme="minorBidi" w:hAnsiTheme="minorBidi"/>
          <w:szCs w:val="20"/>
          <w:lang w:val="fr-CH"/>
        </w:rPr>
        <w:t xml:space="preserve"> continue</w:t>
      </w:r>
      <w:r w:rsidR="00871D8A">
        <w:rPr>
          <w:rFonts w:asciiTheme="minorBidi" w:hAnsiTheme="minorBidi"/>
          <w:szCs w:val="20"/>
          <w:lang w:val="fr-CH"/>
        </w:rPr>
        <w:t>r à améliorer l’accessibilité physique</w:t>
      </w:r>
      <w:r w:rsidR="00871D8A" w:rsidRPr="00A622EF">
        <w:rPr>
          <w:rFonts w:asciiTheme="minorBidi" w:hAnsiTheme="minorBidi"/>
          <w:szCs w:val="20"/>
          <w:lang w:val="fr-CH"/>
        </w:rPr>
        <w:t xml:space="preserve"> </w:t>
      </w:r>
      <w:r w:rsidR="00871D8A">
        <w:rPr>
          <w:rFonts w:asciiTheme="minorBidi" w:hAnsiTheme="minorBidi"/>
          <w:szCs w:val="20"/>
          <w:lang w:val="fr-CH"/>
        </w:rPr>
        <w:t>au site de l’OMPI et à l’intérieur de celui</w:t>
      </w:r>
      <w:r w:rsidR="00B441CA">
        <w:rPr>
          <w:rFonts w:asciiTheme="minorBidi" w:hAnsiTheme="minorBidi"/>
          <w:szCs w:val="20"/>
          <w:lang w:val="fr-CH"/>
        </w:rPr>
        <w:noBreakHyphen/>
      </w:r>
      <w:r w:rsidR="00871D8A">
        <w:rPr>
          <w:rFonts w:asciiTheme="minorBidi" w:hAnsiTheme="minorBidi"/>
          <w:szCs w:val="20"/>
          <w:lang w:val="fr-CH"/>
        </w:rPr>
        <w:t>ci</w:t>
      </w:r>
      <w:r w:rsidR="00871D8A" w:rsidRPr="00A622EF">
        <w:rPr>
          <w:rFonts w:asciiTheme="minorBidi" w:hAnsiTheme="minorBidi"/>
          <w:szCs w:val="20"/>
          <w:lang w:val="fr-CH"/>
        </w:rPr>
        <w:t>;</w:t>
      </w:r>
    </w:p>
    <w:p w14:paraId="2DEF482E" w14:textId="77777777" w:rsidR="00871D8A" w:rsidRPr="00A622EF" w:rsidRDefault="00871D8A" w:rsidP="00986700">
      <w:pPr>
        <w:ind w:left="567" w:hanging="567"/>
        <w:jc w:val="both"/>
        <w:rPr>
          <w:rFonts w:asciiTheme="minorBidi" w:hAnsiTheme="minorBidi"/>
          <w:szCs w:val="20"/>
          <w:lang w:val="fr-CH"/>
        </w:rPr>
      </w:pPr>
    </w:p>
    <w:p w14:paraId="4FB0E5CD" w14:textId="32AB0A77" w:rsidR="00871D8A" w:rsidRPr="00A622EF" w:rsidRDefault="002F0934" w:rsidP="00616FD3">
      <w:pPr>
        <w:pStyle w:val="ListParagraph"/>
        <w:numPr>
          <w:ilvl w:val="0"/>
          <w:numId w:val="19"/>
        </w:numPr>
        <w:ind w:left="567" w:hanging="567"/>
        <w:jc w:val="both"/>
        <w:rPr>
          <w:rFonts w:asciiTheme="minorBidi" w:hAnsiTheme="minorBidi"/>
          <w:szCs w:val="20"/>
          <w:lang w:val="fr-CH"/>
        </w:rPr>
      </w:pPr>
      <w:r>
        <w:rPr>
          <w:rFonts w:asciiTheme="minorBidi" w:hAnsiTheme="minorBidi"/>
          <w:szCs w:val="20"/>
          <w:lang w:val="fr-CH"/>
        </w:rPr>
        <w:lastRenderedPageBreak/>
        <w:t xml:space="preserve">Ménager </w:t>
      </w:r>
      <w:r w:rsidR="00871D8A">
        <w:rPr>
          <w:rFonts w:asciiTheme="minorBidi" w:hAnsiTheme="minorBidi"/>
          <w:szCs w:val="20"/>
          <w:lang w:val="fr-CH"/>
        </w:rPr>
        <w:t xml:space="preserve">les </w:t>
      </w:r>
      <w:r w:rsidR="00871D8A" w:rsidRPr="00A622EF">
        <w:rPr>
          <w:rFonts w:asciiTheme="minorBidi" w:hAnsiTheme="minorBidi"/>
          <w:szCs w:val="20"/>
          <w:lang w:val="fr-CH"/>
        </w:rPr>
        <w:t>espace</w:t>
      </w:r>
      <w:r w:rsidR="00871D8A">
        <w:rPr>
          <w:rFonts w:asciiTheme="minorBidi" w:hAnsiTheme="minorBidi"/>
          <w:szCs w:val="20"/>
          <w:lang w:val="fr-CH"/>
        </w:rPr>
        <w:t>s</w:t>
      </w:r>
      <w:r w:rsidR="00871D8A" w:rsidRPr="00A622EF">
        <w:rPr>
          <w:rFonts w:asciiTheme="minorBidi" w:hAnsiTheme="minorBidi"/>
          <w:szCs w:val="20"/>
          <w:lang w:val="fr-CH"/>
        </w:rPr>
        <w:t xml:space="preserve"> de travail et les autres espaces </w:t>
      </w:r>
      <w:r w:rsidR="00871D8A">
        <w:rPr>
          <w:rFonts w:asciiTheme="minorBidi" w:hAnsiTheme="minorBidi"/>
          <w:szCs w:val="20"/>
          <w:lang w:val="fr-CH"/>
        </w:rPr>
        <w:t xml:space="preserve">de </w:t>
      </w:r>
      <w:r w:rsidR="00871D8A" w:rsidRPr="00A622EF">
        <w:rPr>
          <w:rFonts w:asciiTheme="minorBidi" w:hAnsiTheme="minorBidi"/>
          <w:szCs w:val="20"/>
          <w:lang w:val="fr-CH"/>
        </w:rPr>
        <w:t>l</w:t>
      </w:r>
      <w:r w:rsidR="00871D8A">
        <w:rPr>
          <w:rFonts w:asciiTheme="minorBidi" w:hAnsiTheme="minorBidi"/>
          <w:szCs w:val="20"/>
          <w:lang w:val="fr-CH"/>
        </w:rPr>
        <w:t>’</w:t>
      </w:r>
      <w:r w:rsidR="00871D8A" w:rsidRPr="00A622EF">
        <w:rPr>
          <w:rFonts w:asciiTheme="minorBidi" w:hAnsiTheme="minorBidi"/>
          <w:szCs w:val="20"/>
          <w:lang w:val="fr-CH"/>
        </w:rPr>
        <w:t>O</w:t>
      </w:r>
      <w:r w:rsidR="00871D8A">
        <w:rPr>
          <w:rFonts w:asciiTheme="minorBidi" w:hAnsiTheme="minorBidi"/>
          <w:szCs w:val="20"/>
          <w:lang w:val="fr-CH"/>
        </w:rPr>
        <w:t>MPI</w:t>
      </w:r>
      <w:r w:rsidR="00871D8A" w:rsidRPr="00A622EF">
        <w:rPr>
          <w:rFonts w:asciiTheme="minorBidi" w:hAnsiTheme="minorBidi"/>
          <w:szCs w:val="20"/>
          <w:lang w:val="fr-CH"/>
        </w:rPr>
        <w:t xml:space="preserve"> </w:t>
      </w:r>
      <w:r w:rsidR="00871D8A">
        <w:rPr>
          <w:rFonts w:asciiTheme="minorBidi" w:hAnsiTheme="minorBidi"/>
          <w:szCs w:val="20"/>
          <w:lang w:val="fr-CH"/>
        </w:rPr>
        <w:t>afin d’assurer que son site</w:t>
      </w:r>
      <w:r w:rsidR="00871D8A" w:rsidRPr="00A622EF">
        <w:rPr>
          <w:rFonts w:asciiTheme="minorBidi" w:hAnsiTheme="minorBidi"/>
          <w:szCs w:val="20"/>
          <w:lang w:val="fr-CH"/>
        </w:rPr>
        <w:t xml:space="preserve"> </w:t>
      </w:r>
      <w:r w:rsidR="00871D8A">
        <w:rPr>
          <w:rFonts w:asciiTheme="minorBidi" w:hAnsiTheme="minorBidi"/>
          <w:szCs w:val="20"/>
          <w:lang w:val="fr-CH"/>
        </w:rPr>
        <w:t>reste adapté à l’usage prévu en fonction des besoins opérationnels en constante évolution de l’Organisation</w:t>
      </w:r>
      <w:r w:rsidR="00871D8A" w:rsidRPr="00A622EF">
        <w:rPr>
          <w:rFonts w:asciiTheme="minorBidi" w:hAnsiTheme="minorBidi"/>
          <w:szCs w:val="20"/>
          <w:lang w:val="fr-CH"/>
        </w:rPr>
        <w:t>.</w:t>
      </w:r>
    </w:p>
    <w:p w14:paraId="506CC230" w14:textId="77777777" w:rsidR="00871D8A" w:rsidRPr="00A622EF" w:rsidRDefault="00871D8A" w:rsidP="00986700">
      <w:pPr>
        <w:jc w:val="both"/>
        <w:rPr>
          <w:rFonts w:asciiTheme="minorBidi" w:hAnsiTheme="minorBidi"/>
          <w:szCs w:val="20"/>
          <w:lang w:val="fr-CH"/>
        </w:rPr>
      </w:pPr>
    </w:p>
    <w:p w14:paraId="776287AC" w14:textId="77777777" w:rsidR="00871D8A" w:rsidRPr="00A622EF" w:rsidRDefault="00871D8A" w:rsidP="00986700">
      <w:pPr>
        <w:pStyle w:val="ListParagraph"/>
        <w:ind w:left="0"/>
        <w:jc w:val="both"/>
        <w:rPr>
          <w:rFonts w:asciiTheme="minorBidi" w:hAnsiTheme="minorBidi"/>
          <w:szCs w:val="20"/>
          <w:lang w:val="fr-CH"/>
        </w:rPr>
      </w:pPr>
    </w:p>
    <w:tbl>
      <w:tblPr>
        <w:tblW w:w="5000" w:type="pct"/>
        <w:tblCellMar>
          <w:top w:w="57" w:type="dxa"/>
          <w:bottom w:w="57" w:type="dxa"/>
        </w:tblCellMar>
        <w:tblLook w:val="01E0" w:firstRow="1" w:lastRow="1" w:firstColumn="1" w:lastColumn="1" w:noHBand="0" w:noVBand="0"/>
      </w:tblPr>
      <w:tblGrid>
        <w:gridCol w:w="4642"/>
        <w:gridCol w:w="4645"/>
      </w:tblGrid>
      <w:tr w:rsidR="00871D8A" w:rsidRPr="00C635CE" w14:paraId="72221FA1" w14:textId="77777777" w:rsidTr="00590DB9">
        <w:trPr>
          <w:cantSplit/>
        </w:trPr>
        <w:tc>
          <w:tcPr>
            <w:tcW w:w="4642" w:type="dxa"/>
            <w:shd w:val="clear" w:color="auto" w:fill="C6D9F1" w:themeFill="text2" w:themeFillTint="33"/>
            <w:vAlign w:val="center"/>
          </w:tcPr>
          <w:p w14:paraId="709BA2C4" w14:textId="77777777" w:rsidR="00871D8A" w:rsidRPr="00C635CE" w:rsidRDefault="00871D8A" w:rsidP="00986700">
            <w:pPr>
              <w:jc w:val="center"/>
              <w:rPr>
                <w:rFonts w:asciiTheme="minorBidi" w:eastAsia="Times New Roman" w:hAnsiTheme="minorBidi"/>
                <w:b/>
                <w:bCs/>
                <w:sz w:val="18"/>
                <w:szCs w:val="18"/>
              </w:rPr>
            </w:pPr>
            <w:r>
              <w:rPr>
                <w:rFonts w:asciiTheme="minorBidi" w:eastAsia="Times New Roman" w:hAnsiTheme="minorBidi"/>
                <w:b/>
                <w:bCs/>
                <w:sz w:val="18"/>
                <w:szCs w:val="18"/>
              </w:rPr>
              <w:t>Risques</w:t>
            </w:r>
          </w:p>
        </w:tc>
        <w:tc>
          <w:tcPr>
            <w:tcW w:w="4645" w:type="dxa"/>
            <w:shd w:val="clear" w:color="auto" w:fill="C6D9F1" w:themeFill="text2" w:themeFillTint="33"/>
            <w:vAlign w:val="center"/>
          </w:tcPr>
          <w:p w14:paraId="1DC0379C" w14:textId="77777777" w:rsidR="00871D8A" w:rsidRPr="00C635CE" w:rsidRDefault="00871D8A" w:rsidP="00986700">
            <w:pPr>
              <w:jc w:val="center"/>
              <w:rPr>
                <w:rFonts w:asciiTheme="minorBidi" w:eastAsia="Times New Roman" w:hAnsiTheme="minorBidi"/>
                <w:b/>
                <w:bCs/>
                <w:sz w:val="18"/>
                <w:szCs w:val="18"/>
              </w:rPr>
            </w:pPr>
            <w:r>
              <w:rPr>
                <w:rFonts w:asciiTheme="minorBidi" w:eastAsia="Times New Roman" w:hAnsiTheme="minorBidi"/>
                <w:b/>
                <w:bCs/>
                <w:sz w:val="18"/>
                <w:szCs w:val="18"/>
              </w:rPr>
              <w:t>Mesures d’atténuation</w:t>
            </w:r>
          </w:p>
        </w:tc>
      </w:tr>
      <w:tr w:rsidR="00871D8A" w:rsidRPr="00B95416" w14:paraId="469423F3" w14:textId="77777777" w:rsidTr="00590DB9">
        <w:trPr>
          <w:cantSplit/>
        </w:trPr>
        <w:tc>
          <w:tcPr>
            <w:tcW w:w="4642" w:type="dxa"/>
            <w:shd w:val="clear" w:color="auto" w:fill="auto"/>
            <w:tcMar>
              <w:top w:w="57" w:type="dxa"/>
              <w:bottom w:w="57" w:type="dxa"/>
            </w:tcMar>
          </w:tcPr>
          <w:p w14:paraId="22245A07" w14:textId="77777777" w:rsidR="00871D8A" w:rsidRPr="00C2787A" w:rsidRDefault="00871D8A" w:rsidP="00986700">
            <w:pPr>
              <w:rPr>
                <w:rFonts w:asciiTheme="minorBidi" w:eastAsia="Times New Roman" w:hAnsiTheme="minorBidi"/>
                <w:sz w:val="16"/>
                <w:szCs w:val="16"/>
                <w:lang w:val="fr-CH"/>
              </w:rPr>
            </w:pPr>
            <w:r w:rsidRPr="00C2787A">
              <w:rPr>
                <w:rFonts w:asciiTheme="minorBidi" w:eastAsia="Times New Roman" w:hAnsiTheme="minorBidi"/>
                <w:color w:val="000000"/>
                <w:sz w:val="16"/>
                <w:szCs w:val="16"/>
                <w:lang w:val="fr-CH"/>
              </w:rPr>
              <w:t xml:space="preserve">La défaillance de certains fournisseurs essentiels perturbe la prestation de services </w:t>
            </w:r>
            <w:r>
              <w:rPr>
                <w:rFonts w:asciiTheme="minorBidi" w:eastAsia="Times New Roman" w:hAnsiTheme="minorBidi"/>
                <w:color w:val="000000"/>
                <w:sz w:val="16"/>
                <w:szCs w:val="16"/>
                <w:lang w:val="fr-CH"/>
              </w:rPr>
              <w:t xml:space="preserve">fournis aux </w:t>
            </w:r>
            <w:r w:rsidRPr="00C2787A">
              <w:rPr>
                <w:rFonts w:asciiTheme="minorBidi" w:eastAsia="Times New Roman" w:hAnsiTheme="minorBidi"/>
                <w:color w:val="000000"/>
                <w:sz w:val="16"/>
                <w:szCs w:val="16"/>
                <w:lang w:val="fr-CH"/>
              </w:rPr>
              <w:t>clients externes.</w:t>
            </w:r>
          </w:p>
        </w:tc>
        <w:tc>
          <w:tcPr>
            <w:tcW w:w="4645" w:type="dxa"/>
            <w:shd w:val="clear" w:color="auto" w:fill="auto"/>
            <w:tcMar>
              <w:top w:w="57" w:type="dxa"/>
              <w:bottom w:w="57" w:type="dxa"/>
            </w:tcMar>
          </w:tcPr>
          <w:p w14:paraId="679E7FA7" w14:textId="77777777" w:rsidR="00871D8A" w:rsidRPr="00C2787A" w:rsidRDefault="00871D8A" w:rsidP="00986700">
            <w:pPr>
              <w:rPr>
                <w:rFonts w:asciiTheme="minorBidi" w:eastAsia="Times New Roman" w:hAnsiTheme="minorBidi"/>
                <w:sz w:val="16"/>
                <w:szCs w:val="16"/>
                <w:lang w:val="fr-CH"/>
              </w:rPr>
            </w:pPr>
            <w:r w:rsidRPr="00C2787A">
              <w:rPr>
                <w:rFonts w:asciiTheme="minorBidi" w:eastAsia="Times New Roman" w:hAnsiTheme="minorBidi"/>
                <w:color w:val="000000"/>
                <w:sz w:val="16"/>
                <w:szCs w:val="16"/>
                <w:lang w:val="fr-CH"/>
              </w:rPr>
              <w:t>Concevoir un plan d</w:t>
            </w:r>
            <w:r>
              <w:rPr>
                <w:rFonts w:asciiTheme="minorBidi" w:eastAsia="Times New Roman" w:hAnsiTheme="minorBidi"/>
                <w:color w:val="000000"/>
                <w:sz w:val="16"/>
                <w:szCs w:val="16"/>
                <w:lang w:val="fr-CH"/>
              </w:rPr>
              <w:t>’</w:t>
            </w:r>
            <w:r w:rsidRPr="00C2787A">
              <w:rPr>
                <w:rFonts w:asciiTheme="minorBidi" w:eastAsia="Times New Roman" w:hAnsiTheme="minorBidi"/>
                <w:color w:val="000000"/>
                <w:sz w:val="16"/>
                <w:szCs w:val="16"/>
                <w:lang w:val="fr-CH"/>
              </w:rPr>
              <w:t xml:space="preserve">urgence garantissant un fonctionnement continu pour les contrats considérés comme </w:t>
            </w:r>
            <w:r>
              <w:rPr>
                <w:rFonts w:asciiTheme="minorBidi" w:eastAsia="Times New Roman" w:hAnsiTheme="minorBidi"/>
                <w:color w:val="000000"/>
                <w:sz w:val="16"/>
                <w:szCs w:val="16"/>
                <w:lang w:val="fr-CH"/>
              </w:rPr>
              <w:t xml:space="preserve">étant </w:t>
            </w:r>
            <w:r w:rsidRPr="00C2787A">
              <w:rPr>
                <w:rFonts w:asciiTheme="minorBidi" w:eastAsia="Times New Roman" w:hAnsiTheme="minorBidi"/>
                <w:color w:val="000000"/>
                <w:sz w:val="16"/>
                <w:szCs w:val="16"/>
                <w:lang w:val="fr-CH"/>
              </w:rPr>
              <w:t>à haut risque et vitaux.</w:t>
            </w:r>
          </w:p>
        </w:tc>
      </w:tr>
      <w:tr w:rsidR="00871D8A" w:rsidRPr="00B95416" w14:paraId="6A0884EF" w14:textId="77777777" w:rsidTr="00590DB9">
        <w:trPr>
          <w:cantSplit/>
        </w:trPr>
        <w:tc>
          <w:tcPr>
            <w:tcW w:w="4642" w:type="dxa"/>
            <w:shd w:val="clear" w:color="auto" w:fill="auto"/>
            <w:tcMar>
              <w:top w:w="57" w:type="dxa"/>
              <w:bottom w:w="57" w:type="dxa"/>
            </w:tcMar>
          </w:tcPr>
          <w:p w14:paraId="3C340BE7" w14:textId="77777777" w:rsidR="00871D8A" w:rsidRPr="00C2787A" w:rsidRDefault="00871D8A" w:rsidP="00986700">
            <w:pPr>
              <w:rPr>
                <w:rFonts w:asciiTheme="minorBidi" w:eastAsia="Times New Roman" w:hAnsiTheme="minorBidi"/>
                <w:color w:val="000000"/>
                <w:sz w:val="16"/>
                <w:szCs w:val="16"/>
                <w:lang w:val="fr-CH"/>
              </w:rPr>
            </w:pPr>
            <w:r w:rsidRPr="00C2787A">
              <w:rPr>
                <w:rFonts w:asciiTheme="minorBidi" w:eastAsia="Times New Roman" w:hAnsiTheme="minorBidi"/>
                <w:color w:val="000000"/>
                <w:sz w:val="16"/>
                <w:szCs w:val="16"/>
                <w:lang w:val="fr-CH"/>
              </w:rPr>
              <w:t>La perte d</w:t>
            </w:r>
            <w:r>
              <w:rPr>
                <w:rFonts w:asciiTheme="minorBidi" w:eastAsia="Times New Roman" w:hAnsiTheme="minorBidi"/>
                <w:color w:val="000000"/>
                <w:sz w:val="16"/>
                <w:szCs w:val="16"/>
                <w:lang w:val="fr-CH"/>
              </w:rPr>
              <w:t>’</w:t>
            </w:r>
            <w:r w:rsidRPr="00C2787A">
              <w:rPr>
                <w:rFonts w:asciiTheme="minorBidi" w:eastAsia="Times New Roman" w:hAnsiTheme="minorBidi"/>
                <w:color w:val="000000"/>
                <w:sz w:val="16"/>
                <w:szCs w:val="16"/>
                <w:lang w:val="fr-CH"/>
              </w:rPr>
              <w:t>un accès sécurisé, ou l</w:t>
            </w:r>
            <w:r>
              <w:rPr>
                <w:rFonts w:asciiTheme="minorBidi" w:eastAsia="Times New Roman" w:hAnsiTheme="minorBidi"/>
                <w:color w:val="000000"/>
                <w:sz w:val="16"/>
                <w:szCs w:val="16"/>
                <w:lang w:val="fr-CH"/>
              </w:rPr>
              <w:t>’</w:t>
            </w:r>
            <w:r w:rsidRPr="00C2787A">
              <w:rPr>
                <w:rFonts w:asciiTheme="minorBidi" w:eastAsia="Times New Roman" w:hAnsiTheme="minorBidi"/>
                <w:color w:val="000000"/>
                <w:sz w:val="16"/>
                <w:szCs w:val="16"/>
                <w:lang w:val="fr-CH"/>
              </w:rPr>
              <w:t>impossibilité d</w:t>
            </w:r>
            <w:r>
              <w:rPr>
                <w:rFonts w:asciiTheme="minorBidi" w:eastAsia="Times New Roman" w:hAnsiTheme="minorBidi"/>
                <w:color w:val="000000"/>
                <w:sz w:val="16"/>
                <w:szCs w:val="16"/>
                <w:lang w:val="fr-CH"/>
              </w:rPr>
              <w:t>’</w:t>
            </w:r>
            <w:r w:rsidRPr="00C2787A">
              <w:rPr>
                <w:rFonts w:asciiTheme="minorBidi" w:eastAsia="Times New Roman" w:hAnsiTheme="minorBidi"/>
                <w:color w:val="000000"/>
                <w:sz w:val="16"/>
                <w:szCs w:val="16"/>
                <w:lang w:val="fr-CH"/>
              </w:rPr>
              <w:t>occuper un ou plusieurs bâtiments pendant une période donnée</w:t>
            </w:r>
            <w:r>
              <w:rPr>
                <w:rFonts w:asciiTheme="minorBidi" w:eastAsia="Times New Roman" w:hAnsiTheme="minorBidi"/>
                <w:color w:val="000000"/>
                <w:sz w:val="16"/>
                <w:szCs w:val="16"/>
                <w:lang w:val="fr-CH"/>
              </w:rPr>
              <w:t xml:space="preserve"> d’au moins sept jours en raison d’une panne importante des </w:t>
            </w:r>
            <w:r w:rsidRPr="00C2787A">
              <w:rPr>
                <w:rFonts w:asciiTheme="minorBidi" w:eastAsia="Times New Roman" w:hAnsiTheme="minorBidi"/>
                <w:color w:val="000000"/>
                <w:sz w:val="16"/>
                <w:szCs w:val="16"/>
                <w:lang w:val="fr-CH"/>
              </w:rPr>
              <w:t>infrastructure</w:t>
            </w:r>
            <w:r>
              <w:rPr>
                <w:rFonts w:asciiTheme="minorBidi" w:eastAsia="Times New Roman" w:hAnsiTheme="minorBidi"/>
                <w:color w:val="000000"/>
                <w:sz w:val="16"/>
                <w:szCs w:val="16"/>
                <w:lang w:val="fr-CH"/>
              </w:rPr>
              <w:t>s</w:t>
            </w:r>
            <w:r w:rsidRPr="00C2787A">
              <w:rPr>
                <w:rFonts w:asciiTheme="minorBidi" w:eastAsia="Times New Roman" w:hAnsiTheme="minorBidi"/>
                <w:color w:val="000000"/>
                <w:sz w:val="16"/>
                <w:szCs w:val="16"/>
                <w:lang w:val="fr-CH"/>
              </w:rPr>
              <w:t xml:space="preserve">. </w:t>
            </w:r>
            <w:r>
              <w:rPr>
                <w:rFonts w:asciiTheme="minorBidi" w:eastAsia="Times New Roman" w:hAnsiTheme="minorBidi"/>
                <w:color w:val="000000"/>
                <w:sz w:val="16"/>
                <w:szCs w:val="16"/>
                <w:lang w:val="fr-CH"/>
              </w:rPr>
              <w:t xml:space="preserve"> </w:t>
            </w:r>
          </w:p>
        </w:tc>
        <w:tc>
          <w:tcPr>
            <w:tcW w:w="4645" w:type="dxa"/>
            <w:shd w:val="clear" w:color="auto" w:fill="auto"/>
            <w:tcMar>
              <w:top w:w="57" w:type="dxa"/>
              <w:bottom w:w="57" w:type="dxa"/>
            </w:tcMar>
          </w:tcPr>
          <w:p w14:paraId="33B9629A" w14:textId="77777777" w:rsidR="00871D8A" w:rsidRPr="00EB5B98" w:rsidRDefault="00871D8A" w:rsidP="00986700">
            <w:pPr>
              <w:rPr>
                <w:rFonts w:asciiTheme="minorBidi" w:eastAsia="Times New Roman" w:hAnsiTheme="minorBidi"/>
                <w:color w:val="000000"/>
                <w:sz w:val="16"/>
                <w:szCs w:val="16"/>
                <w:lang w:val="fr-CH"/>
              </w:rPr>
            </w:pPr>
            <w:r w:rsidRPr="00401A93">
              <w:rPr>
                <w:rFonts w:asciiTheme="minorBidi" w:eastAsia="Times New Roman" w:hAnsiTheme="minorBidi"/>
                <w:color w:val="000000"/>
                <w:sz w:val="16"/>
                <w:szCs w:val="16"/>
                <w:lang w:val="fr-CH"/>
              </w:rPr>
              <w:t xml:space="preserve">Contrôler régulièrement toutes les installations techniques </w:t>
            </w:r>
            <w:r>
              <w:rPr>
                <w:rFonts w:asciiTheme="minorBidi" w:eastAsia="Times New Roman" w:hAnsiTheme="minorBidi"/>
                <w:color w:val="000000"/>
                <w:sz w:val="16"/>
                <w:szCs w:val="16"/>
                <w:lang w:val="fr-CH"/>
              </w:rPr>
              <w:t>essentielles selon le calendrier établi et les</w:t>
            </w:r>
            <w:r w:rsidRPr="00401A93">
              <w:rPr>
                <w:rFonts w:asciiTheme="minorBidi" w:eastAsia="Times New Roman" w:hAnsiTheme="minorBidi"/>
                <w:color w:val="000000"/>
                <w:sz w:val="16"/>
                <w:szCs w:val="16"/>
                <w:lang w:val="fr-CH"/>
              </w:rPr>
              <w:t xml:space="preserve"> procédures </w:t>
            </w:r>
            <w:r>
              <w:rPr>
                <w:rFonts w:asciiTheme="minorBidi" w:eastAsia="Times New Roman" w:hAnsiTheme="minorBidi"/>
                <w:color w:val="000000"/>
                <w:sz w:val="16"/>
                <w:szCs w:val="16"/>
                <w:lang w:val="fr-CH"/>
              </w:rPr>
              <w:t>opérationnelles normalisées</w:t>
            </w:r>
            <w:r w:rsidRPr="00401A93">
              <w:rPr>
                <w:rFonts w:asciiTheme="minorBidi" w:eastAsia="Times New Roman" w:hAnsiTheme="minorBidi"/>
                <w:color w:val="000000"/>
                <w:sz w:val="16"/>
                <w:szCs w:val="16"/>
                <w:lang w:val="fr-CH"/>
              </w:rPr>
              <w:t xml:space="preserve"> </w:t>
            </w:r>
            <w:r>
              <w:rPr>
                <w:rFonts w:asciiTheme="minorBidi" w:eastAsia="Times New Roman" w:hAnsiTheme="minorBidi"/>
                <w:color w:val="000000"/>
                <w:sz w:val="16"/>
                <w:szCs w:val="16"/>
                <w:lang w:val="fr-CH"/>
              </w:rPr>
              <w:t>conformément aux</w:t>
            </w:r>
            <w:r w:rsidRPr="00401A93">
              <w:rPr>
                <w:rFonts w:asciiTheme="minorBidi" w:eastAsia="Times New Roman" w:hAnsiTheme="minorBidi"/>
                <w:color w:val="000000"/>
                <w:sz w:val="16"/>
                <w:szCs w:val="16"/>
                <w:lang w:val="fr-CH"/>
              </w:rPr>
              <w:t xml:space="preserve"> programmes de résilience institutionnelle</w:t>
            </w:r>
            <w:r>
              <w:rPr>
                <w:rFonts w:asciiTheme="minorBidi" w:eastAsia="Times New Roman" w:hAnsiTheme="minorBidi"/>
                <w:color w:val="000000"/>
                <w:sz w:val="16"/>
                <w:szCs w:val="16"/>
                <w:lang w:val="fr-CH"/>
              </w:rPr>
              <w:t xml:space="preserve">.  </w:t>
            </w:r>
            <w:r w:rsidRPr="00EB5B98">
              <w:rPr>
                <w:rFonts w:asciiTheme="minorBidi" w:eastAsia="Times New Roman" w:hAnsiTheme="minorBidi"/>
                <w:color w:val="000000"/>
                <w:sz w:val="16"/>
                <w:szCs w:val="16"/>
                <w:lang w:val="fr-CH"/>
              </w:rPr>
              <w:t>Évaluer la nécessité de</w:t>
            </w:r>
            <w:r>
              <w:rPr>
                <w:rFonts w:asciiTheme="minorBidi" w:eastAsia="Times New Roman" w:hAnsiTheme="minorBidi"/>
                <w:color w:val="000000"/>
                <w:sz w:val="16"/>
                <w:szCs w:val="16"/>
                <w:lang w:val="fr-CH"/>
              </w:rPr>
              <w:t xml:space="preserve"> poursuivre</w:t>
            </w:r>
            <w:r w:rsidRPr="00EB5B98">
              <w:rPr>
                <w:lang w:val="fr-CH"/>
              </w:rPr>
              <w:t xml:space="preserve"> </w:t>
            </w:r>
            <w:r w:rsidRPr="00EB5B98">
              <w:rPr>
                <w:rFonts w:asciiTheme="minorBidi" w:eastAsia="Times New Roman" w:hAnsiTheme="minorBidi"/>
                <w:color w:val="000000"/>
                <w:sz w:val="16"/>
                <w:szCs w:val="16"/>
                <w:lang w:val="fr-CH"/>
              </w:rPr>
              <w:t>les travaux de rénovation et d</w:t>
            </w:r>
            <w:r>
              <w:rPr>
                <w:rFonts w:asciiTheme="minorBidi" w:eastAsia="Times New Roman" w:hAnsiTheme="minorBidi"/>
                <w:color w:val="000000"/>
                <w:sz w:val="16"/>
                <w:szCs w:val="16"/>
                <w:lang w:val="fr-CH"/>
              </w:rPr>
              <w:t>’</w:t>
            </w:r>
            <w:r w:rsidRPr="00EB5B98">
              <w:rPr>
                <w:rFonts w:asciiTheme="minorBidi" w:eastAsia="Times New Roman" w:hAnsiTheme="minorBidi"/>
                <w:color w:val="000000"/>
                <w:sz w:val="16"/>
                <w:szCs w:val="16"/>
                <w:lang w:val="fr-CH"/>
              </w:rPr>
              <w:t>entretien préventif majeur de toutes les installations techniques essentiel</w:t>
            </w:r>
            <w:r>
              <w:rPr>
                <w:rFonts w:asciiTheme="minorBidi" w:eastAsia="Times New Roman" w:hAnsiTheme="minorBidi"/>
                <w:color w:val="000000"/>
                <w:sz w:val="16"/>
                <w:szCs w:val="16"/>
                <w:lang w:val="fr-CH"/>
              </w:rPr>
              <w:t>le</w:t>
            </w:r>
            <w:r w:rsidRPr="00EB5B98">
              <w:rPr>
                <w:rFonts w:asciiTheme="minorBidi" w:eastAsia="Times New Roman" w:hAnsiTheme="minorBidi"/>
                <w:color w:val="000000"/>
                <w:sz w:val="16"/>
                <w:szCs w:val="16"/>
                <w:lang w:val="fr-CH"/>
              </w:rPr>
              <w:t>s</w:t>
            </w:r>
            <w:r>
              <w:rPr>
                <w:rFonts w:asciiTheme="minorBidi" w:eastAsia="Times New Roman" w:hAnsiTheme="minorBidi"/>
                <w:color w:val="000000"/>
                <w:sz w:val="16"/>
                <w:szCs w:val="16"/>
                <w:lang w:val="fr-CH"/>
              </w:rPr>
              <w:t xml:space="preserve">.  </w:t>
            </w:r>
            <w:r w:rsidRPr="00EB5B98">
              <w:rPr>
                <w:rFonts w:asciiTheme="minorBidi" w:eastAsia="Times New Roman" w:hAnsiTheme="minorBidi"/>
                <w:color w:val="000000"/>
                <w:sz w:val="16"/>
                <w:szCs w:val="16"/>
                <w:lang w:val="fr-CH"/>
              </w:rPr>
              <w:t xml:space="preserve">Vérifier régulièrement </w:t>
            </w:r>
            <w:r>
              <w:rPr>
                <w:rFonts w:asciiTheme="minorBidi" w:eastAsia="Times New Roman" w:hAnsiTheme="minorBidi"/>
                <w:color w:val="000000"/>
                <w:sz w:val="16"/>
                <w:szCs w:val="16"/>
                <w:lang w:val="fr-CH"/>
              </w:rPr>
              <w:t>la pertinence d</w:t>
            </w:r>
            <w:r w:rsidRPr="00EB5B98">
              <w:rPr>
                <w:rFonts w:asciiTheme="minorBidi" w:eastAsia="Times New Roman" w:hAnsiTheme="minorBidi"/>
                <w:color w:val="000000"/>
                <w:sz w:val="16"/>
                <w:szCs w:val="16"/>
                <w:lang w:val="fr-CH"/>
              </w:rPr>
              <w:t xml:space="preserve">es procédures opérationnelles normalisées mises en place </w:t>
            </w:r>
            <w:r>
              <w:rPr>
                <w:rFonts w:asciiTheme="minorBidi" w:eastAsia="Times New Roman" w:hAnsiTheme="minorBidi"/>
                <w:color w:val="000000"/>
                <w:sz w:val="16"/>
                <w:szCs w:val="16"/>
                <w:lang w:val="fr-CH"/>
              </w:rPr>
              <w:t>dans le cadre de l’entretien préventif des</w:t>
            </w:r>
            <w:r w:rsidRPr="00EB5B98">
              <w:rPr>
                <w:rFonts w:asciiTheme="minorBidi" w:eastAsia="Times New Roman" w:hAnsiTheme="minorBidi"/>
                <w:color w:val="000000"/>
                <w:sz w:val="16"/>
                <w:szCs w:val="16"/>
                <w:lang w:val="fr-CH"/>
              </w:rPr>
              <w:t xml:space="preserve"> installations</w:t>
            </w:r>
            <w:r>
              <w:rPr>
                <w:rFonts w:asciiTheme="minorBidi" w:eastAsia="Times New Roman" w:hAnsiTheme="minorBidi"/>
                <w:color w:val="000000"/>
                <w:sz w:val="16"/>
                <w:szCs w:val="16"/>
                <w:lang w:val="fr-CH"/>
              </w:rPr>
              <w:t xml:space="preserve"> essentielles</w:t>
            </w:r>
            <w:r w:rsidRPr="00EB5B98">
              <w:rPr>
                <w:rFonts w:asciiTheme="minorBidi" w:eastAsia="Times New Roman" w:hAnsiTheme="minorBidi"/>
                <w:color w:val="000000"/>
                <w:sz w:val="16"/>
                <w:szCs w:val="16"/>
                <w:lang w:val="fr-CH"/>
              </w:rPr>
              <w:t xml:space="preserve"> </w:t>
            </w:r>
            <w:r>
              <w:rPr>
                <w:rFonts w:asciiTheme="minorBidi" w:eastAsia="Times New Roman" w:hAnsiTheme="minorBidi"/>
                <w:color w:val="000000"/>
                <w:sz w:val="16"/>
                <w:szCs w:val="16"/>
                <w:lang w:val="fr-CH"/>
              </w:rPr>
              <w:t>conformément aux programmes de résilience institutionnelle de l’Organisation</w:t>
            </w:r>
            <w:r w:rsidRPr="00EB5B98">
              <w:rPr>
                <w:rFonts w:asciiTheme="minorBidi" w:eastAsia="Times New Roman" w:hAnsiTheme="minorBidi"/>
                <w:color w:val="000000"/>
                <w:sz w:val="16"/>
                <w:szCs w:val="16"/>
                <w:lang w:val="fr-CH"/>
              </w:rPr>
              <w:t>.</w:t>
            </w:r>
          </w:p>
        </w:tc>
      </w:tr>
    </w:tbl>
    <w:p w14:paraId="63E0C09B" w14:textId="77777777" w:rsidR="00871D8A" w:rsidRPr="00EB5B98" w:rsidRDefault="00871D8A" w:rsidP="00986700">
      <w:pPr>
        <w:pStyle w:val="ListParagraph"/>
        <w:ind w:left="0"/>
        <w:jc w:val="both"/>
        <w:rPr>
          <w:rFonts w:asciiTheme="minorBidi" w:hAnsiTheme="minorBidi"/>
          <w:szCs w:val="20"/>
          <w:lang w:val="fr-CH"/>
        </w:rPr>
      </w:pPr>
    </w:p>
    <w:p w14:paraId="4049D6D8" w14:textId="77777777" w:rsidR="00871D8A" w:rsidRPr="00EB5B98" w:rsidRDefault="00871D8A" w:rsidP="00986700">
      <w:pPr>
        <w:pStyle w:val="ListParagraph"/>
        <w:ind w:left="0"/>
        <w:jc w:val="both"/>
        <w:rPr>
          <w:rFonts w:asciiTheme="minorBidi" w:hAnsiTheme="minorBidi"/>
          <w:szCs w:val="20"/>
          <w:lang w:val="fr-CH"/>
        </w:rPr>
      </w:pPr>
    </w:p>
    <w:tbl>
      <w:tblPr>
        <w:tblW w:w="5000" w:type="pct"/>
        <w:tblCellMar>
          <w:top w:w="57" w:type="dxa"/>
          <w:bottom w:w="57" w:type="dxa"/>
        </w:tblCellMar>
        <w:tblLook w:val="04A0" w:firstRow="1" w:lastRow="0" w:firstColumn="1" w:lastColumn="0" w:noHBand="0" w:noVBand="1"/>
      </w:tblPr>
      <w:tblGrid>
        <w:gridCol w:w="2345"/>
        <w:gridCol w:w="2307"/>
        <w:gridCol w:w="2320"/>
        <w:gridCol w:w="2315"/>
      </w:tblGrid>
      <w:tr w:rsidR="00871D8A" w:rsidRPr="00C635CE" w14:paraId="0DFD16B6" w14:textId="77777777" w:rsidTr="00871D8A">
        <w:trPr>
          <w:cantSplit/>
          <w:tblHeader/>
        </w:trPr>
        <w:tc>
          <w:tcPr>
            <w:tcW w:w="2392" w:type="dxa"/>
            <w:shd w:val="clear" w:color="000000" w:fill="C5D9F1"/>
            <w:vAlign w:val="center"/>
            <w:hideMark/>
          </w:tcPr>
          <w:p w14:paraId="6BC402D2" w14:textId="77777777" w:rsidR="00871D8A" w:rsidRPr="00C635CE" w:rsidRDefault="00871D8A" w:rsidP="00986700">
            <w:pPr>
              <w:jc w:val="center"/>
              <w:rPr>
                <w:rFonts w:asciiTheme="minorBidi" w:eastAsia="Times New Roman" w:hAnsiTheme="minorBidi"/>
                <w:b/>
                <w:bCs/>
                <w:color w:val="000000"/>
                <w:sz w:val="18"/>
                <w:szCs w:val="18"/>
                <w:lang w:eastAsia="en-US"/>
              </w:rPr>
            </w:pPr>
            <w:r w:rsidRPr="00C635CE">
              <w:rPr>
                <w:rFonts w:asciiTheme="minorBidi" w:eastAsia="Times New Roman" w:hAnsiTheme="minorBidi"/>
                <w:b/>
                <w:bCs/>
                <w:color w:val="000000"/>
                <w:sz w:val="18"/>
                <w:szCs w:val="18"/>
                <w:lang w:eastAsia="en-US"/>
              </w:rPr>
              <w:t>R</w:t>
            </w:r>
            <w:r>
              <w:rPr>
                <w:rFonts w:asciiTheme="minorBidi" w:eastAsia="Times New Roman" w:hAnsiTheme="minorBidi"/>
                <w:b/>
                <w:bCs/>
                <w:color w:val="000000"/>
                <w:sz w:val="18"/>
                <w:szCs w:val="18"/>
                <w:lang w:eastAsia="en-US"/>
              </w:rPr>
              <w:t>é</w:t>
            </w:r>
            <w:r w:rsidRPr="00C635CE">
              <w:rPr>
                <w:rFonts w:asciiTheme="minorBidi" w:eastAsia="Times New Roman" w:hAnsiTheme="minorBidi"/>
                <w:b/>
                <w:bCs/>
                <w:color w:val="000000"/>
                <w:sz w:val="18"/>
                <w:szCs w:val="18"/>
                <w:lang w:eastAsia="en-US"/>
              </w:rPr>
              <w:t>sult</w:t>
            </w:r>
            <w:r>
              <w:rPr>
                <w:rFonts w:asciiTheme="minorBidi" w:eastAsia="Times New Roman" w:hAnsiTheme="minorBidi"/>
                <w:b/>
                <w:bCs/>
                <w:color w:val="000000"/>
                <w:sz w:val="18"/>
                <w:szCs w:val="18"/>
                <w:lang w:eastAsia="en-US"/>
              </w:rPr>
              <w:t>at escompté</w:t>
            </w:r>
          </w:p>
        </w:tc>
        <w:tc>
          <w:tcPr>
            <w:tcW w:w="2393" w:type="dxa"/>
            <w:shd w:val="clear" w:color="000000" w:fill="C5D9F1"/>
            <w:vAlign w:val="center"/>
            <w:hideMark/>
          </w:tcPr>
          <w:p w14:paraId="59AD10C6" w14:textId="77777777" w:rsidR="00871D8A" w:rsidRPr="00C635CE" w:rsidRDefault="00871D8A" w:rsidP="00986700">
            <w:pPr>
              <w:jc w:val="center"/>
              <w:rPr>
                <w:rFonts w:asciiTheme="minorBidi" w:eastAsia="Times New Roman" w:hAnsiTheme="minorBidi"/>
                <w:b/>
                <w:bCs/>
                <w:color w:val="000000"/>
                <w:sz w:val="18"/>
                <w:szCs w:val="18"/>
                <w:lang w:eastAsia="en-US"/>
              </w:rPr>
            </w:pPr>
            <w:r>
              <w:rPr>
                <w:rFonts w:asciiTheme="minorBidi" w:eastAsia="Times New Roman" w:hAnsiTheme="minorBidi"/>
                <w:b/>
                <w:bCs/>
                <w:color w:val="000000"/>
                <w:sz w:val="18"/>
                <w:szCs w:val="18"/>
                <w:lang w:eastAsia="en-US"/>
              </w:rPr>
              <w:t>I</w:t>
            </w:r>
            <w:r w:rsidRPr="00C635CE">
              <w:rPr>
                <w:rFonts w:asciiTheme="minorBidi" w:eastAsia="Times New Roman" w:hAnsiTheme="minorBidi"/>
                <w:b/>
                <w:bCs/>
                <w:color w:val="000000"/>
                <w:sz w:val="18"/>
                <w:szCs w:val="18"/>
                <w:lang w:eastAsia="en-US"/>
              </w:rPr>
              <w:t>ndicat</w:t>
            </w:r>
            <w:r>
              <w:rPr>
                <w:rFonts w:asciiTheme="minorBidi" w:eastAsia="Times New Roman" w:hAnsiTheme="minorBidi"/>
                <w:b/>
                <w:bCs/>
                <w:color w:val="000000"/>
                <w:sz w:val="18"/>
                <w:szCs w:val="18"/>
                <w:lang w:eastAsia="en-US"/>
              </w:rPr>
              <w:t>eu</w:t>
            </w:r>
            <w:r w:rsidRPr="00C635CE">
              <w:rPr>
                <w:rFonts w:asciiTheme="minorBidi" w:eastAsia="Times New Roman" w:hAnsiTheme="minorBidi"/>
                <w:b/>
                <w:bCs/>
                <w:color w:val="000000"/>
                <w:sz w:val="18"/>
                <w:szCs w:val="18"/>
                <w:lang w:eastAsia="en-US"/>
              </w:rPr>
              <w:t>rs</w:t>
            </w:r>
            <w:r>
              <w:rPr>
                <w:rFonts w:asciiTheme="minorBidi" w:eastAsia="Times New Roman" w:hAnsiTheme="minorBidi"/>
                <w:b/>
                <w:bCs/>
                <w:color w:val="000000"/>
                <w:sz w:val="18"/>
                <w:szCs w:val="18"/>
                <w:lang w:eastAsia="en-US"/>
              </w:rPr>
              <w:t xml:space="preserve"> d’exécution</w:t>
            </w:r>
          </w:p>
        </w:tc>
        <w:tc>
          <w:tcPr>
            <w:tcW w:w="2393" w:type="dxa"/>
            <w:shd w:val="clear" w:color="000000" w:fill="C5D9F1"/>
            <w:vAlign w:val="center"/>
            <w:hideMark/>
          </w:tcPr>
          <w:p w14:paraId="5F6957B7" w14:textId="77777777" w:rsidR="00871D8A" w:rsidRPr="00C635CE" w:rsidRDefault="00871D8A" w:rsidP="00986700">
            <w:pPr>
              <w:jc w:val="center"/>
              <w:rPr>
                <w:rFonts w:asciiTheme="minorBidi" w:eastAsia="Times New Roman" w:hAnsiTheme="minorBidi"/>
                <w:b/>
                <w:bCs/>
                <w:color w:val="000000"/>
                <w:sz w:val="18"/>
                <w:szCs w:val="18"/>
                <w:lang w:eastAsia="en-US"/>
              </w:rPr>
            </w:pPr>
            <w:r>
              <w:rPr>
                <w:rFonts w:asciiTheme="minorBidi" w:eastAsia="Times New Roman" w:hAnsiTheme="minorBidi"/>
                <w:b/>
                <w:bCs/>
                <w:color w:val="000000"/>
                <w:sz w:val="18"/>
                <w:szCs w:val="18"/>
                <w:lang w:eastAsia="en-US"/>
              </w:rPr>
              <w:t>Niveaux de référence</w:t>
            </w:r>
          </w:p>
        </w:tc>
        <w:tc>
          <w:tcPr>
            <w:tcW w:w="2393" w:type="dxa"/>
            <w:shd w:val="clear" w:color="000000" w:fill="C5D9F1"/>
            <w:vAlign w:val="center"/>
            <w:hideMark/>
          </w:tcPr>
          <w:p w14:paraId="6756F4E0" w14:textId="77777777" w:rsidR="00871D8A" w:rsidRPr="00C635CE" w:rsidRDefault="00871D8A" w:rsidP="00986700">
            <w:pPr>
              <w:jc w:val="center"/>
              <w:rPr>
                <w:rFonts w:asciiTheme="minorBidi" w:eastAsia="Times New Roman" w:hAnsiTheme="minorBidi"/>
                <w:b/>
                <w:bCs/>
                <w:color w:val="000000"/>
                <w:sz w:val="18"/>
                <w:szCs w:val="18"/>
                <w:lang w:eastAsia="en-US"/>
              </w:rPr>
            </w:pPr>
            <w:r>
              <w:rPr>
                <w:rFonts w:asciiTheme="minorBidi" w:eastAsia="Times New Roman" w:hAnsiTheme="minorBidi"/>
                <w:b/>
                <w:bCs/>
                <w:color w:val="000000"/>
                <w:sz w:val="18"/>
                <w:szCs w:val="18"/>
                <w:lang w:eastAsia="en-US"/>
              </w:rPr>
              <w:t>Objectifs visés</w:t>
            </w:r>
          </w:p>
        </w:tc>
      </w:tr>
      <w:tr w:rsidR="00871D8A" w:rsidRPr="00C635CE" w14:paraId="7594440F" w14:textId="77777777" w:rsidTr="00871D8A">
        <w:trPr>
          <w:cantSplit/>
        </w:trPr>
        <w:tc>
          <w:tcPr>
            <w:tcW w:w="2392" w:type="dxa"/>
            <w:vMerge w:val="restart"/>
            <w:shd w:val="clear" w:color="auto" w:fill="auto"/>
            <w:tcMar>
              <w:top w:w="57" w:type="dxa"/>
            </w:tcMar>
            <w:hideMark/>
          </w:tcPr>
          <w:p w14:paraId="264B7720" w14:textId="574BAA73" w:rsidR="00871D8A" w:rsidRPr="00905692"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VIII.5 L</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OMPI collabore efficacement avec d</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autres processus et instances de négociation de l</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ONU et d</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 xml:space="preserve">autres organisations intergouvernementales </w:t>
            </w:r>
          </w:p>
        </w:tc>
        <w:tc>
          <w:tcPr>
            <w:tcW w:w="2393" w:type="dxa"/>
            <w:shd w:val="clear" w:color="000000" w:fill="FFFFFF"/>
            <w:tcMar>
              <w:top w:w="57" w:type="dxa"/>
            </w:tcMar>
            <w:hideMark/>
          </w:tcPr>
          <w:p w14:paraId="3825D3F4" w14:textId="77777777" w:rsidR="00871D8A" w:rsidRPr="003F3943" w:rsidRDefault="00871D8A"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Pourcentage</w:t>
            </w:r>
            <w:r w:rsidRPr="003F3943">
              <w:rPr>
                <w:rFonts w:asciiTheme="minorBidi" w:eastAsia="Times New Roman" w:hAnsiTheme="minorBidi"/>
                <w:color w:val="000000"/>
                <w:sz w:val="16"/>
                <w:szCs w:val="16"/>
                <w:lang w:val="fr-CH" w:eastAsia="en-US"/>
              </w:rPr>
              <w:t xml:space="preserve"> des dépenses dans la collaboration avec les </w:t>
            </w:r>
            <w:r>
              <w:rPr>
                <w:rFonts w:asciiTheme="minorBidi" w:eastAsia="Times New Roman" w:hAnsiTheme="minorBidi"/>
                <w:color w:val="000000"/>
                <w:sz w:val="16"/>
                <w:szCs w:val="16"/>
                <w:lang w:val="fr-CH" w:eastAsia="en-US"/>
              </w:rPr>
              <w:t>Nations Unies</w:t>
            </w:r>
            <w:r w:rsidRPr="003F3943">
              <w:rPr>
                <w:rFonts w:asciiTheme="minorBidi" w:eastAsia="Times New Roman" w:hAnsiTheme="minorBidi"/>
                <w:color w:val="000000"/>
                <w:sz w:val="16"/>
                <w:szCs w:val="16"/>
                <w:lang w:val="fr-CH" w:eastAsia="en-US"/>
              </w:rPr>
              <w:t xml:space="preserve"> </w:t>
            </w:r>
          </w:p>
        </w:tc>
        <w:tc>
          <w:tcPr>
            <w:tcW w:w="2393" w:type="dxa"/>
            <w:shd w:val="clear" w:color="000000" w:fill="FFFFFF"/>
            <w:tcMar>
              <w:top w:w="57" w:type="dxa"/>
            </w:tcMar>
            <w:hideMark/>
          </w:tcPr>
          <w:p w14:paraId="1E40FC81" w14:textId="035A0E77" w:rsidR="00871D8A" w:rsidRPr="00C635CE" w:rsidRDefault="00871D8A" w:rsidP="00064132">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6,7% (</w:t>
            </w:r>
            <w:r w:rsidRPr="00C635CE">
              <w:rPr>
                <w:rFonts w:asciiTheme="minorBidi" w:eastAsia="Times New Roman" w:hAnsiTheme="minorBidi"/>
                <w:color w:val="000000"/>
                <w:sz w:val="16"/>
                <w:szCs w:val="16"/>
                <w:lang w:eastAsia="en-US"/>
              </w:rPr>
              <w:t>2016)</w:t>
            </w:r>
          </w:p>
        </w:tc>
        <w:tc>
          <w:tcPr>
            <w:tcW w:w="2393" w:type="dxa"/>
            <w:shd w:val="clear" w:color="000000" w:fill="FFFFFF"/>
            <w:tcMar>
              <w:top w:w="57" w:type="dxa"/>
            </w:tcMar>
            <w:hideMark/>
          </w:tcPr>
          <w:p w14:paraId="3E239191" w14:textId="77777777" w:rsidR="00871D8A" w:rsidRPr="00C635CE" w:rsidRDefault="00871D8A" w:rsidP="00986700">
            <w:pPr>
              <w:rPr>
                <w:rFonts w:asciiTheme="minorBidi" w:eastAsia="Times New Roman" w:hAnsiTheme="minorBidi"/>
                <w:color w:val="000000"/>
                <w:sz w:val="16"/>
                <w:szCs w:val="16"/>
                <w:lang w:eastAsia="en-US"/>
              </w:rPr>
            </w:pPr>
            <w:r w:rsidRPr="00C635CE">
              <w:rPr>
                <w:rFonts w:asciiTheme="minorBidi" w:eastAsia="Times New Roman" w:hAnsiTheme="minorBidi"/>
                <w:color w:val="000000"/>
                <w:sz w:val="16"/>
                <w:szCs w:val="16"/>
                <w:lang w:eastAsia="en-US"/>
              </w:rPr>
              <w:t xml:space="preserve">8% </w:t>
            </w:r>
            <w:r>
              <w:rPr>
                <w:rFonts w:asciiTheme="minorBidi" w:eastAsia="Times New Roman" w:hAnsiTheme="minorBidi"/>
                <w:color w:val="000000"/>
                <w:sz w:val="16"/>
                <w:szCs w:val="16"/>
                <w:lang w:eastAsia="en-US"/>
              </w:rPr>
              <w:t>par an</w:t>
            </w:r>
          </w:p>
        </w:tc>
      </w:tr>
      <w:tr w:rsidR="00871D8A" w:rsidRPr="00C635CE" w14:paraId="41066F07" w14:textId="77777777" w:rsidTr="00871D8A">
        <w:trPr>
          <w:cantSplit/>
        </w:trPr>
        <w:tc>
          <w:tcPr>
            <w:tcW w:w="2392" w:type="dxa"/>
            <w:vMerge/>
            <w:shd w:val="clear" w:color="auto" w:fill="auto"/>
            <w:noWrap/>
            <w:tcMar>
              <w:top w:w="57" w:type="dxa"/>
            </w:tcMar>
            <w:vAlign w:val="bottom"/>
            <w:hideMark/>
          </w:tcPr>
          <w:p w14:paraId="5403F23A" w14:textId="77777777" w:rsidR="00871D8A" w:rsidRPr="00C635CE" w:rsidRDefault="00871D8A" w:rsidP="00986700">
            <w:pPr>
              <w:rPr>
                <w:rFonts w:asciiTheme="minorBidi" w:eastAsia="Times New Roman" w:hAnsiTheme="minorBidi"/>
                <w:color w:val="000000"/>
                <w:lang w:eastAsia="en-US"/>
              </w:rPr>
            </w:pPr>
          </w:p>
        </w:tc>
        <w:tc>
          <w:tcPr>
            <w:tcW w:w="2393" w:type="dxa"/>
            <w:shd w:val="clear" w:color="000000" w:fill="FFFFFF"/>
            <w:tcMar>
              <w:top w:w="57" w:type="dxa"/>
            </w:tcMar>
            <w:hideMark/>
          </w:tcPr>
          <w:p w14:paraId="367081CC" w14:textId="77777777" w:rsidR="00871D8A" w:rsidRPr="00D329CC" w:rsidRDefault="00871D8A" w:rsidP="00986700">
            <w:pPr>
              <w:rPr>
                <w:rFonts w:asciiTheme="minorBidi" w:eastAsia="Times New Roman" w:hAnsiTheme="minorBidi"/>
                <w:color w:val="000000"/>
                <w:sz w:val="16"/>
                <w:szCs w:val="16"/>
                <w:lang w:val="fr-CH" w:eastAsia="en-US"/>
              </w:rPr>
            </w:pPr>
            <w:r w:rsidRPr="00D329CC">
              <w:rPr>
                <w:rFonts w:asciiTheme="minorBidi" w:eastAsia="Times New Roman" w:hAnsiTheme="minorBidi"/>
                <w:color w:val="000000"/>
                <w:sz w:val="16"/>
                <w:szCs w:val="16"/>
                <w:lang w:val="fr-CH" w:eastAsia="en-US"/>
              </w:rPr>
              <w:t>Pourcentage des biens et services d</w:t>
            </w:r>
            <w:r>
              <w:rPr>
                <w:rFonts w:asciiTheme="minorBidi" w:eastAsia="Times New Roman" w:hAnsiTheme="minorBidi"/>
                <w:color w:val="000000"/>
                <w:sz w:val="16"/>
                <w:szCs w:val="16"/>
                <w:lang w:val="fr-CH" w:eastAsia="en-US"/>
              </w:rPr>
              <w:t>’</w:t>
            </w:r>
            <w:r w:rsidRPr="00D329CC">
              <w:rPr>
                <w:rFonts w:asciiTheme="minorBidi" w:eastAsia="Times New Roman" w:hAnsiTheme="minorBidi"/>
                <w:color w:val="000000"/>
                <w:sz w:val="16"/>
                <w:szCs w:val="16"/>
                <w:lang w:val="fr-CH" w:eastAsia="en-US"/>
              </w:rPr>
              <w:t>origine locale par rapport au total des biens et services acquis pour les activités de développement</w:t>
            </w:r>
          </w:p>
        </w:tc>
        <w:tc>
          <w:tcPr>
            <w:tcW w:w="2393" w:type="dxa"/>
            <w:shd w:val="clear" w:color="000000" w:fill="FFFFFF"/>
            <w:tcMar>
              <w:top w:w="57" w:type="dxa"/>
            </w:tcMar>
            <w:hideMark/>
          </w:tcPr>
          <w:p w14:paraId="15304A13" w14:textId="30E99EDB" w:rsidR="00871D8A" w:rsidRPr="00C635CE" w:rsidRDefault="00871D8A" w:rsidP="00064132">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60,27% (</w:t>
            </w:r>
            <w:r w:rsidRPr="00C635CE">
              <w:rPr>
                <w:rFonts w:asciiTheme="minorBidi" w:eastAsia="Times New Roman" w:hAnsiTheme="minorBidi"/>
                <w:color w:val="000000"/>
                <w:sz w:val="16"/>
                <w:szCs w:val="16"/>
                <w:lang w:eastAsia="en-US"/>
              </w:rPr>
              <w:t>2016)</w:t>
            </w:r>
          </w:p>
        </w:tc>
        <w:tc>
          <w:tcPr>
            <w:tcW w:w="2393" w:type="dxa"/>
            <w:shd w:val="clear" w:color="000000" w:fill="FFFFFF"/>
            <w:tcMar>
              <w:top w:w="57" w:type="dxa"/>
            </w:tcMar>
            <w:hideMark/>
          </w:tcPr>
          <w:p w14:paraId="78968202" w14:textId="77777777" w:rsidR="00871D8A" w:rsidRPr="00C635CE" w:rsidRDefault="00871D8A" w:rsidP="00986700">
            <w:pPr>
              <w:rPr>
                <w:rFonts w:asciiTheme="minorBidi" w:eastAsia="Times New Roman" w:hAnsiTheme="minorBidi"/>
                <w:color w:val="000000"/>
                <w:sz w:val="16"/>
                <w:szCs w:val="16"/>
                <w:lang w:eastAsia="en-US"/>
              </w:rPr>
            </w:pPr>
            <w:r w:rsidRPr="00C635CE">
              <w:rPr>
                <w:rFonts w:asciiTheme="minorBidi" w:eastAsia="Times New Roman" w:hAnsiTheme="minorBidi"/>
                <w:color w:val="000000"/>
                <w:sz w:val="16"/>
                <w:szCs w:val="16"/>
                <w:lang w:eastAsia="en-US"/>
              </w:rPr>
              <w:t xml:space="preserve">50% </w:t>
            </w:r>
            <w:r>
              <w:rPr>
                <w:rFonts w:asciiTheme="minorBidi" w:eastAsia="Times New Roman" w:hAnsiTheme="minorBidi"/>
                <w:color w:val="000000"/>
                <w:sz w:val="16"/>
                <w:szCs w:val="16"/>
                <w:lang w:eastAsia="en-US"/>
              </w:rPr>
              <w:t>par an</w:t>
            </w:r>
          </w:p>
        </w:tc>
      </w:tr>
      <w:tr w:rsidR="00871D8A" w:rsidRPr="00C635CE" w14:paraId="35E22438" w14:textId="77777777" w:rsidTr="00871D8A">
        <w:trPr>
          <w:cantSplit/>
        </w:trPr>
        <w:tc>
          <w:tcPr>
            <w:tcW w:w="2392" w:type="dxa"/>
            <w:vMerge w:val="restart"/>
            <w:shd w:val="clear" w:color="auto" w:fill="auto"/>
            <w:tcMar>
              <w:top w:w="57" w:type="dxa"/>
            </w:tcMar>
            <w:hideMark/>
          </w:tcPr>
          <w:p w14:paraId="1D66409F" w14:textId="42C570E3" w:rsidR="00871D8A" w:rsidRPr="00D329CC" w:rsidRDefault="00871D8A" w:rsidP="00986700">
            <w:pPr>
              <w:rPr>
                <w:rFonts w:asciiTheme="minorBidi" w:eastAsia="Times New Roman" w:hAnsiTheme="minorBidi"/>
                <w:color w:val="000000"/>
                <w:sz w:val="16"/>
                <w:szCs w:val="16"/>
                <w:lang w:val="fr-CH" w:eastAsia="en-US"/>
              </w:rPr>
            </w:pPr>
            <w:r w:rsidRPr="00D329CC">
              <w:rPr>
                <w:rFonts w:asciiTheme="minorBidi" w:eastAsia="Times New Roman" w:hAnsiTheme="minorBidi"/>
                <w:color w:val="000000"/>
                <w:sz w:val="16"/>
                <w:szCs w:val="16"/>
                <w:lang w:val="fr-CH" w:eastAsia="en-US"/>
              </w:rPr>
              <w:t>IX.1 Services d</w:t>
            </w:r>
            <w:r>
              <w:rPr>
                <w:rFonts w:asciiTheme="minorBidi" w:eastAsia="Times New Roman" w:hAnsiTheme="minorBidi"/>
                <w:color w:val="000000"/>
                <w:sz w:val="16"/>
                <w:szCs w:val="16"/>
                <w:lang w:val="fr-CH" w:eastAsia="en-US"/>
              </w:rPr>
              <w:t>’</w:t>
            </w:r>
            <w:r w:rsidRPr="00D329CC">
              <w:rPr>
                <w:rFonts w:asciiTheme="minorBidi" w:eastAsia="Times New Roman" w:hAnsiTheme="minorBidi"/>
                <w:color w:val="000000"/>
                <w:sz w:val="16"/>
                <w:szCs w:val="16"/>
                <w:lang w:val="fr-CH" w:eastAsia="en-US"/>
              </w:rPr>
              <w:t xml:space="preserve">appui efficaces, efficients, de qualité et </w:t>
            </w:r>
            <w:r>
              <w:rPr>
                <w:rFonts w:asciiTheme="minorBidi" w:eastAsia="Times New Roman" w:hAnsiTheme="minorBidi"/>
                <w:color w:val="000000"/>
                <w:sz w:val="16"/>
                <w:szCs w:val="16"/>
                <w:lang w:val="fr-CH" w:eastAsia="en-US"/>
              </w:rPr>
              <w:t xml:space="preserve">tournés vers la clientèle </w:t>
            </w:r>
            <w:r w:rsidRPr="00D329CC">
              <w:rPr>
                <w:rFonts w:asciiTheme="minorBidi" w:eastAsia="Times New Roman" w:hAnsiTheme="minorBidi"/>
                <w:color w:val="000000"/>
                <w:sz w:val="16"/>
                <w:szCs w:val="16"/>
                <w:lang w:val="fr-CH" w:eastAsia="en-US"/>
              </w:rPr>
              <w:t>à l</w:t>
            </w:r>
            <w:r>
              <w:rPr>
                <w:rFonts w:asciiTheme="minorBidi" w:eastAsia="Times New Roman" w:hAnsiTheme="minorBidi"/>
                <w:color w:val="000000"/>
                <w:sz w:val="16"/>
                <w:szCs w:val="16"/>
                <w:lang w:val="fr-CH" w:eastAsia="en-US"/>
              </w:rPr>
              <w:t>’</w:t>
            </w:r>
            <w:r w:rsidRPr="00D329CC">
              <w:rPr>
                <w:rFonts w:asciiTheme="minorBidi" w:eastAsia="Times New Roman" w:hAnsiTheme="minorBidi"/>
                <w:color w:val="000000"/>
                <w:sz w:val="16"/>
                <w:szCs w:val="16"/>
                <w:lang w:val="fr-CH" w:eastAsia="en-US"/>
              </w:rPr>
              <w:t>intention à la fois des clients internes et des parties prenantes externes</w:t>
            </w:r>
          </w:p>
        </w:tc>
        <w:tc>
          <w:tcPr>
            <w:tcW w:w="2393" w:type="dxa"/>
            <w:shd w:val="clear" w:color="auto" w:fill="auto"/>
            <w:tcMar>
              <w:top w:w="57" w:type="dxa"/>
            </w:tcMar>
            <w:hideMark/>
          </w:tcPr>
          <w:p w14:paraId="76C9DD90" w14:textId="77777777" w:rsidR="00871D8A" w:rsidRPr="00D329CC" w:rsidRDefault="00871D8A" w:rsidP="00986700">
            <w:pPr>
              <w:rPr>
                <w:rFonts w:asciiTheme="minorBidi" w:eastAsia="Times New Roman" w:hAnsiTheme="minorBidi"/>
                <w:color w:val="000000"/>
                <w:sz w:val="16"/>
                <w:szCs w:val="16"/>
                <w:lang w:val="fr-CH" w:eastAsia="en-US"/>
              </w:rPr>
            </w:pPr>
            <w:r w:rsidRPr="00D329CC">
              <w:rPr>
                <w:rFonts w:asciiTheme="minorBidi" w:eastAsia="Times New Roman" w:hAnsiTheme="minorBidi"/>
                <w:color w:val="000000"/>
                <w:sz w:val="16"/>
                <w:szCs w:val="16"/>
                <w:lang w:val="fr-CH" w:eastAsia="en-US"/>
              </w:rPr>
              <w:t>Économies sur les achats de biens et de services effectués par l</w:t>
            </w:r>
            <w:r>
              <w:rPr>
                <w:rFonts w:asciiTheme="minorBidi" w:eastAsia="Times New Roman" w:hAnsiTheme="minorBidi"/>
                <w:color w:val="000000"/>
                <w:sz w:val="16"/>
                <w:szCs w:val="16"/>
                <w:lang w:val="fr-CH" w:eastAsia="en-US"/>
              </w:rPr>
              <w:t>’</w:t>
            </w:r>
            <w:r w:rsidRPr="00D329CC">
              <w:rPr>
                <w:rFonts w:asciiTheme="minorBidi" w:eastAsia="Times New Roman" w:hAnsiTheme="minorBidi"/>
                <w:color w:val="000000"/>
                <w:sz w:val="16"/>
                <w:szCs w:val="16"/>
                <w:lang w:val="fr-CH" w:eastAsia="en-US"/>
              </w:rPr>
              <w:t xml:space="preserve">OMPI </w:t>
            </w:r>
          </w:p>
        </w:tc>
        <w:tc>
          <w:tcPr>
            <w:tcW w:w="2393" w:type="dxa"/>
            <w:shd w:val="clear" w:color="000000" w:fill="FFFFFF"/>
            <w:tcMar>
              <w:top w:w="57" w:type="dxa"/>
            </w:tcMar>
            <w:hideMark/>
          </w:tcPr>
          <w:p w14:paraId="3945DA4B" w14:textId="20825D8B" w:rsidR="00871D8A" w:rsidRPr="00905692" w:rsidRDefault="00871D8A" w:rsidP="00064132">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1 801 </w:t>
            </w:r>
            <w:r w:rsidRPr="00905692">
              <w:rPr>
                <w:rFonts w:asciiTheme="minorBidi" w:eastAsia="Times New Roman" w:hAnsiTheme="minorBidi"/>
                <w:color w:val="000000"/>
                <w:sz w:val="16"/>
                <w:szCs w:val="16"/>
                <w:lang w:val="fr-CH" w:eastAsia="en-US"/>
              </w:rPr>
              <w:t>919</w:t>
            </w:r>
            <w:r>
              <w:rPr>
                <w:rFonts w:asciiTheme="minorBidi" w:eastAsia="Times New Roman" w:hAnsiTheme="minorBidi"/>
                <w:color w:val="000000"/>
                <w:sz w:val="16"/>
                <w:szCs w:val="16"/>
                <w:lang w:val="fr-CH" w:eastAsia="en-US"/>
              </w:rPr>
              <w:t> francs suisses</w:t>
            </w:r>
            <w:r w:rsidRPr="00905692">
              <w:rPr>
                <w:rFonts w:asciiTheme="minorBidi" w:eastAsia="Times New Roman" w:hAnsiTheme="minorBidi"/>
                <w:color w:val="000000"/>
                <w:sz w:val="16"/>
                <w:szCs w:val="16"/>
                <w:lang w:val="fr-CH" w:eastAsia="en-US"/>
              </w:rPr>
              <w:br/>
              <w:t>(2016)</w:t>
            </w:r>
          </w:p>
        </w:tc>
        <w:tc>
          <w:tcPr>
            <w:tcW w:w="2393" w:type="dxa"/>
            <w:shd w:val="clear" w:color="000000" w:fill="FFFFFF"/>
            <w:tcMar>
              <w:top w:w="57" w:type="dxa"/>
            </w:tcMar>
            <w:hideMark/>
          </w:tcPr>
          <w:p w14:paraId="47D44830" w14:textId="77777777" w:rsidR="00871D8A" w:rsidRPr="00C635CE" w:rsidRDefault="00871D8A"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2 </w:t>
            </w:r>
            <w:r w:rsidRPr="00C635CE">
              <w:rPr>
                <w:rFonts w:asciiTheme="minorBidi" w:eastAsia="Times New Roman" w:hAnsiTheme="minorBidi"/>
                <w:color w:val="000000"/>
                <w:sz w:val="16"/>
                <w:szCs w:val="16"/>
                <w:lang w:eastAsia="en-US"/>
              </w:rPr>
              <w:t>000</w:t>
            </w:r>
            <w:r>
              <w:rPr>
                <w:rFonts w:asciiTheme="minorBidi" w:eastAsia="Times New Roman" w:hAnsiTheme="minorBidi"/>
                <w:color w:val="000000"/>
                <w:sz w:val="16"/>
                <w:szCs w:val="16"/>
                <w:lang w:eastAsia="en-US"/>
              </w:rPr>
              <w:t> </w:t>
            </w:r>
            <w:r w:rsidRPr="00C635CE">
              <w:rPr>
                <w:rFonts w:asciiTheme="minorBidi" w:eastAsia="Times New Roman" w:hAnsiTheme="minorBidi"/>
                <w:color w:val="000000"/>
                <w:sz w:val="16"/>
                <w:szCs w:val="16"/>
                <w:lang w:eastAsia="en-US"/>
              </w:rPr>
              <w:t>000</w:t>
            </w:r>
            <w:r>
              <w:rPr>
                <w:rFonts w:asciiTheme="minorBidi" w:eastAsia="Times New Roman" w:hAnsiTheme="minorBidi"/>
                <w:color w:val="000000"/>
                <w:sz w:val="16"/>
                <w:szCs w:val="16"/>
                <w:lang w:eastAsia="en-US"/>
              </w:rPr>
              <w:t> francs suisses</w:t>
            </w:r>
            <w:r w:rsidRPr="00C635CE">
              <w:rPr>
                <w:rFonts w:asciiTheme="minorBidi" w:eastAsia="Times New Roman" w:hAnsiTheme="minorBidi"/>
                <w:color w:val="000000"/>
                <w:sz w:val="16"/>
                <w:szCs w:val="16"/>
                <w:lang w:eastAsia="en-US"/>
              </w:rPr>
              <w:t xml:space="preserve"> </w:t>
            </w:r>
            <w:r w:rsidRPr="00C635CE">
              <w:rPr>
                <w:rFonts w:asciiTheme="minorBidi" w:eastAsia="Times New Roman" w:hAnsiTheme="minorBidi"/>
                <w:color w:val="000000"/>
                <w:sz w:val="16"/>
                <w:szCs w:val="16"/>
                <w:lang w:eastAsia="en-US"/>
              </w:rPr>
              <w:br/>
              <w:t>(annu</w:t>
            </w:r>
            <w:r>
              <w:rPr>
                <w:rFonts w:asciiTheme="minorBidi" w:eastAsia="Times New Roman" w:hAnsiTheme="minorBidi"/>
                <w:color w:val="000000"/>
                <w:sz w:val="16"/>
                <w:szCs w:val="16"/>
                <w:lang w:eastAsia="en-US"/>
              </w:rPr>
              <w:t>e</w:t>
            </w:r>
            <w:r w:rsidRPr="00C635CE">
              <w:rPr>
                <w:rFonts w:asciiTheme="minorBidi" w:eastAsia="Times New Roman" w:hAnsiTheme="minorBidi"/>
                <w:color w:val="000000"/>
                <w:sz w:val="16"/>
                <w:szCs w:val="16"/>
                <w:lang w:eastAsia="en-US"/>
              </w:rPr>
              <w:t>l)</w:t>
            </w:r>
          </w:p>
        </w:tc>
      </w:tr>
      <w:tr w:rsidR="00871D8A" w:rsidRPr="003D18B3" w14:paraId="6665098A" w14:textId="77777777" w:rsidTr="00871D8A">
        <w:trPr>
          <w:cantSplit/>
        </w:trPr>
        <w:tc>
          <w:tcPr>
            <w:tcW w:w="2392" w:type="dxa"/>
            <w:vMerge/>
            <w:shd w:val="clear" w:color="auto" w:fill="auto"/>
            <w:tcMar>
              <w:top w:w="57" w:type="dxa"/>
            </w:tcMar>
            <w:vAlign w:val="bottom"/>
            <w:hideMark/>
          </w:tcPr>
          <w:p w14:paraId="3F943676" w14:textId="77777777" w:rsidR="00871D8A" w:rsidRPr="00C635CE" w:rsidRDefault="00871D8A" w:rsidP="00986700">
            <w:pPr>
              <w:jc w:val="right"/>
              <w:rPr>
                <w:rFonts w:asciiTheme="minorBidi" w:eastAsia="Times New Roman" w:hAnsiTheme="minorBidi"/>
                <w:color w:val="000000"/>
                <w:sz w:val="16"/>
                <w:szCs w:val="16"/>
                <w:lang w:eastAsia="en-US"/>
              </w:rPr>
            </w:pPr>
          </w:p>
        </w:tc>
        <w:tc>
          <w:tcPr>
            <w:tcW w:w="2393" w:type="dxa"/>
            <w:shd w:val="clear" w:color="000000" w:fill="FFFFFF"/>
            <w:tcMar>
              <w:top w:w="57" w:type="dxa"/>
            </w:tcMar>
            <w:hideMark/>
          </w:tcPr>
          <w:p w14:paraId="33FA1699" w14:textId="256634A2" w:rsidR="00871D8A" w:rsidRPr="00D329CC" w:rsidRDefault="00871D8A" w:rsidP="00986700">
            <w:pPr>
              <w:rPr>
                <w:rFonts w:asciiTheme="minorBidi" w:eastAsia="Times New Roman" w:hAnsiTheme="minorBidi"/>
                <w:color w:val="000000"/>
                <w:sz w:val="16"/>
                <w:szCs w:val="16"/>
                <w:lang w:val="fr-CH" w:eastAsia="en-US"/>
              </w:rPr>
            </w:pPr>
            <w:r w:rsidRPr="00D329CC">
              <w:rPr>
                <w:rFonts w:asciiTheme="minorBidi" w:eastAsia="Times New Roman" w:hAnsiTheme="minorBidi"/>
                <w:color w:val="000000"/>
                <w:sz w:val="16"/>
                <w:szCs w:val="16"/>
                <w:lang w:val="fr-CH" w:eastAsia="en-US"/>
              </w:rPr>
              <w:t>Pourcentage des dépenses autr</w:t>
            </w:r>
            <w:r>
              <w:rPr>
                <w:rFonts w:asciiTheme="minorBidi" w:eastAsia="Times New Roman" w:hAnsiTheme="minorBidi"/>
                <w:color w:val="000000"/>
                <w:sz w:val="16"/>
                <w:szCs w:val="16"/>
                <w:lang w:val="fr-CH" w:eastAsia="en-US"/>
              </w:rPr>
              <w:t xml:space="preserve">es que les dépenses de personnel grâce </w:t>
            </w:r>
            <w:r w:rsidR="00AF07A2">
              <w:rPr>
                <w:rFonts w:asciiTheme="minorBidi" w:eastAsia="Times New Roman" w:hAnsiTheme="minorBidi"/>
                <w:color w:val="000000"/>
                <w:sz w:val="16"/>
                <w:szCs w:val="16"/>
                <w:lang w:val="fr-CH" w:eastAsia="en-US"/>
              </w:rPr>
              <w:t xml:space="preserve">à des contrats </w:t>
            </w:r>
            <w:r>
              <w:rPr>
                <w:rFonts w:asciiTheme="minorBidi" w:eastAsia="Times New Roman" w:hAnsiTheme="minorBidi"/>
                <w:color w:val="000000"/>
                <w:sz w:val="16"/>
                <w:szCs w:val="16"/>
                <w:lang w:val="fr-CH" w:eastAsia="en-US"/>
              </w:rPr>
              <w:t>à long terme</w:t>
            </w:r>
          </w:p>
        </w:tc>
        <w:tc>
          <w:tcPr>
            <w:tcW w:w="2393" w:type="dxa"/>
            <w:shd w:val="clear" w:color="000000" w:fill="FFFFFF"/>
            <w:tcMar>
              <w:top w:w="57" w:type="dxa"/>
            </w:tcMar>
            <w:hideMark/>
          </w:tcPr>
          <w:p w14:paraId="1C41BB3C" w14:textId="70B54504" w:rsidR="00871D8A" w:rsidRPr="00E11CD1" w:rsidRDefault="008B3CED" w:rsidP="008B3CED">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À déterminer</w:t>
            </w:r>
          </w:p>
        </w:tc>
        <w:tc>
          <w:tcPr>
            <w:tcW w:w="2393" w:type="dxa"/>
            <w:shd w:val="clear" w:color="000000" w:fill="FFFFFF"/>
            <w:tcMar>
              <w:top w:w="57" w:type="dxa"/>
            </w:tcMar>
            <w:hideMark/>
          </w:tcPr>
          <w:p w14:paraId="20B8A37F" w14:textId="77777777" w:rsidR="00871D8A" w:rsidRPr="003D18B3" w:rsidRDefault="00871D8A" w:rsidP="00986700">
            <w:pPr>
              <w:rPr>
                <w:rFonts w:asciiTheme="minorBidi" w:eastAsia="Times New Roman" w:hAnsiTheme="minorBidi"/>
                <w:color w:val="000000"/>
                <w:sz w:val="16"/>
                <w:szCs w:val="16"/>
                <w:lang w:val="fr-CH" w:eastAsia="en-US"/>
              </w:rPr>
            </w:pPr>
            <w:r w:rsidRPr="003D18B3">
              <w:rPr>
                <w:rFonts w:asciiTheme="minorBidi" w:eastAsia="Times New Roman" w:hAnsiTheme="minorBidi"/>
                <w:color w:val="000000"/>
                <w:sz w:val="16"/>
                <w:szCs w:val="16"/>
                <w:lang w:val="fr-CH" w:eastAsia="en-US"/>
              </w:rPr>
              <w:t>Augmentation de 10% sur l</w:t>
            </w:r>
            <w:r>
              <w:rPr>
                <w:rFonts w:asciiTheme="minorBidi" w:eastAsia="Times New Roman" w:hAnsiTheme="minorBidi"/>
                <w:color w:val="000000"/>
                <w:sz w:val="16"/>
                <w:szCs w:val="16"/>
                <w:lang w:val="fr-CH" w:eastAsia="en-US"/>
              </w:rPr>
              <w:t>’</w:t>
            </w:r>
            <w:r w:rsidRPr="003D18B3">
              <w:rPr>
                <w:rFonts w:asciiTheme="minorBidi" w:eastAsia="Times New Roman" w:hAnsiTheme="minorBidi"/>
                <w:color w:val="000000"/>
                <w:sz w:val="16"/>
                <w:szCs w:val="16"/>
                <w:lang w:val="fr-CH" w:eastAsia="en-US"/>
              </w:rPr>
              <w:t xml:space="preserve">exercice biennal </w:t>
            </w:r>
          </w:p>
        </w:tc>
      </w:tr>
      <w:tr w:rsidR="00871D8A" w:rsidRPr="00B95416" w14:paraId="18EDD5CD" w14:textId="77777777" w:rsidTr="00871D8A">
        <w:trPr>
          <w:cantSplit/>
        </w:trPr>
        <w:tc>
          <w:tcPr>
            <w:tcW w:w="2392" w:type="dxa"/>
            <w:shd w:val="clear" w:color="000000" w:fill="FFFFFF"/>
            <w:tcMar>
              <w:top w:w="57" w:type="dxa"/>
            </w:tcMar>
            <w:vAlign w:val="bottom"/>
            <w:hideMark/>
          </w:tcPr>
          <w:p w14:paraId="4D2BDB22" w14:textId="77777777" w:rsidR="00871D8A" w:rsidRPr="003D18B3" w:rsidRDefault="00871D8A" w:rsidP="00986700">
            <w:pPr>
              <w:jc w:val="right"/>
              <w:rPr>
                <w:rFonts w:asciiTheme="minorBidi" w:eastAsia="Times New Roman" w:hAnsiTheme="minorBidi"/>
                <w:color w:val="000000"/>
                <w:sz w:val="16"/>
                <w:szCs w:val="16"/>
                <w:lang w:val="fr-CH" w:eastAsia="en-US"/>
              </w:rPr>
            </w:pPr>
            <w:r w:rsidRPr="003D18B3">
              <w:rPr>
                <w:rFonts w:asciiTheme="minorBidi" w:eastAsia="Times New Roman" w:hAnsiTheme="minorBidi"/>
                <w:color w:val="000000"/>
                <w:sz w:val="16"/>
                <w:szCs w:val="16"/>
                <w:lang w:val="fr-CH" w:eastAsia="en-US"/>
              </w:rPr>
              <w:t> </w:t>
            </w:r>
          </w:p>
        </w:tc>
        <w:tc>
          <w:tcPr>
            <w:tcW w:w="2393" w:type="dxa"/>
            <w:shd w:val="clear" w:color="000000" w:fill="FFFFFF"/>
            <w:tcMar>
              <w:top w:w="57" w:type="dxa"/>
            </w:tcMar>
            <w:hideMark/>
          </w:tcPr>
          <w:p w14:paraId="69B453EE" w14:textId="77777777" w:rsidR="00DE1B2D" w:rsidRDefault="00871D8A" w:rsidP="00986700">
            <w:pPr>
              <w:rPr>
                <w:rFonts w:asciiTheme="minorBidi" w:eastAsia="Times New Roman" w:hAnsiTheme="minorBidi"/>
                <w:color w:val="000000"/>
                <w:sz w:val="16"/>
                <w:szCs w:val="16"/>
                <w:lang w:val="fr-CH" w:eastAsia="en-US"/>
              </w:rPr>
            </w:pPr>
            <w:r w:rsidRPr="00E11CD1">
              <w:rPr>
                <w:rFonts w:asciiTheme="minorBidi" w:eastAsia="Times New Roman" w:hAnsiTheme="minorBidi"/>
                <w:color w:val="000000"/>
                <w:sz w:val="16"/>
                <w:szCs w:val="16"/>
                <w:lang w:val="fr-CH" w:eastAsia="en-US"/>
              </w:rPr>
              <w:t>Temps de traitement des demandes électroniques</w:t>
            </w:r>
            <w:r>
              <w:rPr>
                <w:rFonts w:asciiTheme="minorBidi" w:eastAsia="Times New Roman" w:hAnsiTheme="minorBidi"/>
                <w:color w:val="000000"/>
                <w:sz w:val="16"/>
                <w:szCs w:val="16"/>
                <w:lang w:val="fr-CH" w:eastAsia="en-US"/>
              </w:rPr>
              <w:t xml:space="preserve"> </w:t>
            </w:r>
          </w:p>
          <w:p w14:paraId="3E5D016D" w14:textId="77777777" w:rsidR="00DE1B2D" w:rsidRDefault="00DE1B2D" w:rsidP="00986700">
            <w:pPr>
              <w:rPr>
                <w:rFonts w:asciiTheme="minorBidi" w:eastAsia="Times New Roman" w:hAnsiTheme="minorBidi"/>
                <w:color w:val="000000"/>
                <w:sz w:val="16"/>
                <w:szCs w:val="16"/>
                <w:lang w:val="fr-CH" w:eastAsia="en-US"/>
              </w:rPr>
            </w:pPr>
          </w:p>
          <w:p w14:paraId="29B0D3A5" w14:textId="77777777" w:rsidR="00DE1B2D" w:rsidRDefault="00871D8A" w:rsidP="00986700">
            <w:pPr>
              <w:rPr>
                <w:rFonts w:asciiTheme="minorBidi" w:eastAsia="Times New Roman" w:hAnsiTheme="minorBidi"/>
                <w:color w:val="000000"/>
                <w:sz w:val="16"/>
                <w:szCs w:val="16"/>
                <w:lang w:val="fr-CH" w:eastAsia="en-US"/>
              </w:rPr>
            </w:pPr>
            <w:r w:rsidRPr="00E11CD1">
              <w:rPr>
                <w:rFonts w:asciiTheme="minorBidi" w:eastAsia="Times New Roman" w:hAnsiTheme="minorBidi"/>
                <w:color w:val="000000"/>
                <w:sz w:val="16"/>
                <w:szCs w:val="16"/>
                <w:lang w:val="fr-CH" w:eastAsia="en-US"/>
              </w:rPr>
              <w:t xml:space="preserve">Temps de traitement des </w:t>
            </w:r>
            <w:r>
              <w:rPr>
                <w:rFonts w:asciiTheme="minorBidi" w:eastAsia="Times New Roman" w:hAnsiTheme="minorBidi"/>
                <w:color w:val="000000"/>
                <w:sz w:val="16"/>
                <w:szCs w:val="16"/>
                <w:lang w:val="fr-CH" w:eastAsia="en-US"/>
              </w:rPr>
              <w:t>autorisations de voyage électroniques</w:t>
            </w:r>
          </w:p>
          <w:p w14:paraId="3EB60E0C" w14:textId="77777777" w:rsidR="00DE1B2D" w:rsidRDefault="00DE1B2D" w:rsidP="00986700">
            <w:pPr>
              <w:rPr>
                <w:rFonts w:asciiTheme="minorBidi" w:eastAsia="Times New Roman" w:hAnsiTheme="minorBidi"/>
                <w:color w:val="000000"/>
                <w:sz w:val="16"/>
                <w:szCs w:val="16"/>
                <w:lang w:val="fr-CH" w:eastAsia="en-US"/>
              </w:rPr>
            </w:pPr>
          </w:p>
          <w:p w14:paraId="268285B0" w14:textId="7FB43083" w:rsidR="00871D8A" w:rsidRPr="00E11CD1" w:rsidRDefault="00871D8A" w:rsidP="00986700">
            <w:pPr>
              <w:rPr>
                <w:rFonts w:asciiTheme="minorBidi" w:eastAsia="Times New Roman" w:hAnsiTheme="minorBidi"/>
                <w:color w:val="000000"/>
                <w:sz w:val="16"/>
                <w:szCs w:val="16"/>
                <w:lang w:val="fr-CH" w:eastAsia="en-US"/>
              </w:rPr>
            </w:pPr>
            <w:r w:rsidRPr="00E11CD1">
              <w:rPr>
                <w:rFonts w:asciiTheme="minorBidi" w:eastAsia="Times New Roman" w:hAnsiTheme="minorBidi"/>
                <w:color w:val="000000"/>
                <w:sz w:val="16"/>
                <w:szCs w:val="16"/>
                <w:lang w:val="fr-CH" w:eastAsia="en-US"/>
              </w:rPr>
              <w:t xml:space="preserve">Temps de traitement des </w:t>
            </w:r>
            <w:r>
              <w:rPr>
                <w:rFonts w:asciiTheme="minorBidi" w:eastAsia="Times New Roman" w:hAnsiTheme="minorBidi"/>
                <w:color w:val="000000"/>
                <w:sz w:val="16"/>
                <w:szCs w:val="16"/>
                <w:lang w:val="fr-CH" w:eastAsia="en-US"/>
              </w:rPr>
              <w:t>v</w:t>
            </w:r>
            <w:r w:rsidRPr="00E11CD1">
              <w:rPr>
                <w:rFonts w:asciiTheme="minorBidi" w:eastAsia="Times New Roman" w:hAnsiTheme="minorBidi"/>
                <w:color w:val="000000"/>
                <w:sz w:val="16"/>
                <w:szCs w:val="16"/>
                <w:lang w:val="fr-CH" w:eastAsia="en-US"/>
              </w:rPr>
              <w:t>isa</w:t>
            </w:r>
            <w:r>
              <w:rPr>
                <w:rFonts w:asciiTheme="minorBidi" w:eastAsia="Times New Roman" w:hAnsiTheme="minorBidi"/>
                <w:color w:val="000000"/>
                <w:sz w:val="16"/>
                <w:szCs w:val="16"/>
                <w:lang w:val="fr-CH" w:eastAsia="en-US"/>
              </w:rPr>
              <w:t>s</w:t>
            </w:r>
          </w:p>
        </w:tc>
        <w:tc>
          <w:tcPr>
            <w:tcW w:w="2393" w:type="dxa"/>
            <w:shd w:val="clear" w:color="000000" w:fill="FFFFFF"/>
            <w:tcMar>
              <w:top w:w="57" w:type="dxa"/>
            </w:tcMar>
            <w:hideMark/>
          </w:tcPr>
          <w:p w14:paraId="31A29599" w14:textId="6C10AA98" w:rsidR="00DE1B2D" w:rsidRDefault="00871D8A"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Une demi</w:t>
            </w:r>
            <w:r w:rsidR="00B441CA">
              <w:rPr>
                <w:rFonts w:asciiTheme="minorBidi" w:eastAsia="Times New Roman" w:hAnsiTheme="minorBidi"/>
                <w:color w:val="000000"/>
                <w:sz w:val="16"/>
                <w:szCs w:val="16"/>
                <w:lang w:val="fr-CH" w:eastAsia="en-US"/>
              </w:rPr>
              <w:noBreakHyphen/>
            </w:r>
            <w:r w:rsidRPr="00905692">
              <w:rPr>
                <w:rFonts w:asciiTheme="minorBidi" w:eastAsia="Times New Roman" w:hAnsiTheme="minorBidi"/>
                <w:color w:val="000000"/>
                <w:sz w:val="16"/>
                <w:szCs w:val="16"/>
                <w:lang w:val="fr-CH" w:eastAsia="en-US"/>
              </w:rPr>
              <w:t>journée (2016)</w:t>
            </w:r>
          </w:p>
          <w:p w14:paraId="72E3C22E" w14:textId="77777777" w:rsidR="00DE1B2D" w:rsidRDefault="00DE1B2D" w:rsidP="00986700">
            <w:pPr>
              <w:rPr>
                <w:rFonts w:asciiTheme="minorBidi" w:eastAsia="Times New Roman" w:hAnsiTheme="minorBidi"/>
                <w:color w:val="000000"/>
                <w:sz w:val="16"/>
                <w:szCs w:val="16"/>
                <w:lang w:val="fr-CH" w:eastAsia="en-US"/>
              </w:rPr>
            </w:pPr>
          </w:p>
          <w:p w14:paraId="7ADF7053" w14:textId="41F334C7" w:rsidR="00DE1B2D"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Moins d</w:t>
            </w:r>
            <w:r>
              <w:rPr>
                <w:rFonts w:asciiTheme="minorBidi" w:eastAsia="Times New Roman" w:hAnsiTheme="minorBidi"/>
                <w:color w:val="000000"/>
                <w:sz w:val="16"/>
                <w:szCs w:val="16"/>
                <w:lang w:val="fr-CH" w:eastAsia="en-US"/>
              </w:rPr>
              <w:t>’une demi</w:t>
            </w:r>
            <w:r w:rsidR="00B441CA">
              <w:rPr>
                <w:rFonts w:asciiTheme="minorBidi" w:eastAsia="Times New Roman" w:hAnsiTheme="minorBidi"/>
                <w:color w:val="000000"/>
                <w:sz w:val="16"/>
                <w:szCs w:val="16"/>
                <w:lang w:val="fr-CH" w:eastAsia="en-US"/>
              </w:rPr>
              <w:noBreakHyphen/>
            </w:r>
            <w:r w:rsidRPr="00905692">
              <w:rPr>
                <w:rFonts w:asciiTheme="minorBidi" w:eastAsia="Times New Roman" w:hAnsiTheme="minorBidi"/>
                <w:color w:val="000000"/>
                <w:sz w:val="16"/>
                <w:szCs w:val="16"/>
                <w:lang w:val="fr-CH" w:eastAsia="en-US"/>
              </w:rPr>
              <w:t>journée (2016)</w:t>
            </w:r>
          </w:p>
          <w:p w14:paraId="39537204" w14:textId="77777777" w:rsidR="00DE1B2D" w:rsidRDefault="00DE1B2D" w:rsidP="00986700">
            <w:pPr>
              <w:rPr>
                <w:rFonts w:asciiTheme="minorBidi" w:eastAsia="Times New Roman" w:hAnsiTheme="minorBidi"/>
                <w:color w:val="000000"/>
                <w:sz w:val="16"/>
                <w:szCs w:val="16"/>
                <w:lang w:val="fr-CH" w:eastAsia="en-US"/>
              </w:rPr>
            </w:pPr>
          </w:p>
          <w:p w14:paraId="784F7EB6" w14:textId="68E521ED" w:rsidR="00871D8A" w:rsidRPr="00905692"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Moins d</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une journée (2016)</w:t>
            </w:r>
          </w:p>
        </w:tc>
        <w:tc>
          <w:tcPr>
            <w:tcW w:w="2393" w:type="dxa"/>
            <w:shd w:val="clear" w:color="000000" w:fill="FFFFFF"/>
            <w:tcMar>
              <w:top w:w="57" w:type="dxa"/>
            </w:tcMar>
            <w:hideMark/>
          </w:tcPr>
          <w:p w14:paraId="183189A3" w14:textId="72694363" w:rsidR="00DE1B2D"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Moins d</w:t>
            </w:r>
            <w:r>
              <w:rPr>
                <w:rFonts w:asciiTheme="minorBidi" w:eastAsia="Times New Roman" w:hAnsiTheme="minorBidi"/>
                <w:color w:val="000000"/>
                <w:sz w:val="16"/>
                <w:szCs w:val="16"/>
                <w:lang w:val="fr-CH" w:eastAsia="en-US"/>
              </w:rPr>
              <w:t>’une demi</w:t>
            </w:r>
            <w:r w:rsidR="00B441CA">
              <w:rPr>
                <w:rFonts w:asciiTheme="minorBidi" w:eastAsia="Times New Roman" w:hAnsiTheme="minorBidi"/>
                <w:color w:val="000000"/>
                <w:sz w:val="16"/>
                <w:szCs w:val="16"/>
                <w:lang w:val="fr-CH" w:eastAsia="en-US"/>
              </w:rPr>
              <w:noBreakHyphen/>
            </w:r>
            <w:r w:rsidRPr="00905692">
              <w:rPr>
                <w:rFonts w:asciiTheme="minorBidi" w:eastAsia="Times New Roman" w:hAnsiTheme="minorBidi"/>
                <w:color w:val="000000"/>
                <w:sz w:val="16"/>
                <w:szCs w:val="16"/>
                <w:lang w:val="fr-CH" w:eastAsia="en-US"/>
              </w:rPr>
              <w:t>journée</w:t>
            </w:r>
          </w:p>
          <w:p w14:paraId="467B3A49" w14:textId="77777777" w:rsidR="00DE1B2D" w:rsidRDefault="00DE1B2D" w:rsidP="00986700">
            <w:pPr>
              <w:rPr>
                <w:rFonts w:asciiTheme="minorBidi" w:eastAsia="Times New Roman" w:hAnsiTheme="minorBidi"/>
                <w:color w:val="000000"/>
                <w:sz w:val="16"/>
                <w:szCs w:val="16"/>
                <w:lang w:val="fr-CH" w:eastAsia="en-US"/>
              </w:rPr>
            </w:pPr>
          </w:p>
          <w:p w14:paraId="12811942" w14:textId="1F276FC0" w:rsidR="00DE1B2D"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Moins d</w:t>
            </w:r>
            <w:r>
              <w:rPr>
                <w:rFonts w:asciiTheme="minorBidi" w:eastAsia="Times New Roman" w:hAnsiTheme="minorBidi"/>
                <w:color w:val="000000"/>
                <w:sz w:val="16"/>
                <w:szCs w:val="16"/>
                <w:lang w:val="fr-CH" w:eastAsia="en-US"/>
              </w:rPr>
              <w:t>’une demi</w:t>
            </w:r>
            <w:r w:rsidR="00B441CA">
              <w:rPr>
                <w:rFonts w:asciiTheme="minorBidi" w:eastAsia="Times New Roman" w:hAnsiTheme="minorBidi"/>
                <w:color w:val="000000"/>
                <w:sz w:val="16"/>
                <w:szCs w:val="16"/>
                <w:lang w:val="fr-CH" w:eastAsia="en-US"/>
              </w:rPr>
              <w:noBreakHyphen/>
            </w:r>
            <w:r w:rsidRPr="00905692">
              <w:rPr>
                <w:rFonts w:asciiTheme="minorBidi" w:eastAsia="Times New Roman" w:hAnsiTheme="minorBidi"/>
                <w:color w:val="000000"/>
                <w:sz w:val="16"/>
                <w:szCs w:val="16"/>
                <w:lang w:val="fr-CH" w:eastAsia="en-US"/>
              </w:rPr>
              <w:t>journée</w:t>
            </w:r>
          </w:p>
          <w:p w14:paraId="4D65FA98" w14:textId="77777777" w:rsidR="00DE1B2D" w:rsidRDefault="00DE1B2D" w:rsidP="00986700">
            <w:pPr>
              <w:rPr>
                <w:rFonts w:asciiTheme="minorBidi" w:eastAsia="Times New Roman" w:hAnsiTheme="minorBidi"/>
                <w:color w:val="000000"/>
                <w:sz w:val="16"/>
                <w:szCs w:val="16"/>
                <w:lang w:val="fr-CH" w:eastAsia="en-US"/>
              </w:rPr>
            </w:pPr>
          </w:p>
          <w:p w14:paraId="1CBCFACA" w14:textId="7DB2BF68" w:rsidR="00871D8A" w:rsidRPr="00905692" w:rsidRDefault="00871D8A" w:rsidP="00986700">
            <w:pPr>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Moins d</w:t>
            </w:r>
            <w:r>
              <w:rPr>
                <w:rFonts w:asciiTheme="minorBidi" w:eastAsia="Times New Roman" w:hAnsiTheme="minorBidi"/>
                <w:color w:val="000000"/>
                <w:sz w:val="16"/>
                <w:szCs w:val="16"/>
                <w:lang w:val="fr-CH" w:eastAsia="en-US"/>
              </w:rPr>
              <w:t>’</w:t>
            </w:r>
            <w:r w:rsidRPr="00905692">
              <w:rPr>
                <w:rFonts w:asciiTheme="minorBidi" w:eastAsia="Times New Roman" w:hAnsiTheme="minorBidi"/>
                <w:color w:val="000000"/>
                <w:sz w:val="16"/>
                <w:szCs w:val="16"/>
                <w:lang w:val="fr-CH" w:eastAsia="en-US"/>
              </w:rPr>
              <w:t>une journée</w:t>
            </w:r>
          </w:p>
        </w:tc>
      </w:tr>
      <w:tr w:rsidR="00871D8A" w:rsidRPr="00C635CE" w14:paraId="089AF073" w14:textId="77777777" w:rsidTr="00871D8A">
        <w:trPr>
          <w:cantSplit/>
        </w:trPr>
        <w:tc>
          <w:tcPr>
            <w:tcW w:w="2392" w:type="dxa"/>
            <w:shd w:val="clear" w:color="000000" w:fill="FFFFFF"/>
            <w:tcMar>
              <w:top w:w="57" w:type="dxa"/>
            </w:tcMar>
            <w:vAlign w:val="bottom"/>
            <w:hideMark/>
          </w:tcPr>
          <w:p w14:paraId="772FD8B6" w14:textId="77777777" w:rsidR="00871D8A" w:rsidRPr="00905692" w:rsidRDefault="00871D8A" w:rsidP="00986700">
            <w:pPr>
              <w:jc w:val="right"/>
              <w:rPr>
                <w:rFonts w:asciiTheme="minorBidi" w:eastAsia="Times New Roman" w:hAnsiTheme="minorBidi"/>
                <w:color w:val="000000"/>
                <w:sz w:val="16"/>
                <w:szCs w:val="16"/>
                <w:lang w:val="fr-CH" w:eastAsia="en-US"/>
              </w:rPr>
            </w:pPr>
            <w:r w:rsidRPr="00905692">
              <w:rPr>
                <w:rFonts w:asciiTheme="minorBidi" w:eastAsia="Times New Roman" w:hAnsiTheme="minorBidi"/>
                <w:color w:val="000000"/>
                <w:sz w:val="16"/>
                <w:szCs w:val="16"/>
                <w:lang w:val="fr-CH" w:eastAsia="en-US"/>
              </w:rPr>
              <w:t> </w:t>
            </w:r>
          </w:p>
        </w:tc>
        <w:tc>
          <w:tcPr>
            <w:tcW w:w="2393" w:type="dxa"/>
            <w:shd w:val="clear" w:color="000000" w:fill="FFFFFF"/>
            <w:tcMar>
              <w:top w:w="57" w:type="dxa"/>
            </w:tcMar>
            <w:hideMark/>
          </w:tcPr>
          <w:p w14:paraId="56A38B72" w14:textId="77777777" w:rsidR="00DE1B2D" w:rsidRDefault="00871D8A" w:rsidP="00986700">
            <w:pPr>
              <w:rPr>
                <w:rFonts w:asciiTheme="minorBidi" w:eastAsia="Times New Roman" w:hAnsiTheme="minorBidi"/>
                <w:color w:val="000000"/>
                <w:sz w:val="16"/>
                <w:szCs w:val="16"/>
                <w:lang w:val="fr-CH" w:eastAsia="en-US"/>
              </w:rPr>
            </w:pPr>
            <w:r w:rsidRPr="00E11CD1">
              <w:rPr>
                <w:rFonts w:asciiTheme="minorBidi" w:eastAsia="Times New Roman" w:hAnsiTheme="minorBidi"/>
                <w:color w:val="000000"/>
                <w:sz w:val="16"/>
                <w:szCs w:val="16"/>
                <w:lang w:val="fr-CH" w:eastAsia="en-US"/>
              </w:rPr>
              <w:t>Prix moyen du billet d</w:t>
            </w:r>
            <w:r>
              <w:rPr>
                <w:rFonts w:asciiTheme="minorBidi" w:eastAsia="Times New Roman" w:hAnsiTheme="minorBidi"/>
                <w:color w:val="000000"/>
                <w:sz w:val="16"/>
                <w:szCs w:val="16"/>
                <w:lang w:val="fr-CH" w:eastAsia="en-US"/>
              </w:rPr>
              <w:t>’</w:t>
            </w:r>
            <w:r w:rsidRPr="00E11CD1">
              <w:rPr>
                <w:rFonts w:asciiTheme="minorBidi" w:eastAsia="Times New Roman" w:hAnsiTheme="minorBidi"/>
                <w:color w:val="000000"/>
                <w:sz w:val="16"/>
                <w:szCs w:val="16"/>
                <w:lang w:val="fr-CH" w:eastAsia="en-US"/>
              </w:rPr>
              <w:t>avion</w:t>
            </w:r>
          </w:p>
          <w:p w14:paraId="621DE6C3" w14:textId="77777777" w:rsidR="00DE1B2D" w:rsidRDefault="00DE1B2D" w:rsidP="00986700">
            <w:pPr>
              <w:rPr>
                <w:rFonts w:asciiTheme="minorBidi" w:eastAsia="Times New Roman" w:hAnsiTheme="minorBidi"/>
                <w:color w:val="000000"/>
                <w:sz w:val="16"/>
                <w:szCs w:val="16"/>
                <w:lang w:val="fr-CH" w:eastAsia="en-US"/>
              </w:rPr>
            </w:pPr>
          </w:p>
          <w:p w14:paraId="0199A3A6" w14:textId="5B297FEF" w:rsidR="00871D8A" w:rsidRPr="00E11CD1" w:rsidRDefault="00871D8A"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Coût moyen des frais de service</w:t>
            </w:r>
          </w:p>
        </w:tc>
        <w:tc>
          <w:tcPr>
            <w:tcW w:w="2393" w:type="dxa"/>
            <w:shd w:val="clear" w:color="auto" w:fill="auto"/>
            <w:tcMar>
              <w:top w:w="57" w:type="dxa"/>
            </w:tcMar>
            <w:hideMark/>
          </w:tcPr>
          <w:p w14:paraId="720C1AB8" w14:textId="77777777" w:rsidR="00DE1B2D" w:rsidRDefault="00871D8A"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1</w:t>
            </w:r>
            <w:r w:rsidRPr="00C635CE">
              <w:rPr>
                <w:rFonts w:asciiTheme="minorBidi" w:eastAsia="Times New Roman" w:hAnsiTheme="minorBidi"/>
                <w:color w:val="000000"/>
                <w:sz w:val="16"/>
                <w:szCs w:val="16"/>
                <w:lang w:eastAsia="en-US"/>
              </w:rPr>
              <w:t>315</w:t>
            </w:r>
            <w:r>
              <w:rPr>
                <w:rFonts w:asciiTheme="minorBidi" w:eastAsia="Times New Roman" w:hAnsiTheme="minorBidi"/>
                <w:color w:val="000000"/>
                <w:sz w:val="16"/>
                <w:szCs w:val="16"/>
                <w:lang w:eastAsia="en-US"/>
              </w:rPr>
              <w:t> francs suisses</w:t>
            </w:r>
            <w:r w:rsidRPr="00C635CE">
              <w:rPr>
                <w:rFonts w:asciiTheme="minorBidi" w:eastAsia="Times New Roman" w:hAnsiTheme="minorBidi"/>
                <w:color w:val="000000"/>
                <w:sz w:val="16"/>
                <w:szCs w:val="16"/>
                <w:lang w:eastAsia="en-US"/>
              </w:rPr>
              <w:t xml:space="preserve"> (2016)</w:t>
            </w:r>
          </w:p>
          <w:p w14:paraId="5F22712C" w14:textId="77777777" w:rsidR="00DE1B2D" w:rsidRDefault="00DE1B2D" w:rsidP="00986700">
            <w:pPr>
              <w:rPr>
                <w:rFonts w:asciiTheme="minorBidi" w:eastAsia="Times New Roman" w:hAnsiTheme="minorBidi"/>
                <w:color w:val="000000"/>
                <w:sz w:val="16"/>
                <w:szCs w:val="16"/>
                <w:lang w:eastAsia="en-US"/>
              </w:rPr>
            </w:pPr>
          </w:p>
          <w:p w14:paraId="7E27CF93" w14:textId="556A03D9" w:rsidR="00871D8A" w:rsidRPr="00C635CE" w:rsidRDefault="00871D8A" w:rsidP="00986700">
            <w:pPr>
              <w:rPr>
                <w:rFonts w:asciiTheme="minorBidi" w:eastAsia="Times New Roman" w:hAnsiTheme="minorBidi"/>
                <w:color w:val="000000"/>
                <w:sz w:val="16"/>
                <w:szCs w:val="16"/>
                <w:lang w:eastAsia="en-US"/>
              </w:rPr>
            </w:pPr>
            <w:r w:rsidRPr="00C635CE">
              <w:rPr>
                <w:rFonts w:asciiTheme="minorBidi" w:eastAsia="Times New Roman" w:hAnsiTheme="minorBidi"/>
                <w:color w:val="000000"/>
                <w:sz w:val="16"/>
                <w:szCs w:val="16"/>
                <w:lang w:eastAsia="en-US"/>
              </w:rPr>
              <w:t>92</w:t>
            </w:r>
            <w:r>
              <w:rPr>
                <w:rFonts w:asciiTheme="minorBidi" w:eastAsia="Times New Roman" w:hAnsiTheme="minorBidi"/>
                <w:color w:val="000000"/>
                <w:sz w:val="16"/>
                <w:szCs w:val="16"/>
                <w:lang w:eastAsia="en-US"/>
              </w:rPr>
              <w:t> francs suisses</w:t>
            </w:r>
            <w:r w:rsidRPr="00C635CE">
              <w:rPr>
                <w:rFonts w:asciiTheme="minorBidi" w:eastAsia="Times New Roman" w:hAnsiTheme="minorBidi"/>
                <w:color w:val="000000"/>
                <w:sz w:val="16"/>
                <w:szCs w:val="16"/>
                <w:lang w:eastAsia="en-US"/>
              </w:rPr>
              <w:t xml:space="preserve"> (2016)</w:t>
            </w:r>
          </w:p>
        </w:tc>
        <w:tc>
          <w:tcPr>
            <w:tcW w:w="2393" w:type="dxa"/>
            <w:shd w:val="clear" w:color="000000" w:fill="FFFFFF"/>
            <w:tcMar>
              <w:top w:w="57" w:type="dxa"/>
            </w:tcMar>
            <w:hideMark/>
          </w:tcPr>
          <w:p w14:paraId="47961B7B" w14:textId="77777777" w:rsidR="00DE1B2D" w:rsidRDefault="00871D8A" w:rsidP="00986700">
            <w:pPr>
              <w:rPr>
                <w:rFonts w:asciiTheme="minorBidi" w:eastAsia="Times New Roman" w:hAnsiTheme="minorBidi"/>
                <w:color w:val="000000"/>
                <w:sz w:val="16"/>
                <w:szCs w:val="16"/>
                <w:lang w:eastAsia="en-US"/>
              </w:rPr>
            </w:pPr>
            <w:r>
              <w:rPr>
                <w:rFonts w:asciiTheme="minorBidi" w:eastAsia="Times New Roman" w:hAnsiTheme="minorBidi"/>
                <w:color w:val="000000"/>
                <w:sz w:val="16"/>
                <w:szCs w:val="16"/>
                <w:lang w:eastAsia="en-US"/>
              </w:rPr>
              <w:t>&lt; 1</w:t>
            </w:r>
            <w:r w:rsidRPr="00C635CE">
              <w:rPr>
                <w:rFonts w:asciiTheme="minorBidi" w:eastAsia="Times New Roman" w:hAnsiTheme="minorBidi"/>
                <w:color w:val="000000"/>
                <w:sz w:val="16"/>
                <w:szCs w:val="16"/>
                <w:lang w:eastAsia="en-US"/>
              </w:rPr>
              <w:t>315</w:t>
            </w:r>
            <w:r>
              <w:rPr>
                <w:rFonts w:asciiTheme="minorBidi" w:eastAsia="Times New Roman" w:hAnsiTheme="minorBidi"/>
                <w:color w:val="000000"/>
                <w:sz w:val="16"/>
                <w:szCs w:val="16"/>
                <w:lang w:eastAsia="en-US"/>
              </w:rPr>
              <w:t> francs suisses</w:t>
            </w:r>
          </w:p>
          <w:p w14:paraId="469C19FB" w14:textId="77777777" w:rsidR="00DE1B2D" w:rsidRDefault="00DE1B2D" w:rsidP="00986700">
            <w:pPr>
              <w:rPr>
                <w:rFonts w:asciiTheme="minorBidi" w:eastAsia="Times New Roman" w:hAnsiTheme="minorBidi"/>
                <w:color w:val="000000"/>
                <w:sz w:val="16"/>
                <w:szCs w:val="16"/>
                <w:lang w:eastAsia="en-US"/>
              </w:rPr>
            </w:pPr>
          </w:p>
          <w:p w14:paraId="5853240D" w14:textId="64A91BCB" w:rsidR="00871D8A" w:rsidRPr="00C635CE" w:rsidRDefault="00871D8A" w:rsidP="00986700">
            <w:pPr>
              <w:rPr>
                <w:rFonts w:asciiTheme="minorBidi" w:eastAsia="Times New Roman" w:hAnsiTheme="minorBidi"/>
                <w:color w:val="000000"/>
                <w:sz w:val="16"/>
                <w:szCs w:val="16"/>
                <w:lang w:eastAsia="en-US"/>
              </w:rPr>
            </w:pPr>
            <w:r w:rsidRPr="00C635CE">
              <w:rPr>
                <w:rFonts w:asciiTheme="minorBidi" w:eastAsia="Times New Roman" w:hAnsiTheme="minorBidi"/>
                <w:color w:val="000000"/>
                <w:sz w:val="16"/>
                <w:szCs w:val="16"/>
                <w:lang w:eastAsia="en-US"/>
              </w:rPr>
              <w:t>&lt; 92</w:t>
            </w:r>
            <w:r>
              <w:rPr>
                <w:rFonts w:asciiTheme="minorBidi" w:eastAsia="Times New Roman" w:hAnsiTheme="minorBidi"/>
                <w:color w:val="000000"/>
                <w:sz w:val="16"/>
                <w:szCs w:val="16"/>
                <w:lang w:eastAsia="en-US"/>
              </w:rPr>
              <w:t> francs suisses</w:t>
            </w:r>
          </w:p>
        </w:tc>
      </w:tr>
      <w:tr w:rsidR="00871D8A" w:rsidRPr="00B95416" w14:paraId="3837027C" w14:textId="77777777" w:rsidTr="00871D8A">
        <w:trPr>
          <w:cantSplit/>
        </w:trPr>
        <w:tc>
          <w:tcPr>
            <w:tcW w:w="2392" w:type="dxa"/>
            <w:shd w:val="clear" w:color="000000" w:fill="FFFFFF"/>
            <w:tcMar>
              <w:top w:w="57" w:type="dxa"/>
            </w:tcMar>
            <w:vAlign w:val="bottom"/>
            <w:hideMark/>
          </w:tcPr>
          <w:p w14:paraId="3B072A91" w14:textId="77777777" w:rsidR="00871D8A" w:rsidRPr="00C635CE" w:rsidRDefault="00871D8A" w:rsidP="00986700">
            <w:pPr>
              <w:jc w:val="right"/>
              <w:rPr>
                <w:rFonts w:asciiTheme="minorBidi" w:eastAsia="Times New Roman" w:hAnsiTheme="minorBidi"/>
                <w:color w:val="000000"/>
                <w:sz w:val="16"/>
                <w:szCs w:val="16"/>
                <w:lang w:eastAsia="en-US"/>
              </w:rPr>
            </w:pPr>
            <w:r w:rsidRPr="00C635CE">
              <w:rPr>
                <w:rFonts w:asciiTheme="minorBidi" w:eastAsia="Times New Roman" w:hAnsiTheme="minorBidi"/>
                <w:color w:val="000000"/>
                <w:sz w:val="16"/>
                <w:szCs w:val="16"/>
                <w:lang w:eastAsia="en-US"/>
              </w:rPr>
              <w:t> </w:t>
            </w:r>
          </w:p>
        </w:tc>
        <w:tc>
          <w:tcPr>
            <w:tcW w:w="2393" w:type="dxa"/>
            <w:shd w:val="clear" w:color="000000" w:fill="FFFFFF"/>
            <w:tcMar>
              <w:top w:w="57" w:type="dxa"/>
            </w:tcMar>
            <w:hideMark/>
          </w:tcPr>
          <w:p w14:paraId="1CF8DEC2" w14:textId="77777777" w:rsidR="00871D8A" w:rsidRPr="00E11CD1" w:rsidRDefault="00871D8A" w:rsidP="00986700">
            <w:pPr>
              <w:rPr>
                <w:rFonts w:asciiTheme="minorBidi" w:eastAsia="Times New Roman" w:hAnsiTheme="minorBidi"/>
                <w:color w:val="000000"/>
                <w:sz w:val="16"/>
                <w:szCs w:val="16"/>
                <w:lang w:val="fr-CH" w:eastAsia="en-US"/>
              </w:rPr>
            </w:pPr>
            <w:r w:rsidRPr="00E11CD1">
              <w:rPr>
                <w:rFonts w:asciiTheme="minorBidi" w:eastAsia="Times New Roman" w:hAnsiTheme="minorBidi"/>
                <w:color w:val="000000"/>
                <w:sz w:val="16"/>
                <w:szCs w:val="16"/>
                <w:lang w:val="fr-CH" w:eastAsia="en-US"/>
              </w:rPr>
              <w:t>Locaux et installations de l</w:t>
            </w:r>
            <w:r>
              <w:rPr>
                <w:rFonts w:asciiTheme="minorBidi" w:eastAsia="Times New Roman" w:hAnsiTheme="minorBidi"/>
                <w:color w:val="000000"/>
                <w:sz w:val="16"/>
                <w:szCs w:val="16"/>
                <w:lang w:val="fr-CH" w:eastAsia="en-US"/>
              </w:rPr>
              <w:t>’</w:t>
            </w:r>
            <w:r w:rsidRPr="00E11CD1">
              <w:rPr>
                <w:rFonts w:asciiTheme="minorBidi" w:eastAsia="Times New Roman" w:hAnsiTheme="minorBidi"/>
                <w:color w:val="000000"/>
                <w:sz w:val="16"/>
                <w:szCs w:val="16"/>
                <w:lang w:val="fr-CH" w:eastAsia="en-US"/>
              </w:rPr>
              <w:t>OMPI restant adaptés à l</w:t>
            </w:r>
            <w:r>
              <w:rPr>
                <w:rFonts w:asciiTheme="minorBidi" w:eastAsia="Times New Roman" w:hAnsiTheme="minorBidi"/>
                <w:color w:val="000000"/>
                <w:sz w:val="16"/>
                <w:szCs w:val="16"/>
                <w:lang w:val="fr-CH" w:eastAsia="en-US"/>
              </w:rPr>
              <w:t>’</w:t>
            </w:r>
            <w:r w:rsidRPr="00E11CD1">
              <w:rPr>
                <w:rFonts w:asciiTheme="minorBidi" w:eastAsia="Times New Roman" w:hAnsiTheme="minorBidi"/>
                <w:color w:val="000000"/>
                <w:sz w:val="16"/>
                <w:szCs w:val="16"/>
                <w:lang w:val="fr-CH" w:eastAsia="en-US"/>
              </w:rPr>
              <w:t>usage prévu</w:t>
            </w:r>
          </w:p>
        </w:tc>
        <w:tc>
          <w:tcPr>
            <w:tcW w:w="2393" w:type="dxa"/>
            <w:shd w:val="clear" w:color="000000" w:fill="FFFFFF"/>
            <w:tcMar>
              <w:top w:w="57" w:type="dxa"/>
            </w:tcMar>
            <w:hideMark/>
          </w:tcPr>
          <w:p w14:paraId="12868967" w14:textId="77777777" w:rsidR="00871D8A" w:rsidRPr="009A2A59" w:rsidRDefault="00871D8A"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U</w:t>
            </w:r>
            <w:r w:rsidRPr="009A2A59">
              <w:rPr>
                <w:rFonts w:asciiTheme="minorBidi" w:eastAsia="Times New Roman" w:hAnsiTheme="minorBidi"/>
                <w:color w:val="000000"/>
                <w:sz w:val="16"/>
                <w:szCs w:val="16"/>
                <w:lang w:val="fr-CH" w:eastAsia="en-US"/>
              </w:rPr>
              <w:t>n jour ouvrable par an au maximum de panne d</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installations techniques (électricité, eau, chauffage, refroidissement, ventilation) ayant une incidence sur les activités principales de l</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OMPI</w:t>
            </w:r>
          </w:p>
        </w:tc>
        <w:tc>
          <w:tcPr>
            <w:tcW w:w="2393" w:type="dxa"/>
            <w:shd w:val="clear" w:color="000000" w:fill="FFFFFF"/>
            <w:tcMar>
              <w:top w:w="57" w:type="dxa"/>
            </w:tcMar>
            <w:hideMark/>
          </w:tcPr>
          <w:p w14:paraId="4E51EE7D" w14:textId="77777777" w:rsidR="00871D8A" w:rsidRPr="009A2A59" w:rsidRDefault="00871D8A" w:rsidP="00986700">
            <w:pPr>
              <w:rPr>
                <w:rFonts w:asciiTheme="minorBidi" w:eastAsia="Times New Roman" w:hAnsiTheme="minorBidi"/>
                <w:color w:val="000000"/>
                <w:sz w:val="16"/>
                <w:szCs w:val="16"/>
                <w:lang w:val="fr-CH" w:eastAsia="en-US"/>
              </w:rPr>
            </w:pPr>
            <w:r w:rsidRPr="009A2A59">
              <w:rPr>
                <w:rFonts w:asciiTheme="minorBidi" w:eastAsia="Times New Roman" w:hAnsiTheme="minorBidi"/>
                <w:color w:val="000000"/>
                <w:sz w:val="16"/>
                <w:szCs w:val="16"/>
                <w:lang w:val="fr-CH" w:eastAsia="en-US"/>
              </w:rPr>
              <w:t>Conserver la période d</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un jour ouvrable par an au maximum de panne d</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installations techniques (électricité, eau, chauffage, refroidissement, ventilation) ayant une incidence sur les activités principales de l</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OMPI</w:t>
            </w:r>
          </w:p>
        </w:tc>
      </w:tr>
      <w:tr w:rsidR="00871D8A" w:rsidRPr="00B95416" w14:paraId="2357CB34" w14:textId="77777777" w:rsidTr="00871D8A">
        <w:trPr>
          <w:cantSplit/>
        </w:trPr>
        <w:tc>
          <w:tcPr>
            <w:tcW w:w="2392" w:type="dxa"/>
            <w:shd w:val="clear" w:color="000000" w:fill="FFFFFF"/>
            <w:tcMar>
              <w:top w:w="57" w:type="dxa"/>
            </w:tcMar>
            <w:vAlign w:val="bottom"/>
            <w:hideMark/>
          </w:tcPr>
          <w:p w14:paraId="3167170E" w14:textId="77777777" w:rsidR="00871D8A" w:rsidRPr="009A2A59" w:rsidRDefault="00871D8A" w:rsidP="00986700">
            <w:pPr>
              <w:jc w:val="right"/>
              <w:rPr>
                <w:rFonts w:asciiTheme="minorBidi" w:eastAsia="Times New Roman" w:hAnsiTheme="minorBidi"/>
                <w:color w:val="000000"/>
                <w:sz w:val="16"/>
                <w:szCs w:val="16"/>
                <w:lang w:val="fr-CH" w:eastAsia="en-US"/>
              </w:rPr>
            </w:pPr>
            <w:r w:rsidRPr="009A2A59">
              <w:rPr>
                <w:rFonts w:asciiTheme="minorBidi" w:eastAsia="Times New Roman" w:hAnsiTheme="minorBidi"/>
                <w:color w:val="000000"/>
                <w:sz w:val="16"/>
                <w:szCs w:val="16"/>
                <w:lang w:val="fr-CH" w:eastAsia="en-US"/>
              </w:rPr>
              <w:lastRenderedPageBreak/>
              <w:t> </w:t>
            </w:r>
          </w:p>
        </w:tc>
        <w:tc>
          <w:tcPr>
            <w:tcW w:w="2393" w:type="dxa"/>
            <w:shd w:val="clear" w:color="000000" w:fill="FFFFFF"/>
            <w:tcMar>
              <w:top w:w="57" w:type="dxa"/>
            </w:tcMar>
            <w:hideMark/>
          </w:tcPr>
          <w:p w14:paraId="5AEC3CEA" w14:textId="77777777" w:rsidR="00871D8A" w:rsidRPr="009A2A59" w:rsidRDefault="00871D8A" w:rsidP="00986700">
            <w:pPr>
              <w:rPr>
                <w:rFonts w:asciiTheme="minorBidi" w:eastAsia="Times New Roman" w:hAnsiTheme="minorBidi"/>
                <w:color w:val="000000"/>
                <w:sz w:val="16"/>
                <w:szCs w:val="16"/>
                <w:lang w:val="fr-CH" w:eastAsia="en-US"/>
              </w:rPr>
            </w:pPr>
            <w:r w:rsidRPr="009A2A59">
              <w:rPr>
                <w:rFonts w:asciiTheme="minorBidi" w:eastAsia="Times New Roman" w:hAnsiTheme="minorBidi"/>
                <w:color w:val="000000"/>
                <w:sz w:val="16"/>
                <w:szCs w:val="16"/>
                <w:lang w:val="fr-CH" w:eastAsia="en-US"/>
              </w:rPr>
              <w:t>Les locaux de l</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 xml:space="preserve">OMPI sont </w:t>
            </w:r>
            <w:r>
              <w:rPr>
                <w:rFonts w:asciiTheme="minorBidi" w:eastAsia="Times New Roman" w:hAnsiTheme="minorBidi"/>
                <w:color w:val="000000"/>
                <w:sz w:val="16"/>
                <w:szCs w:val="16"/>
                <w:lang w:val="fr-CH" w:eastAsia="en-US"/>
              </w:rPr>
              <w:t>utilisés et occupés efficacement</w:t>
            </w:r>
          </w:p>
        </w:tc>
        <w:tc>
          <w:tcPr>
            <w:tcW w:w="2393" w:type="dxa"/>
            <w:shd w:val="clear" w:color="000000" w:fill="FFFFFF"/>
            <w:tcMar>
              <w:top w:w="57" w:type="dxa"/>
            </w:tcMar>
            <w:hideMark/>
          </w:tcPr>
          <w:p w14:paraId="33E9CC21" w14:textId="77777777" w:rsidR="00871D8A" w:rsidRPr="009A2A59" w:rsidRDefault="00871D8A" w:rsidP="00986700">
            <w:pPr>
              <w:rPr>
                <w:rFonts w:asciiTheme="minorBidi" w:eastAsia="Times New Roman" w:hAnsiTheme="minorBidi"/>
                <w:color w:val="000000"/>
                <w:sz w:val="16"/>
                <w:szCs w:val="16"/>
                <w:lang w:val="fr-CH" w:eastAsia="en-US"/>
              </w:rPr>
            </w:pPr>
            <w:r w:rsidRPr="009A2A59">
              <w:rPr>
                <w:rFonts w:asciiTheme="minorBidi" w:eastAsia="Times New Roman" w:hAnsiTheme="minorBidi"/>
                <w:color w:val="000000"/>
                <w:sz w:val="16"/>
                <w:szCs w:val="16"/>
                <w:lang w:val="fr-CH" w:eastAsia="en-US"/>
              </w:rPr>
              <w:t>80 espaces de travail loués;</w:t>
            </w:r>
            <w:r w:rsidRPr="009A2A59">
              <w:rPr>
                <w:rFonts w:asciiTheme="minorBidi" w:eastAsia="Times New Roman" w:hAnsiTheme="minorBidi"/>
                <w:color w:val="000000"/>
                <w:sz w:val="16"/>
                <w:szCs w:val="16"/>
                <w:lang w:val="fr-CH" w:eastAsia="en-US"/>
              </w:rPr>
              <w:br/>
              <w:t>4 zones de stockage ou d</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archivage hors site</w:t>
            </w:r>
            <w:r w:rsidRPr="009A2A59">
              <w:rPr>
                <w:rFonts w:asciiTheme="minorBidi" w:eastAsia="Times New Roman" w:hAnsiTheme="minorBidi"/>
                <w:color w:val="000000"/>
                <w:sz w:val="16"/>
                <w:szCs w:val="16"/>
                <w:lang w:val="fr-CH" w:eastAsia="en-US"/>
              </w:rPr>
              <w:br/>
              <w:t>(</w:t>
            </w:r>
            <w:r>
              <w:rPr>
                <w:rFonts w:asciiTheme="minorBidi" w:eastAsia="Times New Roman" w:hAnsiTheme="minorBidi"/>
                <w:color w:val="000000"/>
                <w:sz w:val="16"/>
                <w:szCs w:val="16"/>
                <w:lang w:val="fr-CH" w:eastAsia="en-US"/>
              </w:rPr>
              <w:t>à la fin de </w:t>
            </w:r>
            <w:r w:rsidRPr="009A2A59">
              <w:rPr>
                <w:rFonts w:asciiTheme="minorBidi" w:eastAsia="Times New Roman" w:hAnsiTheme="minorBidi"/>
                <w:color w:val="000000"/>
                <w:sz w:val="16"/>
                <w:szCs w:val="16"/>
                <w:lang w:val="fr-CH" w:eastAsia="en-US"/>
              </w:rPr>
              <w:t>2016)</w:t>
            </w:r>
          </w:p>
        </w:tc>
        <w:tc>
          <w:tcPr>
            <w:tcW w:w="2393" w:type="dxa"/>
            <w:shd w:val="clear" w:color="000000" w:fill="FFFFFF"/>
            <w:tcMar>
              <w:top w:w="57" w:type="dxa"/>
            </w:tcMar>
            <w:hideMark/>
          </w:tcPr>
          <w:p w14:paraId="2B48CFC7" w14:textId="77777777" w:rsidR="00871D8A" w:rsidRPr="009A2A59" w:rsidRDefault="00871D8A" w:rsidP="00986700">
            <w:pPr>
              <w:rPr>
                <w:rFonts w:asciiTheme="minorBidi" w:eastAsia="Times New Roman" w:hAnsiTheme="minorBidi"/>
                <w:color w:val="000000"/>
                <w:sz w:val="16"/>
                <w:szCs w:val="16"/>
                <w:lang w:val="fr-CH" w:eastAsia="en-US"/>
              </w:rPr>
            </w:pPr>
            <w:r w:rsidRPr="009A2A59">
              <w:rPr>
                <w:rFonts w:asciiTheme="minorBidi" w:eastAsia="Times New Roman" w:hAnsiTheme="minorBidi"/>
                <w:color w:val="000000"/>
                <w:sz w:val="16"/>
                <w:szCs w:val="16"/>
                <w:lang w:val="fr-CH" w:eastAsia="en-US"/>
              </w:rPr>
              <w:t>Conserver 80</w:t>
            </w:r>
            <w:r>
              <w:rPr>
                <w:rFonts w:asciiTheme="minorBidi" w:eastAsia="Times New Roman" w:hAnsiTheme="minorBidi"/>
                <w:color w:val="000000"/>
                <w:sz w:val="16"/>
                <w:szCs w:val="16"/>
                <w:lang w:val="fr-CH" w:eastAsia="en-US"/>
              </w:rPr>
              <w:t> </w:t>
            </w:r>
            <w:r w:rsidRPr="009A2A59">
              <w:rPr>
                <w:rFonts w:asciiTheme="minorBidi" w:eastAsia="Times New Roman" w:hAnsiTheme="minorBidi"/>
                <w:color w:val="000000"/>
                <w:sz w:val="16"/>
                <w:szCs w:val="16"/>
                <w:lang w:val="fr-CH" w:eastAsia="en-US"/>
              </w:rPr>
              <w:t>espaces de travail loués (</w:t>
            </w:r>
            <w:r>
              <w:rPr>
                <w:rFonts w:asciiTheme="minorBidi" w:eastAsia="Times New Roman" w:hAnsiTheme="minorBidi"/>
                <w:color w:val="000000"/>
                <w:sz w:val="16"/>
                <w:szCs w:val="16"/>
                <w:lang w:val="fr-CH" w:eastAsia="en-US"/>
              </w:rPr>
              <w:t xml:space="preserve">sous réserve </w:t>
            </w:r>
            <w:r w:rsidRPr="009A2A59">
              <w:rPr>
                <w:rFonts w:asciiTheme="minorBidi" w:eastAsia="Times New Roman" w:hAnsiTheme="minorBidi"/>
                <w:color w:val="000000"/>
                <w:sz w:val="16"/>
                <w:szCs w:val="16"/>
                <w:lang w:val="fr-CH" w:eastAsia="en-US"/>
              </w:rPr>
              <w:t>que l</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 xml:space="preserve">augmentation des besoins </w:t>
            </w:r>
            <w:r>
              <w:rPr>
                <w:rFonts w:asciiTheme="minorBidi" w:eastAsia="Times New Roman" w:hAnsiTheme="minorBidi"/>
                <w:color w:val="000000"/>
                <w:sz w:val="16"/>
                <w:szCs w:val="16"/>
                <w:lang w:val="fr-CH" w:eastAsia="en-US"/>
              </w:rPr>
              <w:t>opérationnels générés par les activités d’enregistrement de l’OMPI</w:t>
            </w:r>
            <w:r w:rsidRPr="009A2A59">
              <w:rPr>
                <w:rFonts w:asciiTheme="minorBidi" w:eastAsia="Times New Roman" w:hAnsiTheme="minorBidi"/>
                <w:color w:val="000000"/>
                <w:sz w:val="16"/>
                <w:szCs w:val="16"/>
                <w:lang w:val="fr-CH" w:eastAsia="en-US"/>
              </w:rPr>
              <w:t xml:space="preserve"> </w:t>
            </w:r>
            <w:r>
              <w:rPr>
                <w:rFonts w:asciiTheme="minorBidi" w:eastAsia="Times New Roman" w:hAnsiTheme="minorBidi"/>
                <w:color w:val="000000"/>
                <w:sz w:val="16"/>
                <w:szCs w:val="16"/>
                <w:lang w:val="fr-CH" w:eastAsia="en-US"/>
              </w:rPr>
              <w:t>corresponde aux augmentations annuelles de ces dernières années) et</w:t>
            </w:r>
            <w:r w:rsidRPr="009A2A59">
              <w:rPr>
                <w:rFonts w:asciiTheme="minorBidi" w:eastAsia="Times New Roman" w:hAnsiTheme="minorBidi"/>
                <w:color w:val="000000"/>
                <w:sz w:val="16"/>
                <w:szCs w:val="16"/>
                <w:lang w:val="fr-CH" w:eastAsia="en-US"/>
              </w:rPr>
              <w:t xml:space="preserve"> 2</w:t>
            </w:r>
            <w:r>
              <w:rPr>
                <w:rFonts w:asciiTheme="minorBidi" w:eastAsia="Times New Roman" w:hAnsiTheme="minorBidi"/>
                <w:color w:val="000000"/>
                <w:sz w:val="16"/>
                <w:szCs w:val="16"/>
                <w:lang w:val="fr-CH" w:eastAsia="en-US"/>
              </w:rPr>
              <w:t> </w:t>
            </w:r>
            <w:r w:rsidRPr="009A2A59">
              <w:rPr>
                <w:rFonts w:asciiTheme="minorBidi" w:eastAsia="Times New Roman" w:hAnsiTheme="minorBidi"/>
                <w:color w:val="000000"/>
                <w:sz w:val="16"/>
                <w:szCs w:val="16"/>
                <w:lang w:val="fr-CH" w:eastAsia="en-US"/>
              </w:rPr>
              <w:t>zones de stockage ou d</w:t>
            </w:r>
            <w:r>
              <w:rPr>
                <w:rFonts w:asciiTheme="minorBidi" w:eastAsia="Times New Roman" w:hAnsiTheme="minorBidi"/>
                <w:color w:val="000000"/>
                <w:sz w:val="16"/>
                <w:szCs w:val="16"/>
                <w:lang w:val="fr-CH" w:eastAsia="en-US"/>
              </w:rPr>
              <w:t>’</w:t>
            </w:r>
            <w:r w:rsidRPr="009A2A59">
              <w:rPr>
                <w:rFonts w:asciiTheme="minorBidi" w:eastAsia="Times New Roman" w:hAnsiTheme="minorBidi"/>
                <w:color w:val="000000"/>
                <w:sz w:val="16"/>
                <w:szCs w:val="16"/>
                <w:lang w:val="fr-CH" w:eastAsia="en-US"/>
              </w:rPr>
              <w:t>archivage hors site.</w:t>
            </w:r>
          </w:p>
        </w:tc>
      </w:tr>
      <w:tr w:rsidR="00871D8A" w:rsidRPr="00B95416" w14:paraId="7544457D" w14:textId="77777777" w:rsidTr="00871D8A">
        <w:trPr>
          <w:cantSplit/>
        </w:trPr>
        <w:tc>
          <w:tcPr>
            <w:tcW w:w="2392" w:type="dxa"/>
            <w:vMerge w:val="restart"/>
            <w:shd w:val="clear" w:color="auto" w:fill="auto"/>
            <w:tcMar>
              <w:top w:w="57" w:type="dxa"/>
            </w:tcMar>
            <w:hideMark/>
          </w:tcPr>
          <w:p w14:paraId="17FB3F2D" w14:textId="24430A47" w:rsidR="00871D8A" w:rsidRPr="00B676E5" w:rsidRDefault="00871D8A" w:rsidP="00986700">
            <w:pPr>
              <w:rPr>
                <w:rFonts w:asciiTheme="minorBidi" w:eastAsia="Times New Roman" w:hAnsiTheme="minorBidi"/>
                <w:color w:val="000000"/>
                <w:sz w:val="16"/>
                <w:szCs w:val="16"/>
                <w:lang w:val="fr-CH" w:eastAsia="en-US"/>
              </w:rPr>
            </w:pPr>
            <w:r w:rsidRPr="00B676E5">
              <w:rPr>
                <w:rFonts w:asciiTheme="minorBidi" w:eastAsia="Times New Roman" w:hAnsiTheme="minorBidi"/>
                <w:color w:val="000000"/>
                <w:sz w:val="16"/>
                <w:szCs w:val="16"/>
                <w:lang w:val="fr-CH" w:eastAsia="en-US"/>
              </w:rPr>
              <w:t>IX.4 Une Organisation écologiquement et socialement responsable assurant la sûreté et la sécurité du personnel, des délégués, des visiteurs, de l</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information et des biens</w:t>
            </w:r>
          </w:p>
        </w:tc>
        <w:tc>
          <w:tcPr>
            <w:tcW w:w="2393" w:type="dxa"/>
            <w:shd w:val="clear" w:color="000000" w:fill="FFFFFF"/>
            <w:tcMar>
              <w:top w:w="57" w:type="dxa"/>
            </w:tcMar>
            <w:hideMark/>
          </w:tcPr>
          <w:p w14:paraId="1CB36443" w14:textId="77777777" w:rsidR="00871D8A" w:rsidRPr="00B676E5" w:rsidRDefault="00871D8A" w:rsidP="00986700">
            <w:pPr>
              <w:rPr>
                <w:rFonts w:asciiTheme="minorBidi" w:eastAsia="Times New Roman" w:hAnsiTheme="minorBidi"/>
                <w:color w:val="000000"/>
                <w:sz w:val="16"/>
                <w:szCs w:val="16"/>
                <w:lang w:val="fr-CH" w:eastAsia="en-US"/>
              </w:rPr>
            </w:pPr>
            <w:r w:rsidRPr="00B676E5">
              <w:rPr>
                <w:rFonts w:asciiTheme="minorBidi" w:eastAsia="Times New Roman" w:hAnsiTheme="minorBidi"/>
                <w:color w:val="000000"/>
                <w:sz w:val="16"/>
                <w:szCs w:val="16"/>
                <w:lang w:val="fr-CH" w:eastAsia="en-US"/>
              </w:rPr>
              <w:t>Amélioration de l</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accès physique au campus de l</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OMPI</w:t>
            </w:r>
          </w:p>
        </w:tc>
        <w:tc>
          <w:tcPr>
            <w:tcW w:w="2393" w:type="dxa"/>
            <w:shd w:val="clear" w:color="000000" w:fill="FFFFFF"/>
            <w:tcMar>
              <w:top w:w="57" w:type="dxa"/>
            </w:tcMar>
            <w:hideMark/>
          </w:tcPr>
          <w:p w14:paraId="291A19AF" w14:textId="77777777" w:rsidR="00871D8A" w:rsidRPr="00B676E5" w:rsidRDefault="00871D8A"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Recomma</w:t>
            </w:r>
            <w:r w:rsidRPr="00B676E5">
              <w:rPr>
                <w:rFonts w:asciiTheme="minorBidi" w:eastAsia="Times New Roman" w:hAnsiTheme="minorBidi"/>
                <w:color w:val="000000"/>
                <w:sz w:val="16"/>
                <w:szCs w:val="16"/>
                <w:lang w:val="fr-CH" w:eastAsia="en-US"/>
              </w:rPr>
              <w:t>ndations figurant dans le rapport d</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audit qui sera réalisé en</w:t>
            </w:r>
            <w:r>
              <w:rPr>
                <w:rFonts w:asciiTheme="minorBidi" w:eastAsia="Times New Roman" w:hAnsiTheme="minorBidi"/>
                <w:color w:val="000000"/>
                <w:sz w:val="16"/>
                <w:szCs w:val="16"/>
                <w:lang w:val="fr-CH" w:eastAsia="en-US"/>
              </w:rPr>
              <w:t> </w:t>
            </w:r>
            <w:r w:rsidRPr="00B676E5">
              <w:rPr>
                <w:rFonts w:asciiTheme="minorBidi" w:eastAsia="Times New Roman" w:hAnsiTheme="minorBidi"/>
                <w:color w:val="000000"/>
                <w:sz w:val="16"/>
                <w:szCs w:val="16"/>
                <w:lang w:val="fr-CH" w:eastAsia="en-US"/>
              </w:rPr>
              <w:t>2017</w:t>
            </w:r>
          </w:p>
        </w:tc>
        <w:tc>
          <w:tcPr>
            <w:tcW w:w="2393" w:type="dxa"/>
            <w:shd w:val="clear" w:color="000000" w:fill="FFFFFF"/>
            <w:tcMar>
              <w:top w:w="57" w:type="dxa"/>
            </w:tcMar>
            <w:hideMark/>
          </w:tcPr>
          <w:p w14:paraId="69582304" w14:textId="77777777" w:rsidR="00871D8A" w:rsidRPr="00B676E5" w:rsidRDefault="00871D8A" w:rsidP="00986700">
            <w:pPr>
              <w:rPr>
                <w:rFonts w:asciiTheme="minorBidi" w:eastAsia="Times New Roman" w:hAnsiTheme="minorBidi"/>
                <w:color w:val="000000"/>
                <w:sz w:val="16"/>
                <w:szCs w:val="16"/>
                <w:lang w:val="fr-CH" w:eastAsia="en-US"/>
              </w:rPr>
            </w:pPr>
            <w:r w:rsidRPr="00B676E5">
              <w:rPr>
                <w:rFonts w:asciiTheme="minorBidi" w:eastAsia="Times New Roman" w:hAnsiTheme="minorBidi"/>
                <w:color w:val="000000"/>
                <w:sz w:val="16"/>
                <w:szCs w:val="16"/>
                <w:lang w:val="fr-CH" w:eastAsia="en-US"/>
              </w:rPr>
              <w:t xml:space="preserve">À déterminer sur la base des recommandations </w:t>
            </w:r>
            <w:r>
              <w:rPr>
                <w:rFonts w:asciiTheme="minorBidi" w:eastAsia="Times New Roman" w:hAnsiTheme="minorBidi"/>
                <w:color w:val="000000"/>
                <w:sz w:val="16"/>
                <w:szCs w:val="16"/>
                <w:lang w:val="fr-CH" w:eastAsia="en-US"/>
              </w:rPr>
              <w:t>figurant dans l’audit</w:t>
            </w:r>
            <w:r w:rsidRPr="00B676E5">
              <w:rPr>
                <w:rFonts w:asciiTheme="minorBidi" w:eastAsia="Times New Roman" w:hAnsiTheme="minorBidi"/>
                <w:color w:val="000000"/>
                <w:sz w:val="16"/>
                <w:szCs w:val="16"/>
                <w:lang w:val="fr-CH" w:eastAsia="en-US"/>
              </w:rPr>
              <w:t xml:space="preserve"> de</w:t>
            </w:r>
            <w:r>
              <w:rPr>
                <w:rFonts w:asciiTheme="minorBidi" w:eastAsia="Times New Roman" w:hAnsiTheme="minorBidi"/>
                <w:color w:val="000000"/>
                <w:sz w:val="16"/>
                <w:szCs w:val="16"/>
                <w:lang w:val="fr-CH" w:eastAsia="en-US"/>
              </w:rPr>
              <w:t> </w:t>
            </w:r>
            <w:r w:rsidRPr="00B676E5">
              <w:rPr>
                <w:rFonts w:asciiTheme="minorBidi" w:eastAsia="Times New Roman" w:hAnsiTheme="minorBidi"/>
                <w:color w:val="000000"/>
                <w:sz w:val="16"/>
                <w:szCs w:val="16"/>
                <w:lang w:val="fr-CH" w:eastAsia="en-US"/>
              </w:rPr>
              <w:t xml:space="preserve">2017 </w:t>
            </w:r>
          </w:p>
        </w:tc>
      </w:tr>
      <w:tr w:rsidR="00871D8A" w:rsidRPr="00B95416" w14:paraId="72CD5FC0" w14:textId="77777777" w:rsidTr="00871D8A">
        <w:trPr>
          <w:cantSplit/>
        </w:trPr>
        <w:tc>
          <w:tcPr>
            <w:tcW w:w="2392" w:type="dxa"/>
            <w:vMerge/>
            <w:shd w:val="clear" w:color="auto" w:fill="auto"/>
            <w:tcMar>
              <w:top w:w="57" w:type="dxa"/>
            </w:tcMar>
            <w:vAlign w:val="center"/>
            <w:hideMark/>
          </w:tcPr>
          <w:p w14:paraId="572AC1F9" w14:textId="77777777" w:rsidR="00871D8A" w:rsidRPr="00B676E5" w:rsidRDefault="00871D8A" w:rsidP="00986700">
            <w:pPr>
              <w:rPr>
                <w:rFonts w:asciiTheme="minorBidi" w:eastAsia="Times New Roman" w:hAnsiTheme="minorBidi"/>
                <w:color w:val="000000"/>
                <w:sz w:val="16"/>
                <w:szCs w:val="16"/>
                <w:lang w:val="fr-CH" w:eastAsia="en-US"/>
              </w:rPr>
            </w:pPr>
          </w:p>
        </w:tc>
        <w:tc>
          <w:tcPr>
            <w:tcW w:w="2393" w:type="dxa"/>
            <w:shd w:val="clear" w:color="000000" w:fill="FFFFFF"/>
            <w:tcMar>
              <w:top w:w="57" w:type="dxa"/>
            </w:tcMar>
            <w:hideMark/>
          </w:tcPr>
          <w:p w14:paraId="1E604726" w14:textId="77777777" w:rsidR="00871D8A" w:rsidRPr="00B676E5" w:rsidRDefault="00871D8A" w:rsidP="00986700">
            <w:pPr>
              <w:rPr>
                <w:rFonts w:asciiTheme="minorBidi" w:eastAsia="Times New Roman" w:hAnsiTheme="minorBidi"/>
                <w:color w:val="000000"/>
                <w:sz w:val="16"/>
                <w:szCs w:val="16"/>
                <w:lang w:val="fr-CH" w:eastAsia="en-US"/>
              </w:rPr>
            </w:pPr>
            <w:r w:rsidRPr="00B676E5">
              <w:rPr>
                <w:rFonts w:asciiTheme="minorBidi" w:eastAsia="Times New Roman" w:hAnsiTheme="minorBidi"/>
                <w:color w:val="000000"/>
                <w:sz w:val="16"/>
                <w:szCs w:val="16"/>
                <w:lang w:val="fr-CH" w:eastAsia="en-US"/>
              </w:rPr>
              <w:t>Réduction de l</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 xml:space="preserve">impact environnemental des </w:t>
            </w:r>
            <w:r>
              <w:rPr>
                <w:rFonts w:asciiTheme="minorBidi" w:eastAsia="Times New Roman" w:hAnsiTheme="minorBidi"/>
                <w:color w:val="000000"/>
                <w:sz w:val="16"/>
                <w:szCs w:val="16"/>
                <w:lang w:val="fr-CH" w:eastAsia="en-US"/>
              </w:rPr>
              <w:t>activités</w:t>
            </w:r>
            <w:r w:rsidRPr="00B676E5">
              <w:rPr>
                <w:rFonts w:asciiTheme="minorBidi" w:eastAsia="Times New Roman" w:hAnsiTheme="minorBidi"/>
                <w:color w:val="000000"/>
                <w:sz w:val="16"/>
                <w:szCs w:val="16"/>
                <w:lang w:val="fr-CH" w:eastAsia="en-US"/>
              </w:rPr>
              <w:t xml:space="preserve"> de l</w:t>
            </w:r>
            <w:r>
              <w:rPr>
                <w:rFonts w:asciiTheme="minorBidi" w:eastAsia="Times New Roman" w:hAnsiTheme="minorBidi"/>
                <w:color w:val="000000"/>
                <w:sz w:val="16"/>
                <w:szCs w:val="16"/>
                <w:lang w:val="fr-CH" w:eastAsia="en-US"/>
              </w:rPr>
              <w:t>’</w:t>
            </w:r>
            <w:r w:rsidRPr="00B676E5">
              <w:rPr>
                <w:rFonts w:asciiTheme="minorBidi" w:eastAsia="Times New Roman" w:hAnsiTheme="minorBidi"/>
                <w:color w:val="000000"/>
                <w:sz w:val="16"/>
                <w:szCs w:val="16"/>
                <w:lang w:val="fr-CH" w:eastAsia="en-US"/>
              </w:rPr>
              <w:t>OMPI</w:t>
            </w:r>
          </w:p>
        </w:tc>
        <w:tc>
          <w:tcPr>
            <w:tcW w:w="2393" w:type="dxa"/>
            <w:shd w:val="clear" w:color="000000" w:fill="FFFFFF"/>
            <w:tcMar>
              <w:top w:w="57" w:type="dxa"/>
            </w:tcMar>
            <w:hideMark/>
          </w:tcPr>
          <w:p w14:paraId="4F4B3CC6" w14:textId="77777777" w:rsidR="00DE1B2D" w:rsidRDefault="00871D8A" w:rsidP="00986700">
            <w:pPr>
              <w:rPr>
                <w:rFonts w:asciiTheme="minorBidi" w:eastAsia="Times New Roman" w:hAnsiTheme="minorBidi"/>
                <w:color w:val="000000"/>
                <w:sz w:val="16"/>
                <w:szCs w:val="16"/>
                <w:lang w:val="fr-CH" w:eastAsia="en-US"/>
              </w:rPr>
            </w:pPr>
            <w:r w:rsidRPr="00472A21">
              <w:rPr>
                <w:rFonts w:asciiTheme="minorBidi" w:eastAsia="Times New Roman" w:hAnsiTheme="minorBidi"/>
                <w:color w:val="000000"/>
                <w:sz w:val="16"/>
                <w:szCs w:val="16"/>
                <w:lang w:val="fr-CH" w:eastAsia="en-US"/>
              </w:rPr>
              <w:t>Consommation énergétique de tous les bâtiments du siège et des b</w:t>
            </w:r>
            <w:r>
              <w:rPr>
                <w:rFonts w:asciiTheme="minorBidi" w:eastAsia="Times New Roman" w:hAnsiTheme="minorBidi"/>
                <w:color w:val="000000"/>
                <w:sz w:val="16"/>
                <w:szCs w:val="16"/>
                <w:lang w:val="fr-CH" w:eastAsia="en-US"/>
              </w:rPr>
              <w:t>âtiments loués à Genè</w:t>
            </w:r>
            <w:r w:rsidRPr="00472A21">
              <w:rPr>
                <w:rFonts w:asciiTheme="minorBidi" w:eastAsia="Times New Roman" w:hAnsiTheme="minorBidi"/>
                <w:color w:val="000000"/>
                <w:sz w:val="16"/>
                <w:szCs w:val="16"/>
                <w:lang w:val="fr-CH" w:eastAsia="en-US"/>
              </w:rPr>
              <w:t>v</w:t>
            </w:r>
            <w:r>
              <w:rPr>
                <w:rFonts w:asciiTheme="minorBidi" w:eastAsia="Times New Roman" w:hAnsiTheme="minorBidi"/>
                <w:color w:val="000000"/>
                <w:sz w:val="16"/>
                <w:szCs w:val="16"/>
                <w:lang w:val="fr-CH" w:eastAsia="en-US"/>
              </w:rPr>
              <w:t>e :</w:t>
            </w:r>
            <w:r w:rsidRPr="00472A21">
              <w:rPr>
                <w:rFonts w:asciiTheme="minorBidi" w:eastAsia="Times New Roman" w:hAnsiTheme="minorBidi"/>
                <w:color w:val="000000"/>
                <w:sz w:val="16"/>
                <w:szCs w:val="16"/>
                <w:lang w:val="fr-CH" w:eastAsia="en-US"/>
              </w:rPr>
              <w:t xml:space="preserve"> </w:t>
            </w:r>
          </w:p>
          <w:p w14:paraId="5D08E998" w14:textId="3313F72D" w:rsidR="00DE1B2D" w:rsidRDefault="00DE1B2D"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 xml:space="preserve">– </w:t>
            </w:r>
            <w:r w:rsidR="00871D8A" w:rsidRPr="00472A21">
              <w:rPr>
                <w:rFonts w:asciiTheme="minorBidi" w:eastAsia="Times New Roman" w:hAnsiTheme="minorBidi"/>
                <w:color w:val="000000"/>
                <w:sz w:val="16"/>
                <w:szCs w:val="16"/>
                <w:lang w:val="fr-CH" w:eastAsia="en-US"/>
              </w:rPr>
              <w:t>électricité</w:t>
            </w:r>
            <w:r w:rsidR="00871D8A">
              <w:rPr>
                <w:rFonts w:asciiTheme="minorBidi" w:eastAsia="Times New Roman" w:hAnsiTheme="minorBidi"/>
                <w:color w:val="000000"/>
                <w:sz w:val="16"/>
                <w:szCs w:val="16"/>
                <w:lang w:val="fr-CH" w:eastAsia="en-US"/>
              </w:rPr>
              <w:t xml:space="preserve"> (7 758 </w:t>
            </w:r>
            <w:r w:rsidR="00871D8A" w:rsidRPr="00472A21">
              <w:rPr>
                <w:rFonts w:asciiTheme="minorBidi" w:eastAsia="Times New Roman" w:hAnsiTheme="minorBidi"/>
                <w:color w:val="000000"/>
                <w:sz w:val="16"/>
                <w:szCs w:val="16"/>
                <w:lang w:val="fr-CH" w:eastAsia="en-US"/>
              </w:rPr>
              <w:t>000 KwH);</w:t>
            </w:r>
          </w:p>
          <w:p w14:paraId="3CDB4638" w14:textId="7B48A46A" w:rsidR="00DE1B2D" w:rsidRDefault="00DE1B2D"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w:t>
            </w:r>
            <w:r w:rsidR="00871D8A" w:rsidRPr="00472A21">
              <w:rPr>
                <w:rFonts w:asciiTheme="minorBidi" w:eastAsia="Times New Roman" w:hAnsiTheme="minorBidi"/>
                <w:color w:val="000000"/>
                <w:sz w:val="16"/>
                <w:szCs w:val="16"/>
                <w:lang w:val="fr-CH" w:eastAsia="en-US"/>
              </w:rPr>
              <w:t xml:space="preserve"> </w:t>
            </w:r>
            <w:r w:rsidR="00871D8A">
              <w:rPr>
                <w:rFonts w:asciiTheme="minorBidi" w:eastAsia="Times New Roman" w:hAnsiTheme="minorBidi"/>
                <w:color w:val="000000"/>
                <w:sz w:val="16"/>
                <w:szCs w:val="16"/>
                <w:lang w:val="fr-CH" w:eastAsia="en-US"/>
              </w:rPr>
              <w:t>eau (40 </w:t>
            </w:r>
            <w:r w:rsidR="00871D8A" w:rsidRPr="00472A21">
              <w:rPr>
                <w:rFonts w:asciiTheme="minorBidi" w:eastAsia="Times New Roman" w:hAnsiTheme="minorBidi"/>
                <w:color w:val="000000"/>
                <w:sz w:val="16"/>
                <w:szCs w:val="16"/>
                <w:lang w:val="fr-CH" w:eastAsia="en-US"/>
              </w:rPr>
              <w:t>654</w:t>
            </w:r>
            <w:r w:rsidR="00871D8A">
              <w:rPr>
                <w:rFonts w:asciiTheme="minorBidi" w:eastAsia="Times New Roman" w:hAnsiTheme="minorBidi"/>
                <w:color w:val="000000"/>
                <w:sz w:val="16"/>
                <w:szCs w:val="16"/>
                <w:lang w:val="fr-CH" w:eastAsia="en-US"/>
              </w:rPr>
              <w:t> </w:t>
            </w:r>
            <w:r w:rsidR="00871D8A" w:rsidRPr="00472A21">
              <w:rPr>
                <w:rFonts w:asciiTheme="minorBidi" w:eastAsia="Times New Roman" w:hAnsiTheme="minorBidi"/>
                <w:color w:val="000000"/>
                <w:sz w:val="16"/>
                <w:szCs w:val="16"/>
                <w:lang w:val="fr-CH" w:eastAsia="en-US"/>
              </w:rPr>
              <w:t>m</w:t>
            </w:r>
            <w:r w:rsidR="00871D8A" w:rsidRPr="00472A21">
              <w:rPr>
                <w:rFonts w:asciiTheme="minorBidi" w:eastAsia="Times New Roman" w:hAnsiTheme="minorBidi"/>
                <w:color w:val="000000"/>
                <w:sz w:val="16"/>
                <w:szCs w:val="16"/>
                <w:vertAlign w:val="superscript"/>
                <w:lang w:val="fr-CH" w:eastAsia="en-US"/>
              </w:rPr>
              <w:t>3</w:t>
            </w:r>
            <w:r w:rsidR="00871D8A" w:rsidRPr="00472A21">
              <w:rPr>
                <w:rFonts w:asciiTheme="minorBidi" w:eastAsia="Times New Roman" w:hAnsiTheme="minorBidi"/>
                <w:color w:val="000000"/>
                <w:sz w:val="16"/>
                <w:szCs w:val="16"/>
                <w:lang w:val="fr-CH" w:eastAsia="en-US"/>
              </w:rPr>
              <w:t>);</w:t>
            </w:r>
          </w:p>
          <w:p w14:paraId="7C3F2B1B" w14:textId="08D0248A" w:rsidR="00DE1B2D" w:rsidRDefault="00DE1B2D"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w:t>
            </w:r>
            <w:r w:rsidR="00871D8A" w:rsidRPr="00472A21">
              <w:rPr>
                <w:rFonts w:asciiTheme="minorBidi" w:eastAsia="Times New Roman" w:hAnsiTheme="minorBidi"/>
                <w:color w:val="000000"/>
                <w:sz w:val="16"/>
                <w:szCs w:val="16"/>
                <w:lang w:val="fr-CH" w:eastAsia="en-US"/>
              </w:rPr>
              <w:t xml:space="preserve"> </w:t>
            </w:r>
            <w:r w:rsidR="00871D8A">
              <w:rPr>
                <w:rFonts w:asciiTheme="minorBidi" w:eastAsia="Times New Roman" w:hAnsiTheme="minorBidi"/>
                <w:color w:val="000000"/>
                <w:sz w:val="16"/>
                <w:szCs w:val="16"/>
                <w:lang w:val="fr-CH" w:eastAsia="en-US"/>
              </w:rPr>
              <w:t>gaz naturel pour le chauffage</w:t>
            </w:r>
            <w:r w:rsidR="00871D8A" w:rsidRPr="00472A21">
              <w:rPr>
                <w:rFonts w:asciiTheme="minorBidi" w:eastAsia="Times New Roman" w:hAnsiTheme="minorBidi"/>
                <w:color w:val="000000"/>
                <w:sz w:val="16"/>
                <w:szCs w:val="16"/>
                <w:lang w:val="fr-CH" w:eastAsia="en-US"/>
              </w:rPr>
              <w:t xml:space="preserve"> (7</w:t>
            </w:r>
            <w:r w:rsidR="00871D8A">
              <w:rPr>
                <w:rFonts w:asciiTheme="minorBidi" w:eastAsia="Times New Roman" w:hAnsiTheme="minorBidi"/>
                <w:color w:val="000000"/>
                <w:sz w:val="16"/>
                <w:szCs w:val="16"/>
                <w:lang w:val="fr-CH" w:eastAsia="en-US"/>
              </w:rPr>
              <w:t> 550 012 KwH);</w:t>
            </w:r>
          </w:p>
          <w:p w14:paraId="3EC2D3CD" w14:textId="5B602237" w:rsidR="00DE1B2D" w:rsidRDefault="00DE1B2D" w:rsidP="00986700">
            <w:pPr>
              <w:rPr>
                <w:rFonts w:asciiTheme="minorBidi" w:eastAsia="Times New Roman" w:hAnsiTheme="minorBidi"/>
                <w:color w:val="000000"/>
                <w:sz w:val="16"/>
                <w:szCs w:val="16"/>
                <w:lang w:val="fr-CH" w:eastAsia="en-US"/>
              </w:rPr>
            </w:pPr>
            <w:r>
              <w:rPr>
                <w:rFonts w:asciiTheme="minorBidi" w:eastAsia="Times New Roman" w:hAnsiTheme="minorBidi"/>
                <w:color w:val="000000"/>
                <w:sz w:val="16"/>
                <w:szCs w:val="16"/>
                <w:lang w:val="fr-CH" w:eastAsia="en-US"/>
              </w:rPr>
              <w:t>–</w:t>
            </w:r>
            <w:r w:rsidR="00871D8A">
              <w:rPr>
                <w:rFonts w:asciiTheme="minorBidi" w:eastAsia="Times New Roman" w:hAnsiTheme="minorBidi"/>
                <w:color w:val="000000"/>
                <w:sz w:val="16"/>
                <w:szCs w:val="16"/>
                <w:lang w:val="fr-CH" w:eastAsia="en-US"/>
              </w:rPr>
              <w:t xml:space="preserve"> fioul domestique (5 500 L</w:t>
            </w:r>
            <w:r w:rsidR="00871D8A" w:rsidRPr="00472A21">
              <w:rPr>
                <w:rFonts w:asciiTheme="minorBidi" w:eastAsia="Times New Roman" w:hAnsiTheme="minorBidi"/>
                <w:color w:val="000000"/>
                <w:sz w:val="16"/>
                <w:szCs w:val="16"/>
                <w:lang w:val="fr-CH" w:eastAsia="en-US"/>
              </w:rPr>
              <w:t>)</w:t>
            </w:r>
          </w:p>
          <w:p w14:paraId="6E96408A" w14:textId="1E65B44E" w:rsidR="00871D8A" w:rsidRPr="00472A21" w:rsidRDefault="00871D8A" w:rsidP="00986700">
            <w:pPr>
              <w:rPr>
                <w:rFonts w:asciiTheme="minorBidi" w:eastAsia="Times New Roman" w:hAnsiTheme="minorBidi"/>
                <w:color w:val="000000"/>
                <w:sz w:val="16"/>
                <w:szCs w:val="16"/>
                <w:lang w:val="fr-CH" w:eastAsia="en-US"/>
              </w:rPr>
            </w:pPr>
            <w:r w:rsidRPr="00472A21">
              <w:rPr>
                <w:rFonts w:asciiTheme="minorBidi" w:eastAsia="Times New Roman" w:hAnsiTheme="minorBidi"/>
                <w:color w:val="000000"/>
                <w:sz w:val="16"/>
                <w:szCs w:val="16"/>
                <w:lang w:val="fr-CH" w:eastAsia="en-US"/>
              </w:rPr>
              <w:t>(</w:t>
            </w:r>
            <w:r>
              <w:rPr>
                <w:rFonts w:asciiTheme="minorBidi" w:eastAsia="Times New Roman" w:hAnsiTheme="minorBidi"/>
                <w:color w:val="000000"/>
                <w:sz w:val="16"/>
                <w:szCs w:val="16"/>
                <w:lang w:val="fr-CH" w:eastAsia="en-US"/>
              </w:rPr>
              <w:t>à la fin de </w:t>
            </w:r>
            <w:r w:rsidRPr="00472A21">
              <w:rPr>
                <w:rFonts w:asciiTheme="minorBidi" w:eastAsia="Times New Roman" w:hAnsiTheme="minorBidi"/>
                <w:color w:val="000000"/>
                <w:sz w:val="16"/>
                <w:szCs w:val="16"/>
                <w:lang w:val="fr-CH" w:eastAsia="en-US"/>
              </w:rPr>
              <w:t>2016)</w:t>
            </w:r>
          </w:p>
        </w:tc>
        <w:tc>
          <w:tcPr>
            <w:tcW w:w="2393" w:type="dxa"/>
            <w:shd w:val="clear" w:color="000000" w:fill="FFFFFF"/>
            <w:tcMar>
              <w:top w:w="57" w:type="dxa"/>
            </w:tcMar>
            <w:hideMark/>
          </w:tcPr>
          <w:p w14:paraId="1536CFC4" w14:textId="084A191D" w:rsidR="00871D8A" w:rsidRPr="000614EA" w:rsidRDefault="00871D8A" w:rsidP="00986700">
            <w:pPr>
              <w:rPr>
                <w:rFonts w:asciiTheme="minorBidi" w:eastAsia="Times New Roman" w:hAnsiTheme="minorBidi"/>
                <w:color w:val="000000"/>
                <w:sz w:val="16"/>
                <w:szCs w:val="16"/>
                <w:lang w:val="fr-CH" w:eastAsia="en-US"/>
              </w:rPr>
            </w:pPr>
            <w:r w:rsidRPr="000614EA">
              <w:rPr>
                <w:rFonts w:asciiTheme="minorBidi" w:eastAsia="Times New Roman" w:hAnsiTheme="minorBidi"/>
                <w:color w:val="000000"/>
                <w:sz w:val="16"/>
                <w:szCs w:val="16"/>
                <w:lang w:val="fr-CH" w:eastAsia="en-US"/>
              </w:rPr>
              <w:t xml:space="preserve">Conserver les niveaux de </w:t>
            </w:r>
            <w:r>
              <w:rPr>
                <w:rFonts w:asciiTheme="minorBidi" w:eastAsia="Times New Roman" w:hAnsiTheme="minorBidi"/>
                <w:color w:val="000000"/>
                <w:sz w:val="16"/>
                <w:szCs w:val="16"/>
                <w:lang w:val="fr-CH" w:eastAsia="en-US"/>
              </w:rPr>
              <w:t>conso</w:t>
            </w:r>
            <w:r w:rsidRPr="000614EA">
              <w:rPr>
                <w:rFonts w:asciiTheme="minorBidi" w:eastAsia="Times New Roman" w:hAnsiTheme="minorBidi"/>
                <w:color w:val="000000"/>
                <w:sz w:val="16"/>
                <w:szCs w:val="16"/>
                <w:lang w:val="fr-CH" w:eastAsia="en-US"/>
              </w:rPr>
              <w:t xml:space="preserve">mmation </w:t>
            </w:r>
            <w:r>
              <w:rPr>
                <w:rFonts w:asciiTheme="minorBidi" w:eastAsia="Times New Roman" w:hAnsiTheme="minorBidi"/>
                <w:color w:val="000000"/>
                <w:sz w:val="16"/>
                <w:szCs w:val="16"/>
                <w:lang w:val="fr-CH" w:eastAsia="en-US"/>
              </w:rPr>
              <w:t>d’énergie</w:t>
            </w:r>
            <w:r w:rsidRPr="000614EA">
              <w:rPr>
                <w:rFonts w:asciiTheme="minorBidi" w:eastAsia="Times New Roman" w:hAnsiTheme="minorBidi"/>
                <w:color w:val="000000"/>
                <w:sz w:val="16"/>
                <w:szCs w:val="16"/>
                <w:lang w:val="fr-CH" w:eastAsia="en-US"/>
              </w:rPr>
              <w:t xml:space="preserve"> de</w:t>
            </w:r>
            <w:r>
              <w:rPr>
                <w:rFonts w:asciiTheme="minorBidi" w:eastAsia="Times New Roman" w:hAnsiTheme="minorBidi"/>
                <w:color w:val="000000"/>
                <w:sz w:val="16"/>
                <w:szCs w:val="16"/>
                <w:lang w:val="fr-CH" w:eastAsia="en-US"/>
              </w:rPr>
              <w:t> </w:t>
            </w:r>
            <w:r w:rsidRPr="000614EA">
              <w:rPr>
                <w:rFonts w:asciiTheme="minorBidi" w:eastAsia="Times New Roman" w:hAnsiTheme="minorBidi"/>
                <w:color w:val="000000"/>
                <w:sz w:val="16"/>
                <w:szCs w:val="16"/>
                <w:lang w:val="fr-CH" w:eastAsia="en-US"/>
              </w:rPr>
              <w:t>2016</w:t>
            </w:r>
            <w:r w:rsidR="00B441CA">
              <w:rPr>
                <w:rFonts w:asciiTheme="minorBidi" w:eastAsia="Times New Roman" w:hAnsiTheme="minorBidi"/>
                <w:color w:val="000000"/>
                <w:sz w:val="16"/>
                <w:szCs w:val="16"/>
                <w:lang w:val="fr-CH" w:eastAsia="en-US"/>
              </w:rPr>
              <w:noBreakHyphen/>
            </w:r>
            <w:r>
              <w:rPr>
                <w:rFonts w:asciiTheme="minorBidi" w:eastAsia="Times New Roman" w:hAnsiTheme="minorBidi"/>
                <w:color w:val="000000"/>
                <w:sz w:val="16"/>
                <w:szCs w:val="16"/>
                <w:lang w:val="fr-CH" w:eastAsia="en-US"/>
              </w:rPr>
              <w:t>20</w:t>
            </w:r>
            <w:r w:rsidRPr="000614EA">
              <w:rPr>
                <w:rFonts w:asciiTheme="minorBidi" w:eastAsia="Times New Roman" w:hAnsiTheme="minorBidi"/>
                <w:color w:val="000000"/>
                <w:sz w:val="16"/>
                <w:szCs w:val="16"/>
                <w:lang w:val="fr-CH" w:eastAsia="en-US"/>
              </w:rPr>
              <w:t xml:space="preserve">17 </w:t>
            </w:r>
          </w:p>
        </w:tc>
      </w:tr>
      <w:tr w:rsidR="00871D8A" w:rsidRPr="00B95416" w14:paraId="59D83288" w14:textId="77777777" w:rsidTr="00871D8A">
        <w:trPr>
          <w:cantSplit/>
        </w:trPr>
        <w:tc>
          <w:tcPr>
            <w:tcW w:w="2392" w:type="dxa"/>
            <w:vMerge/>
            <w:shd w:val="clear" w:color="auto" w:fill="auto"/>
            <w:noWrap/>
            <w:tcMar>
              <w:top w:w="57" w:type="dxa"/>
            </w:tcMar>
            <w:vAlign w:val="bottom"/>
            <w:hideMark/>
          </w:tcPr>
          <w:p w14:paraId="4BDF48E1" w14:textId="77777777" w:rsidR="00871D8A" w:rsidRPr="000614EA" w:rsidRDefault="00871D8A" w:rsidP="00986700">
            <w:pPr>
              <w:rPr>
                <w:rFonts w:asciiTheme="minorBidi" w:eastAsia="Times New Roman" w:hAnsiTheme="minorBidi"/>
                <w:color w:val="000000"/>
                <w:lang w:val="fr-CH" w:eastAsia="en-US"/>
              </w:rPr>
            </w:pPr>
          </w:p>
        </w:tc>
        <w:tc>
          <w:tcPr>
            <w:tcW w:w="2393" w:type="dxa"/>
            <w:shd w:val="clear" w:color="000000" w:fill="FFFFFF"/>
            <w:tcMar>
              <w:top w:w="57" w:type="dxa"/>
            </w:tcMar>
            <w:hideMark/>
          </w:tcPr>
          <w:p w14:paraId="4FFBAA71" w14:textId="77777777" w:rsidR="00871D8A" w:rsidRPr="000614EA" w:rsidRDefault="00871D8A" w:rsidP="00986700">
            <w:pPr>
              <w:rPr>
                <w:rFonts w:asciiTheme="minorBidi" w:eastAsia="Times New Roman" w:hAnsiTheme="minorBidi"/>
                <w:color w:val="000000"/>
                <w:sz w:val="16"/>
                <w:szCs w:val="16"/>
                <w:lang w:val="fr-CH" w:eastAsia="en-US"/>
              </w:rPr>
            </w:pPr>
            <w:r w:rsidRPr="000614EA">
              <w:rPr>
                <w:rFonts w:asciiTheme="minorBidi" w:eastAsia="Times New Roman" w:hAnsiTheme="minorBidi"/>
                <w:color w:val="000000"/>
                <w:sz w:val="16"/>
                <w:szCs w:val="16"/>
                <w:lang w:val="fr-CH" w:eastAsia="en-US"/>
              </w:rPr>
              <w:t> </w:t>
            </w:r>
          </w:p>
        </w:tc>
        <w:tc>
          <w:tcPr>
            <w:tcW w:w="2393" w:type="dxa"/>
            <w:shd w:val="clear" w:color="000000" w:fill="FFFFFF"/>
            <w:tcMar>
              <w:top w:w="57" w:type="dxa"/>
            </w:tcMar>
            <w:hideMark/>
          </w:tcPr>
          <w:p w14:paraId="04C68E91" w14:textId="77777777" w:rsidR="00871D8A" w:rsidRPr="000614EA" w:rsidRDefault="00871D8A" w:rsidP="00986700">
            <w:pPr>
              <w:rPr>
                <w:rFonts w:asciiTheme="minorBidi" w:eastAsia="Times New Roman" w:hAnsiTheme="minorBidi"/>
                <w:color w:val="000000"/>
                <w:sz w:val="16"/>
                <w:szCs w:val="16"/>
                <w:lang w:val="fr-CH" w:eastAsia="en-US"/>
              </w:rPr>
            </w:pPr>
            <w:r w:rsidRPr="000614EA">
              <w:rPr>
                <w:rFonts w:asciiTheme="minorBidi" w:eastAsia="Times New Roman" w:hAnsiTheme="minorBidi"/>
                <w:color w:val="000000"/>
                <w:sz w:val="16"/>
                <w:szCs w:val="16"/>
                <w:lang w:val="fr-CH" w:eastAsia="en-US"/>
              </w:rPr>
              <w:t>Émissions de carbone à la fin de</w:t>
            </w:r>
            <w:r>
              <w:rPr>
                <w:rFonts w:asciiTheme="minorBidi" w:eastAsia="Times New Roman" w:hAnsiTheme="minorBidi"/>
                <w:color w:val="000000"/>
                <w:sz w:val="16"/>
                <w:szCs w:val="16"/>
                <w:lang w:val="fr-CH" w:eastAsia="en-US"/>
              </w:rPr>
              <w:t> </w:t>
            </w:r>
            <w:r w:rsidRPr="000614EA">
              <w:rPr>
                <w:rFonts w:asciiTheme="minorBidi" w:eastAsia="Times New Roman" w:hAnsiTheme="minorBidi"/>
                <w:color w:val="000000"/>
                <w:sz w:val="16"/>
                <w:szCs w:val="16"/>
                <w:lang w:val="fr-CH" w:eastAsia="en-US"/>
              </w:rPr>
              <w:t>2017</w:t>
            </w:r>
          </w:p>
        </w:tc>
        <w:tc>
          <w:tcPr>
            <w:tcW w:w="2393" w:type="dxa"/>
            <w:shd w:val="clear" w:color="000000" w:fill="FFFFFF"/>
            <w:tcMar>
              <w:top w:w="57" w:type="dxa"/>
            </w:tcMar>
            <w:hideMark/>
          </w:tcPr>
          <w:p w14:paraId="5057F82A" w14:textId="5419B3BD" w:rsidR="00871D8A" w:rsidRPr="000614EA" w:rsidRDefault="00871D8A" w:rsidP="00986700">
            <w:pPr>
              <w:rPr>
                <w:rFonts w:asciiTheme="minorBidi" w:eastAsia="Times New Roman" w:hAnsiTheme="minorBidi"/>
                <w:color w:val="000000"/>
                <w:sz w:val="16"/>
                <w:szCs w:val="16"/>
                <w:lang w:val="fr-CH" w:eastAsia="en-US"/>
              </w:rPr>
            </w:pPr>
            <w:r w:rsidRPr="000614EA">
              <w:rPr>
                <w:rFonts w:asciiTheme="minorBidi" w:eastAsia="Times New Roman" w:hAnsiTheme="minorBidi"/>
                <w:color w:val="000000"/>
                <w:sz w:val="16"/>
                <w:szCs w:val="16"/>
                <w:lang w:val="fr-CH" w:eastAsia="en-US"/>
              </w:rPr>
              <w:t>Conserver les niveaux d</w:t>
            </w:r>
            <w:r>
              <w:rPr>
                <w:rFonts w:asciiTheme="minorBidi" w:eastAsia="Times New Roman" w:hAnsiTheme="minorBidi"/>
                <w:color w:val="000000"/>
                <w:sz w:val="16"/>
                <w:szCs w:val="16"/>
                <w:lang w:val="fr-CH" w:eastAsia="en-US"/>
              </w:rPr>
              <w:t>’</w:t>
            </w:r>
            <w:r w:rsidRPr="000614EA">
              <w:rPr>
                <w:rFonts w:asciiTheme="minorBidi" w:eastAsia="Times New Roman" w:hAnsiTheme="minorBidi"/>
                <w:color w:val="000000"/>
                <w:sz w:val="16"/>
                <w:szCs w:val="16"/>
                <w:lang w:val="fr-CH" w:eastAsia="en-US"/>
              </w:rPr>
              <w:t>émission de</w:t>
            </w:r>
            <w:r>
              <w:rPr>
                <w:rFonts w:asciiTheme="minorBidi" w:eastAsia="Times New Roman" w:hAnsiTheme="minorBidi"/>
                <w:color w:val="000000"/>
                <w:sz w:val="16"/>
                <w:szCs w:val="16"/>
                <w:lang w:val="fr-CH" w:eastAsia="en-US"/>
              </w:rPr>
              <w:t> </w:t>
            </w:r>
            <w:r w:rsidRPr="000614EA">
              <w:rPr>
                <w:rFonts w:asciiTheme="minorBidi" w:eastAsia="Times New Roman" w:hAnsiTheme="minorBidi"/>
                <w:color w:val="000000"/>
                <w:sz w:val="16"/>
                <w:szCs w:val="16"/>
                <w:lang w:val="fr-CH" w:eastAsia="en-US"/>
              </w:rPr>
              <w:t>2016</w:t>
            </w:r>
            <w:r w:rsidR="00B441CA">
              <w:rPr>
                <w:rFonts w:asciiTheme="minorBidi" w:eastAsia="Times New Roman" w:hAnsiTheme="minorBidi"/>
                <w:color w:val="000000"/>
                <w:sz w:val="16"/>
                <w:szCs w:val="16"/>
                <w:lang w:val="fr-CH" w:eastAsia="en-US"/>
              </w:rPr>
              <w:noBreakHyphen/>
            </w:r>
            <w:r w:rsidRPr="000614EA">
              <w:rPr>
                <w:rFonts w:asciiTheme="minorBidi" w:eastAsia="Times New Roman" w:hAnsiTheme="minorBidi"/>
                <w:color w:val="000000"/>
                <w:sz w:val="16"/>
                <w:szCs w:val="16"/>
                <w:lang w:val="fr-CH" w:eastAsia="en-US"/>
              </w:rPr>
              <w:t xml:space="preserve">2017 </w:t>
            </w:r>
          </w:p>
        </w:tc>
      </w:tr>
    </w:tbl>
    <w:p w14:paraId="56176BFD" w14:textId="77777777" w:rsidR="00871D8A" w:rsidRPr="000614EA" w:rsidRDefault="00871D8A" w:rsidP="00986700">
      <w:pPr>
        <w:pStyle w:val="ListParagraph"/>
        <w:ind w:left="0"/>
        <w:jc w:val="both"/>
        <w:rPr>
          <w:rFonts w:asciiTheme="minorBidi" w:hAnsiTheme="minorBidi"/>
          <w:szCs w:val="20"/>
          <w:lang w:val="fr-CH"/>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2F361CBA" w14:textId="77777777" w:rsidTr="001A722F">
        <w:trPr>
          <w:cantSplit/>
        </w:trPr>
        <w:tc>
          <w:tcPr>
            <w:tcW w:w="9571" w:type="dxa"/>
            <w:shd w:val="clear" w:color="auto" w:fill="C6D9F1" w:themeFill="text2" w:themeFillTint="33"/>
            <w:vAlign w:val="center"/>
          </w:tcPr>
          <w:p w14:paraId="0D48717A" w14:textId="77777777" w:rsidR="00277197" w:rsidRPr="00821D15" w:rsidRDefault="00277197" w:rsidP="00986700">
            <w:pPr>
              <w:jc w:val="center"/>
              <w:rPr>
                <w:rFonts w:cs="Arial"/>
                <w:b/>
                <w:szCs w:val="20"/>
              </w:rPr>
            </w:pPr>
            <w:r w:rsidRPr="00821D15">
              <w:rPr>
                <w:rFonts w:cs="Arial"/>
                <w:b/>
                <w:szCs w:val="20"/>
              </w:rPr>
              <w:t>Ressources allouées au programme 24</w:t>
            </w:r>
          </w:p>
        </w:tc>
      </w:tr>
    </w:tbl>
    <w:p w14:paraId="49F8E961" w14:textId="77777777" w:rsidR="00277197" w:rsidRPr="00821D15" w:rsidRDefault="00277197" w:rsidP="00986700">
      <w:pPr>
        <w:rPr>
          <w:rFonts w:cs="Arial"/>
          <w:szCs w:val="20"/>
        </w:rPr>
      </w:pPr>
    </w:p>
    <w:p w14:paraId="6D1E17F6" w14:textId="77777777" w:rsidR="00277197" w:rsidRPr="00821D15" w:rsidRDefault="00277197" w:rsidP="00616FD3">
      <w:pPr>
        <w:pStyle w:val="ListParagraph"/>
        <w:numPr>
          <w:ilvl w:val="0"/>
          <w:numId w:val="86"/>
        </w:numPr>
        <w:ind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baisse de 18,2% par rapport au budget approuvé pour 2016</w:t>
      </w:r>
      <w:r w:rsidRPr="00821D15">
        <w:rPr>
          <w:rFonts w:cs="Arial"/>
          <w:szCs w:val="20"/>
        </w:rPr>
        <w:noBreakHyphen/>
        <w:t>2017.</w:t>
      </w:r>
    </w:p>
    <w:p w14:paraId="368A1D85" w14:textId="77777777" w:rsidR="00277197" w:rsidRPr="00821D15" w:rsidRDefault="00277197" w:rsidP="00986700">
      <w:pPr>
        <w:rPr>
          <w:rFonts w:cs="Arial"/>
          <w:szCs w:val="20"/>
        </w:rPr>
      </w:pPr>
    </w:p>
    <w:p w14:paraId="6B9B5965" w14:textId="77777777" w:rsidR="00277197" w:rsidRPr="00821D15" w:rsidRDefault="00277197" w:rsidP="00616FD3">
      <w:pPr>
        <w:pStyle w:val="ListParagraph"/>
        <w:numPr>
          <w:ilvl w:val="0"/>
          <w:numId w:val="86"/>
        </w:numPr>
        <w:ind w:firstLine="0"/>
        <w:jc w:val="both"/>
        <w:rPr>
          <w:rFonts w:cs="Arial"/>
          <w:szCs w:val="20"/>
        </w:rPr>
      </w:pPr>
      <w:r w:rsidRPr="00821D15">
        <w:rPr>
          <w:rFonts w:cs="Arial"/>
          <w:szCs w:val="20"/>
        </w:rPr>
        <w:t>La diminution des dépenses autres que les dépenses de personnel est principalement due à la réduction de la provision pour le paiement des intérêts sur l’emprunt pour le nouveau bâtiment remboursé en 2017, dont il est rendu compte sous le résultat escompté IX.1 (services d’appui efficaces tournés vers la clientèle).</w:t>
      </w:r>
    </w:p>
    <w:p w14:paraId="41C16EFA" w14:textId="77777777" w:rsidR="00277197" w:rsidRPr="00821D15" w:rsidRDefault="00277197" w:rsidP="00986700">
      <w:pPr>
        <w:rPr>
          <w:rFonts w:cs="Arial"/>
          <w:szCs w:val="20"/>
        </w:rPr>
      </w:pPr>
    </w:p>
    <w:p w14:paraId="34CB4D41" w14:textId="77777777" w:rsidR="00277197" w:rsidRPr="00821D15" w:rsidRDefault="00277197" w:rsidP="00616FD3">
      <w:pPr>
        <w:pStyle w:val="ListParagraph"/>
        <w:numPr>
          <w:ilvl w:val="0"/>
          <w:numId w:val="86"/>
        </w:numPr>
        <w:ind w:firstLine="0"/>
        <w:jc w:val="both"/>
        <w:rPr>
          <w:rFonts w:cs="Arial"/>
          <w:szCs w:val="20"/>
        </w:rPr>
      </w:pPr>
      <w:r w:rsidRPr="00821D15">
        <w:rPr>
          <w:rFonts w:cs="Arial"/>
          <w:szCs w:val="20"/>
        </w:rPr>
        <w:t>La diminution des dépenses de personnel est due au transfert des responsabilités relatives aux services de messager et de chauffeur au programme 27 (services de conférence et services linguistiques) dont il est rendu compte sous les résultats escomptés IX.1 et IX.4 (une organisation écologiquement et socialement responsable).</w:t>
      </w:r>
    </w:p>
    <w:p w14:paraId="765F87AF" w14:textId="77777777" w:rsidR="00277197" w:rsidRPr="00821D15" w:rsidRDefault="00277197" w:rsidP="00986700">
      <w:pPr>
        <w:rPr>
          <w:rFonts w:cs="Arial"/>
          <w:szCs w:val="20"/>
        </w:rPr>
      </w:pPr>
    </w:p>
    <w:p w14:paraId="3ABA053A" w14:textId="45553AE9"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24 : </w:t>
      </w:r>
      <w:r w:rsidRPr="00674550">
        <w:rPr>
          <w:rFonts w:eastAsia="Times New Roman" w:cs="Arial"/>
          <w:b/>
          <w:szCs w:val="20"/>
          <w:lang w:eastAsia="en-US"/>
        </w:rPr>
        <w:t>Ressources par résultat</w:t>
      </w:r>
    </w:p>
    <w:p w14:paraId="0D676042"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5B96A7EB" w14:textId="77777777" w:rsidR="00871D8A" w:rsidRDefault="00871D8A" w:rsidP="00986700">
      <w:pPr>
        <w:keepNext/>
        <w:jc w:val="both"/>
        <w:rPr>
          <w:rFonts w:cs="Arial"/>
          <w:szCs w:val="20"/>
        </w:rPr>
      </w:pPr>
    </w:p>
    <w:p w14:paraId="4B2507AB" w14:textId="28B45886" w:rsidR="00717231" w:rsidRPr="00CB32BD" w:rsidRDefault="00717231" w:rsidP="00986700">
      <w:pPr>
        <w:jc w:val="center"/>
        <w:rPr>
          <w:rFonts w:cs="Arial"/>
          <w:szCs w:val="20"/>
        </w:rPr>
      </w:pPr>
      <w:r w:rsidRPr="00717231">
        <w:rPr>
          <w:noProof/>
          <w:lang w:val="en-US" w:eastAsia="en-US"/>
        </w:rPr>
        <w:drawing>
          <wp:inline distT="0" distB="0" distL="0" distR="0" wp14:anchorId="78F2FACF" wp14:editId="09B3B070">
            <wp:extent cx="5400000" cy="2061368"/>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0000" cy="2061368"/>
                    </a:xfrm>
                    <a:prstGeom prst="rect">
                      <a:avLst/>
                    </a:prstGeom>
                    <a:noFill/>
                    <a:ln>
                      <a:noFill/>
                    </a:ln>
                  </pic:spPr>
                </pic:pic>
              </a:graphicData>
            </a:graphic>
          </wp:inline>
        </w:drawing>
      </w:r>
    </w:p>
    <w:p w14:paraId="0CA453FD" w14:textId="77777777" w:rsidR="00B55ECC" w:rsidRDefault="00B55ECC" w:rsidP="00986700"/>
    <w:p w14:paraId="2AE3123D"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24</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7D10A45" w14:textId="643F8094"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5983DEBE" w14:textId="77777777" w:rsidR="008778B5" w:rsidRDefault="008778B5" w:rsidP="00986700">
      <w:pPr>
        <w:keepNext/>
        <w:rPr>
          <w:lang w:eastAsia="en-US"/>
        </w:rPr>
      </w:pPr>
    </w:p>
    <w:p w14:paraId="234608DA" w14:textId="010A9B5F" w:rsidR="00B55ECC" w:rsidRDefault="00155E4B" w:rsidP="00986700">
      <w:pPr>
        <w:jc w:val="center"/>
        <w:rPr>
          <w:lang w:eastAsia="en-US"/>
        </w:rPr>
      </w:pPr>
      <w:r w:rsidRPr="00155E4B">
        <w:rPr>
          <w:noProof/>
          <w:lang w:val="en-US" w:eastAsia="en-US"/>
        </w:rPr>
        <w:drawing>
          <wp:inline distT="0" distB="0" distL="0" distR="0" wp14:anchorId="25B5EF19" wp14:editId="2C4F6787">
            <wp:extent cx="5400000" cy="6031770"/>
            <wp:effectExtent l="0" t="0" r="0" b="762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50CE45D9" w14:textId="77777777" w:rsidR="00B55ECC" w:rsidRPr="00E16214" w:rsidRDefault="00B55ECC" w:rsidP="00986700">
      <w:pPr>
        <w:rPr>
          <w:lang w:eastAsia="en-US"/>
        </w:rPr>
      </w:pPr>
    </w:p>
    <w:p w14:paraId="7B1C9CFE" w14:textId="13BFAC85" w:rsidR="00871D8A" w:rsidRDefault="00871D8A" w:rsidP="00986700">
      <w:pPr>
        <w:rPr>
          <w:rFonts w:ascii="Arial Bold" w:eastAsia="SimSun" w:hAnsi="Arial Bold" w:cs="Arial" w:hint="eastAsia"/>
          <w:b/>
          <w:bCs/>
          <w:caps/>
          <w:kern w:val="32"/>
          <w:sz w:val="22"/>
          <w:szCs w:val="32"/>
          <w:lang w:eastAsia="en-US"/>
        </w:rPr>
      </w:pPr>
      <w:r>
        <w:rPr>
          <w:rFonts w:hint="eastAsia"/>
        </w:rPr>
        <w:br w:type="page"/>
      </w:r>
    </w:p>
    <w:p w14:paraId="61BD2BC7" w14:textId="77777777" w:rsidR="00693947" w:rsidRPr="00693947" w:rsidRDefault="00693947" w:rsidP="00986700">
      <w:pPr>
        <w:pStyle w:val="Heading2"/>
      </w:pPr>
      <w:bookmarkStart w:id="79" w:name="_Toc482979510"/>
      <w:r w:rsidRPr="00693947">
        <w:lastRenderedPageBreak/>
        <w:t>Programme 25</w:t>
      </w:r>
      <w:r w:rsidRPr="00693947">
        <w:rPr>
          <w:rFonts w:cs="Arial"/>
          <w:bCs/>
          <w:cs/>
        </w:rPr>
        <w:t>‎</w:t>
      </w:r>
      <w:r w:rsidRPr="00693947">
        <w:rPr>
          <w:rtl/>
          <w:cs/>
        </w:rPr>
        <w:tab/>
        <w:t>Technologies de l’information et de la communication</w:t>
      </w:r>
      <w:bookmarkEnd w:id="79"/>
    </w:p>
    <w:p w14:paraId="31456642" w14:textId="77777777" w:rsidR="00693947" w:rsidRPr="00E16214" w:rsidRDefault="00693947" w:rsidP="00986700">
      <w:pPr>
        <w:pStyle w:val="StyleHeading3ComplexItalic"/>
        <w:rPr>
          <w:rStyle w:val="StyleStyleHeading3ComplexItalicLatin12ptChar"/>
          <w:rFonts w:eastAsia="SimSun"/>
          <w:szCs w:val="20"/>
        </w:rPr>
      </w:pPr>
    </w:p>
    <w:p w14:paraId="4E70BA35" w14:textId="77777777" w:rsidR="00693947" w:rsidRPr="00E16214" w:rsidRDefault="00693947" w:rsidP="00986700">
      <w:pPr>
        <w:tabs>
          <w:tab w:val="left" w:pos="1701"/>
        </w:tabs>
        <w:ind w:left="1701" w:hanging="1701"/>
        <w:rPr>
          <w:rFonts w:cs="Arial"/>
          <w:bCs/>
          <w:iCs/>
          <w:szCs w:val="20"/>
        </w:rPr>
      </w:pPr>
    </w:p>
    <w:tbl>
      <w:tblPr>
        <w:tblW w:w="5000" w:type="pct"/>
        <w:tblCellMar>
          <w:top w:w="57" w:type="dxa"/>
          <w:bottom w:w="57" w:type="dxa"/>
        </w:tblCellMar>
        <w:tblLook w:val="01E0" w:firstRow="1" w:lastRow="1" w:firstColumn="1" w:lastColumn="1" w:noHBand="0" w:noVBand="0"/>
      </w:tblPr>
      <w:tblGrid>
        <w:gridCol w:w="9287"/>
      </w:tblGrid>
      <w:tr w:rsidR="00693947" w:rsidRPr="00E16214" w14:paraId="1E29ACAB" w14:textId="77777777" w:rsidTr="00693947">
        <w:trPr>
          <w:cantSplit/>
        </w:trPr>
        <w:tc>
          <w:tcPr>
            <w:tcW w:w="9571" w:type="dxa"/>
            <w:shd w:val="clear" w:color="auto" w:fill="C6D9F1" w:themeFill="text2" w:themeFillTint="33"/>
            <w:vAlign w:val="center"/>
          </w:tcPr>
          <w:p w14:paraId="55A460FD" w14:textId="77777777" w:rsidR="00693947" w:rsidRPr="00E16214" w:rsidRDefault="00693947" w:rsidP="00986700">
            <w:pPr>
              <w:keepNext/>
              <w:keepLines/>
              <w:jc w:val="center"/>
              <w:rPr>
                <w:rFonts w:eastAsia="Times New Roman" w:cs="Arial"/>
                <w:b/>
                <w:bCs/>
                <w:szCs w:val="20"/>
                <w:lang w:eastAsia="en-US"/>
              </w:rPr>
            </w:pPr>
            <w:r w:rsidRPr="00E16214">
              <w:rPr>
                <w:rFonts w:eastAsia="Times New Roman" w:cs="Arial"/>
                <w:b/>
                <w:bCs/>
                <w:szCs w:val="20"/>
                <w:lang w:eastAsia="en-US"/>
              </w:rPr>
              <w:t xml:space="preserve">Stratégies de mise en œuvre </w:t>
            </w:r>
          </w:p>
        </w:tc>
      </w:tr>
    </w:tbl>
    <w:p w14:paraId="3FD1DF08" w14:textId="77777777" w:rsidR="00693947" w:rsidRPr="00E16214" w:rsidRDefault="00693947" w:rsidP="00986700">
      <w:pPr>
        <w:jc w:val="both"/>
        <w:rPr>
          <w:rFonts w:asciiTheme="minorBidi" w:hAnsiTheme="minorBidi"/>
          <w:szCs w:val="20"/>
        </w:rPr>
      </w:pPr>
    </w:p>
    <w:p w14:paraId="7166179C" w14:textId="237BAC7A"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Fournir des services d’infrastructure TIC fiables, sûrs et d’un bon rapport coût</w:t>
      </w:r>
      <w:r w:rsidR="00B441CA">
        <w:rPr>
          <w:rFonts w:asciiTheme="minorBidi" w:hAnsiTheme="minorBidi"/>
          <w:szCs w:val="20"/>
        </w:rPr>
        <w:noBreakHyphen/>
      </w:r>
      <w:r w:rsidRPr="00E16214">
        <w:rPr>
          <w:rFonts w:asciiTheme="minorBidi" w:hAnsiTheme="minorBidi"/>
          <w:szCs w:val="20"/>
        </w:rPr>
        <w:t>efficacité aux secteurs d’activité clé de l’OMPI et aux utilisateurs au siège à Genève ainsi que dans les bureaux extérieurs en conformité avec le cadre de l’OMPI en matière de sécurité et de gestion des risques;  examiner et remanier les processus, la structure et les modèles de prestation de services du Département des technologies de l’information et de la communication afin de mieux répondre aux besoins des secteurs;</w:t>
      </w:r>
    </w:p>
    <w:p w14:paraId="74A4B67A" w14:textId="77777777" w:rsidR="00693947" w:rsidRPr="00E16214" w:rsidRDefault="00693947" w:rsidP="00986700">
      <w:pPr>
        <w:ind w:left="567" w:hanging="567"/>
        <w:jc w:val="both"/>
        <w:rPr>
          <w:rFonts w:asciiTheme="minorBidi" w:hAnsiTheme="minorBidi"/>
          <w:szCs w:val="20"/>
        </w:rPr>
      </w:pPr>
    </w:p>
    <w:p w14:paraId="6DF95B6E" w14:textId="0F0944A9"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Garantir un bon rapport coût</w:t>
      </w:r>
      <w:r w:rsidR="00B441CA">
        <w:rPr>
          <w:rFonts w:asciiTheme="minorBidi" w:hAnsiTheme="minorBidi"/>
          <w:szCs w:val="20"/>
        </w:rPr>
        <w:noBreakHyphen/>
      </w:r>
      <w:r w:rsidRPr="00E16214">
        <w:rPr>
          <w:rFonts w:asciiTheme="minorBidi" w:hAnsiTheme="minorBidi"/>
          <w:szCs w:val="20"/>
        </w:rPr>
        <w:t>efficacité des opérations menées par le Département des technologies de l’information et de la communication et des services fournis par ce dernier grâce à l’optimisation de l’infrastructure et des services existants, à la recherche stratégique de prestataires de nouveaux services TIC et à une meilleure gestion des fournisseurs et prestataires de services;</w:t>
      </w:r>
    </w:p>
    <w:p w14:paraId="12358792" w14:textId="77777777" w:rsidR="00693947" w:rsidRPr="00E16214" w:rsidRDefault="00693947" w:rsidP="00986700">
      <w:pPr>
        <w:ind w:left="567" w:hanging="567"/>
        <w:jc w:val="both"/>
        <w:rPr>
          <w:rFonts w:asciiTheme="minorBidi" w:hAnsiTheme="minorBidi"/>
          <w:szCs w:val="20"/>
        </w:rPr>
      </w:pPr>
    </w:p>
    <w:p w14:paraId="2A9EA237" w14:textId="77777777"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Fournir un appui dans le cadre des systèmes et projets des secteurs grâce à la mise en œuvre a) du système d’identification et de gestion des accès afin de renforcer la sécurité de l’accès aux systèmes et outils informatiques de l’OMPI de manière uniforme dans l’ensemble de l’Organisation et b) du système de gestion des contenus de l’Organisation afin d’améliorer le partage de connaissances et la gestion des informations dans l’ensemble de l’Organisation;</w:t>
      </w:r>
    </w:p>
    <w:p w14:paraId="22C1D7F9" w14:textId="77777777" w:rsidR="00693947" w:rsidRPr="00E16214" w:rsidRDefault="00693947" w:rsidP="00986700">
      <w:pPr>
        <w:ind w:left="567" w:hanging="567"/>
        <w:jc w:val="both"/>
        <w:rPr>
          <w:rFonts w:asciiTheme="minorBidi" w:hAnsiTheme="minorBidi"/>
          <w:szCs w:val="20"/>
        </w:rPr>
      </w:pPr>
    </w:p>
    <w:p w14:paraId="01872395" w14:textId="77777777"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Améliorer la fourniture de services d’architecture de l’Organisation pour l’exécution de nouvelles initiatives phares en lien avec les systèmes de propriété intellectuelle de l’OMPI, y compris le système mondial de propriété intellectuelle, le système de La Haye, le système de paiement commun et les futures initiatives dans le cadre du système de Madrid;</w:t>
      </w:r>
    </w:p>
    <w:p w14:paraId="386CC07B" w14:textId="77777777" w:rsidR="00693947" w:rsidRPr="00E16214" w:rsidRDefault="00693947" w:rsidP="00986700">
      <w:pPr>
        <w:ind w:left="567" w:hanging="567"/>
        <w:jc w:val="both"/>
        <w:rPr>
          <w:rFonts w:asciiTheme="minorBidi" w:hAnsiTheme="minorBidi"/>
          <w:szCs w:val="20"/>
        </w:rPr>
      </w:pPr>
    </w:p>
    <w:p w14:paraId="3F20EEC0" w14:textId="77777777"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Étudier et mettre en évidence les possibilités de diversification et les stratégies en matière d’informatique en nuage afin de mieux gérer les risques et de pérenniser les modèles de prestation de services du Département des technologies de l’information et de la communication;</w:t>
      </w:r>
    </w:p>
    <w:p w14:paraId="6D74064D" w14:textId="77777777" w:rsidR="00693947" w:rsidRPr="00E16214" w:rsidRDefault="00693947" w:rsidP="00986700">
      <w:pPr>
        <w:ind w:left="567" w:hanging="567"/>
        <w:jc w:val="both"/>
        <w:rPr>
          <w:rFonts w:asciiTheme="minorBidi" w:hAnsiTheme="minorBidi"/>
          <w:szCs w:val="20"/>
        </w:rPr>
      </w:pPr>
    </w:p>
    <w:p w14:paraId="1722ADEA" w14:textId="77777777"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Garantir la mise à disposition d’outils informatiques de pointe pour l’utilisateur final en prévoyant de renouveler le matériel et de mettre à jour les programmes;  tenir à jour des technologies de conférence et des services audiovisuels fiables et modernes;</w:t>
      </w:r>
    </w:p>
    <w:p w14:paraId="287699E4" w14:textId="77777777" w:rsidR="00693947" w:rsidRPr="00E16214" w:rsidRDefault="00693947" w:rsidP="00986700">
      <w:pPr>
        <w:ind w:left="567" w:hanging="567"/>
        <w:jc w:val="both"/>
        <w:rPr>
          <w:rFonts w:asciiTheme="minorBidi" w:hAnsiTheme="minorBidi"/>
          <w:szCs w:val="20"/>
        </w:rPr>
      </w:pPr>
    </w:p>
    <w:p w14:paraId="68FA75ED" w14:textId="77777777" w:rsidR="00693947" w:rsidRPr="00E16214" w:rsidRDefault="00693947" w:rsidP="00616FD3">
      <w:pPr>
        <w:pStyle w:val="ListParagraph"/>
        <w:numPr>
          <w:ilvl w:val="0"/>
          <w:numId w:val="40"/>
        </w:numPr>
        <w:ind w:left="567" w:hanging="567"/>
        <w:jc w:val="both"/>
        <w:rPr>
          <w:rFonts w:asciiTheme="minorBidi" w:hAnsiTheme="minorBidi"/>
          <w:szCs w:val="20"/>
        </w:rPr>
      </w:pPr>
      <w:r w:rsidRPr="00E16214">
        <w:rPr>
          <w:rFonts w:asciiTheme="minorBidi" w:hAnsiTheme="minorBidi"/>
          <w:szCs w:val="20"/>
        </w:rPr>
        <w:t>Continuer de renforcer la continuité de service et la résilience des TIC.</w:t>
      </w:r>
    </w:p>
    <w:p w14:paraId="6B8AE47B" w14:textId="77777777" w:rsidR="00693947" w:rsidRPr="00E16214" w:rsidRDefault="00693947" w:rsidP="00986700">
      <w:pPr>
        <w:jc w:val="both"/>
        <w:rPr>
          <w:rFonts w:asciiTheme="minorBidi" w:hAnsiTheme="minorBidi"/>
          <w:szCs w:val="20"/>
        </w:rPr>
      </w:pPr>
    </w:p>
    <w:p w14:paraId="4A6C254A" w14:textId="77777777" w:rsidR="00693947" w:rsidRPr="00E16214" w:rsidRDefault="00693947" w:rsidP="00986700">
      <w:pPr>
        <w:jc w:val="both"/>
        <w:rPr>
          <w:rFonts w:asciiTheme="minorBidi" w:hAnsiTheme="minorBidi"/>
          <w:szCs w:val="20"/>
        </w:rPr>
      </w:pPr>
    </w:p>
    <w:tbl>
      <w:tblPr>
        <w:tblW w:w="5000" w:type="pct"/>
        <w:tblCellMar>
          <w:top w:w="57" w:type="dxa"/>
          <w:bottom w:w="57" w:type="dxa"/>
        </w:tblCellMar>
        <w:tblLook w:val="04A0" w:firstRow="1" w:lastRow="0" w:firstColumn="1" w:lastColumn="0" w:noHBand="0" w:noVBand="1"/>
      </w:tblPr>
      <w:tblGrid>
        <w:gridCol w:w="4643"/>
        <w:gridCol w:w="4644"/>
      </w:tblGrid>
      <w:tr w:rsidR="00693947" w:rsidRPr="00E16214" w14:paraId="0CE521F2" w14:textId="77777777" w:rsidTr="00693947">
        <w:trPr>
          <w:cantSplit/>
        </w:trPr>
        <w:tc>
          <w:tcPr>
            <w:tcW w:w="4785" w:type="dxa"/>
            <w:shd w:val="clear" w:color="auto" w:fill="C6D9F1"/>
            <w:tcMar>
              <w:top w:w="57" w:type="dxa"/>
              <w:left w:w="108" w:type="dxa"/>
              <w:bottom w:w="57" w:type="dxa"/>
              <w:right w:w="108" w:type="dxa"/>
            </w:tcMar>
            <w:vAlign w:val="center"/>
            <w:hideMark/>
          </w:tcPr>
          <w:p w14:paraId="31DF6339" w14:textId="77777777" w:rsidR="00693947" w:rsidRPr="00E16214" w:rsidRDefault="00693947" w:rsidP="00986700">
            <w:pPr>
              <w:jc w:val="center"/>
              <w:rPr>
                <w:rFonts w:eastAsiaTheme="minorHAnsi" w:cs="Arial"/>
                <w:b/>
                <w:bCs/>
                <w:szCs w:val="20"/>
              </w:rPr>
            </w:pPr>
            <w:r w:rsidRPr="00E16214">
              <w:rPr>
                <w:rFonts w:eastAsiaTheme="minorHAnsi" w:cs="Arial"/>
                <w:b/>
                <w:bCs/>
                <w:szCs w:val="20"/>
              </w:rPr>
              <w:t>Risques</w:t>
            </w:r>
          </w:p>
        </w:tc>
        <w:tc>
          <w:tcPr>
            <w:tcW w:w="4786" w:type="dxa"/>
            <w:shd w:val="clear" w:color="auto" w:fill="C6D9F1"/>
            <w:tcMar>
              <w:top w:w="57" w:type="dxa"/>
              <w:left w:w="108" w:type="dxa"/>
              <w:bottom w:w="57" w:type="dxa"/>
              <w:right w:w="108" w:type="dxa"/>
            </w:tcMar>
            <w:vAlign w:val="center"/>
            <w:hideMark/>
          </w:tcPr>
          <w:p w14:paraId="61EE454A" w14:textId="77777777" w:rsidR="00693947" w:rsidRPr="00E16214" w:rsidRDefault="00693947" w:rsidP="00986700">
            <w:pPr>
              <w:jc w:val="center"/>
              <w:rPr>
                <w:rFonts w:eastAsiaTheme="minorHAnsi" w:cs="Arial"/>
                <w:b/>
                <w:bCs/>
                <w:szCs w:val="20"/>
              </w:rPr>
            </w:pPr>
            <w:r w:rsidRPr="00E16214">
              <w:rPr>
                <w:rFonts w:eastAsiaTheme="minorHAnsi" w:cs="Arial"/>
                <w:b/>
                <w:bCs/>
                <w:szCs w:val="20"/>
              </w:rPr>
              <w:t>Mesures d’atténuation</w:t>
            </w:r>
          </w:p>
        </w:tc>
      </w:tr>
      <w:tr w:rsidR="00693947" w:rsidRPr="00E16214" w14:paraId="2615DD85" w14:textId="77777777" w:rsidTr="00693947">
        <w:trPr>
          <w:cantSplit/>
        </w:trPr>
        <w:tc>
          <w:tcPr>
            <w:tcW w:w="4785" w:type="dxa"/>
            <w:tcMar>
              <w:top w:w="57" w:type="dxa"/>
              <w:left w:w="108" w:type="dxa"/>
              <w:bottom w:w="57" w:type="dxa"/>
              <w:right w:w="108" w:type="dxa"/>
            </w:tcMar>
            <w:hideMark/>
          </w:tcPr>
          <w:p w14:paraId="21A88368" w14:textId="6C0D054C" w:rsidR="00693947" w:rsidRPr="00E16214" w:rsidRDefault="00693947" w:rsidP="00986700">
            <w:pPr>
              <w:rPr>
                <w:rFonts w:eastAsiaTheme="minorHAnsi" w:cs="Arial"/>
                <w:sz w:val="16"/>
                <w:szCs w:val="16"/>
              </w:rPr>
            </w:pPr>
            <w:r w:rsidRPr="00E16214">
              <w:rPr>
                <w:rFonts w:cs="Arial"/>
                <w:sz w:val="16"/>
                <w:szCs w:val="16"/>
              </w:rPr>
              <w:t>Des systèmes informatiques essentiels enregistrent un nombre inacceptable d’interruptions, ce qui a des répercussions négatives sur les activités de premier plan de l’Organisation et se traduit entre autres par la perte de données critiques, y compris de données relatives aux dépôts, et nuit à la réputation de l’Organisation</w:t>
            </w:r>
          </w:p>
        </w:tc>
        <w:tc>
          <w:tcPr>
            <w:tcW w:w="4786" w:type="dxa"/>
            <w:tcMar>
              <w:top w:w="57" w:type="dxa"/>
              <w:left w:w="108" w:type="dxa"/>
              <w:bottom w:w="57" w:type="dxa"/>
              <w:right w:w="108" w:type="dxa"/>
            </w:tcMar>
          </w:tcPr>
          <w:p w14:paraId="0D8E45BB" w14:textId="2FD5DAF5" w:rsidR="00693947" w:rsidRPr="00E16214" w:rsidRDefault="00693947" w:rsidP="00986700">
            <w:pPr>
              <w:rPr>
                <w:rFonts w:eastAsiaTheme="minorHAnsi" w:cs="Arial"/>
                <w:sz w:val="16"/>
                <w:szCs w:val="16"/>
              </w:rPr>
            </w:pPr>
            <w:r w:rsidRPr="00E16214">
              <w:rPr>
                <w:rFonts w:cs="Arial"/>
                <w:sz w:val="16"/>
                <w:szCs w:val="16"/>
              </w:rPr>
              <w:t>Concevoir, tenir à jour et tester chaque année les mesures permettant de garantir la continuité des opérations mises en place dans le cadre de la stratégie de l’OMPI en matière de résilience et veiller à ce que les capacités TIC soient toujours en adéquation avec les plans de continuité des opérations</w:t>
            </w:r>
          </w:p>
        </w:tc>
      </w:tr>
      <w:tr w:rsidR="00693947" w:rsidRPr="00E16214" w14:paraId="27EA133A" w14:textId="77777777" w:rsidTr="00693947">
        <w:trPr>
          <w:cantSplit/>
        </w:trPr>
        <w:tc>
          <w:tcPr>
            <w:tcW w:w="4785" w:type="dxa"/>
            <w:tcMar>
              <w:top w:w="57" w:type="dxa"/>
              <w:left w:w="108" w:type="dxa"/>
              <w:bottom w:w="57" w:type="dxa"/>
              <w:right w:w="108" w:type="dxa"/>
            </w:tcMar>
          </w:tcPr>
          <w:p w14:paraId="3F80ADF0" w14:textId="5CC8C00B" w:rsidR="00693947" w:rsidRPr="00E16214" w:rsidRDefault="00693947" w:rsidP="00986700">
            <w:pPr>
              <w:rPr>
                <w:rFonts w:cs="Arial"/>
                <w:sz w:val="16"/>
                <w:szCs w:val="16"/>
              </w:rPr>
            </w:pPr>
            <w:r w:rsidRPr="00E16214">
              <w:rPr>
                <w:rFonts w:eastAsiaTheme="minorHAnsi" w:cs="Arial"/>
                <w:sz w:val="16"/>
                <w:szCs w:val="16"/>
              </w:rPr>
              <w:t>Risque d’augmentation du coût des services fournis par le prestataire interorganisations de services TIC, le Centre international de calcul des Nations Unies (CIC), au vu de la baisse potentielle de l’utilisation des services partagés par les autres entités participantes du système des Nations Unies</w:t>
            </w:r>
          </w:p>
        </w:tc>
        <w:tc>
          <w:tcPr>
            <w:tcW w:w="4786" w:type="dxa"/>
            <w:tcMar>
              <w:top w:w="57" w:type="dxa"/>
              <w:left w:w="108" w:type="dxa"/>
              <w:bottom w:w="57" w:type="dxa"/>
              <w:right w:w="108" w:type="dxa"/>
            </w:tcMar>
          </w:tcPr>
          <w:p w14:paraId="469D9F03" w14:textId="4257DF86" w:rsidR="00693947" w:rsidRPr="00E16214" w:rsidRDefault="00693947" w:rsidP="00986700">
            <w:pPr>
              <w:rPr>
                <w:rFonts w:cs="Arial"/>
                <w:sz w:val="16"/>
                <w:szCs w:val="16"/>
              </w:rPr>
            </w:pPr>
            <w:r w:rsidRPr="00E16214">
              <w:rPr>
                <w:rFonts w:eastAsiaTheme="minorHAnsi" w:cs="Arial"/>
                <w:sz w:val="16"/>
                <w:szCs w:val="16"/>
              </w:rPr>
              <w:t>Réduire la dépendance à l’égard du CIC pour ce qui est de la fourniture de services TIC en développant les stratégies de diversification mises en œuvre actuellement</w:t>
            </w:r>
          </w:p>
        </w:tc>
      </w:tr>
    </w:tbl>
    <w:p w14:paraId="2FDFEED7" w14:textId="77777777" w:rsidR="00693947" w:rsidRPr="00E16214" w:rsidRDefault="00693947" w:rsidP="00986700">
      <w:pPr>
        <w:rPr>
          <w:rFonts w:cs="Arial"/>
          <w:szCs w:val="20"/>
        </w:rPr>
      </w:pPr>
    </w:p>
    <w:p w14:paraId="3CDA786F" w14:textId="77777777" w:rsidR="00693947" w:rsidRPr="00E16214" w:rsidRDefault="00693947" w:rsidP="00986700">
      <w:pPr>
        <w:rPr>
          <w:rFonts w:cs="Arial"/>
          <w:szCs w:val="20"/>
        </w:rPr>
      </w:pPr>
    </w:p>
    <w:tbl>
      <w:tblPr>
        <w:tblW w:w="4813" w:type="pct"/>
        <w:tblCellMar>
          <w:top w:w="57" w:type="dxa"/>
          <w:bottom w:w="57" w:type="dxa"/>
        </w:tblCellMar>
        <w:tblLook w:val="04A0" w:firstRow="1" w:lastRow="0" w:firstColumn="1" w:lastColumn="0" w:noHBand="0" w:noVBand="1"/>
      </w:tblPr>
      <w:tblGrid>
        <w:gridCol w:w="2224"/>
        <w:gridCol w:w="2238"/>
        <w:gridCol w:w="2238"/>
        <w:gridCol w:w="2240"/>
      </w:tblGrid>
      <w:tr w:rsidR="00693947" w:rsidRPr="00E16214" w14:paraId="7D504E5A" w14:textId="77777777" w:rsidTr="00693947">
        <w:trPr>
          <w:cantSplit/>
        </w:trPr>
        <w:tc>
          <w:tcPr>
            <w:tcW w:w="2303" w:type="dxa"/>
            <w:shd w:val="clear" w:color="000000" w:fill="C5D9F1"/>
            <w:vAlign w:val="center"/>
            <w:hideMark/>
          </w:tcPr>
          <w:p w14:paraId="244B1B5C" w14:textId="77777777" w:rsidR="00693947" w:rsidRPr="00E16214" w:rsidRDefault="00693947" w:rsidP="00986700">
            <w:pPr>
              <w:keepNext/>
              <w:keepLines/>
              <w:jc w:val="center"/>
              <w:rPr>
                <w:rFonts w:eastAsia="Times New Roman" w:cs="Arial"/>
                <w:b/>
                <w:bCs/>
                <w:sz w:val="18"/>
                <w:szCs w:val="18"/>
                <w:lang w:eastAsia="en-US"/>
              </w:rPr>
            </w:pPr>
            <w:r w:rsidRPr="00E16214">
              <w:rPr>
                <w:rFonts w:eastAsia="Times New Roman" w:cs="Arial"/>
                <w:b/>
                <w:bCs/>
                <w:sz w:val="18"/>
                <w:szCs w:val="18"/>
                <w:lang w:eastAsia="en-US"/>
              </w:rPr>
              <w:lastRenderedPageBreak/>
              <w:t>Résultat escompté</w:t>
            </w:r>
          </w:p>
        </w:tc>
        <w:tc>
          <w:tcPr>
            <w:tcW w:w="2303" w:type="dxa"/>
            <w:shd w:val="clear" w:color="000000" w:fill="C5D9F1"/>
            <w:vAlign w:val="center"/>
            <w:hideMark/>
          </w:tcPr>
          <w:p w14:paraId="70655483" w14:textId="77777777" w:rsidR="00693947" w:rsidRPr="00E16214" w:rsidRDefault="00693947" w:rsidP="00986700">
            <w:pPr>
              <w:keepNext/>
              <w:keepLines/>
              <w:jc w:val="center"/>
              <w:rPr>
                <w:rFonts w:eastAsia="Times New Roman" w:cs="Arial"/>
                <w:b/>
                <w:bCs/>
                <w:sz w:val="18"/>
                <w:szCs w:val="18"/>
                <w:lang w:eastAsia="en-US"/>
              </w:rPr>
            </w:pPr>
            <w:r w:rsidRPr="00E16214">
              <w:rPr>
                <w:rFonts w:eastAsia="Times New Roman" w:cs="Arial"/>
                <w:b/>
                <w:bCs/>
                <w:sz w:val="18"/>
                <w:szCs w:val="18"/>
                <w:lang w:eastAsia="en-US"/>
              </w:rPr>
              <w:t>Indicateurs d’exécution</w:t>
            </w:r>
          </w:p>
        </w:tc>
        <w:tc>
          <w:tcPr>
            <w:tcW w:w="2303" w:type="dxa"/>
            <w:shd w:val="clear" w:color="000000" w:fill="C5D9F1"/>
            <w:vAlign w:val="center"/>
            <w:hideMark/>
          </w:tcPr>
          <w:p w14:paraId="7A68195A" w14:textId="77777777" w:rsidR="00693947" w:rsidRPr="00E16214" w:rsidRDefault="00693947" w:rsidP="00986700">
            <w:pPr>
              <w:keepNext/>
              <w:keepLines/>
              <w:jc w:val="center"/>
              <w:rPr>
                <w:rFonts w:eastAsia="Times New Roman" w:cs="Arial"/>
                <w:b/>
                <w:bCs/>
                <w:sz w:val="18"/>
                <w:szCs w:val="18"/>
                <w:lang w:eastAsia="en-US"/>
              </w:rPr>
            </w:pPr>
            <w:r w:rsidRPr="00E16214">
              <w:rPr>
                <w:rFonts w:eastAsia="Times New Roman" w:cs="Arial"/>
                <w:b/>
                <w:bCs/>
                <w:sz w:val="18"/>
                <w:szCs w:val="18"/>
                <w:lang w:eastAsia="en-US"/>
              </w:rPr>
              <w:t>Niveaux de référence</w:t>
            </w:r>
          </w:p>
        </w:tc>
        <w:tc>
          <w:tcPr>
            <w:tcW w:w="2304" w:type="dxa"/>
            <w:shd w:val="clear" w:color="000000" w:fill="C5D9F1"/>
            <w:vAlign w:val="center"/>
            <w:hideMark/>
          </w:tcPr>
          <w:p w14:paraId="06A183F7" w14:textId="77777777" w:rsidR="00693947" w:rsidRPr="00E16214" w:rsidRDefault="00693947" w:rsidP="00986700">
            <w:pPr>
              <w:keepNext/>
              <w:keepLines/>
              <w:jc w:val="center"/>
              <w:rPr>
                <w:rFonts w:eastAsia="Times New Roman" w:cs="Arial"/>
                <w:b/>
                <w:bCs/>
                <w:sz w:val="18"/>
                <w:szCs w:val="18"/>
                <w:lang w:eastAsia="en-US"/>
              </w:rPr>
            </w:pPr>
            <w:r w:rsidRPr="00E16214">
              <w:rPr>
                <w:rFonts w:eastAsia="Times New Roman" w:cs="Arial"/>
                <w:b/>
                <w:bCs/>
                <w:sz w:val="18"/>
                <w:szCs w:val="18"/>
                <w:lang w:eastAsia="en-US"/>
              </w:rPr>
              <w:t>Objectifs visés</w:t>
            </w:r>
          </w:p>
        </w:tc>
      </w:tr>
      <w:tr w:rsidR="00693947" w:rsidRPr="00E16214" w14:paraId="07F5CDF6" w14:textId="77777777" w:rsidTr="00693947">
        <w:trPr>
          <w:cantSplit/>
        </w:trPr>
        <w:tc>
          <w:tcPr>
            <w:tcW w:w="2303" w:type="dxa"/>
            <w:vMerge w:val="restart"/>
            <w:shd w:val="clear" w:color="000000" w:fill="FFFFFF"/>
            <w:tcMar>
              <w:top w:w="113" w:type="dxa"/>
            </w:tcMar>
            <w:hideMark/>
          </w:tcPr>
          <w:p w14:paraId="0CDAD8AC" w14:textId="77777777" w:rsidR="00693947" w:rsidRPr="00E16214" w:rsidRDefault="00693947" w:rsidP="00986700">
            <w:pPr>
              <w:keepNext/>
              <w:keepLines/>
              <w:rPr>
                <w:rFonts w:eastAsia="Times New Roman" w:cs="Arial"/>
                <w:sz w:val="16"/>
                <w:szCs w:val="16"/>
                <w:lang w:eastAsia="en-US"/>
              </w:rPr>
            </w:pPr>
            <w:r w:rsidRPr="00E16214">
              <w:rPr>
                <w:rFonts w:eastAsia="Times New Roman" w:cs="Arial"/>
                <w:sz w:val="16"/>
                <w:szCs w:val="16"/>
                <w:lang w:eastAsia="en-US"/>
              </w:rPr>
              <w:t>IX.1 Services d’appui efficaces, efficients, de qualité et tournés vers la clientèle, à l’intention à la fois des clients internes et des parties prenantes externes</w:t>
            </w:r>
          </w:p>
        </w:tc>
        <w:tc>
          <w:tcPr>
            <w:tcW w:w="2303" w:type="dxa"/>
            <w:shd w:val="clear" w:color="000000" w:fill="FFFFFF"/>
            <w:tcMar>
              <w:top w:w="113" w:type="dxa"/>
            </w:tcMar>
            <w:hideMark/>
          </w:tcPr>
          <w:p w14:paraId="42B6E945" w14:textId="77777777" w:rsidR="00693947" w:rsidRPr="00E16214" w:rsidRDefault="00693947" w:rsidP="00986700">
            <w:pPr>
              <w:keepNext/>
              <w:keepLines/>
              <w:rPr>
                <w:rFonts w:eastAsia="Times New Roman" w:cs="Arial"/>
                <w:sz w:val="16"/>
                <w:szCs w:val="16"/>
                <w:lang w:eastAsia="en-US"/>
              </w:rPr>
            </w:pPr>
            <w:r w:rsidRPr="00E16214">
              <w:rPr>
                <w:rFonts w:eastAsia="Times New Roman" w:cs="Arial"/>
                <w:sz w:val="16"/>
                <w:szCs w:val="16"/>
                <w:lang w:eastAsia="en-US"/>
              </w:rPr>
              <w:t>Les systèmes informatiques sont conçus, développés et mis en œuvre en tenant compte des normes adoptées par l’OMPI en ce qui concerne les données, les applications et la technologie</w:t>
            </w:r>
          </w:p>
        </w:tc>
        <w:tc>
          <w:tcPr>
            <w:tcW w:w="2303" w:type="dxa"/>
            <w:shd w:val="clear" w:color="000000" w:fill="FFFFFF"/>
            <w:tcMar>
              <w:top w:w="113" w:type="dxa"/>
            </w:tcMar>
            <w:hideMark/>
          </w:tcPr>
          <w:p w14:paraId="7E1FCB0A" w14:textId="77777777" w:rsidR="00693947" w:rsidRPr="00E16214" w:rsidRDefault="00693947" w:rsidP="00986700">
            <w:pPr>
              <w:keepNext/>
              <w:keepLines/>
              <w:rPr>
                <w:rFonts w:eastAsia="Times New Roman" w:cs="Arial"/>
                <w:sz w:val="16"/>
                <w:szCs w:val="16"/>
                <w:lang w:eastAsia="en-US"/>
              </w:rPr>
            </w:pPr>
            <w:r w:rsidRPr="00E16214">
              <w:rPr>
                <w:rFonts w:eastAsia="Times New Roman" w:cs="Arial"/>
                <w:sz w:val="16"/>
                <w:szCs w:val="16"/>
                <w:lang w:eastAsia="en-US"/>
              </w:rPr>
              <w:t>n.d.</w:t>
            </w:r>
          </w:p>
        </w:tc>
        <w:tc>
          <w:tcPr>
            <w:tcW w:w="2304" w:type="dxa"/>
            <w:shd w:val="clear" w:color="000000" w:fill="FFFFFF"/>
            <w:tcMar>
              <w:top w:w="113" w:type="dxa"/>
            </w:tcMar>
            <w:hideMark/>
          </w:tcPr>
          <w:p w14:paraId="24BD29B5" w14:textId="77777777" w:rsidR="00693947" w:rsidRPr="00E16214" w:rsidRDefault="00693947" w:rsidP="00986700">
            <w:pPr>
              <w:keepNext/>
              <w:keepLines/>
              <w:rPr>
                <w:rFonts w:eastAsia="Times New Roman" w:cs="Arial"/>
                <w:sz w:val="16"/>
                <w:szCs w:val="16"/>
                <w:lang w:eastAsia="en-US"/>
              </w:rPr>
            </w:pPr>
            <w:r w:rsidRPr="00E16214">
              <w:rPr>
                <w:rFonts w:eastAsia="Times New Roman" w:cs="Arial"/>
                <w:sz w:val="16"/>
                <w:szCs w:val="16"/>
                <w:lang w:eastAsia="en-US"/>
              </w:rPr>
              <w:t xml:space="preserve">Au moins 5 </w:t>
            </w:r>
          </w:p>
        </w:tc>
      </w:tr>
      <w:tr w:rsidR="00693947" w:rsidRPr="00E16214" w14:paraId="545B0C62" w14:textId="77777777" w:rsidTr="00693947">
        <w:trPr>
          <w:cantSplit/>
        </w:trPr>
        <w:tc>
          <w:tcPr>
            <w:tcW w:w="2303" w:type="dxa"/>
            <w:vMerge/>
            <w:tcMar>
              <w:top w:w="113" w:type="dxa"/>
            </w:tcMar>
            <w:vAlign w:val="center"/>
            <w:hideMark/>
          </w:tcPr>
          <w:p w14:paraId="7BEB1B99" w14:textId="77777777" w:rsidR="00693947" w:rsidRPr="00E16214" w:rsidRDefault="00693947" w:rsidP="00986700">
            <w:pPr>
              <w:rPr>
                <w:rFonts w:eastAsia="Times New Roman" w:cs="Arial"/>
                <w:sz w:val="16"/>
                <w:szCs w:val="16"/>
                <w:lang w:eastAsia="en-US"/>
              </w:rPr>
            </w:pPr>
          </w:p>
        </w:tc>
        <w:tc>
          <w:tcPr>
            <w:tcW w:w="2303" w:type="dxa"/>
            <w:shd w:val="clear" w:color="000000" w:fill="FFFFFF"/>
            <w:tcMar>
              <w:top w:w="113" w:type="dxa"/>
            </w:tcMar>
            <w:hideMark/>
          </w:tcPr>
          <w:p w14:paraId="058EB67F"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Augmentation du nombre de composantes TIC communes telles que le système de paiement et d’identification (y compris celles utilisées par plus d’un secteur) utilisées dans le cadre de la mise en œuvre des systèmes de propriété intellectuelle</w:t>
            </w:r>
          </w:p>
        </w:tc>
        <w:tc>
          <w:tcPr>
            <w:tcW w:w="2303" w:type="dxa"/>
            <w:shd w:val="clear" w:color="000000" w:fill="FFFFFF"/>
            <w:tcMar>
              <w:top w:w="113" w:type="dxa"/>
            </w:tcMar>
            <w:hideMark/>
          </w:tcPr>
          <w:p w14:paraId="4EFBC7A1" w14:textId="53133C1B" w:rsidR="00693947" w:rsidRPr="00E16214" w:rsidRDefault="00693947" w:rsidP="008B3CED">
            <w:pPr>
              <w:rPr>
                <w:rFonts w:eastAsia="Times New Roman" w:cs="Arial"/>
                <w:sz w:val="16"/>
                <w:szCs w:val="16"/>
                <w:lang w:eastAsia="en-US"/>
              </w:rPr>
            </w:pPr>
            <w:r w:rsidRPr="00E16214">
              <w:rPr>
                <w:rFonts w:eastAsia="Times New Roman" w:cs="Arial"/>
                <w:sz w:val="16"/>
                <w:szCs w:val="16"/>
                <w:lang w:eastAsia="en-US"/>
              </w:rPr>
              <w:t xml:space="preserve">À déterminer </w:t>
            </w:r>
          </w:p>
        </w:tc>
        <w:tc>
          <w:tcPr>
            <w:tcW w:w="2304" w:type="dxa"/>
            <w:shd w:val="clear" w:color="000000" w:fill="FFFFFF"/>
            <w:tcMar>
              <w:top w:w="113" w:type="dxa"/>
            </w:tcMar>
            <w:hideMark/>
          </w:tcPr>
          <w:p w14:paraId="2C264CBF"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Au moins 5</w:t>
            </w:r>
          </w:p>
        </w:tc>
      </w:tr>
      <w:tr w:rsidR="00693947" w:rsidRPr="00E16214" w14:paraId="21941C7C" w14:textId="77777777" w:rsidTr="00693947">
        <w:trPr>
          <w:cantSplit/>
        </w:trPr>
        <w:tc>
          <w:tcPr>
            <w:tcW w:w="2303" w:type="dxa"/>
            <w:vMerge/>
            <w:tcMar>
              <w:top w:w="113" w:type="dxa"/>
            </w:tcMar>
            <w:vAlign w:val="center"/>
            <w:hideMark/>
          </w:tcPr>
          <w:p w14:paraId="43F6F301" w14:textId="77777777" w:rsidR="00693947" w:rsidRPr="00E16214" w:rsidRDefault="00693947" w:rsidP="00986700">
            <w:pPr>
              <w:rPr>
                <w:rFonts w:eastAsia="Times New Roman" w:cs="Arial"/>
                <w:sz w:val="16"/>
                <w:szCs w:val="16"/>
                <w:lang w:eastAsia="en-US"/>
              </w:rPr>
            </w:pPr>
          </w:p>
        </w:tc>
        <w:tc>
          <w:tcPr>
            <w:tcW w:w="2303" w:type="dxa"/>
            <w:shd w:val="clear" w:color="000000" w:fill="FFFFFF"/>
            <w:tcMar>
              <w:top w:w="113" w:type="dxa"/>
            </w:tcMar>
            <w:hideMark/>
          </w:tcPr>
          <w:p w14:paraId="73D53A50"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Niveau de satisfaction des secteurs d’activité à l’égard des services fournis par le Département des techniques de l’information et de la communication</w:t>
            </w:r>
          </w:p>
        </w:tc>
        <w:tc>
          <w:tcPr>
            <w:tcW w:w="2303" w:type="dxa"/>
            <w:shd w:val="clear" w:color="000000" w:fill="FFFFFF"/>
            <w:tcMar>
              <w:top w:w="113" w:type="dxa"/>
            </w:tcMar>
            <w:hideMark/>
          </w:tcPr>
          <w:p w14:paraId="562AFDCE" w14:textId="23F5BC24" w:rsidR="00693947" w:rsidRPr="00E16214" w:rsidRDefault="00693947" w:rsidP="008B3CED">
            <w:pPr>
              <w:rPr>
                <w:rFonts w:eastAsia="Times New Roman" w:cs="Arial"/>
                <w:sz w:val="16"/>
                <w:szCs w:val="16"/>
                <w:lang w:eastAsia="en-US"/>
              </w:rPr>
            </w:pPr>
            <w:r w:rsidRPr="00E16214">
              <w:rPr>
                <w:rFonts w:eastAsia="Times New Roman" w:cs="Arial"/>
                <w:sz w:val="16"/>
                <w:szCs w:val="16"/>
                <w:lang w:eastAsia="en-US"/>
              </w:rPr>
              <w:t xml:space="preserve">À déterminer </w:t>
            </w:r>
          </w:p>
        </w:tc>
        <w:tc>
          <w:tcPr>
            <w:tcW w:w="2304" w:type="dxa"/>
            <w:shd w:val="clear" w:color="000000" w:fill="FFFFFF"/>
            <w:tcMar>
              <w:top w:w="113" w:type="dxa"/>
            </w:tcMar>
            <w:hideMark/>
          </w:tcPr>
          <w:p w14:paraId="4A57B3A8" w14:textId="253F6CDF" w:rsidR="00693947" w:rsidRPr="00E16214" w:rsidRDefault="00693947" w:rsidP="008B3CED">
            <w:pPr>
              <w:rPr>
                <w:rFonts w:eastAsia="Times New Roman" w:cs="Arial"/>
                <w:sz w:val="16"/>
                <w:szCs w:val="16"/>
                <w:lang w:eastAsia="en-US"/>
              </w:rPr>
            </w:pPr>
            <w:r w:rsidRPr="00E16214">
              <w:rPr>
                <w:rFonts w:eastAsia="Times New Roman" w:cs="Arial"/>
                <w:sz w:val="16"/>
                <w:szCs w:val="16"/>
                <w:lang w:eastAsia="en-US"/>
              </w:rPr>
              <w:t xml:space="preserve">À déterminer </w:t>
            </w:r>
          </w:p>
        </w:tc>
      </w:tr>
      <w:tr w:rsidR="00693947" w:rsidRPr="00E16214" w14:paraId="6B6E6D9D" w14:textId="77777777" w:rsidTr="00693947">
        <w:trPr>
          <w:cantSplit/>
        </w:trPr>
        <w:tc>
          <w:tcPr>
            <w:tcW w:w="2303" w:type="dxa"/>
            <w:vMerge/>
            <w:tcMar>
              <w:top w:w="113" w:type="dxa"/>
            </w:tcMar>
            <w:vAlign w:val="center"/>
            <w:hideMark/>
          </w:tcPr>
          <w:p w14:paraId="4A157C77" w14:textId="77777777" w:rsidR="00693947" w:rsidRPr="00E16214" w:rsidRDefault="00693947" w:rsidP="00986700">
            <w:pPr>
              <w:rPr>
                <w:rFonts w:eastAsia="Times New Roman" w:cs="Arial"/>
                <w:sz w:val="16"/>
                <w:szCs w:val="16"/>
                <w:lang w:eastAsia="en-US"/>
              </w:rPr>
            </w:pPr>
          </w:p>
        </w:tc>
        <w:tc>
          <w:tcPr>
            <w:tcW w:w="2303" w:type="dxa"/>
            <w:shd w:val="clear" w:color="000000" w:fill="FFFFFF"/>
            <w:tcMar>
              <w:top w:w="113" w:type="dxa"/>
            </w:tcMar>
            <w:hideMark/>
          </w:tcPr>
          <w:p w14:paraId="3554BCA5"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Les plateformes TIC sont hébergées et gérées de manière rentable, conformément aux demandes des secteurs</w:t>
            </w:r>
          </w:p>
        </w:tc>
        <w:tc>
          <w:tcPr>
            <w:tcW w:w="2303" w:type="dxa"/>
            <w:shd w:val="clear" w:color="000000" w:fill="FFFFFF"/>
            <w:tcMar>
              <w:top w:w="113" w:type="dxa"/>
            </w:tcMar>
            <w:hideMark/>
          </w:tcPr>
          <w:p w14:paraId="0ED5D080"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Coût unitaire mensuel moyen des serveurs : 418 francs suisses</w:t>
            </w:r>
          </w:p>
          <w:p w14:paraId="3BAC67B6"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Coût unitaire mensuel moyen par To d’espace de stockage : 233 francs suisses</w:t>
            </w:r>
          </w:p>
          <w:p w14:paraId="60138735"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Coût unitaire mensuel moyen de la sauvegarde par To de stockage : 232 francs suisses</w:t>
            </w:r>
          </w:p>
          <w:p w14:paraId="6836F124"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–1,17 interruption de service ayant des conséquences moyennes ou graves par mois</w:t>
            </w:r>
          </w:p>
          <w:p w14:paraId="1ECDD9B5"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(2016)</w:t>
            </w:r>
          </w:p>
        </w:tc>
        <w:tc>
          <w:tcPr>
            <w:tcW w:w="2304" w:type="dxa"/>
            <w:shd w:val="clear" w:color="000000" w:fill="FFFFFF"/>
            <w:tcMar>
              <w:top w:w="113" w:type="dxa"/>
            </w:tcMar>
            <w:hideMark/>
          </w:tcPr>
          <w:p w14:paraId="5A25B03F"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Coûts unitaires réduits d’au moins 3% chaque année;</w:t>
            </w:r>
          </w:p>
          <w:p w14:paraId="72E74344" w14:textId="77777777" w:rsidR="00693947" w:rsidRPr="00E16214" w:rsidRDefault="00693947" w:rsidP="00986700">
            <w:pPr>
              <w:rPr>
                <w:rFonts w:eastAsia="Times New Roman" w:cs="Arial"/>
                <w:sz w:val="16"/>
                <w:szCs w:val="16"/>
                <w:lang w:eastAsia="en-US"/>
              </w:rPr>
            </w:pPr>
          </w:p>
          <w:p w14:paraId="2D0C7480" w14:textId="77777777" w:rsidR="00693947" w:rsidRPr="00E16214" w:rsidRDefault="00693947" w:rsidP="00986700">
            <w:pPr>
              <w:rPr>
                <w:rFonts w:eastAsia="Times New Roman" w:cs="Arial"/>
                <w:sz w:val="16"/>
                <w:szCs w:val="16"/>
                <w:lang w:eastAsia="en-US"/>
              </w:rPr>
            </w:pPr>
          </w:p>
          <w:p w14:paraId="0F9BFE9E" w14:textId="77777777" w:rsidR="00693947" w:rsidRPr="00E16214" w:rsidRDefault="00693947" w:rsidP="00986700">
            <w:pPr>
              <w:rPr>
                <w:rFonts w:eastAsia="Times New Roman" w:cs="Arial"/>
                <w:sz w:val="16"/>
                <w:szCs w:val="16"/>
                <w:lang w:eastAsia="en-US"/>
              </w:rPr>
            </w:pPr>
          </w:p>
          <w:p w14:paraId="6E83B688" w14:textId="77777777" w:rsidR="00693947" w:rsidRPr="00E16214" w:rsidRDefault="00693947" w:rsidP="00986700">
            <w:pPr>
              <w:rPr>
                <w:rFonts w:eastAsia="Times New Roman" w:cs="Arial"/>
                <w:sz w:val="16"/>
                <w:szCs w:val="16"/>
                <w:lang w:eastAsia="en-US"/>
              </w:rPr>
            </w:pPr>
          </w:p>
          <w:p w14:paraId="4DFE7604" w14:textId="77777777" w:rsidR="00693947" w:rsidRPr="00E16214" w:rsidRDefault="00693947" w:rsidP="00986700">
            <w:pPr>
              <w:rPr>
                <w:rFonts w:eastAsia="Times New Roman" w:cs="Arial"/>
                <w:sz w:val="16"/>
                <w:szCs w:val="16"/>
                <w:lang w:eastAsia="en-US"/>
              </w:rPr>
            </w:pPr>
          </w:p>
          <w:p w14:paraId="360265F9" w14:textId="77777777" w:rsidR="00693947" w:rsidRPr="00E16214" w:rsidRDefault="00693947" w:rsidP="00986700">
            <w:pPr>
              <w:rPr>
                <w:rFonts w:eastAsia="Times New Roman" w:cs="Arial"/>
                <w:sz w:val="16"/>
                <w:szCs w:val="16"/>
                <w:lang w:eastAsia="en-US"/>
              </w:rPr>
            </w:pPr>
          </w:p>
          <w:p w14:paraId="150ED83A" w14:textId="77777777" w:rsidR="00693947" w:rsidRPr="00E16214" w:rsidRDefault="00693947" w:rsidP="00986700">
            <w:pPr>
              <w:rPr>
                <w:rFonts w:eastAsia="Times New Roman" w:cs="Arial"/>
                <w:sz w:val="16"/>
                <w:szCs w:val="16"/>
                <w:lang w:eastAsia="en-US"/>
              </w:rPr>
            </w:pPr>
          </w:p>
          <w:p w14:paraId="7589E995" w14:textId="77777777" w:rsidR="00693947" w:rsidRPr="00E16214" w:rsidRDefault="00693947" w:rsidP="00986700">
            <w:pPr>
              <w:rPr>
                <w:rFonts w:eastAsia="Times New Roman" w:cs="Arial"/>
                <w:sz w:val="16"/>
                <w:szCs w:val="16"/>
                <w:lang w:eastAsia="en-US"/>
              </w:rPr>
            </w:pPr>
          </w:p>
          <w:p w14:paraId="46D2E207" w14:textId="77777777" w:rsidR="00693947" w:rsidRPr="00E16214" w:rsidRDefault="00693947" w:rsidP="00986700">
            <w:pPr>
              <w:rPr>
                <w:rFonts w:eastAsia="Times New Roman" w:cs="Arial"/>
                <w:sz w:val="16"/>
                <w:szCs w:val="16"/>
                <w:lang w:eastAsia="en-US"/>
              </w:rPr>
            </w:pPr>
          </w:p>
          <w:p w14:paraId="23360BC6"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xml:space="preserve">Pas d’augmentation du nombre d’interruptions de service ayant des conséquences moyennes ou graves malgré les projets majeurs de transformation des TIC prévus </w:t>
            </w:r>
          </w:p>
        </w:tc>
      </w:tr>
      <w:tr w:rsidR="00693947" w:rsidRPr="00E16214" w14:paraId="584F2D25" w14:textId="77777777" w:rsidTr="00693947">
        <w:trPr>
          <w:cantSplit/>
        </w:trPr>
        <w:tc>
          <w:tcPr>
            <w:tcW w:w="2303" w:type="dxa"/>
            <w:vMerge/>
            <w:tcMar>
              <w:top w:w="113" w:type="dxa"/>
            </w:tcMar>
            <w:vAlign w:val="center"/>
            <w:hideMark/>
          </w:tcPr>
          <w:p w14:paraId="06701334" w14:textId="77777777" w:rsidR="00693947" w:rsidRPr="00E16214" w:rsidRDefault="00693947" w:rsidP="00986700">
            <w:pPr>
              <w:rPr>
                <w:rFonts w:eastAsia="Times New Roman" w:cs="Arial"/>
                <w:sz w:val="16"/>
                <w:szCs w:val="16"/>
                <w:lang w:eastAsia="en-US"/>
              </w:rPr>
            </w:pPr>
          </w:p>
        </w:tc>
        <w:tc>
          <w:tcPr>
            <w:tcW w:w="2303" w:type="dxa"/>
            <w:shd w:val="clear" w:color="000000" w:fill="FFFFFF"/>
            <w:tcMar>
              <w:top w:w="113" w:type="dxa"/>
            </w:tcMar>
            <w:hideMark/>
          </w:tcPr>
          <w:p w14:paraId="149D6C6A"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Pourcentage de clients satisfaits des prestations du service d’assistance</w:t>
            </w:r>
          </w:p>
        </w:tc>
        <w:tc>
          <w:tcPr>
            <w:tcW w:w="2303" w:type="dxa"/>
            <w:shd w:val="clear" w:color="000000" w:fill="FFFFFF"/>
            <w:tcMar>
              <w:top w:w="113" w:type="dxa"/>
            </w:tcMar>
            <w:hideMark/>
          </w:tcPr>
          <w:p w14:paraId="7654CCA9"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97,4% de clients satisfaits des prestations du service d’assistance</w:t>
            </w:r>
          </w:p>
          <w:p w14:paraId="2E3C6B67"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66,7% entièrement satisfaits</w:t>
            </w:r>
          </w:p>
          <w:p w14:paraId="5EF11992"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30,7% satisfaits</w:t>
            </w:r>
          </w:p>
          <w:p w14:paraId="626ED6FF" w14:textId="77777777" w:rsidR="00693947" w:rsidRPr="00E16214" w:rsidRDefault="00693947" w:rsidP="00986700">
            <w:pPr>
              <w:pStyle w:val="ListParagraph"/>
              <w:ind w:left="0"/>
              <w:rPr>
                <w:rFonts w:eastAsia="Times New Roman" w:cs="Arial"/>
                <w:sz w:val="16"/>
                <w:szCs w:val="16"/>
                <w:lang w:eastAsia="en-US"/>
              </w:rPr>
            </w:pPr>
            <w:r w:rsidRPr="00E16214">
              <w:rPr>
                <w:rFonts w:eastAsia="Times New Roman" w:cs="Arial"/>
                <w:sz w:val="16"/>
                <w:szCs w:val="16"/>
                <w:lang w:eastAsia="en-US"/>
              </w:rPr>
              <w:t>(2016)</w:t>
            </w:r>
          </w:p>
        </w:tc>
        <w:tc>
          <w:tcPr>
            <w:tcW w:w="2304" w:type="dxa"/>
            <w:shd w:val="clear" w:color="000000" w:fill="FFFFFF"/>
            <w:tcMar>
              <w:top w:w="113" w:type="dxa"/>
            </w:tcMar>
            <w:hideMark/>
          </w:tcPr>
          <w:p w14:paraId="513AD020"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Maintenir le même niveau de satisfaction des utilisateurs</w:t>
            </w:r>
          </w:p>
        </w:tc>
      </w:tr>
      <w:tr w:rsidR="00693947" w:rsidRPr="00E16214" w14:paraId="2B63EFD0" w14:textId="77777777" w:rsidTr="00693947">
        <w:trPr>
          <w:cantSplit/>
        </w:trPr>
        <w:tc>
          <w:tcPr>
            <w:tcW w:w="2303" w:type="dxa"/>
            <w:vMerge/>
            <w:tcMar>
              <w:top w:w="113" w:type="dxa"/>
            </w:tcMar>
            <w:vAlign w:val="center"/>
            <w:hideMark/>
          </w:tcPr>
          <w:p w14:paraId="7083D641" w14:textId="77777777" w:rsidR="00693947" w:rsidRPr="00E16214" w:rsidRDefault="00693947" w:rsidP="00986700">
            <w:pPr>
              <w:rPr>
                <w:rFonts w:eastAsia="Times New Roman" w:cs="Arial"/>
                <w:sz w:val="16"/>
                <w:szCs w:val="16"/>
                <w:lang w:eastAsia="en-US"/>
              </w:rPr>
            </w:pPr>
          </w:p>
        </w:tc>
        <w:tc>
          <w:tcPr>
            <w:tcW w:w="2303" w:type="dxa"/>
            <w:shd w:val="clear" w:color="000000" w:fill="FFFFFF"/>
            <w:tcMar>
              <w:top w:w="113" w:type="dxa"/>
            </w:tcMar>
            <w:hideMark/>
          </w:tcPr>
          <w:p w14:paraId="0CBF7873"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Les projets relatifs aux TIC sont gérés conformément aux principes directeurs de l’OMPI en matière de gestion de projet et de transition de services</w:t>
            </w:r>
          </w:p>
        </w:tc>
        <w:tc>
          <w:tcPr>
            <w:tcW w:w="2303" w:type="dxa"/>
            <w:shd w:val="clear" w:color="000000" w:fill="FFFFFF"/>
            <w:tcMar>
              <w:top w:w="113" w:type="dxa"/>
            </w:tcMar>
            <w:hideMark/>
          </w:tcPr>
          <w:p w14:paraId="287C7892"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100% (3 sur 3) des projets menés par le Département des techniques de l’information et de la communication suivent la méthode PRINCE2</w:t>
            </w:r>
          </w:p>
          <w:p w14:paraId="4A2A33A2"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66% (2 sur 3) des projets menés par le Département des techniques de l’information et de la communication sont conformes aux principes directeurs adoptés en matière de transition de services</w:t>
            </w:r>
          </w:p>
          <w:p w14:paraId="500BA957" w14:textId="77777777" w:rsidR="00693947" w:rsidRPr="00E16214" w:rsidRDefault="00693947" w:rsidP="00986700">
            <w:pPr>
              <w:pStyle w:val="ListParagraph"/>
              <w:ind w:left="0"/>
              <w:rPr>
                <w:rFonts w:eastAsia="Times New Roman" w:cs="Arial"/>
                <w:sz w:val="16"/>
                <w:szCs w:val="16"/>
                <w:lang w:eastAsia="en-US"/>
              </w:rPr>
            </w:pPr>
            <w:r w:rsidRPr="00E16214">
              <w:rPr>
                <w:rFonts w:eastAsia="Times New Roman" w:cs="Arial"/>
                <w:sz w:val="16"/>
                <w:szCs w:val="16"/>
                <w:lang w:eastAsia="en-US"/>
              </w:rPr>
              <w:t>(2016)</w:t>
            </w:r>
          </w:p>
        </w:tc>
        <w:tc>
          <w:tcPr>
            <w:tcW w:w="2304" w:type="dxa"/>
            <w:shd w:val="clear" w:color="000000" w:fill="FFFFFF"/>
            <w:tcMar>
              <w:top w:w="113" w:type="dxa"/>
            </w:tcMar>
            <w:hideMark/>
          </w:tcPr>
          <w:p w14:paraId="6A6C4020"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100% des projets menés par le Département des techniques de l’information et de la communication suivent la méthode PRINCE2</w:t>
            </w:r>
          </w:p>
          <w:p w14:paraId="55E4FD71" w14:textId="77777777" w:rsidR="00693947" w:rsidRPr="00E16214" w:rsidRDefault="00693947" w:rsidP="00986700">
            <w:pPr>
              <w:rPr>
                <w:rFonts w:cs="Arial"/>
                <w:sz w:val="14"/>
              </w:rPr>
            </w:pPr>
          </w:p>
          <w:p w14:paraId="4CDBAE84"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 100% des projets menés par le Département des techniques de l’information et de la communication sont conformes aux principes directeurs adoptés en matière de transition de services</w:t>
            </w:r>
          </w:p>
          <w:p w14:paraId="22C2EF52" w14:textId="77777777" w:rsidR="00693947" w:rsidRPr="00E16214" w:rsidRDefault="00693947" w:rsidP="00986700">
            <w:pPr>
              <w:rPr>
                <w:rFonts w:eastAsia="Times New Roman" w:cs="Arial"/>
                <w:sz w:val="16"/>
                <w:szCs w:val="16"/>
                <w:lang w:eastAsia="en-US"/>
              </w:rPr>
            </w:pPr>
            <w:r w:rsidRPr="00E16214">
              <w:rPr>
                <w:rFonts w:eastAsia="Times New Roman" w:cs="Arial"/>
                <w:sz w:val="16"/>
                <w:szCs w:val="16"/>
                <w:lang w:eastAsia="en-US"/>
              </w:rPr>
              <w:t>Aucune exception</w:t>
            </w:r>
          </w:p>
        </w:tc>
      </w:tr>
    </w:tbl>
    <w:p w14:paraId="33F3BBEE" w14:textId="77777777" w:rsidR="00693947" w:rsidRPr="00E16214" w:rsidRDefault="00693947" w:rsidP="00986700">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38C33F9C" w14:textId="77777777" w:rsidTr="001A722F">
        <w:trPr>
          <w:cantSplit/>
        </w:trPr>
        <w:tc>
          <w:tcPr>
            <w:tcW w:w="9571" w:type="dxa"/>
            <w:shd w:val="clear" w:color="auto" w:fill="C6D9F1" w:themeFill="text2" w:themeFillTint="33"/>
            <w:vAlign w:val="center"/>
          </w:tcPr>
          <w:p w14:paraId="6C41F0E4" w14:textId="77777777" w:rsidR="00277197" w:rsidRPr="00821D15" w:rsidRDefault="00277197" w:rsidP="00986700">
            <w:pPr>
              <w:keepNext/>
              <w:jc w:val="center"/>
              <w:rPr>
                <w:rFonts w:cs="Arial"/>
                <w:b/>
                <w:szCs w:val="20"/>
              </w:rPr>
            </w:pPr>
            <w:r w:rsidRPr="00821D15">
              <w:rPr>
                <w:rFonts w:cs="Arial"/>
                <w:b/>
                <w:szCs w:val="20"/>
              </w:rPr>
              <w:lastRenderedPageBreak/>
              <w:t>Ressources allouées au programme 25</w:t>
            </w:r>
          </w:p>
        </w:tc>
      </w:tr>
    </w:tbl>
    <w:p w14:paraId="356C02FD" w14:textId="77777777" w:rsidR="00277197" w:rsidRPr="00821D15" w:rsidRDefault="00277197" w:rsidP="00986700">
      <w:pPr>
        <w:keepNext/>
        <w:rPr>
          <w:rFonts w:cs="Arial"/>
          <w:szCs w:val="20"/>
        </w:rPr>
      </w:pPr>
    </w:p>
    <w:p w14:paraId="0BBB6A0C" w14:textId="77777777" w:rsidR="00277197" w:rsidRPr="00821D15" w:rsidRDefault="00277197" w:rsidP="00616FD3">
      <w:pPr>
        <w:pStyle w:val="ListParagraph"/>
        <w:numPr>
          <w:ilvl w:val="0"/>
          <w:numId w:val="87"/>
        </w:numPr>
        <w:ind w:firstLine="0"/>
        <w:jc w:val="both"/>
        <w:rPr>
          <w:rFonts w:cs="Arial"/>
          <w:szCs w:val="20"/>
        </w:rPr>
      </w:pPr>
      <w:r w:rsidRPr="00821D15">
        <w:rPr>
          <w:rFonts w:cs="Arial"/>
          <w:szCs w:val="20"/>
        </w:rPr>
        <w:t>Les ressources globales allouées au programme en 2018</w:t>
      </w:r>
      <w:r w:rsidRPr="00821D15">
        <w:rPr>
          <w:rFonts w:cs="Arial"/>
          <w:szCs w:val="20"/>
        </w:rPr>
        <w:noBreakHyphen/>
        <w:t>2019 restent stables.</w:t>
      </w:r>
    </w:p>
    <w:p w14:paraId="2FE00270" w14:textId="77777777" w:rsidR="00277197" w:rsidRPr="00821D15" w:rsidRDefault="00277197" w:rsidP="00986700">
      <w:pPr>
        <w:rPr>
          <w:rFonts w:cs="Arial"/>
          <w:szCs w:val="20"/>
        </w:rPr>
      </w:pPr>
    </w:p>
    <w:p w14:paraId="3FCA3F61" w14:textId="77777777" w:rsidR="00277197" w:rsidRPr="00821D15" w:rsidRDefault="00277197" w:rsidP="00616FD3">
      <w:pPr>
        <w:pStyle w:val="ListParagraph"/>
        <w:numPr>
          <w:ilvl w:val="0"/>
          <w:numId w:val="87"/>
        </w:numPr>
        <w:ind w:firstLine="0"/>
        <w:jc w:val="both"/>
        <w:rPr>
          <w:rFonts w:cs="Arial"/>
          <w:szCs w:val="20"/>
        </w:rPr>
      </w:pPr>
      <w:r w:rsidRPr="00821D15">
        <w:rPr>
          <w:rFonts w:cs="Arial"/>
          <w:szCs w:val="20"/>
        </w:rPr>
        <w:t>La diminution des dépenses de personnel résulte de la suppression d’un poste et du redéploiement d’un poste d’agent temporaire du programme.</w:t>
      </w:r>
    </w:p>
    <w:p w14:paraId="4CEE4B06" w14:textId="77777777" w:rsidR="00277197" w:rsidRPr="00821D15" w:rsidRDefault="00277197" w:rsidP="00986700">
      <w:pPr>
        <w:rPr>
          <w:rFonts w:cs="Arial"/>
          <w:szCs w:val="20"/>
        </w:rPr>
      </w:pPr>
    </w:p>
    <w:p w14:paraId="6CC0F666" w14:textId="77777777" w:rsidR="00277197" w:rsidRPr="00821D15" w:rsidRDefault="00277197" w:rsidP="00616FD3">
      <w:pPr>
        <w:pStyle w:val="ListParagraph"/>
        <w:numPr>
          <w:ilvl w:val="0"/>
          <w:numId w:val="87"/>
        </w:numPr>
        <w:ind w:firstLine="0"/>
        <w:jc w:val="both"/>
        <w:rPr>
          <w:rFonts w:cs="Arial"/>
          <w:szCs w:val="20"/>
        </w:rPr>
      </w:pPr>
      <w:r w:rsidRPr="00821D15">
        <w:rPr>
          <w:rFonts w:cs="Arial"/>
          <w:szCs w:val="20"/>
        </w:rPr>
        <w:t>L’augmentation des dépenses autres que les dépenses de personnel correspond à la provision supplémentaire pour la prise en charge des principaux systèmes et applications d’entreprise de l’OMPI.</w:t>
      </w:r>
    </w:p>
    <w:p w14:paraId="41B9A35C" w14:textId="77777777" w:rsidR="00277197" w:rsidRPr="00821D15" w:rsidRDefault="00277197" w:rsidP="00986700">
      <w:pPr>
        <w:rPr>
          <w:rFonts w:cs="Arial"/>
          <w:szCs w:val="20"/>
        </w:rPr>
      </w:pPr>
    </w:p>
    <w:p w14:paraId="09BCE774" w14:textId="77777777" w:rsidR="00277197" w:rsidRPr="00821D15" w:rsidRDefault="00277197" w:rsidP="00616FD3">
      <w:pPr>
        <w:pStyle w:val="ListParagraph"/>
        <w:numPr>
          <w:ilvl w:val="0"/>
          <w:numId w:val="87"/>
        </w:numPr>
        <w:ind w:firstLine="0"/>
        <w:jc w:val="both"/>
        <w:rPr>
          <w:rFonts w:cs="Arial"/>
          <w:szCs w:val="20"/>
        </w:rPr>
      </w:pPr>
      <w:r w:rsidRPr="00821D15">
        <w:rPr>
          <w:rFonts w:cs="Arial"/>
          <w:szCs w:val="20"/>
        </w:rPr>
        <w:t>S’agissant des écarts concernant les ressources allouées au titre des résultats escomptés, il est jugé plus judicieux de lier les activités relevant du programme au résultat escompté IX.1 (services d’appui efficaces tournés vers la clientèle) plutôt qu’au résultat escompté IX.4 (une organisation écologiquement et socialement responsable), comme c’était le cas en 2016</w:t>
      </w:r>
      <w:r w:rsidRPr="00821D15">
        <w:rPr>
          <w:rFonts w:cs="Arial"/>
          <w:szCs w:val="20"/>
        </w:rPr>
        <w:noBreakHyphen/>
        <w:t>2017.</w:t>
      </w:r>
    </w:p>
    <w:p w14:paraId="287D6A3C" w14:textId="77777777" w:rsidR="00693947" w:rsidRPr="00E16214" w:rsidRDefault="00693947" w:rsidP="00986700">
      <w:pPr>
        <w:rPr>
          <w:rFonts w:cs="Arial"/>
          <w:szCs w:val="20"/>
        </w:rPr>
      </w:pPr>
    </w:p>
    <w:p w14:paraId="1FD4CC10" w14:textId="7B4052C2"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25 : </w:t>
      </w:r>
      <w:r w:rsidRPr="00674550">
        <w:rPr>
          <w:rFonts w:eastAsia="Times New Roman" w:cs="Arial"/>
          <w:b/>
          <w:szCs w:val="20"/>
          <w:lang w:eastAsia="en-US"/>
        </w:rPr>
        <w:t>Ressources par résultat</w:t>
      </w:r>
    </w:p>
    <w:p w14:paraId="41A53A3C"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23F40814" w14:textId="4A91236E" w:rsidR="00693947" w:rsidRPr="00E16214" w:rsidRDefault="00693947" w:rsidP="00986700">
      <w:pPr>
        <w:tabs>
          <w:tab w:val="left" w:pos="5835"/>
        </w:tabs>
        <w:rPr>
          <w:rFonts w:asciiTheme="minorBidi" w:hAnsiTheme="minorBidi"/>
        </w:rPr>
      </w:pPr>
    </w:p>
    <w:p w14:paraId="63E6AA06" w14:textId="5F2BC98D" w:rsidR="00693947" w:rsidRDefault="00717231" w:rsidP="00986700">
      <w:pPr>
        <w:jc w:val="center"/>
        <w:rPr>
          <w:rFonts w:asciiTheme="minorBidi" w:hAnsiTheme="minorBidi"/>
        </w:rPr>
      </w:pPr>
      <w:r w:rsidRPr="00717231">
        <w:rPr>
          <w:noProof/>
          <w:lang w:val="en-US" w:eastAsia="en-US"/>
        </w:rPr>
        <w:drawing>
          <wp:inline distT="0" distB="0" distL="0" distR="0" wp14:anchorId="09BDB89D" wp14:editId="73E6772A">
            <wp:extent cx="5400000" cy="1638229"/>
            <wp:effectExtent l="0" t="0" r="0" b="63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00000" cy="1638229"/>
                    </a:xfrm>
                    <a:prstGeom prst="rect">
                      <a:avLst/>
                    </a:prstGeom>
                    <a:noFill/>
                    <a:ln>
                      <a:noFill/>
                    </a:ln>
                  </pic:spPr>
                </pic:pic>
              </a:graphicData>
            </a:graphic>
          </wp:inline>
        </w:drawing>
      </w:r>
    </w:p>
    <w:p w14:paraId="18CD3A3C" w14:textId="77777777" w:rsidR="008776A0" w:rsidRPr="00E16214" w:rsidRDefault="008776A0" w:rsidP="00986700"/>
    <w:p w14:paraId="45E361B3"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25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50D71A2B" w14:textId="3F27DF87"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6713C267" w14:textId="77777777" w:rsidR="008778B5" w:rsidRDefault="008778B5" w:rsidP="00986700">
      <w:pPr>
        <w:keepNext/>
        <w:rPr>
          <w:lang w:eastAsia="en-US"/>
        </w:rPr>
      </w:pPr>
    </w:p>
    <w:p w14:paraId="22F26A22" w14:textId="2CEB2241" w:rsidR="00B55ECC" w:rsidRDefault="00155E4B" w:rsidP="00986700">
      <w:pPr>
        <w:jc w:val="center"/>
        <w:rPr>
          <w:lang w:eastAsia="en-US"/>
        </w:rPr>
      </w:pPr>
      <w:r w:rsidRPr="00155E4B">
        <w:rPr>
          <w:noProof/>
          <w:lang w:val="en-US" w:eastAsia="en-US"/>
        </w:rPr>
        <w:drawing>
          <wp:inline distT="0" distB="0" distL="0" distR="0" wp14:anchorId="570F9162" wp14:editId="6AF2BCBF">
            <wp:extent cx="5400000" cy="6031770"/>
            <wp:effectExtent l="0" t="0" r="0"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48DE656E" w14:textId="77777777" w:rsidR="00B55ECC" w:rsidRPr="00E16214" w:rsidRDefault="00B55ECC" w:rsidP="00986700">
      <w:pPr>
        <w:rPr>
          <w:lang w:eastAsia="en-US"/>
        </w:rPr>
      </w:pPr>
    </w:p>
    <w:p w14:paraId="5423BEC1" w14:textId="05FC9AAE" w:rsidR="00693947" w:rsidRDefault="00693947" w:rsidP="00986700">
      <w:pPr>
        <w:rPr>
          <w:lang w:eastAsia="en-US"/>
        </w:rPr>
      </w:pPr>
      <w:r>
        <w:rPr>
          <w:lang w:eastAsia="en-US"/>
        </w:rPr>
        <w:br w:type="page"/>
      </w:r>
    </w:p>
    <w:p w14:paraId="503D2DAB" w14:textId="5794CBF9" w:rsidR="00693947" w:rsidRPr="00693947" w:rsidRDefault="00693947" w:rsidP="00986700">
      <w:pPr>
        <w:pStyle w:val="Heading2"/>
      </w:pPr>
      <w:bookmarkStart w:id="80" w:name="_Toc482979511"/>
      <w:r w:rsidRPr="00693947">
        <w:lastRenderedPageBreak/>
        <w:t>Programme 26</w:t>
      </w:r>
      <w:r w:rsidRPr="00693947">
        <w:tab/>
        <w:t>Supervision interne</w:t>
      </w:r>
      <w:bookmarkEnd w:id="80"/>
    </w:p>
    <w:p w14:paraId="560DC89E" w14:textId="77777777" w:rsidR="00693947" w:rsidRPr="0088724B" w:rsidRDefault="00693947" w:rsidP="00986700">
      <w:pPr>
        <w:jc w:val="both"/>
        <w:rPr>
          <w:rFonts w:cs="Arial"/>
          <w:szCs w:val="20"/>
        </w:rPr>
      </w:pPr>
    </w:p>
    <w:p w14:paraId="69D64AE2" w14:textId="77777777" w:rsidR="00693947" w:rsidRPr="0088724B" w:rsidRDefault="00693947" w:rsidP="00986700">
      <w:pPr>
        <w:jc w:val="both"/>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693947" w:rsidRPr="0088724B" w14:paraId="72E14E6C" w14:textId="77777777" w:rsidTr="008B3CED">
        <w:trPr>
          <w:cantSplit/>
        </w:trPr>
        <w:tc>
          <w:tcPr>
            <w:tcW w:w="9180" w:type="dxa"/>
            <w:shd w:val="clear" w:color="auto" w:fill="C6D9F1" w:themeFill="text2" w:themeFillTint="33"/>
            <w:vAlign w:val="center"/>
            <w:hideMark/>
          </w:tcPr>
          <w:p w14:paraId="5D03B91C" w14:textId="77777777" w:rsidR="00693947" w:rsidRPr="0088724B" w:rsidRDefault="00693947" w:rsidP="008B3CED">
            <w:pPr>
              <w:keepNext/>
              <w:keepLines/>
              <w:jc w:val="center"/>
              <w:rPr>
                <w:rFonts w:cs="Arial"/>
                <w:b/>
                <w:bCs/>
                <w:szCs w:val="20"/>
              </w:rPr>
            </w:pPr>
            <w:r w:rsidRPr="0088724B">
              <w:rPr>
                <w:rFonts w:eastAsia="Times New Roman" w:cs="Arial"/>
                <w:b/>
                <w:bCs/>
                <w:szCs w:val="20"/>
                <w:lang w:eastAsia="en-US"/>
              </w:rPr>
              <w:t>Stratégies de mise en œuvre</w:t>
            </w:r>
            <w:r w:rsidRPr="0088724B">
              <w:rPr>
                <w:rFonts w:cs="Arial"/>
                <w:b/>
                <w:bCs/>
                <w:szCs w:val="20"/>
              </w:rPr>
              <w:t xml:space="preserve"> </w:t>
            </w:r>
          </w:p>
        </w:tc>
      </w:tr>
    </w:tbl>
    <w:p w14:paraId="488A6A9D" w14:textId="77777777" w:rsidR="00693947" w:rsidRPr="0088724B" w:rsidRDefault="00693947" w:rsidP="00986700">
      <w:pPr>
        <w:jc w:val="both"/>
        <w:rPr>
          <w:rFonts w:asciiTheme="minorBidi" w:hAnsiTheme="minorBidi"/>
          <w:szCs w:val="20"/>
        </w:rPr>
      </w:pPr>
    </w:p>
    <w:p w14:paraId="0128D9BD" w14:textId="77777777" w:rsidR="00693947" w:rsidRPr="0088724B" w:rsidRDefault="00693947" w:rsidP="00616FD3">
      <w:pPr>
        <w:pStyle w:val="ListParagraph"/>
        <w:numPr>
          <w:ilvl w:val="0"/>
          <w:numId w:val="41"/>
        </w:numPr>
        <w:ind w:left="567" w:hanging="567"/>
        <w:jc w:val="both"/>
        <w:rPr>
          <w:rFonts w:asciiTheme="minorBidi" w:eastAsia="Times New Roman" w:hAnsiTheme="minorBidi"/>
          <w:bCs/>
          <w:szCs w:val="20"/>
          <w:lang w:eastAsia="en-US"/>
        </w:rPr>
      </w:pPr>
      <w:r w:rsidRPr="0088724B">
        <w:rPr>
          <w:rFonts w:asciiTheme="minorBidi" w:eastAsia="Times New Roman" w:hAnsiTheme="minorBidi"/>
          <w:bCs/>
          <w:szCs w:val="20"/>
          <w:lang w:eastAsia="en-US"/>
        </w:rPr>
        <w:t>Évaluer l’adéquation d’une bonne administration des ressources tant humaines que financières en procédant à une évaluation objective des processus et systèmes de gestion;</w:t>
      </w:r>
    </w:p>
    <w:p w14:paraId="1735CCD4" w14:textId="77777777" w:rsidR="00693947" w:rsidRPr="0088724B" w:rsidRDefault="00693947" w:rsidP="00986700">
      <w:pPr>
        <w:pStyle w:val="ListParagraph"/>
        <w:ind w:left="567" w:hanging="567"/>
        <w:jc w:val="both"/>
        <w:rPr>
          <w:rFonts w:asciiTheme="minorBidi" w:eastAsia="Times New Roman" w:hAnsiTheme="minorBidi"/>
          <w:bCs/>
          <w:szCs w:val="20"/>
          <w:lang w:eastAsia="en-US"/>
        </w:rPr>
      </w:pPr>
    </w:p>
    <w:p w14:paraId="05FF9818" w14:textId="77777777" w:rsidR="00693947" w:rsidRPr="0088724B" w:rsidRDefault="00693947" w:rsidP="00616FD3">
      <w:pPr>
        <w:pStyle w:val="ListParagraph"/>
        <w:numPr>
          <w:ilvl w:val="0"/>
          <w:numId w:val="41"/>
        </w:numPr>
        <w:ind w:left="567" w:hanging="567"/>
        <w:jc w:val="both"/>
        <w:rPr>
          <w:rFonts w:asciiTheme="minorBidi" w:eastAsia="Times New Roman" w:hAnsiTheme="minorBidi"/>
          <w:bCs/>
          <w:szCs w:val="20"/>
          <w:lang w:eastAsia="en-US"/>
        </w:rPr>
      </w:pPr>
      <w:r w:rsidRPr="0088724B">
        <w:rPr>
          <w:rFonts w:asciiTheme="minorBidi" w:eastAsia="Times New Roman" w:hAnsiTheme="minorBidi"/>
          <w:bCs/>
          <w:szCs w:val="20"/>
          <w:lang w:eastAsia="en-US"/>
        </w:rPr>
        <w:t>Fournir une assurance raisonnable quant à la conformité des activités de l’OMPI à ses règlements en vigueur en évaluant la pertinence et l’efficacité des contrôles internes, de la gestion des risques et des processus de gouvernance;</w:t>
      </w:r>
    </w:p>
    <w:p w14:paraId="397A7CBD" w14:textId="77777777" w:rsidR="00693947" w:rsidRPr="0088724B" w:rsidRDefault="00693947" w:rsidP="00986700">
      <w:pPr>
        <w:pStyle w:val="ListParagraph"/>
        <w:ind w:left="567" w:hanging="567"/>
        <w:jc w:val="both"/>
        <w:rPr>
          <w:rFonts w:asciiTheme="minorBidi" w:eastAsia="Times New Roman" w:hAnsiTheme="minorBidi"/>
          <w:bCs/>
          <w:szCs w:val="20"/>
          <w:lang w:eastAsia="en-US"/>
        </w:rPr>
      </w:pPr>
    </w:p>
    <w:p w14:paraId="2B1040B5" w14:textId="77777777" w:rsidR="00693947" w:rsidRPr="0088724B" w:rsidRDefault="00693947" w:rsidP="00616FD3">
      <w:pPr>
        <w:pStyle w:val="ListParagraph"/>
        <w:numPr>
          <w:ilvl w:val="0"/>
          <w:numId w:val="41"/>
        </w:numPr>
        <w:ind w:left="567" w:hanging="567"/>
        <w:jc w:val="both"/>
        <w:rPr>
          <w:rFonts w:asciiTheme="minorBidi" w:eastAsia="Times New Roman" w:hAnsiTheme="minorBidi"/>
          <w:bCs/>
          <w:szCs w:val="20"/>
          <w:lang w:eastAsia="en-US"/>
        </w:rPr>
      </w:pPr>
      <w:r w:rsidRPr="0088724B">
        <w:rPr>
          <w:rFonts w:asciiTheme="minorBidi" w:eastAsia="Times New Roman" w:hAnsiTheme="minorBidi"/>
          <w:bCs/>
          <w:szCs w:val="20"/>
          <w:lang w:eastAsia="en-US"/>
        </w:rPr>
        <w:t>Encourager l’apprentissage institutionnel et la responsabilisation à travers des processus de supervision transparents et participatifs;</w:t>
      </w:r>
    </w:p>
    <w:p w14:paraId="298F1A0D" w14:textId="77777777" w:rsidR="00693947" w:rsidRPr="0088724B" w:rsidRDefault="00693947" w:rsidP="00986700">
      <w:pPr>
        <w:pStyle w:val="ListParagraph"/>
        <w:ind w:left="567" w:hanging="567"/>
        <w:jc w:val="both"/>
        <w:rPr>
          <w:rFonts w:asciiTheme="minorBidi" w:eastAsia="Times New Roman" w:hAnsiTheme="minorBidi"/>
          <w:bCs/>
          <w:szCs w:val="20"/>
          <w:lang w:eastAsia="en-US"/>
        </w:rPr>
      </w:pPr>
    </w:p>
    <w:p w14:paraId="71E72456" w14:textId="77777777" w:rsidR="00693947" w:rsidRPr="0088724B" w:rsidRDefault="00693947" w:rsidP="00616FD3">
      <w:pPr>
        <w:pStyle w:val="ListParagraph"/>
        <w:numPr>
          <w:ilvl w:val="0"/>
          <w:numId w:val="41"/>
        </w:numPr>
        <w:ind w:left="567" w:hanging="567"/>
        <w:jc w:val="both"/>
        <w:rPr>
          <w:rFonts w:asciiTheme="minorBidi" w:eastAsia="Times New Roman" w:hAnsiTheme="minorBidi"/>
          <w:bCs/>
          <w:szCs w:val="20"/>
          <w:lang w:eastAsia="en-US"/>
        </w:rPr>
      </w:pPr>
      <w:r w:rsidRPr="0088724B">
        <w:rPr>
          <w:rFonts w:asciiTheme="minorBidi" w:eastAsia="Times New Roman" w:hAnsiTheme="minorBidi"/>
          <w:bCs/>
          <w:szCs w:val="20"/>
          <w:lang w:eastAsia="en-US"/>
        </w:rPr>
        <w:t>Continuer d’appuyer la direction dans l’élaboration et la mise en place d’un cadre efficace et efficient pour l’éthique et l’intégrité dans lequel les devoirs, les rôles, les responsabilités et les droits de l’ensemble des fonctionnaires de l’OMPI sont clairement définis, en menant des enquêtes dans les délais impartis et conformément aux règles, aux principes directeurs et aux bonnes pratiques établis;</w:t>
      </w:r>
    </w:p>
    <w:p w14:paraId="4B69D93F" w14:textId="77777777" w:rsidR="00693947" w:rsidRPr="0088724B" w:rsidRDefault="00693947" w:rsidP="00986700">
      <w:pPr>
        <w:ind w:left="567" w:hanging="567"/>
        <w:jc w:val="both"/>
        <w:rPr>
          <w:rFonts w:asciiTheme="minorBidi" w:hAnsiTheme="minorBidi"/>
          <w:szCs w:val="20"/>
        </w:rPr>
      </w:pPr>
    </w:p>
    <w:p w14:paraId="36C03635"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Améliorer la fourniture des services de supervision à l’interne en mettant à profit les résultats des évaluations externes de la qualité des fonctions d’audit, d’évaluation et d’investigation ainsi que les recommandations découlant de ces évaluations, en renforçant les synergies entre ces fonctions grâce à une planification commune et à des activités de formation et de suivi;  continuer d’élaborer et d’actualiser les instruments de supervision appropriés, tels que des manuels, des politiques et des principes directeurs;</w:t>
      </w:r>
    </w:p>
    <w:p w14:paraId="06EC4D73" w14:textId="77777777" w:rsidR="00693947" w:rsidRPr="0088724B" w:rsidRDefault="00693947" w:rsidP="00986700">
      <w:pPr>
        <w:ind w:left="567" w:hanging="567"/>
        <w:jc w:val="both"/>
        <w:rPr>
          <w:rFonts w:asciiTheme="minorBidi" w:hAnsiTheme="minorBidi"/>
          <w:szCs w:val="20"/>
        </w:rPr>
      </w:pPr>
    </w:p>
    <w:p w14:paraId="3263DF1D"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Continuer de fournir un soutien et des conseils spécialisés à tous les chefs de programme concernés à travers des activités permanentes de supervision, d’évaluation et d’examen;</w:t>
      </w:r>
    </w:p>
    <w:p w14:paraId="3C732710" w14:textId="77777777" w:rsidR="00693947" w:rsidRPr="0088724B" w:rsidRDefault="00693947" w:rsidP="00986700">
      <w:pPr>
        <w:pStyle w:val="ListParagraph"/>
        <w:ind w:left="567" w:hanging="567"/>
        <w:jc w:val="both"/>
        <w:rPr>
          <w:rFonts w:asciiTheme="minorBidi" w:hAnsiTheme="minorBidi"/>
          <w:szCs w:val="20"/>
        </w:rPr>
      </w:pPr>
    </w:p>
    <w:p w14:paraId="28AE6E40"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Contribuer à une couverture efficace de la supervision en coopération étroite avec les unités de l’Organisation qui constituent, de par leurs fonctions, une deuxième ligne de défense;</w:t>
      </w:r>
    </w:p>
    <w:p w14:paraId="46C85422" w14:textId="77777777" w:rsidR="00693947" w:rsidRPr="0088724B" w:rsidRDefault="00693947" w:rsidP="00986700">
      <w:pPr>
        <w:pStyle w:val="ListParagraph"/>
        <w:ind w:left="567" w:hanging="567"/>
        <w:jc w:val="both"/>
        <w:rPr>
          <w:rFonts w:asciiTheme="minorBidi" w:hAnsiTheme="minorBidi"/>
          <w:szCs w:val="20"/>
        </w:rPr>
      </w:pPr>
    </w:p>
    <w:p w14:paraId="0E506FC0"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Recenser les cas non signalés de fraude ou d’abus et proposer des mesures visant à atténuer les conséquences de tels actes à travers des activités de supervision ou des enquêtes axées sur une démarche préventive, et continuer de tenir à disposition une ligne téléphonique spéciale permettant de signaler les actes répréhensibles et les éventuelles fautes commises au sein de l’OMPI;</w:t>
      </w:r>
    </w:p>
    <w:p w14:paraId="3EDBD298" w14:textId="77777777" w:rsidR="00693947" w:rsidRPr="0088724B" w:rsidRDefault="00693947" w:rsidP="00986700">
      <w:pPr>
        <w:ind w:left="567" w:hanging="567"/>
        <w:jc w:val="both"/>
        <w:rPr>
          <w:rFonts w:asciiTheme="minorBidi" w:hAnsiTheme="minorBidi"/>
          <w:szCs w:val="20"/>
        </w:rPr>
      </w:pPr>
    </w:p>
    <w:p w14:paraId="122AF3C1"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Veiller à ce que la supervision interne à l’OMPI contribue à faire évoluer les tendances dans le domaine de la supervision et en tire avantage en poursuivant la coopération et la coordination avec le vérificateur externe des comptes, d’autres prestataires de services d’assurance en matière de supervision, les milieux de la supervision interne des Nations Unies et les associations internationales et professionnelles;</w:t>
      </w:r>
    </w:p>
    <w:p w14:paraId="14D5E11F" w14:textId="77777777" w:rsidR="00693947" w:rsidRPr="0088724B" w:rsidRDefault="00693947" w:rsidP="00986700">
      <w:pPr>
        <w:ind w:left="567" w:hanging="567"/>
        <w:jc w:val="both"/>
        <w:rPr>
          <w:rFonts w:asciiTheme="minorBidi" w:hAnsiTheme="minorBidi"/>
          <w:szCs w:val="20"/>
        </w:rPr>
      </w:pPr>
    </w:p>
    <w:p w14:paraId="6C2A29F7" w14:textId="77777777" w:rsidR="00693947" w:rsidRPr="0088724B" w:rsidRDefault="00693947" w:rsidP="00616FD3">
      <w:pPr>
        <w:pStyle w:val="ListParagraph"/>
        <w:numPr>
          <w:ilvl w:val="0"/>
          <w:numId w:val="42"/>
        </w:numPr>
        <w:ind w:left="567" w:hanging="567"/>
        <w:jc w:val="both"/>
        <w:rPr>
          <w:rFonts w:asciiTheme="minorBidi" w:hAnsiTheme="minorBidi"/>
          <w:szCs w:val="20"/>
        </w:rPr>
      </w:pPr>
      <w:r w:rsidRPr="0088724B">
        <w:rPr>
          <w:rFonts w:asciiTheme="minorBidi" w:hAnsiTheme="minorBidi"/>
          <w:szCs w:val="20"/>
        </w:rPr>
        <w:t>Assurer un suivi des progrès accomplis dans la mise en œuvre des recommandations relatives à la supervision et présenter ces progrès au Directeur général, à l’Organe consultatif indépendant de surveillance (OCIS) et aux assemblées de l’OMPI.</w:t>
      </w:r>
    </w:p>
    <w:p w14:paraId="2898E26A" w14:textId="77777777" w:rsidR="00693947" w:rsidRPr="0088724B" w:rsidRDefault="00693947" w:rsidP="00986700">
      <w:pPr>
        <w:jc w:val="both"/>
        <w:rPr>
          <w:rFonts w:asciiTheme="minorBidi" w:hAnsiTheme="minorBidi"/>
          <w:szCs w:val="20"/>
        </w:rPr>
      </w:pPr>
    </w:p>
    <w:p w14:paraId="0C32D5C0" w14:textId="77777777" w:rsidR="00693947" w:rsidRPr="0088724B" w:rsidRDefault="00693947" w:rsidP="00986700">
      <w:pPr>
        <w:jc w:val="both"/>
        <w:rPr>
          <w:rFonts w:asciiTheme="minorBidi" w:hAnsiTheme="minorBidi"/>
          <w:szCs w:val="20"/>
        </w:rPr>
      </w:pPr>
    </w:p>
    <w:tbl>
      <w:tblPr>
        <w:tblW w:w="5000" w:type="pct"/>
        <w:tblCellMar>
          <w:top w:w="57" w:type="dxa"/>
          <w:bottom w:w="57" w:type="dxa"/>
        </w:tblCellMar>
        <w:tblLook w:val="04A0" w:firstRow="1" w:lastRow="0" w:firstColumn="1" w:lastColumn="0" w:noHBand="0" w:noVBand="1"/>
      </w:tblPr>
      <w:tblGrid>
        <w:gridCol w:w="4641"/>
        <w:gridCol w:w="4646"/>
      </w:tblGrid>
      <w:tr w:rsidR="00693947" w:rsidRPr="0088724B" w14:paraId="079971B8" w14:textId="77777777" w:rsidTr="00693947">
        <w:trPr>
          <w:cantSplit/>
        </w:trPr>
        <w:tc>
          <w:tcPr>
            <w:tcW w:w="4785" w:type="dxa"/>
            <w:shd w:val="clear" w:color="auto" w:fill="C6D9F1" w:themeFill="text2" w:themeFillTint="33"/>
            <w:tcMar>
              <w:top w:w="57" w:type="dxa"/>
              <w:left w:w="108" w:type="dxa"/>
              <w:bottom w:w="57" w:type="dxa"/>
              <w:right w:w="108" w:type="dxa"/>
            </w:tcMar>
            <w:vAlign w:val="center"/>
            <w:hideMark/>
          </w:tcPr>
          <w:p w14:paraId="153EE70B" w14:textId="77777777" w:rsidR="00693947" w:rsidRPr="0088724B" w:rsidRDefault="00693947" w:rsidP="00986700">
            <w:pPr>
              <w:spacing w:line="276" w:lineRule="auto"/>
              <w:jc w:val="center"/>
              <w:rPr>
                <w:rFonts w:eastAsia="Calibri" w:cs="Arial"/>
                <w:b/>
                <w:bCs/>
                <w:sz w:val="18"/>
                <w:szCs w:val="18"/>
              </w:rPr>
            </w:pPr>
            <w:r w:rsidRPr="0088724B">
              <w:rPr>
                <w:rFonts w:cs="Arial"/>
                <w:b/>
                <w:bCs/>
                <w:sz w:val="18"/>
                <w:szCs w:val="18"/>
              </w:rPr>
              <w:t>Risques</w:t>
            </w:r>
          </w:p>
        </w:tc>
        <w:tc>
          <w:tcPr>
            <w:tcW w:w="4786" w:type="dxa"/>
            <w:shd w:val="clear" w:color="auto" w:fill="C6D9F1" w:themeFill="text2" w:themeFillTint="33"/>
            <w:tcMar>
              <w:top w:w="57" w:type="dxa"/>
              <w:left w:w="108" w:type="dxa"/>
              <w:bottom w:w="57" w:type="dxa"/>
              <w:right w:w="108" w:type="dxa"/>
            </w:tcMar>
            <w:vAlign w:val="center"/>
            <w:hideMark/>
          </w:tcPr>
          <w:p w14:paraId="29323EA1" w14:textId="77777777" w:rsidR="00693947" w:rsidRPr="0088724B" w:rsidRDefault="00693947" w:rsidP="00986700">
            <w:pPr>
              <w:spacing w:line="276" w:lineRule="auto"/>
              <w:jc w:val="center"/>
              <w:rPr>
                <w:rFonts w:eastAsia="Calibri" w:cs="Arial"/>
                <w:b/>
                <w:bCs/>
                <w:sz w:val="18"/>
                <w:szCs w:val="18"/>
              </w:rPr>
            </w:pPr>
            <w:r w:rsidRPr="0088724B">
              <w:rPr>
                <w:rFonts w:cs="Arial"/>
                <w:b/>
                <w:bCs/>
                <w:sz w:val="18"/>
                <w:szCs w:val="18"/>
              </w:rPr>
              <w:t>Mesures d’atténuation</w:t>
            </w:r>
          </w:p>
        </w:tc>
      </w:tr>
      <w:tr w:rsidR="00693947" w:rsidRPr="0088724B" w14:paraId="1A8945B4" w14:textId="77777777" w:rsidTr="00693947">
        <w:trPr>
          <w:cantSplit/>
        </w:trPr>
        <w:tc>
          <w:tcPr>
            <w:tcW w:w="4785" w:type="dxa"/>
            <w:tcMar>
              <w:top w:w="57" w:type="dxa"/>
              <w:left w:w="108" w:type="dxa"/>
              <w:bottom w:w="57" w:type="dxa"/>
              <w:right w:w="108" w:type="dxa"/>
            </w:tcMar>
            <w:hideMark/>
          </w:tcPr>
          <w:p w14:paraId="24AC6168" w14:textId="77777777" w:rsidR="00693947" w:rsidRPr="0088724B" w:rsidRDefault="00693947" w:rsidP="00986700">
            <w:pPr>
              <w:rPr>
                <w:rFonts w:eastAsia="Calibri" w:cs="Arial"/>
                <w:sz w:val="16"/>
                <w:szCs w:val="16"/>
              </w:rPr>
            </w:pPr>
            <w:r w:rsidRPr="0088724B">
              <w:rPr>
                <w:rFonts w:eastAsia="Calibri" w:cs="Arial"/>
                <w:sz w:val="16"/>
                <w:szCs w:val="16"/>
              </w:rPr>
              <w:t>L’activité de supervision interne n’est pas indépendante;  le travail de supervision est perçu comme partial et non pertinent.</w:t>
            </w:r>
          </w:p>
        </w:tc>
        <w:tc>
          <w:tcPr>
            <w:tcW w:w="4786" w:type="dxa"/>
            <w:tcMar>
              <w:top w:w="57" w:type="dxa"/>
              <w:left w:w="108" w:type="dxa"/>
              <w:bottom w:w="57" w:type="dxa"/>
              <w:right w:w="108" w:type="dxa"/>
            </w:tcMar>
          </w:tcPr>
          <w:p w14:paraId="0421AA27" w14:textId="77777777" w:rsidR="00693947" w:rsidRPr="0088724B" w:rsidRDefault="00693947" w:rsidP="00986700">
            <w:pPr>
              <w:rPr>
                <w:rFonts w:cs="Arial"/>
                <w:sz w:val="16"/>
                <w:szCs w:val="16"/>
              </w:rPr>
            </w:pPr>
            <w:r w:rsidRPr="0088724B">
              <w:rPr>
                <w:rFonts w:cs="Arial"/>
                <w:sz w:val="16"/>
                <w:szCs w:val="16"/>
              </w:rPr>
              <w:t>Respect de la Charte de la supervision interne.  Présentation de rapports réguliers à l’OCIS et à l’Assemblée générale sur la question de l’indépendance.</w:t>
            </w:r>
          </w:p>
        </w:tc>
      </w:tr>
      <w:tr w:rsidR="00693947" w:rsidRPr="0088724B" w14:paraId="7CEA7253" w14:textId="77777777" w:rsidTr="00693947">
        <w:trPr>
          <w:cantSplit/>
        </w:trPr>
        <w:tc>
          <w:tcPr>
            <w:tcW w:w="4785" w:type="dxa"/>
            <w:tcMar>
              <w:top w:w="57" w:type="dxa"/>
              <w:left w:w="108" w:type="dxa"/>
              <w:bottom w:w="57" w:type="dxa"/>
              <w:right w:w="108" w:type="dxa"/>
            </w:tcMar>
          </w:tcPr>
          <w:p w14:paraId="1F43D253" w14:textId="77777777" w:rsidR="00693947" w:rsidRPr="0088724B" w:rsidRDefault="00693947" w:rsidP="00986700">
            <w:pPr>
              <w:rPr>
                <w:rFonts w:eastAsia="Calibri" w:cs="Arial"/>
                <w:sz w:val="16"/>
                <w:szCs w:val="16"/>
              </w:rPr>
            </w:pPr>
            <w:r w:rsidRPr="0088724B">
              <w:rPr>
                <w:rFonts w:cs="Arial"/>
                <w:sz w:val="16"/>
                <w:szCs w:val="16"/>
              </w:rPr>
              <w:t xml:space="preserve">Les membres de la DSI n’effectuent pas les tâches qui leur incombent en toute objectivité. </w:t>
            </w:r>
            <w:r w:rsidRPr="0088724B">
              <w:rPr>
                <w:sz w:val="16"/>
              </w:rPr>
              <w:t xml:space="preserve"> </w:t>
            </w:r>
            <w:r w:rsidRPr="0088724B">
              <w:rPr>
                <w:rFonts w:cs="Arial"/>
                <w:sz w:val="16"/>
                <w:szCs w:val="16"/>
              </w:rPr>
              <w:t>L’impartialité et la crédibilité des travaux entrepris ainsi que la confiance dans la fonction de supervision diminuent.</w:t>
            </w:r>
          </w:p>
        </w:tc>
        <w:tc>
          <w:tcPr>
            <w:tcW w:w="4786" w:type="dxa"/>
            <w:tcMar>
              <w:top w:w="57" w:type="dxa"/>
              <w:left w:w="108" w:type="dxa"/>
              <w:bottom w:w="57" w:type="dxa"/>
              <w:right w:w="108" w:type="dxa"/>
            </w:tcMar>
          </w:tcPr>
          <w:p w14:paraId="07E87C05" w14:textId="77777777" w:rsidR="00693947" w:rsidRPr="0088724B" w:rsidRDefault="00693947" w:rsidP="00986700">
            <w:pPr>
              <w:rPr>
                <w:rFonts w:cs="Arial"/>
                <w:sz w:val="16"/>
                <w:szCs w:val="16"/>
              </w:rPr>
            </w:pPr>
            <w:r w:rsidRPr="0088724B">
              <w:rPr>
                <w:rFonts w:cs="Arial"/>
                <w:sz w:val="16"/>
                <w:szCs w:val="16"/>
              </w:rPr>
              <w:t>Supervision à deux niveaux des travaux de supervision en cours.  Respect du code de déontologie et de conduite.  Évaluations externes régulières de la qualité des fonctions de supervision.</w:t>
            </w:r>
          </w:p>
        </w:tc>
      </w:tr>
    </w:tbl>
    <w:p w14:paraId="4930E84B" w14:textId="77777777" w:rsidR="00693947" w:rsidRPr="0088724B" w:rsidRDefault="00693947" w:rsidP="00986700">
      <w:pPr>
        <w:rPr>
          <w:rFonts w:cs="Arial"/>
          <w:szCs w:val="20"/>
        </w:rPr>
      </w:pPr>
    </w:p>
    <w:p w14:paraId="744C4EBF" w14:textId="77777777" w:rsidR="00693947" w:rsidRPr="0088724B" w:rsidRDefault="00693947" w:rsidP="00986700">
      <w:pPr>
        <w:rPr>
          <w:rFonts w:cs="Arial"/>
          <w:szCs w:val="20"/>
        </w:rPr>
      </w:pPr>
    </w:p>
    <w:tbl>
      <w:tblPr>
        <w:tblW w:w="5000" w:type="pct"/>
        <w:tblCellMar>
          <w:top w:w="57" w:type="dxa"/>
          <w:bottom w:w="57" w:type="dxa"/>
        </w:tblCellMar>
        <w:tblLook w:val="04A0" w:firstRow="1" w:lastRow="0" w:firstColumn="1" w:lastColumn="0" w:noHBand="0" w:noVBand="1"/>
      </w:tblPr>
      <w:tblGrid>
        <w:gridCol w:w="2321"/>
        <w:gridCol w:w="2322"/>
        <w:gridCol w:w="2322"/>
        <w:gridCol w:w="2322"/>
      </w:tblGrid>
      <w:tr w:rsidR="00693947" w:rsidRPr="0088724B" w14:paraId="2DC8EA83" w14:textId="77777777" w:rsidTr="00693947">
        <w:trPr>
          <w:cantSplit/>
          <w:tblHeader/>
        </w:trPr>
        <w:tc>
          <w:tcPr>
            <w:tcW w:w="2298" w:type="dxa"/>
            <w:shd w:val="clear" w:color="auto" w:fill="B8CCE4" w:themeFill="accent1" w:themeFillTint="66"/>
            <w:noWrap/>
            <w:vAlign w:val="center"/>
            <w:hideMark/>
          </w:tcPr>
          <w:p w14:paraId="2E75FCDC" w14:textId="77777777" w:rsidR="00693947" w:rsidRPr="0088724B" w:rsidRDefault="00693947" w:rsidP="00986700">
            <w:pPr>
              <w:keepNext/>
              <w:keepLines/>
              <w:jc w:val="center"/>
              <w:rPr>
                <w:rFonts w:cs="Arial"/>
                <w:b/>
                <w:bCs/>
                <w:sz w:val="18"/>
                <w:szCs w:val="18"/>
              </w:rPr>
            </w:pPr>
            <w:r w:rsidRPr="0088724B">
              <w:rPr>
                <w:rFonts w:eastAsia="Times New Roman" w:cs="Arial"/>
                <w:b/>
                <w:bCs/>
                <w:sz w:val="18"/>
                <w:szCs w:val="18"/>
                <w:lang w:eastAsia="en-US"/>
              </w:rPr>
              <w:lastRenderedPageBreak/>
              <w:t>Résultat escompté</w:t>
            </w:r>
            <w:r w:rsidRPr="0088724B">
              <w:rPr>
                <w:rFonts w:cs="Arial"/>
                <w:b/>
                <w:bCs/>
                <w:sz w:val="18"/>
                <w:szCs w:val="18"/>
              </w:rPr>
              <w:t xml:space="preserve"> </w:t>
            </w:r>
          </w:p>
        </w:tc>
        <w:tc>
          <w:tcPr>
            <w:tcW w:w="2299" w:type="dxa"/>
            <w:shd w:val="clear" w:color="auto" w:fill="B8CCE4" w:themeFill="accent1" w:themeFillTint="66"/>
            <w:noWrap/>
            <w:vAlign w:val="center"/>
            <w:hideMark/>
          </w:tcPr>
          <w:p w14:paraId="7F7246FB" w14:textId="77777777" w:rsidR="00693947" w:rsidRPr="0088724B" w:rsidRDefault="00693947" w:rsidP="00986700">
            <w:pPr>
              <w:keepNext/>
              <w:keepLines/>
              <w:jc w:val="center"/>
              <w:rPr>
                <w:rFonts w:cs="Arial"/>
                <w:b/>
                <w:bCs/>
                <w:sz w:val="18"/>
                <w:szCs w:val="18"/>
              </w:rPr>
            </w:pPr>
            <w:r w:rsidRPr="0088724B">
              <w:rPr>
                <w:rFonts w:eastAsia="Times New Roman" w:cs="Arial"/>
                <w:b/>
                <w:bCs/>
                <w:sz w:val="18"/>
                <w:szCs w:val="18"/>
                <w:lang w:eastAsia="en-US"/>
              </w:rPr>
              <w:t>Indicateurs d’exécution</w:t>
            </w:r>
          </w:p>
        </w:tc>
        <w:tc>
          <w:tcPr>
            <w:tcW w:w="2299" w:type="dxa"/>
            <w:shd w:val="clear" w:color="auto" w:fill="B8CCE4" w:themeFill="accent1" w:themeFillTint="66"/>
            <w:noWrap/>
            <w:vAlign w:val="center"/>
            <w:hideMark/>
          </w:tcPr>
          <w:p w14:paraId="5E19FAD3" w14:textId="77777777" w:rsidR="00693947" w:rsidRPr="0088724B" w:rsidRDefault="00693947" w:rsidP="00986700">
            <w:pPr>
              <w:keepNext/>
              <w:keepLines/>
              <w:jc w:val="center"/>
              <w:rPr>
                <w:rFonts w:cs="Arial"/>
                <w:b/>
                <w:bCs/>
                <w:sz w:val="18"/>
                <w:szCs w:val="18"/>
              </w:rPr>
            </w:pPr>
            <w:r w:rsidRPr="0088724B">
              <w:rPr>
                <w:rFonts w:eastAsia="Times New Roman" w:cs="Arial"/>
                <w:b/>
                <w:bCs/>
                <w:sz w:val="18"/>
                <w:szCs w:val="18"/>
                <w:lang w:eastAsia="en-US"/>
              </w:rPr>
              <w:t>Niveaux de référence</w:t>
            </w:r>
          </w:p>
        </w:tc>
        <w:tc>
          <w:tcPr>
            <w:tcW w:w="2299" w:type="dxa"/>
            <w:shd w:val="clear" w:color="auto" w:fill="B8CCE4" w:themeFill="accent1" w:themeFillTint="66"/>
            <w:noWrap/>
            <w:vAlign w:val="center"/>
            <w:hideMark/>
          </w:tcPr>
          <w:p w14:paraId="25B8635F" w14:textId="77777777" w:rsidR="00693947" w:rsidRPr="0088724B" w:rsidRDefault="00693947" w:rsidP="00986700">
            <w:pPr>
              <w:keepNext/>
              <w:keepLines/>
              <w:jc w:val="center"/>
              <w:rPr>
                <w:rFonts w:cs="Arial"/>
                <w:b/>
                <w:bCs/>
                <w:sz w:val="18"/>
                <w:szCs w:val="18"/>
              </w:rPr>
            </w:pPr>
            <w:r w:rsidRPr="0088724B">
              <w:rPr>
                <w:rFonts w:eastAsia="Times New Roman" w:cs="Arial"/>
                <w:b/>
                <w:bCs/>
                <w:sz w:val="18"/>
                <w:szCs w:val="18"/>
                <w:lang w:eastAsia="en-US"/>
              </w:rPr>
              <w:t>Objectifs visés</w:t>
            </w:r>
          </w:p>
        </w:tc>
      </w:tr>
      <w:tr w:rsidR="00693947" w:rsidRPr="0088724B" w14:paraId="51B7E1D4" w14:textId="77777777" w:rsidTr="00693947">
        <w:trPr>
          <w:cantSplit/>
        </w:trPr>
        <w:tc>
          <w:tcPr>
            <w:tcW w:w="2298" w:type="dxa"/>
            <w:shd w:val="clear" w:color="auto" w:fill="auto"/>
            <w:tcMar>
              <w:top w:w="57" w:type="dxa"/>
            </w:tcMar>
          </w:tcPr>
          <w:p w14:paraId="0FD96382" w14:textId="77777777" w:rsidR="00693947" w:rsidRPr="0088724B" w:rsidRDefault="00693947" w:rsidP="00986700">
            <w:pPr>
              <w:keepNext/>
              <w:keepLines/>
              <w:rPr>
                <w:rFonts w:cs="Arial"/>
                <w:sz w:val="16"/>
                <w:szCs w:val="16"/>
              </w:rPr>
            </w:pPr>
            <w:r w:rsidRPr="0088724B">
              <w:rPr>
                <w:rFonts w:cs="Arial"/>
                <w:sz w:val="16"/>
                <w:szCs w:val="16"/>
              </w:rPr>
              <w:t>IX.5 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299" w:type="dxa"/>
            <w:shd w:val="clear" w:color="auto" w:fill="auto"/>
            <w:tcMar>
              <w:top w:w="57" w:type="dxa"/>
            </w:tcMar>
          </w:tcPr>
          <w:p w14:paraId="21CB2362" w14:textId="77777777" w:rsidR="00693947" w:rsidRPr="0088724B" w:rsidRDefault="00693947" w:rsidP="00986700">
            <w:pPr>
              <w:keepNext/>
              <w:keepLines/>
              <w:rPr>
                <w:rFonts w:cs="Arial"/>
                <w:sz w:val="16"/>
                <w:szCs w:val="16"/>
              </w:rPr>
            </w:pPr>
            <w:r w:rsidRPr="0088724B">
              <w:rPr>
                <w:rFonts w:cs="Arial"/>
                <w:sz w:val="16"/>
                <w:szCs w:val="16"/>
              </w:rPr>
              <w:t>Aucune interférence et indépendance perçue par les principales parties prenantes</w:t>
            </w:r>
          </w:p>
        </w:tc>
        <w:tc>
          <w:tcPr>
            <w:tcW w:w="2299" w:type="dxa"/>
            <w:shd w:val="clear" w:color="000000" w:fill="FFFFFF"/>
            <w:tcMar>
              <w:top w:w="57" w:type="dxa"/>
            </w:tcMar>
          </w:tcPr>
          <w:p w14:paraId="09192013" w14:textId="77777777" w:rsidR="00693947" w:rsidRPr="0088724B" w:rsidRDefault="00693947" w:rsidP="00986700">
            <w:pPr>
              <w:keepNext/>
              <w:keepLines/>
              <w:rPr>
                <w:rFonts w:cs="Arial"/>
                <w:sz w:val="16"/>
                <w:szCs w:val="16"/>
              </w:rPr>
            </w:pPr>
            <w:r w:rsidRPr="0088724B">
              <w:rPr>
                <w:rFonts w:cs="Arial"/>
                <w:sz w:val="16"/>
                <w:szCs w:val="16"/>
              </w:rPr>
              <w:t>Aucune interférence</w:t>
            </w:r>
          </w:p>
        </w:tc>
        <w:tc>
          <w:tcPr>
            <w:tcW w:w="2299" w:type="dxa"/>
            <w:shd w:val="clear" w:color="000000" w:fill="FFFFFF"/>
            <w:tcMar>
              <w:top w:w="57" w:type="dxa"/>
            </w:tcMar>
          </w:tcPr>
          <w:p w14:paraId="23F03898" w14:textId="77777777" w:rsidR="00693947" w:rsidRPr="0088724B" w:rsidRDefault="00693947" w:rsidP="00986700">
            <w:pPr>
              <w:keepNext/>
              <w:keepLines/>
              <w:rPr>
                <w:rFonts w:cs="Arial"/>
                <w:sz w:val="16"/>
                <w:szCs w:val="16"/>
              </w:rPr>
            </w:pPr>
            <w:r w:rsidRPr="0088724B">
              <w:rPr>
                <w:rFonts w:cs="Arial"/>
                <w:sz w:val="16"/>
                <w:szCs w:val="16"/>
              </w:rPr>
              <w:t>Aucune interférence</w:t>
            </w:r>
          </w:p>
        </w:tc>
      </w:tr>
      <w:tr w:rsidR="00693947" w:rsidRPr="0088724B" w14:paraId="43774041" w14:textId="77777777" w:rsidTr="00693947">
        <w:trPr>
          <w:cantSplit/>
        </w:trPr>
        <w:tc>
          <w:tcPr>
            <w:tcW w:w="2298" w:type="dxa"/>
            <w:shd w:val="clear" w:color="000000" w:fill="FFFFFF"/>
            <w:tcMar>
              <w:top w:w="57" w:type="dxa"/>
            </w:tcMar>
          </w:tcPr>
          <w:p w14:paraId="165F6E37" w14:textId="77777777" w:rsidR="00693947" w:rsidRPr="0088724B" w:rsidRDefault="00693947" w:rsidP="00986700">
            <w:pPr>
              <w:rPr>
                <w:rFonts w:cs="Arial"/>
                <w:sz w:val="16"/>
                <w:szCs w:val="16"/>
              </w:rPr>
            </w:pPr>
          </w:p>
        </w:tc>
        <w:tc>
          <w:tcPr>
            <w:tcW w:w="2299" w:type="dxa"/>
            <w:shd w:val="clear" w:color="000000" w:fill="FFFFFF"/>
            <w:tcMar>
              <w:top w:w="57" w:type="dxa"/>
            </w:tcMar>
          </w:tcPr>
          <w:p w14:paraId="6613F28B" w14:textId="77777777" w:rsidR="00693947" w:rsidRPr="0088724B" w:rsidRDefault="00693947" w:rsidP="00986700">
            <w:pPr>
              <w:rPr>
                <w:rFonts w:cs="Arial"/>
                <w:sz w:val="16"/>
                <w:szCs w:val="16"/>
              </w:rPr>
            </w:pPr>
            <w:r w:rsidRPr="0088724B">
              <w:rPr>
                <w:rFonts w:cs="Arial"/>
                <w:sz w:val="16"/>
                <w:szCs w:val="16"/>
              </w:rPr>
              <w:t>Pourcentage des travaux de supervision achevés et ayant fait l’objet d’un rapport dans les délais impartis</w:t>
            </w:r>
          </w:p>
        </w:tc>
        <w:tc>
          <w:tcPr>
            <w:tcW w:w="2299" w:type="dxa"/>
            <w:shd w:val="clear" w:color="000000" w:fill="FFFFFF"/>
            <w:tcMar>
              <w:top w:w="57" w:type="dxa"/>
            </w:tcMar>
          </w:tcPr>
          <w:p w14:paraId="264CB20A" w14:textId="77777777" w:rsidR="00693947" w:rsidRPr="0088724B" w:rsidRDefault="00693947" w:rsidP="00986700">
            <w:pPr>
              <w:rPr>
                <w:rFonts w:cs="Arial"/>
                <w:sz w:val="16"/>
                <w:szCs w:val="16"/>
              </w:rPr>
            </w:pPr>
            <w:r w:rsidRPr="0088724B">
              <w:rPr>
                <w:rFonts w:cs="Arial"/>
                <w:sz w:val="16"/>
                <w:szCs w:val="16"/>
              </w:rPr>
              <w:t>– 50% des rapports d’audit et d’évaluation établis en moins de 4 mois (2016)</w:t>
            </w:r>
          </w:p>
          <w:p w14:paraId="6756E08E" w14:textId="77777777" w:rsidR="00693947" w:rsidRPr="0088724B" w:rsidRDefault="00693947" w:rsidP="00986700">
            <w:pPr>
              <w:rPr>
                <w:rFonts w:cs="Arial"/>
                <w:sz w:val="16"/>
                <w:szCs w:val="16"/>
              </w:rPr>
            </w:pPr>
          </w:p>
          <w:p w14:paraId="0AF186E6" w14:textId="77777777" w:rsidR="00693947" w:rsidRPr="0088724B" w:rsidRDefault="00693947" w:rsidP="00986700">
            <w:pPr>
              <w:rPr>
                <w:rFonts w:cs="Arial"/>
                <w:sz w:val="16"/>
                <w:szCs w:val="16"/>
              </w:rPr>
            </w:pPr>
            <w:r w:rsidRPr="0088724B">
              <w:rPr>
                <w:rFonts w:cs="Arial"/>
                <w:sz w:val="16"/>
                <w:szCs w:val="16"/>
              </w:rPr>
              <w:t>– 53% des rapports sur les activités d’enquête établis dans le délai prévu par la politique en matière d’enquêtes</w:t>
            </w:r>
          </w:p>
          <w:p w14:paraId="6ED0DAD4" w14:textId="77777777" w:rsidR="00693947" w:rsidRPr="0088724B" w:rsidRDefault="00693947" w:rsidP="00986700">
            <w:pPr>
              <w:rPr>
                <w:rFonts w:cs="Arial"/>
                <w:sz w:val="16"/>
                <w:szCs w:val="16"/>
              </w:rPr>
            </w:pPr>
            <w:r w:rsidRPr="0088724B">
              <w:rPr>
                <w:rFonts w:cs="Arial"/>
                <w:sz w:val="16"/>
                <w:szCs w:val="16"/>
              </w:rPr>
              <w:t>(2016)</w:t>
            </w:r>
          </w:p>
        </w:tc>
        <w:tc>
          <w:tcPr>
            <w:tcW w:w="2299" w:type="dxa"/>
            <w:shd w:val="clear" w:color="000000" w:fill="FFFFFF"/>
            <w:tcMar>
              <w:top w:w="57" w:type="dxa"/>
            </w:tcMar>
          </w:tcPr>
          <w:p w14:paraId="5D67D679" w14:textId="77777777" w:rsidR="00693947" w:rsidRPr="0088724B" w:rsidRDefault="00693947" w:rsidP="00986700">
            <w:pPr>
              <w:rPr>
                <w:rFonts w:cs="Arial"/>
                <w:sz w:val="16"/>
                <w:szCs w:val="16"/>
              </w:rPr>
            </w:pPr>
            <w:r w:rsidRPr="0088724B">
              <w:rPr>
                <w:rFonts w:cs="Arial"/>
                <w:sz w:val="16"/>
                <w:szCs w:val="16"/>
              </w:rPr>
              <w:t>85% des rapports d’audit prévus achevés et ayant fait l’objet d’un rapport en moins de 4 mois</w:t>
            </w:r>
          </w:p>
          <w:p w14:paraId="739BC9AE" w14:textId="77777777" w:rsidR="00693947" w:rsidRPr="0088724B" w:rsidRDefault="00693947" w:rsidP="00986700">
            <w:pPr>
              <w:rPr>
                <w:rFonts w:cs="Arial"/>
                <w:sz w:val="16"/>
                <w:szCs w:val="16"/>
              </w:rPr>
            </w:pPr>
          </w:p>
          <w:p w14:paraId="3A94FD5D" w14:textId="77777777" w:rsidR="00693947" w:rsidRPr="0088724B" w:rsidRDefault="00693947" w:rsidP="00986700">
            <w:pPr>
              <w:rPr>
                <w:rFonts w:cs="Arial"/>
                <w:sz w:val="16"/>
                <w:szCs w:val="16"/>
              </w:rPr>
            </w:pPr>
            <w:r w:rsidRPr="0088724B">
              <w:rPr>
                <w:rFonts w:cs="Arial"/>
                <w:sz w:val="16"/>
                <w:szCs w:val="16"/>
              </w:rPr>
              <w:t>70% des évaluations prévues achevées et ayant fait l’objet d’un rapport dans les 6 mois</w:t>
            </w:r>
          </w:p>
          <w:p w14:paraId="00C8BB05" w14:textId="77777777" w:rsidR="00693947" w:rsidRPr="0088724B" w:rsidRDefault="00693947" w:rsidP="00986700">
            <w:pPr>
              <w:rPr>
                <w:rFonts w:cs="Arial"/>
                <w:sz w:val="16"/>
                <w:szCs w:val="16"/>
              </w:rPr>
            </w:pPr>
          </w:p>
          <w:p w14:paraId="2FBB6750" w14:textId="77777777" w:rsidR="00693947" w:rsidRPr="0088724B" w:rsidRDefault="00693947" w:rsidP="00986700">
            <w:pPr>
              <w:rPr>
                <w:rFonts w:cs="Arial"/>
                <w:sz w:val="16"/>
                <w:szCs w:val="16"/>
              </w:rPr>
            </w:pPr>
            <w:r w:rsidRPr="0088724B">
              <w:rPr>
                <w:rFonts w:cs="Arial"/>
                <w:sz w:val="16"/>
                <w:szCs w:val="16"/>
              </w:rPr>
              <w:t>80% des enquêtes dûment menées closes dans les 6 mois</w:t>
            </w:r>
          </w:p>
        </w:tc>
      </w:tr>
      <w:tr w:rsidR="00693947" w:rsidRPr="0088724B" w14:paraId="582CD6F5" w14:textId="77777777" w:rsidTr="00693947">
        <w:trPr>
          <w:cantSplit/>
        </w:trPr>
        <w:tc>
          <w:tcPr>
            <w:tcW w:w="2298" w:type="dxa"/>
            <w:shd w:val="clear" w:color="000000" w:fill="FFFFFF"/>
            <w:tcMar>
              <w:top w:w="57" w:type="dxa"/>
            </w:tcMar>
          </w:tcPr>
          <w:p w14:paraId="50E8DAF0" w14:textId="77777777" w:rsidR="00693947" w:rsidRPr="0088724B" w:rsidRDefault="00693947" w:rsidP="00986700">
            <w:pPr>
              <w:rPr>
                <w:rFonts w:cs="Arial"/>
                <w:sz w:val="16"/>
                <w:szCs w:val="16"/>
              </w:rPr>
            </w:pPr>
          </w:p>
        </w:tc>
        <w:tc>
          <w:tcPr>
            <w:tcW w:w="2299" w:type="dxa"/>
            <w:shd w:val="clear" w:color="000000" w:fill="FFFFFF"/>
            <w:tcMar>
              <w:top w:w="57" w:type="dxa"/>
            </w:tcMar>
          </w:tcPr>
          <w:p w14:paraId="1023F8C4" w14:textId="77777777" w:rsidR="00693947" w:rsidRPr="0088724B" w:rsidRDefault="00693947" w:rsidP="00986700">
            <w:pPr>
              <w:rPr>
                <w:rFonts w:cs="Arial"/>
                <w:sz w:val="16"/>
                <w:szCs w:val="16"/>
              </w:rPr>
            </w:pPr>
            <w:r w:rsidRPr="0088724B">
              <w:rPr>
                <w:rFonts w:cs="Arial"/>
                <w:sz w:val="16"/>
                <w:szCs w:val="16"/>
              </w:rPr>
              <w:t>Pourcentage de parties prenantes internes qui considèrent que les recommandations de la DSI sont précises, mesurables, réalistes, pertinentes et assorties de délais (SMART)</w:t>
            </w:r>
          </w:p>
        </w:tc>
        <w:tc>
          <w:tcPr>
            <w:tcW w:w="2299" w:type="dxa"/>
            <w:shd w:val="clear" w:color="000000" w:fill="FFFFFF"/>
            <w:tcMar>
              <w:top w:w="57" w:type="dxa"/>
            </w:tcMar>
          </w:tcPr>
          <w:p w14:paraId="4F0B26EF" w14:textId="77777777" w:rsidR="00693947" w:rsidRPr="0088724B" w:rsidRDefault="00693947" w:rsidP="00986700">
            <w:pPr>
              <w:rPr>
                <w:rFonts w:cs="Arial"/>
                <w:sz w:val="16"/>
                <w:szCs w:val="16"/>
              </w:rPr>
            </w:pPr>
            <w:r w:rsidRPr="0088724B">
              <w:rPr>
                <w:rFonts w:cs="Arial"/>
                <w:sz w:val="16"/>
                <w:szCs w:val="16"/>
              </w:rPr>
              <w:t>81% des chefs de service considèrent que les recommandations de la DSI sont précises, mesurables, réalistes, pertinentes et assorties de délais (SMART) et constructives (2016)</w:t>
            </w:r>
          </w:p>
        </w:tc>
        <w:tc>
          <w:tcPr>
            <w:tcW w:w="2299" w:type="dxa"/>
            <w:shd w:val="clear" w:color="000000" w:fill="FFFFFF"/>
            <w:tcMar>
              <w:top w:w="57" w:type="dxa"/>
            </w:tcMar>
          </w:tcPr>
          <w:p w14:paraId="79E16D59" w14:textId="77777777" w:rsidR="00693947" w:rsidRPr="0088724B" w:rsidRDefault="00693947" w:rsidP="00986700">
            <w:pPr>
              <w:rPr>
                <w:rFonts w:cs="Arial"/>
                <w:sz w:val="16"/>
                <w:szCs w:val="16"/>
              </w:rPr>
            </w:pPr>
            <w:r w:rsidRPr="0088724B">
              <w:rPr>
                <w:rFonts w:cs="Arial"/>
                <w:sz w:val="16"/>
                <w:szCs w:val="16"/>
              </w:rPr>
              <w:t>85% des chefs de service considèrent que les recommandations de la DSI sont précises, mesurables, réalistes, pertinentes et assorties de délais (SMART)</w:t>
            </w:r>
          </w:p>
        </w:tc>
      </w:tr>
      <w:tr w:rsidR="00693947" w:rsidRPr="0088724B" w14:paraId="2F23A140" w14:textId="77777777" w:rsidTr="00693947">
        <w:trPr>
          <w:cantSplit/>
        </w:trPr>
        <w:tc>
          <w:tcPr>
            <w:tcW w:w="2298" w:type="dxa"/>
            <w:shd w:val="clear" w:color="000000" w:fill="FFFFFF"/>
            <w:tcMar>
              <w:top w:w="57" w:type="dxa"/>
            </w:tcMar>
          </w:tcPr>
          <w:p w14:paraId="4B3F56EF" w14:textId="77777777" w:rsidR="00693947" w:rsidRPr="0088724B" w:rsidRDefault="00693947" w:rsidP="00986700">
            <w:pPr>
              <w:rPr>
                <w:rFonts w:cs="Arial"/>
                <w:sz w:val="16"/>
                <w:szCs w:val="16"/>
              </w:rPr>
            </w:pPr>
          </w:p>
        </w:tc>
        <w:tc>
          <w:tcPr>
            <w:tcW w:w="2299" w:type="dxa"/>
            <w:shd w:val="clear" w:color="000000" w:fill="FFFFFF"/>
            <w:tcMar>
              <w:top w:w="57" w:type="dxa"/>
            </w:tcMar>
          </w:tcPr>
          <w:p w14:paraId="57F6F82C" w14:textId="77777777" w:rsidR="00693947" w:rsidRPr="0088724B" w:rsidRDefault="00693947" w:rsidP="00986700">
            <w:pPr>
              <w:rPr>
                <w:rFonts w:cs="Arial"/>
                <w:sz w:val="16"/>
                <w:szCs w:val="16"/>
              </w:rPr>
            </w:pPr>
            <w:r w:rsidRPr="0088724B">
              <w:rPr>
                <w:rFonts w:cs="Arial"/>
                <w:sz w:val="16"/>
                <w:szCs w:val="16"/>
              </w:rPr>
              <w:t>Pourcentage de parties prenantes internes qui considèrent que les travaux de supervision sont pertinents</w:t>
            </w:r>
          </w:p>
        </w:tc>
        <w:tc>
          <w:tcPr>
            <w:tcW w:w="2299" w:type="dxa"/>
            <w:shd w:val="clear" w:color="000000" w:fill="FFFFFF"/>
            <w:tcMar>
              <w:top w:w="57" w:type="dxa"/>
            </w:tcMar>
          </w:tcPr>
          <w:p w14:paraId="389B98A9" w14:textId="77777777" w:rsidR="00693947" w:rsidRPr="0088724B" w:rsidRDefault="00693947" w:rsidP="00986700">
            <w:pPr>
              <w:rPr>
                <w:rFonts w:cs="Arial"/>
                <w:sz w:val="16"/>
                <w:szCs w:val="16"/>
              </w:rPr>
            </w:pPr>
            <w:r w:rsidRPr="0088724B">
              <w:rPr>
                <w:rFonts w:cs="Arial"/>
                <w:sz w:val="16"/>
                <w:szCs w:val="16"/>
              </w:rPr>
              <w:t>74% des personnes interrogées considèrent que les travaux de supervision sont pertinents</w:t>
            </w:r>
          </w:p>
          <w:p w14:paraId="443C5BB8" w14:textId="77777777" w:rsidR="00693947" w:rsidRPr="0088724B" w:rsidRDefault="00693947" w:rsidP="00986700">
            <w:pPr>
              <w:rPr>
                <w:rFonts w:cs="Arial"/>
                <w:sz w:val="16"/>
                <w:szCs w:val="16"/>
              </w:rPr>
            </w:pPr>
            <w:r w:rsidRPr="0088724B">
              <w:rPr>
                <w:rFonts w:cs="Arial"/>
                <w:sz w:val="16"/>
                <w:szCs w:val="16"/>
              </w:rPr>
              <w:t>(2016)</w:t>
            </w:r>
          </w:p>
          <w:p w14:paraId="5A9770E4" w14:textId="77777777" w:rsidR="00693947" w:rsidRPr="0088724B" w:rsidRDefault="00693947" w:rsidP="00986700">
            <w:pPr>
              <w:rPr>
                <w:rFonts w:cs="Arial"/>
                <w:sz w:val="16"/>
                <w:szCs w:val="16"/>
              </w:rPr>
            </w:pPr>
          </w:p>
          <w:p w14:paraId="7ED2CCDE" w14:textId="59D7C033" w:rsidR="00693947" w:rsidRPr="0088724B" w:rsidRDefault="00693947" w:rsidP="00D77958">
            <w:pPr>
              <w:rPr>
                <w:rFonts w:cs="Arial"/>
                <w:sz w:val="16"/>
                <w:szCs w:val="16"/>
              </w:rPr>
            </w:pPr>
            <w:r w:rsidRPr="0088724B">
              <w:rPr>
                <w:rFonts w:cs="Arial"/>
                <w:sz w:val="16"/>
                <w:szCs w:val="16"/>
              </w:rPr>
              <w:t>Pourcentage de parties pre</w:t>
            </w:r>
            <w:r w:rsidR="00D77958">
              <w:rPr>
                <w:rFonts w:cs="Arial"/>
                <w:sz w:val="16"/>
                <w:szCs w:val="16"/>
              </w:rPr>
              <w:t>nantes de l’OCIS – À déterminer</w:t>
            </w:r>
          </w:p>
        </w:tc>
        <w:tc>
          <w:tcPr>
            <w:tcW w:w="2299" w:type="dxa"/>
            <w:shd w:val="clear" w:color="000000" w:fill="FFFFFF"/>
            <w:tcMar>
              <w:top w:w="57" w:type="dxa"/>
            </w:tcMar>
          </w:tcPr>
          <w:p w14:paraId="780A4C05" w14:textId="77777777" w:rsidR="00693947" w:rsidRPr="0088724B" w:rsidRDefault="00693947" w:rsidP="00986700">
            <w:pPr>
              <w:rPr>
                <w:rFonts w:cs="Arial"/>
                <w:sz w:val="16"/>
                <w:szCs w:val="16"/>
              </w:rPr>
            </w:pPr>
            <w:r w:rsidRPr="0088724B">
              <w:rPr>
                <w:rFonts w:cs="Arial"/>
                <w:sz w:val="16"/>
                <w:szCs w:val="16"/>
              </w:rPr>
              <w:t>75% des parties prenantes internes interrogées</w:t>
            </w:r>
          </w:p>
          <w:p w14:paraId="3E1340E5" w14:textId="77777777" w:rsidR="00693947" w:rsidRPr="0088724B" w:rsidRDefault="00693947" w:rsidP="00986700">
            <w:pPr>
              <w:rPr>
                <w:rFonts w:cs="Arial"/>
                <w:sz w:val="16"/>
                <w:szCs w:val="16"/>
              </w:rPr>
            </w:pPr>
          </w:p>
          <w:p w14:paraId="03AD6C62" w14:textId="14A4A854" w:rsidR="00693947" w:rsidRPr="0088724B" w:rsidRDefault="00693947" w:rsidP="00D77958">
            <w:pPr>
              <w:rPr>
                <w:rFonts w:cs="Arial"/>
                <w:sz w:val="16"/>
                <w:szCs w:val="16"/>
              </w:rPr>
            </w:pPr>
            <w:r w:rsidRPr="0088724B">
              <w:rPr>
                <w:rFonts w:cs="Arial"/>
                <w:sz w:val="16"/>
                <w:szCs w:val="16"/>
              </w:rPr>
              <w:t>Pourcentage de parties pre</w:t>
            </w:r>
            <w:r w:rsidR="00D77958">
              <w:rPr>
                <w:rFonts w:cs="Arial"/>
                <w:sz w:val="16"/>
                <w:szCs w:val="16"/>
              </w:rPr>
              <w:t>nantes de l’OCIS – À déterminer</w:t>
            </w:r>
          </w:p>
        </w:tc>
      </w:tr>
      <w:tr w:rsidR="00693947" w:rsidRPr="0088724B" w14:paraId="11567ED0" w14:textId="77777777" w:rsidTr="00693947">
        <w:trPr>
          <w:cantSplit/>
        </w:trPr>
        <w:tc>
          <w:tcPr>
            <w:tcW w:w="2298" w:type="dxa"/>
            <w:shd w:val="clear" w:color="000000" w:fill="FFFFFF"/>
            <w:tcMar>
              <w:top w:w="57" w:type="dxa"/>
            </w:tcMar>
          </w:tcPr>
          <w:p w14:paraId="04EDF031" w14:textId="77777777" w:rsidR="00693947" w:rsidRPr="0088724B" w:rsidRDefault="00693947" w:rsidP="00986700">
            <w:pPr>
              <w:rPr>
                <w:rFonts w:cs="Arial"/>
                <w:sz w:val="16"/>
                <w:szCs w:val="16"/>
              </w:rPr>
            </w:pPr>
          </w:p>
        </w:tc>
        <w:tc>
          <w:tcPr>
            <w:tcW w:w="2299" w:type="dxa"/>
            <w:shd w:val="clear" w:color="000000" w:fill="FFFFFF"/>
            <w:tcMar>
              <w:top w:w="57" w:type="dxa"/>
            </w:tcMar>
          </w:tcPr>
          <w:p w14:paraId="37243668" w14:textId="77777777" w:rsidR="00693947" w:rsidRPr="0088724B" w:rsidRDefault="00693947" w:rsidP="00986700">
            <w:pPr>
              <w:rPr>
                <w:rFonts w:eastAsia="Times New Roman" w:cs="Arial"/>
                <w:sz w:val="16"/>
                <w:szCs w:val="16"/>
                <w:lang w:eastAsia="en-US"/>
              </w:rPr>
            </w:pPr>
            <w:r w:rsidRPr="0088724B">
              <w:rPr>
                <w:rFonts w:eastAsia="Times New Roman" w:cs="Arial"/>
                <w:sz w:val="16"/>
                <w:szCs w:val="16"/>
                <w:lang w:eastAsia="en-US"/>
              </w:rPr>
              <w:t>Nombre de recommandations en matière de supervision acceptées et mises en œuvre</w:t>
            </w:r>
          </w:p>
        </w:tc>
        <w:tc>
          <w:tcPr>
            <w:tcW w:w="2299" w:type="dxa"/>
            <w:shd w:val="clear" w:color="000000" w:fill="FFFFFF"/>
            <w:tcMar>
              <w:top w:w="57" w:type="dxa"/>
            </w:tcMar>
          </w:tcPr>
          <w:p w14:paraId="03480CE0" w14:textId="77777777" w:rsidR="00693947" w:rsidRPr="0088724B" w:rsidRDefault="00693947" w:rsidP="00986700">
            <w:pPr>
              <w:rPr>
                <w:rFonts w:eastAsia="Times New Roman" w:cs="Arial"/>
                <w:sz w:val="16"/>
                <w:szCs w:val="16"/>
                <w:lang w:eastAsia="en-US"/>
              </w:rPr>
            </w:pPr>
            <w:r w:rsidRPr="0088724B">
              <w:rPr>
                <w:rFonts w:eastAsia="Times New Roman" w:cs="Arial"/>
                <w:sz w:val="16"/>
                <w:szCs w:val="16"/>
                <w:lang w:eastAsia="en-US"/>
              </w:rPr>
              <w:t>– 90% des recommandations acceptées;</w:t>
            </w:r>
            <w:r w:rsidRPr="0088724B">
              <w:rPr>
                <w:rFonts w:eastAsia="Times New Roman" w:cs="Arial"/>
                <w:sz w:val="16"/>
                <w:szCs w:val="16"/>
                <w:lang w:eastAsia="en-US"/>
              </w:rPr>
              <w:br/>
              <w:t xml:space="preserve">– 90% des recommandations mises en œuvre dans un délai de deux ans </w:t>
            </w:r>
            <w:r w:rsidRPr="0088724B">
              <w:rPr>
                <w:rFonts w:eastAsia="Times New Roman" w:cs="Arial"/>
                <w:sz w:val="16"/>
                <w:szCs w:val="16"/>
                <w:lang w:eastAsia="en-US"/>
              </w:rPr>
              <w:br/>
              <w:t>(2016)</w:t>
            </w:r>
          </w:p>
        </w:tc>
        <w:tc>
          <w:tcPr>
            <w:tcW w:w="2299" w:type="dxa"/>
            <w:shd w:val="clear" w:color="000000" w:fill="FFFFFF"/>
            <w:tcMar>
              <w:top w:w="57" w:type="dxa"/>
            </w:tcMar>
          </w:tcPr>
          <w:p w14:paraId="7E229FB9" w14:textId="77777777" w:rsidR="00693947" w:rsidRPr="0088724B" w:rsidRDefault="00693947" w:rsidP="00986700">
            <w:pPr>
              <w:rPr>
                <w:rFonts w:eastAsia="Times New Roman" w:cs="Arial"/>
                <w:sz w:val="16"/>
                <w:szCs w:val="16"/>
                <w:lang w:eastAsia="en-US"/>
              </w:rPr>
            </w:pPr>
            <w:r w:rsidRPr="0088724B">
              <w:rPr>
                <w:rFonts w:eastAsia="Times New Roman" w:cs="Arial"/>
                <w:sz w:val="16"/>
                <w:szCs w:val="16"/>
                <w:lang w:eastAsia="en-US"/>
              </w:rPr>
              <w:t>– 90% des recommandations acceptées;</w:t>
            </w:r>
            <w:r w:rsidRPr="0088724B">
              <w:rPr>
                <w:rFonts w:eastAsia="Times New Roman" w:cs="Arial"/>
                <w:sz w:val="16"/>
                <w:szCs w:val="16"/>
                <w:lang w:eastAsia="en-US"/>
              </w:rPr>
              <w:br/>
              <w:t xml:space="preserve">– 90% des recommandations mises en œuvre dans un délai de deux ans </w:t>
            </w:r>
          </w:p>
        </w:tc>
      </w:tr>
    </w:tbl>
    <w:p w14:paraId="3E4BACAE" w14:textId="77777777" w:rsidR="00693947" w:rsidRDefault="00693947" w:rsidP="00986700">
      <w:pPr>
        <w:rPr>
          <w:rFonts w:cs="Arial"/>
          <w:szCs w:val="20"/>
        </w:rPr>
      </w:pPr>
    </w:p>
    <w:tbl>
      <w:tblPr>
        <w:tblW w:w="5000" w:type="pct"/>
        <w:tblCellMar>
          <w:top w:w="57" w:type="dxa"/>
          <w:bottom w:w="57" w:type="dxa"/>
        </w:tblCellMar>
        <w:tblLook w:val="01E0" w:firstRow="1" w:lastRow="1" w:firstColumn="1" w:lastColumn="1" w:noHBand="0" w:noVBand="0"/>
      </w:tblPr>
      <w:tblGrid>
        <w:gridCol w:w="9287"/>
      </w:tblGrid>
      <w:tr w:rsidR="00277197" w:rsidRPr="00821D15" w14:paraId="7C1FFF0C" w14:textId="77777777" w:rsidTr="001A722F">
        <w:trPr>
          <w:cantSplit/>
        </w:trPr>
        <w:tc>
          <w:tcPr>
            <w:tcW w:w="9571" w:type="dxa"/>
            <w:shd w:val="clear" w:color="auto" w:fill="C6D9F1" w:themeFill="text2" w:themeFillTint="33"/>
            <w:vAlign w:val="center"/>
          </w:tcPr>
          <w:p w14:paraId="66FC679E" w14:textId="77777777" w:rsidR="00277197" w:rsidRPr="00821D15" w:rsidRDefault="00277197" w:rsidP="00986700">
            <w:pPr>
              <w:jc w:val="center"/>
              <w:rPr>
                <w:rFonts w:cs="Arial"/>
                <w:b/>
                <w:szCs w:val="20"/>
              </w:rPr>
            </w:pPr>
            <w:r w:rsidRPr="00821D15">
              <w:rPr>
                <w:rFonts w:cs="Arial"/>
                <w:b/>
                <w:szCs w:val="20"/>
              </w:rPr>
              <w:t>Ressources allouées au programme 26</w:t>
            </w:r>
          </w:p>
        </w:tc>
      </w:tr>
    </w:tbl>
    <w:p w14:paraId="728869B7" w14:textId="77777777" w:rsidR="00277197" w:rsidRPr="00821D15" w:rsidRDefault="00277197" w:rsidP="00986700">
      <w:pPr>
        <w:rPr>
          <w:rFonts w:cs="Arial"/>
          <w:szCs w:val="20"/>
        </w:rPr>
      </w:pPr>
    </w:p>
    <w:p w14:paraId="764C8325" w14:textId="77777777" w:rsidR="00277197" w:rsidRPr="00821D15" w:rsidRDefault="00277197" w:rsidP="00616FD3">
      <w:pPr>
        <w:pStyle w:val="ListParagraph"/>
        <w:numPr>
          <w:ilvl w:val="0"/>
          <w:numId w:val="88"/>
        </w:numPr>
        <w:ind w:firstLine="0"/>
        <w:jc w:val="both"/>
        <w:rPr>
          <w:rFonts w:cs="Arial"/>
          <w:szCs w:val="20"/>
        </w:rPr>
      </w:pPr>
      <w:r w:rsidRPr="00821D15">
        <w:rPr>
          <w:rFonts w:cs="Arial"/>
          <w:szCs w:val="20"/>
        </w:rPr>
        <w:t>Les dépenses globales allouées au programme au cours de l’exercice biennal 2018</w:t>
      </w:r>
      <w:r w:rsidRPr="00821D15">
        <w:rPr>
          <w:rFonts w:cs="Arial"/>
          <w:szCs w:val="20"/>
        </w:rPr>
        <w:noBreakHyphen/>
        <w:t>2019 indiquent une augmentation de 3,6% par rapport au budget approuvé pour 2016</w:t>
      </w:r>
      <w:r w:rsidRPr="00821D15">
        <w:rPr>
          <w:rFonts w:cs="Arial"/>
          <w:szCs w:val="20"/>
        </w:rPr>
        <w:noBreakHyphen/>
        <w:t>2017.</w:t>
      </w:r>
    </w:p>
    <w:p w14:paraId="70501168" w14:textId="77777777" w:rsidR="00277197" w:rsidRPr="00821D15" w:rsidRDefault="00277197" w:rsidP="00986700">
      <w:pPr>
        <w:rPr>
          <w:rFonts w:cs="Arial"/>
          <w:szCs w:val="20"/>
        </w:rPr>
      </w:pPr>
    </w:p>
    <w:p w14:paraId="4AB8C36F" w14:textId="77777777" w:rsidR="00277197" w:rsidRPr="00821D15" w:rsidRDefault="00277197" w:rsidP="00616FD3">
      <w:pPr>
        <w:pStyle w:val="ListParagraph"/>
        <w:numPr>
          <w:ilvl w:val="0"/>
          <w:numId w:val="88"/>
        </w:numPr>
        <w:ind w:firstLine="0"/>
        <w:jc w:val="both"/>
        <w:rPr>
          <w:rFonts w:cs="Arial"/>
          <w:szCs w:val="20"/>
        </w:rPr>
      </w:pPr>
      <w:r w:rsidRPr="00821D15">
        <w:rPr>
          <w:rFonts w:cs="Arial"/>
          <w:szCs w:val="20"/>
        </w:rPr>
        <w:t>Les dépenses autres que les dépenses de personnel sont maintenues au même niveau que dans le budget approuvé pour 2016</w:t>
      </w:r>
      <w:r w:rsidRPr="00821D15">
        <w:rPr>
          <w:rFonts w:cs="Arial"/>
          <w:szCs w:val="20"/>
        </w:rPr>
        <w:noBreakHyphen/>
        <w:t>2017.</w:t>
      </w:r>
    </w:p>
    <w:p w14:paraId="2D2E4E85" w14:textId="77777777" w:rsidR="00277197" w:rsidRPr="00821D15" w:rsidRDefault="00277197" w:rsidP="00986700">
      <w:pPr>
        <w:rPr>
          <w:rFonts w:cs="Arial"/>
          <w:szCs w:val="20"/>
        </w:rPr>
      </w:pPr>
    </w:p>
    <w:p w14:paraId="64870BF2" w14:textId="77777777" w:rsidR="00277197" w:rsidRPr="00821D15" w:rsidRDefault="00277197" w:rsidP="00616FD3">
      <w:pPr>
        <w:pStyle w:val="ListParagraph"/>
        <w:numPr>
          <w:ilvl w:val="0"/>
          <w:numId w:val="88"/>
        </w:numPr>
        <w:ind w:firstLine="0"/>
        <w:jc w:val="both"/>
        <w:rPr>
          <w:rFonts w:cs="Arial"/>
          <w:szCs w:val="20"/>
        </w:rPr>
      </w:pPr>
      <w:r w:rsidRPr="00821D15">
        <w:rPr>
          <w:rFonts w:cs="Arial"/>
          <w:szCs w:val="20"/>
        </w:rPr>
        <w:t>L’augmentation du nombre de postes et des dépenses de personnel correspondantes est principalement due à la régularisation d’une fonction d’audit de nature continue et au renforcement de la fonction d’enquête au cours de l’exercice biennal 2018</w:t>
      </w:r>
      <w:r w:rsidRPr="00821D15">
        <w:rPr>
          <w:rFonts w:cs="Arial"/>
          <w:szCs w:val="20"/>
        </w:rPr>
        <w:noBreakHyphen/>
        <w:t>2019.</w:t>
      </w:r>
    </w:p>
    <w:p w14:paraId="106DFFD6" w14:textId="77777777" w:rsidR="00277197" w:rsidRPr="0088724B" w:rsidRDefault="00277197" w:rsidP="00986700">
      <w:pPr>
        <w:rPr>
          <w:rFonts w:cs="Arial"/>
          <w:szCs w:val="20"/>
        </w:rPr>
      </w:pPr>
    </w:p>
    <w:p w14:paraId="6DB3C380" w14:textId="092D88DE"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lastRenderedPageBreak/>
        <w:t xml:space="preserve">Programme 26 : </w:t>
      </w:r>
      <w:r w:rsidRPr="00674550">
        <w:rPr>
          <w:rFonts w:eastAsia="Times New Roman" w:cs="Arial"/>
          <w:b/>
          <w:szCs w:val="20"/>
          <w:lang w:eastAsia="en-US"/>
        </w:rPr>
        <w:t>Ressources par résultat</w:t>
      </w:r>
    </w:p>
    <w:p w14:paraId="245FFC6A"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87F5E89" w14:textId="77777777" w:rsidR="00693947" w:rsidRDefault="00693947" w:rsidP="00986700">
      <w:pPr>
        <w:keepNext/>
        <w:rPr>
          <w:rFonts w:asciiTheme="minorBidi" w:hAnsiTheme="minorBidi"/>
        </w:rPr>
      </w:pPr>
    </w:p>
    <w:p w14:paraId="143FCEF7" w14:textId="2E1292C3" w:rsidR="008776A0" w:rsidRPr="0088724B" w:rsidRDefault="008776A0" w:rsidP="00986700">
      <w:pPr>
        <w:jc w:val="center"/>
        <w:rPr>
          <w:rFonts w:asciiTheme="minorBidi" w:hAnsiTheme="minorBidi"/>
        </w:rPr>
      </w:pPr>
      <w:r w:rsidRPr="008776A0">
        <w:rPr>
          <w:noProof/>
          <w:lang w:val="en-US" w:eastAsia="en-US"/>
        </w:rPr>
        <w:drawing>
          <wp:inline distT="0" distB="0" distL="0" distR="0" wp14:anchorId="224C5245" wp14:editId="4B8E8ADF">
            <wp:extent cx="5400000" cy="1369014"/>
            <wp:effectExtent l="0" t="0" r="0" b="317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000" cy="1369014"/>
                    </a:xfrm>
                    <a:prstGeom prst="rect">
                      <a:avLst/>
                    </a:prstGeom>
                    <a:noFill/>
                    <a:ln>
                      <a:noFill/>
                    </a:ln>
                  </pic:spPr>
                </pic:pic>
              </a:graphicData>
            </a:graphic>
          </wp:inline>
        </w:drawing>
      </w:r>
    </w:p>
    <w:p w14:paraId="095A727C" w14:textId="77777777" w:rsidR="00693947" w:rsidRPr="0088724B" w:rsidRDefault="00693947" w:rsidP="00986700">
      <w:pPr>
        <w:rPr>
          <w:rFonts w:cs="Arial"/>
          <w:szCs w:val="20"/>
        </w:rPr>
      </w:pPr>
    </w:p>
    <w:p w14:paraId="4480FD44"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t xml:space="preserve">Programme </w:t>
      </w:r>
      <w:r>
        <w:rPr>
          <w:rFonts w:asciiTheme="minorBidi" w:eastAsia="Times New Roman" w:hAnsiTheme="minorBidi"/>
          <w:b/>
          <w:sz w:val="18"/>
          <w:szCs w:val="18"/>
          <w:lang w:eastAsia="en-US"/>
        </w:rPr>
        <w:t>26</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4F82CC5D" w14:textId="23810108"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67E6DC55" w14:textId="77777777" w:rsidR="008778B5" w:rsidRDefault="008778B5" w:rsidP="00986700">
      <w:pPr>
        <w:keepNext/>
        <w:rPr>
          <w:lang w:eastAsia="en-US"/>
        </w:rPr>
      </w:pPr>
    </w:p>
    <w:p w14:paraId="1521D73D" w14:textId="469B4563" w:rsidR="00B55ECC" w:rsidRDefault="00155E4B" w:rsidP="00986700">
      <w:pPr>
        <w:jc w:val="center"/>
        <w:rPr>
          <w:lang w:eastAsia="en-US"/>
        </w:rPr>
      </w:pPr>
      <w:r w:rsidRPr="00155E4B">
        <w:rPr>
          <w:noProof/>
          <w:lang w:val="en-US" w:eastAsia="en-US"/>
        </w:rPr>
        <w:drawing>
          <wp:inline distT="0" distB="0" distL="0" distR="0" wp14:anchorId="2A2DED8B" wp14:editId="461417A5">
            <wp:extent cx="5400000" cy="6031770"/>
            <wp:effectExtent l="0" t="0" r="0" b="762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4E4AEF90" w14:textId="77777777" w:rsidR="00B55ECC" w:rsidRPr="00E16214" w:rsidRDefault="00B55ECC" w:rsidP="00986700">
      <w:pPr>
        <w:rPr>
          <w:lang w:eastAsia="en-US"/>
        </w:rPr>
      </w:pPr>
    </w:p>
    <w:p w14:paraId="46B38576" w14:textId="595E11C2" w:rsidR="00C73096" w:rsidRDefault="00C73096" w:rsidP="00986700">
      <w:pPr>
        <w:rPr>
          <w:rFonts w:ascii="Arial Bold" w:eastAsia="SimSun" w:hAnsi="Arial Bold" w:cs="Arial" w:hint="eastAsia"/>
          <w:b/>
          <w:bCs/>
          <w:caps/>
          <w:kern w:val="32"/>
          <w:sz w:val="22"/>
          <w:szCs w:val="32"/>
          <w:lang w:eastAsia="en-US"/>
        </w:rPr>
      </w:pPr>
    </w:p>
    <w:p w14:paraId="1B902E85" w14:textId="74C1E019" w:rsidR="00C73096" w:rsidRPr="00C73096" w:rsidRDefault="00C73096" w:rsidP="00986700">
      <w:pPr>
        <w:pStyle w:val="Heading2"/>
      </w:pPr>
      <w:r>
        <w:rPr>
          <w:rFonts w:hint="eastAsia"/>
        </w:rPr>
        <w:br w:type="page"/>
      </w:r>
      <w:bookmarkStart w:id="81" w:name="_Toc482979512"/>
      <w:r w:rsidRPr="00C73096">
        <w:lastRenderedPageBreak/>
        <w:t>Programme </w:t>
      </w:r>
      <w:r w:rsidRPr="00C73096">
        <w:rPr>
          <w:rFonts w:hint="eastAsia"/>
        </w:rPr>
        <w:t>27</w:t>
      </w:r>
      <w:r w:rsidRPr="00C73096">
        <w:rPr>
          <w:rFonts w:hint="eastAsia"/>
        </w:rPr>
        <w:tab/>
      </w:r>
      <w:r w:rsidRPr="00C73096">
        <w:t xml:space="preserve">Services </w:t>
      </w:r>
      <w:r w:rsidRPr="00C73096">
        <w:rPr>
          <w:rFonts w:hint="eastAsia"/>
        </w:rPr>
        <w:t>de conférence et services linguistiques</w:t>
      </w:r>
      <w:bookmarkEnd w:id="81"/>
    </w:p>
    <w:p w14:paraId="05555506" w14:textId="77777777" w:rsidR="00C73096" w:rsidRPr="00F9578B" w:rsidRDefault="00C73096" w:rsidP="00986700">
      <w:pPr>
        <w:rPr>
          <w:bCs/>
        </w:rPr>
      </w:pPr>
    </w:p>
    <w:p w14:paraId="35AB7D34" w14:textId="77777777" w:rsidR="00C73096" w:rsidRPr="00F9578B" w:rsidRDefault="00C73096" w:rsidP="00986700">
      <w:pPr>
        <w:rPr>
          <w:bCs/>
        </w:rPr>
      </w:pPr>
    </w:p>
    <w:tbl>
      <w:tblPr>
        <w:tblpPr w:leftFromText="180" w:rightFromText="180" w:vertAnchor="text" w:horzAnchor="margin" w:tblpX="108" w:tblpY="44"/>
        <w:tblW w:w="5000" w:type="pct"/>
        <w:tblCellMar>
          <w:top w:w="57" w:type="dxa"/>
          <w:bottom w:w="57" w:type="dxa"/>
        </w:tblCellMar>
        <w:tblLook w:val="01E0" w:firstRow="1" w:lastRow="1" w:firstColumn="1" w:lastColumn="1" w:noHBand="0" w:noVBand="0"/>
      </w:tblPr>
      <w:tblGrid>
        <w:gridCol w:w="9287"/>
      </w:tblGrid>
      <w:tr w:rsidR="00C73096" w:rsidRPr="00F9578B" w14:paraId="03B7F311" w14:textId="77777777" w:rsidTr="00C73096">
        <w:trPr>
          <w:cantSplit/>
        </w:trPr>
        <w:tc>
          <w:tcPr>
            <w:tcW w:w="9180" w:type="dxa"/>
            <w:shd w:val="clear" w:color="auto" w:fill="C6D9F1" w:themeFill="text2" w:themeFillTint="33"/>
            <w:vAlign w:val="center"/>
          </w:tcPr>
          <w:p w14:paraId="0EEF0C4F" w14:textId="77777777" w:rsidR="00C73096" w:rsidRPr="00F9578B" w:rsidRDefault="00C73096" w:rsidP="00986700">
            <w:pPr>
              <w:keepNext/>
              <w:keepLines/>
              <w:jc w:val="center"/>
              <w:rPr>
                <w:b/>
                <w:bCs/>
              </w:rPr>
            </w:pPr>
            <w:r w:rsidRPr="00F9578B">
              <w:rPr>
                <w:b/>
                <w:bCs/>
              </w:rPr>
              <w:t>Stratégies de mise en œuvre</w:t>
            </w:r>
          </w:p>
        </w:tc>
      </w:tr>
    </w:tbl>
    <w:p w14:paraId="42F487C7" w14:textId="77777777" w:rsidR="00C73096" w:rsidRPr="00F9578B" w:rsidRDefault="00C73096" w:rsidP="00986700"/>
    <w:p w14:paraId="3A09A467" w14:textId="00063B8C" w:rsidR="00C73096" w:rsidRPr="00F9578B" w:rsidRDefault="00C73096" w:rsidP="00616FD3">
      <w:pPr>
        <w:pStyle w:val="ListParagraph"/>
        <w:numPr>
          <w:ilvl w:val="0"/>
          <w:numId w:val="32"/>
        </w:numPr>
        <w:ind w:left="567" w:hanging="567"/>
        <w:jc w:val="both"/>
      </w:pPr>
      <w:r w:rsidRPr="00F9578B">
        <w:t>Fournir des services de traduction et d’interprétation de qualité, en temps utile et avec un bon rapport coût</w:t>
      </w:r>
      <w:r w:rsidR="00B441CA">
        <w:noBreakHyphen/>
      </w:r>
      <w:r w:rsidRPr="00F9578B">
        <w:t>efficacité, conformément à la politique linguistique de l’OMPI et aux obligations découlant des traités.  Continuer à promouvoir et à mettre en œuvre la politique de multilinguisme au sein du Secrétariat;</w:t>
      </w:r>
    </w:p>
    <w:p w14:paraId="1EF4C55B" w14:textId="77777777" w:rsidR="00C73096" w:rsidRPr="00F9578B" w:rsidRDefault="00C73096" w:rsidP="00986700">
      <w:pPr>
        <w:pStyle w:val="ListParagraph"/>
        <w:ind w:left="567" w:hanging="567"/>
        <w:jc w:val="both"/>
      </w:pPr>
    </w:p>
    <w:p w14:paraId="2F4407E8" w14:textId="77777777" w:rsidR="00C73096" w:rsidRPr="00F9578B" w:rsidRDefault="00C73096" w:rsidP="00616FD3">
      <w:pPr>
        <w:pStyle w:val="ListParagraph"/>
        <w:numPr>
          <w:ilvl w:val="0"/>
          <w:numId w:val="33"/>
        </w:numPr>
        <w:ind w:left="567" w:hanging="567"/>
        <w:jc w:val="both"/>
      </w:pPr>
      <w:r w:rsidRPr="00F9578B">
        <w:t>Adopter des nouvelles technologies de traduction et des pratiques recommandées en vue d’optimiser l’utilisation des ressources internes et externes et d’assurer une qualité constante et la sécurité juridique des traductions.  Il s’agira essentiellement de développer les outils de traduction assistée par ordinateur et la base de données terminologique multilingue;</w:t>
      </w:r>
    </w:p>
    <w:p w14:paraId="5FF00C92" w14:textId="77777777" w:rsidR="00C73096" w:rsidRPr="00F9578B" w:rsidRDefault="00C73096" w:rsidP="00986700">
      <w:pPr>
        <w:ind w:left="567" w:hanging="567"/>
        <w:jc w:val="both"/>
      </w:pPr>
    </w:p>
    <w:p w14:paraId="171F2D36" w14:textId="1A2177F8" w:rsidR="00C73096" w:rsidRPr="00F9578B" w:rsidRDefault="00C73096" w:rsidP="00616FD3">
      <w:pPr>
        <w:pStyle w:val="ListParagraph"/>
        <w:numPr>
          <w:ilvl w:val="0"/>
          <w:numId w:val="33"/>
        </w:numPr>
        <w:ind w:left="567" w:hanging="567"/>
        <w:jc w:val="both"/>
      </w:pPr>
      <w:r w:rsidRPr="00F9578B">
        <w:t>Améliorer la planification et l’anticipation des besoins en matière de traduction et maîtriser les volumes de traduction grâce à l’application rigoureuse de mesures de rationalisation et de contrôle.  Améliorer l’efficacité des flux de traduction et renforcer les mesures de contrôle de la qualité en ce qui concerne aussi bien les traductions en interne que les traductions sous</w:t>
      </w:r>
      <w:r w:rsidR="00B441CA">
        <w:noBreakHyphen/>
      </w:r>
      <w:r w:rsidRPr="00F9578B">
        <w:t>traitées;</w:t>
      </w:r>
    </w:p>
    <w:p w14:paraId="221620E0" w14:textId="77777777" w:rsidR="00C73096" w:rsidRPr="00F9578B" w:rsidRDefault="00C73096" w:rsidP="00986700">
      <w:pPr>
        <w:pStyle w:val="ListParagraph"/>
        <w:ind w:left="567" w:hanging="567"/>
        <w:jc w:val="both"/>
      </w:pPr>
    </w:p>
    <w:p w14:paraId="45F7E3F4" w14:textId="77777777" w:rsidR="00C73096" w:rsidRPr="00F9578B" w:rsidRDefault="00C73096" w:rsidP="00616FD3">
      <w:pPr>
        <w:pStyle w:val="ListParagraph"/>
        <w:numPr>
          <w:ilvl w:val="0"/>
          <w:numId w:val="32"/>
        </w:numPr>
        <w:ind w:left="567" w:hanging="567"/>
        <w:jc w:val="both"/>
      </w:pPr>
      <w:r w:rsidRPr="00F9578B">
        <w:t>Optimiser les prévisions en ce qui concerne les besoins en matière d’interprétation et d’engagement d’interprètes indépendants en améliorant la base de données consacrée à la gestion des activités d’interprétation;</w:t>
      </w:r>
    </w:p>
    <w:p w14:paraId="51F0D26B" w14:textId="77777777" w:rsidR="00C73096" w:rsidRPr="00F9578B" w:rsidRDefault="00C73096" w:rsidP="00986700">
      <w:pPr>
        <w:ind w:left="567" w:hanging="567"/>
        <w:jc w:val="both"/>
      </w:pPr>
    </w:p>
    <w:p w14:paraId="1EC5375A" w14:textId="77777777" w:rsidR="00C73096" w:rsidRPr="00F9578B" w:rsidRDefault="00C73096" w:rsidP="00616FD3">
      <w:pPr>
        <w:pStyle w:val="ListParagraph"/>
        <w:numPr>
          <w:ilvl w:val="0"/>
          <w:numId w:val="32"/>
        </w:numPr>
        <w:ind w:left="567" w:hanging="567"/>
        <w:jc w:val="both"/>
      </w:pPr>
      <w:r w:rsidRPr="00F9578B">
        <w:t>Assurer un appui effectif et efficace à l’organisation des conférences et à la gestion des documents et tendre vers davantage d’efficacité dans la production et la diffusion des invitations et documents en rapport avec les réunions, grâce à l’utilisation des nouveaux outils informatiques, tels qu’une application mobile et à la mise en œuvre de pratiques recommandées;</w:t>
      </w:r>
    </w:p>
    <w:p w14:paraId="0EE9416E" w14:textId="77777777" w:rsidR="00C73096" w:rsidRPr="00F9578B" w:rsidRDefault="00C73096" w:rsidP="00986700">
      <w:pPr>
        <w:pStyle w:val="ListParagraph"/>
        <w:ind w:left="567" w:hanging="567"/>
        <w:jc w:val="both"/>
      </w:pPr>
    </w:p>
    <w:p w14:paraId="257FC240" w14:textId="77777777" w:rsidR="00C73096" w:rsidRPr="00F9578B" w:rsidRDefault="00C73096" w:rsidP="00616FD3">
      <w:pPr>
        <w:pStyle w:val="ListParagraph"/>
        <w:numPr>
          <w:ilvl w:val="0"/>
          <w:numId w:val="32"/>
        </w:numPr>
        <w:ind w:left="567" w:hanging="567"/>
        <w:jc w:val="both"/>
      </w:pPr>
      <w:r w:rsidRPr="00F9578B">
        <w:t>Améliorer la gestion des conférences grâce à la mise à niveau du système informatique de gestion des conférences axée sur la migration des bases de données centrales vers une solution évolutive, de niveau entreprise et à son intégration avec les autres systèmes internes connexes;</w:t>
      </w:r>
    </w:p>
    <w:p w14:paraId="314BC7F3" w14:textId="77777777" w:rsidR="00C73096" w:rsidRPr="00F9578B" w:rsidRDefault="00C73096" w:rsidP="00986700">
      <w:pPr>
        <w:ind w:left="567" w:hanging="567"/>
        <w:jc w:val="both"/>
      </w:pPr>
    </w:p>
    <w:p w14:paraId="43427FAE" w14:textId="77777777" w:rsidR="00C73096" w:rsidRPr="00F9578B" w:rsidRDefault="00C73096" w:rsidP="00616FD3">
      <w:pPr>
        <w:pStyle w:val="ListParagraph"/>
        <w:numPr>
          <w:ilvl w:val="0"/>
          <w:numId w:val="32"/>
        </w:numPr>
        <w:ind w:left="567" w:hanging="567"/>
        <w:jc w:val="both"/>
      </w:pPr>
      <w:r w:rsidRPr="00F9578B">
        <w:t>Simplifier le système d’enregistrement en ligne des délégués aux réunions de l’OMPI et renforcer sa sécurité grâce à l’adoption d’interfaces externes conviviales;</w:t>
      </w:r>
    </w:p>
    <w:p w14:paraId="69291E36" w14:textId="77777777" w:rsidR="00C73096" w:rsidRPr="00F9578B" w:rsidRDefault="00C73096" w:rsidP="00986700">
      <w:pPr>
        <w:ind w:left="567" w:hanging="567"/>
        <w:jc w:val="both"/>
      </w:pPr>
    </w:p>
    <w:p w14:paraId="6978DBF3" w14:textId="67804809" w:rsidR="00C73096" w:rsidRPr="00F9578B" w:rsidRDefault="00C73096" w:rsidP="00616FD3">
      <w:pPr>
        <w:pStyle w:val="ListParagraph"/>
        <w:numPr>
          <w:ilvl w:val="0"/>
          <w:numId w:val="32"/>
        </w:numPr>
        <w:ind w:left="567" w:hanging="567"/>
        <w:jc w:val="both"/>
      </w:pPr>
      <w:r w:rsidRPr="00F9578B">
        <w:t>Maintenir des services d’expédition du courrier d’un bon rapport coût</w:t>
      </w:r>
      <w:r w:rsidR="00B441CA">
        <w:noBreakHyphen/>
      </w:r>
      <w:r w:rsidRPr="00F9578B">
        <w:t>efficacité;</w:t>
      </w:r>
    </w:p>
    <w:p w14:paraId="5C9AED6A" w14:textId="77777777" w:rsidR="00C73096" w:rsidRPr="00F9578B" w:rsidRDefault="00C73096" w:rsidP="00986700">
      <w:pPr>
        <w:ind w:left="567" w:hanging="567"/>
        <w:jc w:val="both"/>
      </w:pPr>
    </w:p>
    <w:p w14:paraId="3E92EA2D" w14:textId="77777777" w:rsidR="00C73096" w:rsidRPr="00F9578B" w:rsidRDefault="00C73096" w:rsidP="00616FD3">
      <w:pPr>
        <w:pStyle w:val="ListParagraph"/>
        <w:numPr>
          <w:ilvl w:val="0"/>
          <w:numId w:val="32"/>
        </w:numPr>
        <w:ind w:left="567" w:hanging="567"/>
        <w:jc w:val="both"/>
      </w:pPr>
      <w:r w:rsidRPr="00F9578B">
        <w:t>Renforcer l’efficacité et la qualité des services d’imprimerie et réduire la consommation de papier en encourageant l’“impression à la demande”, conformément à la politique relative aux services d’imprimerie;</w:t>
      </w:r>
    </w:p>
    <w:p w14:paraId="252EA50E" w14:textId="77777777" w:rsidR="00C73096" w:rsidRPr="00F9578B" w:rsidRDefault="00C73096" w:rsidP="00986700">
      <w:pPr>
        <w:ind w:left="567" w:hanging="567"/>
        <w:jc w:val="both"/>
      </w:pPr>
    </w:p>
    <w:p w14:paraId="097EC25C" w14:textId="77777777" w:rsidR="00C73096" w:rsidRPr="00F9578B" w:rsidRDefault="00C73096" w:rsidP="00616FD3">
      <w:pPr>
        <w:pStyle w:val="ListParagraph"/>
        <w:numPr>
          <w:ilvl w:val="0"/>
          <w:numId w:val="32"/>
        </w:numPr>
        <w:ind w:left="567" w:hanging="567"/>
        <w:jc w:val="both"/>
      </w:pPr>
      <w:r w:rsidRPr="00F9578B">
        <w:t>Améliorer le cadre réglementaire et mettre en œuvre des pratiques recommandées au regard de la gestion des dossiers et des archives.  Contribuer à l’égalité entre les sexes en incorporant une option de fourniture de métadonnées par sexe dans les dossiers dans le cadre de la gestion des contenus de l’Organisation, afin de faciliter la collecte et l’analyse de données et l’établissement de données à cet égard au titre du plan d’action à l’échelle du système des Nations Unies.</w:t>
      </w:r>
    </w:p>
    <w:p w14:paraId="5EF306B5" w14:textId="77777777" w:rsidR="00C73096" w:rsidRPr="00F9578B" w:rsidRDefault="00C73096" w:rsidP="00986700">
      <w:pPr>
        <w:jc w:val="both"/>
      </w:pPr>
    </w:p>
    <w:p w14:paraId="2C552BF1" w14:textId="77777777" w:rsidR="00C73096" w:rsidRPr="00F9578B" w:rsidRDefault="00C73096" w:rsidP="00986700"/>
    <w:tbl>
      <w:tblPr>
        <w:tblW w:w="5000" w:type="pct"/>
        <w:tblCellMar>
          <w:top w:w="57" w:type="dxa"/>
          <w:bottom w:w="57" w:type="dxa"/>
        </w:tblCellMar>
        <w:tblLook w:val="01E0" w:firstRow="1" w:lastRow="1" w:firstColumn="1" w:lastColumn="1" w:noHBand="0" w:noVBand="0"/>
      </w:tblPr>
      <w:tblGrid>
        <w:gridCol w:w="4642"/>
        <w:gridCol w:w="4645"/>
      </w:tblGrid>
      <w:tr w:rsidR="00C73096" w:rsidRPr="00F9578B" w14:paraId="3C57ED54" w14:textId="77777777" w:rsidTr="00C73096">
        <w:trPr>
          <w:cantSplit/>
        </w:trPr>
        <w:tc>
          <w:tcPr>
            <w:tcW w:w="4785" w:type="dxa"/>
            <w:shd w:val="clear" w:color="auto" w:fill="C6D9F1" w:themeFill="text2" w:themeFillTint="33"/>
            <w:vAlign w:val="center"/>
          </w:tcPr>
          <w:p w14:paraId="5A837C63" w14:textId="77777777" w:rsidR="00C73096" w:rsidRPr="00F9578B" w:rsidRDefault="00C73096" w:rsidP="00986700">
            <w:pPr>
              <w:keepNext/>
              <w:keepLines/>
              <w:jc w:val="center"/>
              <w:rPr>
                <w:rFonts w:asciiTheme="minorBidi" w:hAnsiTheme="minorBidi"/>
                <w:b/>
                <w:bCs/>
                <w:sz w:val="18"/>
                <w:szCs w:val="18"/>
              </w:rPr>
            </w:pPr>
            <w:r w:rsidRPr="00F9578B">
              <w:rPr>
                <w:b/>
                <w:bCs/>
                <w:sz w:val="18"/>
                <w:szCs w:val="18"/>
              </w:rPr>
              <w:t>Risques</w:t>
            </w:r>
          </w:p>
        </w:tc>
        <w:tc>
          <w:tcPr>
            <w:tcW w:w="4786" w:type="dxa"/>
            <w:shd w:val="clear" w:color="auto" w:fill="C6D9F1" w:themeFill="text2" w:themeFillTint="33"/>
            <w:vAlign w:val="center"/>
          </w:tcPr>
          <w:p w14:paraId="0147D8E1" w14:textId="77777777" w:rsidR="00C73096" w:rsidRPr="00F9578B" w:rsidRDefault="00C73096" w:rsidP="00986700">
            <w:pPr>
              <w:keepNext/>
              <w:keepLines/>
              <w:jc w:val="center"/>
              <w:rPr>
                <w:rFonts w:asciiTheme="minorBidi" w:hAnsiTheme="minorBidi"/>
                <w:b/>
                <w:bCs/>
                <w:sz w:val="18"/>
                <w:szCs w:val="18"/>
              </w:rPr>
            </w:pPr>
            <w:r w:rsidRPr="00F9578B">
              <w:rPr>
                <w:b/>
                <w:bCs/>
                <w:sz w:val="18"/>
                <w:szCs w:val="18"/>
              </w:rPr>
              <w:t>Mesures d’atténuation</w:t>
            </w:r>
          </w:p>
        </w:tc>
      </w:tr>
      <w:tr w:rsidR="00C73096" w:rsidRPr="00F9578B" w14:paraId="46B2BB43" w14:textId="77777777" w:rsidTr="00C73096">
        <w:trPr>
          <w:cantSplit/>
        </w:trPr>
        <w:tc>
          <w:tcPr>
            <w:tcW w:w="4785" w:type="dxa"/>
            <w:shd w:val="clear" w:color="auto" w:fill="auto"/>
            <w:tcMar>
              <w:top w:w="57" w:type="dxa"/>
              <w:bottom w:w="57" w:type="dxa"/>
            </w:tcMar>
          </w:tcPr>
          <w:p w14:paraId="14389533" w14:textId="3F056441" w:rsidR="00C73096" w:rsidRPr="00F9578B" w:rsidRDefault="00C73096" w:rsidP="00986700">
            <w:pPr>
              <w:rPr>
                <w:sz w:val="16"/>
                <w:szCs w:val="16"/>
              </w:rPr>
            </w:pPr>
            <w:r w:rsidRPr="00F9578B">
              <w:rPr>
                <w:color w:val="000000"/>
                <w:sz w:val="16"/>
                <w:szCs w:val="16"/>
              </w:rPr>
              <w:t>Le multilinguisme est menacé du fait de la non</w:t>
            </w:r>
            <w:r w:rsidR="00B441CA">
              <w:rPr>
                <w:color w:val="000000"/>
                <w:sz w:val="16"/>
                <w:szCs w:val="16"/>
              </w:rPr>
              <w:noBreakHyphen/>
            </w:r>
            <w:r w:rsidRPr="00F9578B">
              <w:rPr>
                <w:color w:val="000000"/>
                <w:sz w:val="16"/>
                <w:szCs w:val="16"/>
              </w:rPr>
              <w:t>application de la politique linguistique de l’OMPI.</w:t>
            </w:r>
          </w:p>
        </w:tc>
        <w:tc>
          <w:tcPr>
            <w:tcW w:w="4786" w:type="dxa"/>
            <w:shd w:val="clear" w:color="auto" w:fill="auto"/>
            <w:tcMar>
              <w:top w:w="57" w:type="dxa"/>
              <w:bottom w:w="57" w:type="dxa"/>
            </w:tcMar>
          </w:tcPr>
          <w:p w14:paraId="59C070C2" w14:textId="77777777" w:rsidR="00C73096" w:rsidRPr="00F9578B" w:rsidRDefault="00C73096" w:rsidP="00986700">
            <w:pPr>
              <w:rPr>
                <w:sz w:val="16"/>
                <w:szCs w:val="16"/>
              </w:rPr>
            </w:pPr>
            <w:r w:rsidRPr="00F9578B">
              <w:rPr>
                <w:color w:val="000000"/>
                <w:sz w:val="16"/>
                <w:szCs w:val="16"/>
              </w:rPr>
              <w:t>Application stricte de la politique linguistique de l’OMPI et poursuite de la rationalisation et de l’application des mesures de contrôle concernant le nombre et la taille des documents à traduire.</w:t>
            </w:r>
          </w:p>
        </w:tc>
      </w:tr>
    </w:tbl>
    <w:p w14:paraId="51C6CBAF" w14:textId="77777777" w:rsidR="00C73096" w:rsidRPr="00F9578B" w:rsidRDefault="00C73096" w:rsidP="00986700"/>
    <w:p w14:paraId="5280EA51" w14:textId="77777777" w:rsidR="00C73096" w:rsidRPr="00F9578B" w:rsidRDefault="00C73096" w:rsidP="00986700"/>
    <w:tbl>
      <w:tblPr>
        <w:tblW w:w="5000" w:type="pct"/>
        <w:tblCellMar>
          <w:top w:w="57" w:type="dxa"/>
          <w:bottom w:w="57" w:type="dxa"/>
        </w:tblCellMar>
        <w:tblLook w:val="04A0" w:firstRow="1" w:lastRow="0" w:firstColumn="1" w:lastColumn="0" w:noHBand="0" w:noVBand="1"/>
      </w:tblPr>
      <w:tblGrid>
        <w:gridCol w:w="2306"/>
        <w:gridCol w:w="2316"/>
        <w:gridCol w:w="2335"/>
        <w:gridCol w:w="2330"/>
      </w:tblGrid>
      <w:tr w:rsidR="00C73096" w:rsidRPr="00F9578B" w14:paraId="7E9DF84A" w14:textId="77777777" w:rsidTr="00C73096">
        <w:trPr>
          <w:cantSplit/>
          <w:tblHeader/>
        </w:trPr>
        <w:tc>
          <w:tcPr>
            <w:tcW w:w="2393" w:type="dxa"/>
            <w:shd w:val="clear" w:color="000000" w:fill="C5D9F1"/>
            <w:vAlign w:val="center"/>
            <w:hideMark/>
          </w:tcPr>
          <w:p w14:paraId="36A9F4ED" w14:textId="77777777" w:rsidR="00C73096" w:rsidRPr="00F9578B" w:rsidRDefault="00C73096" w:rsidP="00986700">
            <w:pPr>
              <w:keepNext/>
              <w:jc w:val="center"/>
              <w:rPr>
                <w:rFonts w:asciiTheme="minorBidi" w:hAnsiTheme="minorBidi"/>
                <w:b/>
                <w:bCs/>
                <w:color w:val="000000"/>
                <w:sz w:val="18"/>
                <w:szCs w:val="18"/>
              </w:rPr>
            </w:pPr>
            <w:r w:rsidRPr="00F9578B">
              <w:rPr>
                <w:b/>
                <w:bCs/>
                <w:color w:val="000000"/>
                <w:sz w:val="18"/>
                <w:szCs w:val="18"/>
              </w:rPr>
              <w:lastRenderedPageBreak/>
              <w:t>Résultat escompté</w:t>
            </w:r>
          </w:p>
        </w:tc>
        <w:tc>
          <w:tcPr>
            <w:tcW w:w="2393" w:type="dxa"/>
            <w:shd w:val="clear" w:color="000000" w:fill="C5D9F1"/>
            <w:vAlign w:val="center"/>
            <w:hideMark/>
          </w:tcPr>
          <w:p w14:paraId="3125F739" w14:textId="77777777" w:rsidR="00C73096" w:rsidRPr="00F9578B" w:rsidRDefault="00C73096" w:rsidP="00986700">
            <w:pPr>
              <w:keepNext/>
              <w:jc w:val="center"/>
              <w:rPr>
                <w:rFonts w:asciiTheme="minorBidi" w:hAnsiTheme="minorBidi"/>
                <w:b/>
                <w:bCs/>
                <w:color w:val="000000"/>
                <w:sz w:val="18"/>
                <w:szCs w:val="18"/>
              </w:rPr>
            </w:pPr>
            <w:r w:rsidRPr="00F9578B">
              <w:rPr>
                <w:b/>
                <w:bCs/>
                <w:color w:val="000000"/>
                <w:sz w:val="18"/>
                <w:szCs w:val="18"/>
              </w:rPr>
              <w:t>Indicateurs d’exécution</w:t>
            </w:r>
          </w:p>
        </w:tc>
        <w:tc>
          <w:tcPr>
            <w:tcW w:w="2392" w:type="dxa"/>
            <w:shd w:val="clear" w:color="000000" w:fill="C5D9F1"/>
            <w:vAlign w:val="center"/>
            <w:hideMark/>
          </w:tcPr>
          <w:p w14:paraId="188A185B" w14:textId="77777777" w:rsidR="00C73096" w:rsidRPr="00F9578B" w:rsidRDefault="00C73096" w:rsidP="00986700">
            <w:pPr>
              <w:keepNext/>
              <w:jc w:val="center"/>
              <w:rPr>
                <w:rFonts w:asciiTheme="minorBidi" w:hAnsiTheme="minorBidi"/>
                <w:b/>
                <w:bCs/>
                <w:color w:val="000000"/>
                <w:sz w:val="18"/>
                <w:szCs w:val="18"/>
              </w:rPr>
            </w:pPr>
            <w:r w:rsidRPr="00F9578B">
              <w:rPr>
                <w:b/>
                <w:bCs/>
                <w:color w:val="000000"/>
                <w:sz w:val="18"/>
                <w:szCs w:val="18"/>
              </w:rPr>
              <w:t>Niveaux de référence</w:t>
            </w:r>
          </w:p>
        </w:tc>
        <w:tc>
          <w:tcPr>
            <w:tcW w:w="2393" w:type="dxa"/>
            <w:shd w:val="clear" w:color="000000" w:fill="C5D9F1"/>
            <w:vAlign w:val="center"/>
            <w:hideMark/>
          </w:tcPr>
          <w:p w14:paraId="04D51BF3" w14:textId="77777777" w:rsidR="00C73096" w:rsidRPr="00F9578B" w:rsidRDefault="00C73096" w:rsidP="00986700">
            <w:pPr>
              <w:keepNext/>
              <w:jc w:val="center"/>
              <w:rPr>
                <w:rFonts w:asciiTheme="minorBidi" w:hAnsiTheme="minorBidi"/>
                <w:b/>
                <w:bCs/>
                <w:color w:val="000000"/>
                <w:sz w:val="18"/>
                <w:szCs w:val="18"/>
              </w:rPr>
            </w:pPr>
            <w:r w:rsidRPr="00F9578B">
              <w:rPr>
                <w:b/>
                <w:bCs/>
                <w:color w:val="000000"/>
                <w:sz w:val="18"/>
                <w:szCs w:val="18"/>
              </w:rPr>
              <w:t>Objectifs visés</w:t>
            </w:r>
          </w:p>
        </w:tc>
      </w:tr>
      <w:tr w:rsidR="00C73096" w:rsidRPr="00F9578B" w14:paraId="09201F47" w14:textId="77777777" w:rsidTr="00C73096">
        <w:trPr>
          <w:cantSplit/>
        </w:trPr>
        <w:tc>
          <w:tcPr>
            <w:tcW w:w="2393" w:type="dxa"/>
            <w:shd w:val="clear" w:color="000000" w:fill="FFFFFF"/>
            <w:tcMar>
              <w:top w:w="57" w:type="dxa"/>
            </w:tcMar>
            <w:hideMark/>
          </w:tcPr>
          <w:p w14:paraId="0D4B25DF" w14:textId="77777777" w:rsidR="00C73096" w:rsidRPr="00F9578B" w:rsidRDefault="00C73096" w:rsidP="00986700">
            <w:pPr>
              <w:rPr>
                <w:color w:val="000000"/>
                <w:sz w:val="16"/>
                <w:szCs w:val="16"/>
              </w:rPr>
            </w:pPr>
            <w:r w:rsidRPr="00F9578B">
              <w:rPr>
                <w:color w:val="000000"/>
                <w:sz w:val="16"/>
                <w:szCs w:val="16"/>
              </w:rPr>
              <w:t>IX.1 Services d’appui efficaces, efficients, de qualité et tournés vers la clientèle, à l’intention à la fois des clients internes et des parties prenantes externes</w:t>
            </w:r>
          </w:p>
        </w:tc>
        <w:tc>
          <w:tcPr>
            <w:tcW w:w="2393" w:type="dxa"/>
            <w:shd w:val="clear" w:color="000000" w:fill="FFFFFF"/>
            <w:tcMar>
              <w:top w:w="57" w:type="dxa"/>
            </w:tcMar>
            <w:hideMark/>
          </w:tcPr>
          <w:p w14:paraId="16F8A093" w14:textId="77777777" w:rsidR="00C73096" w:rsidRPr="00F9578B" w:rsidRDefault="00C73096" w:rsidP="00986700">
            <w:pPr>
              <w:rPr>
                <w:color w:val="000000"/>
                <w:sz w:val="16"/>
                <w:szCs w:val="16"/>
              </w:rPr>
            </w:pPr>
            <w:r w:rsidRPr="00F9578B">
              <w:rPr>
                <w:color w:val="000000"/>
                <w:sz w:val="16"/>
                <w:szCs w:val="16"/>
              </w:rPr>
              <w:t>Pourcentage de participants internes et externes satisfaits des services de conférence de l’OMPI</w:t>
            </w:r>
          </w:p>
        </w:tc>
        <w:tc>
          <w:tcPr>
            <w:tcW w:w="2392" w:type="dxa"/>
            <w:shd w:val="clear" w:color="000000" w:fill="FFFFFF"/>
            <w:tcMar>
              <w:top w:w="57" w:type="dxa"/>
            </w:tcMar>
            <w:hideMark/>
          </w:tcPr>
          <w:p w14:paraId="5B34E298" w14:textId="77777777" w:rsidR="00C73096" w:rsidRPr="00F9578B" w:rsidRDefault="00C73096" w:rsidP="00986700">
            <w:pPr>
              <w:rPr>
                <w:color w:val="000000"/>
                <w:sz w:val="16"/>
                <w:szCs w:val="16"/>
              </w:rPr>
            </w:pPr>
            <w:r w:rsidRPr="00F9578B">
              <w:rPr>
                <w:color w:val="000000"/>
                <w:sz w:val="16"/>
                <w:szCs w:val="16"/>
              </w:rPr>
              <w:t>95% des participants satisfaits des services (fin 2016)</w:t>
            </w:r>
          </w:p>
        </w:tc>
        <w:tc>
          <w:tcPr>
            <w:tcW w:w="2393" w:type="dxa"/>
            <w:shd w:val="clear" w:color="000000" w:fill="FFFFFF"/>
            <w:tcMar>
              <w:top w:w="57" w:type="dxa"/>
            </w:tcMar>
            <w:hideMark/>
          </w:tcPr>
          <w:p w14:paraId="16E5CE18" w14:textId="77777777" w:rsidR="00C73096" w:rsidRPr="00F9578B" w:rsidRDefault="00C73096" w:rsidP="00986700">
            <w:pPr>
              <w:rPr>
                <w:color w:val="000000"/>
                <w:sz w:val="16"/>
                <w:szCs w:val="16"/>
              </w:rPr>
            </w:pPr>
            <w:r w:rsidRPr="00F9578B">
              <w:rPr>
                <w:color w:val="000000"/>
                <w:sz w:val="16"/>
                <w:szCs w:val="16"/>
              </w:rPr>
              <w:t>Maintien du taux à la fin de 2016</w:t>
            </w:r>
          </w:p>
        </w:tc>
      </w:tr>
      <w:tr w:rsidR="00C73096" w:rsidRPr="00F9578B" w14:paraId="51A023F1" w14:textId="77777777" w:rsidTr="00C73096">
        <w:trPr>
          <w:cantSplit/>
        </w:trPr>
        <w:tc>
          <w:tcPr>
            <w:tcW w:w="2393" w:type="dxa"/>
            <w:shd w:val="clear" w:color="000000" w:fill="FFFFFF"/>
            <w:tcMar>
              <w:top w:w="57" w:type="dxa"/>
            </w:tcMar>
            <w:vAlign w:val="bottom"/>
            <w:hideMark/>
          </w:tcPr>
          <w:p w14:paraId="305C8EE2" w14:textId="77777777" w:rsidR="00C73096" w:rsidRPr="00F9578B" w:rsidRDefault="00C73096" w:rsidP="00986700">
            <w:pPr>
              <w:jc w:val="right"/>
              <w:rPr>
                <w:color w:val="000000"/>
                <w:sz w:val="16"/>
                <w:szCs w:val="16"/>
              </w:rPr>
            </w:pPr>
            <w:r w:rsidRPr="00F9578B">
              <w:rPr>
                <w:color w:val="000000"/>
                <w:sz w:val="16"/>
                <w:szCs w:val="16"/>
              </w:rPr>
              <w:t> </w:t>
            </w:r>
          </w:p>
        </w:tc>
        <w:tc>
          <w:tcPr>
            <w:tcW w:w="2393" w:type="dxa"/>
            <w:shd w:val="clear" w:color="000000" w:fill="FFFFFF"/>
            <w:tcMar>
              <w:top w:w="57" w:type="dxa"/>
            </w:tcMar>
            <w:hideMark/>
          </w:tcPr>
          <w:p w14:paraId="69E22E65" w14:textId="77777777" w:rsidR="00C73096" w:rsidRPr="00F9578B" w:rsidRDefault="00C73096" w:rsidP="00986700">
            <w:pPr>
              <w:rPr>
                <w:color w:val="000000"/>
                <w:sz w:val="16"/>
                <w:szCs w:val="16"/>
              </w:rPr>
            </w:pPr>
            <w:r w:rsidRPr="00F9578B">
              <w:rPr>
                <w:color w:val="000000"/>
                <w:sz w:val="16"/>
                <w:szCs w:val="16"/>
              </w:rPr>
              <w:t>Pourcentage de documents de comités et groupes de travail publiés en temps voulu</w:t>
            </w:r>
          </w:p>
        </w:tc>
        <w:tc>
          <w:tcPr>
            <w:tcW w:w="2392" w:type="dxa"/>
            <w:shd w:val="clear" w:color="000000" w:fill="FFFFFF"/>
            <w:tcMar>
              <w:top w:w="57" w:type="dxa"/>
            </w:tcMar>
            <w:hideMark/>
          </w:tcPr>
          <w:p w14:paraId="251ABEAC" w14:textId="247B49EF" w:rsidR="00C73096" w:rsidRPr="00F9578B" w:rsidRDefault="004B040B" w:rsidP="00986700">
            <w:pPr>
              <w:rPr>
                <w:color w:val="000000"/>
                <w:sz w:val="16"/>
                <w:szCs w:val="16"/>
              </w:rPr>
            </w:pPr>
            <w:r>
              <w:rPr>
                <w:color w:val="000000"/>
                <w:sz w:val="16"/>
                <w:szCs w:val="16"/>
              </w:rPr>
              <w:t xml:space="preserve">– </w:t>
            </w:r>
            <w:r w:rsidR="00C73096" w:rsidRPr="00F9578B">
              <w:rPr>
                <w:color w:val="000000"/>
                <w:sz w:val="16"/>
                <w:szCs w:val="16"/>
              </w:rPr>
              <w:t>51% en temps voulu</w:t>
            </w:r>
            <w:r w:rsidR="00C73096" w:rsidRPr="00F9578B">
              <w:rPr>
                <w:color w:val="000000"/>
                <w:sz w:val="16"/>
                <w:szCs w:val="16"/>
              </w:rPr>
              <w:br/>
            </w:r>
            <w:r>
              <w:rPr>
                <w:color w:val="000000"/>
                <w:sz w:val="16"/>
                <w:szCs w:val="16"/>
              </w:rPr>
              <w:t xml:space="preserve">– </w:t>
            </w:r>
            <w:r w:rsidR="00C73096" w:rsidRPr="00F9578B">
              <w:rPr>
                <w:color w:val="000000"/>
                <w:sz w:val="16"/>
                <w:szCs w:val="16"/>
              </w:rPr>
              <w:t>7% dans un délai d</w:t>
            </w:r>
            <w:r w:rsidR="00C73096">
              <w:rPr>
                <w:color w:val="000000"/>
                <w:sz w:val="16"/>
                <w:szCs w:val="16"/>
              </w:rPr>
              <w:t xml:space="preserve">e </w:t>
            </w:r>
            <w:r w:rsidR="00C73096" w:rsidRPr="00F9578B">
              <w:rPr>
                <w:color w:val="000000"/>
                <w:sz w:val="16"/>
                <w:szCs w:val="16"/>
              </w:rPr>
              <w:t>1</w:t>
            </w:r>
            <w:r w:rsidR="00C73096">
              <w:rPr>
                <w:color w:val="000000"/>
                <w:sz w:val="16"/>
                <w:szCs w:val="16"/>
              </w:rPr>
              <w:t> </w:t>
            </w:r>
            <w:r w:rsidR="00C73096" w:rsidRPr="00F9578B">
              <w:rPr>
                <w:color w:val="000000"/>
                <w:sz w:val="16"/>
                <w:szCs w:val="16"/>
              </w:rPr>
              <w:t>semaine après la date prévue</w:t>
            </w:r>
            <w:r w:rsidR="00C73096" w:rsidRPr="00F9578B">
              <w:rPr>
                <w:color w:val="000000"/>
                <w:sz w:val="16"/>
                <w:szCs w:val="16"/>
              </w:rPr>
              <w:br/>
            </w:r>
            <w:r>
              <w:rPr>
                <w:color w:val="000000"/>
                <w:sz w:val="16"/>
                <w:szCs w:val="16"/>
              </w:rPr>
              <w:t xml:space="preserve">– </w:t>
            </w:r>
            <w:r w:rsidR="00C73096" w:rsidRPr="00F9578B">
              <w:rPr>
                <w:color w:val="000000"/>
                <w:sz w:val="16"/>
                <w:szCs w:val="16"/>
              </w:rPr>
              <w:t>19% dans un délai de 4</w:t>
            </w:r>
            <w:r w:rsidR="00C73096">
              <w:rPr>
                <w:color w:val="000000"/>
                <w:sz w:val="16"/>
                <w:szCs w:val="16"/>
              </w:rPr>
              <w:t> </w:t>
            </w:r>
            <w:r w:rsidR="00C73096" w:rsidRPr="00F9578B">
              <w:rPr>
                <w:color w:val="000000"/>
                <w:sz w:val="16"/>
                <w:szCs w:val="16"/>
              </w:rPr>
              <w:t>semaines après la date prévue</w:t>
            </w:r>
            <w:r w:rsidR="00C73096" w:rsidRPr="00F9578B">
              <w:rPr>
                <w:color w:val="000000"/>
                <w:sz w:val="16"/>
                <w:szCs w:val="16"/>
              </w:rPr>
              <w:br/>
              <w:t>(fin 2016)</w:t>
            </w:r>
          </w:p>
        </w:tc>
        <w:tc>
          <w:tcPr>
            <w:tcW w:w="2393" w:type="dxa"/>
            <w:shd w:val="clear" w:color="000000" w:fill="FFFFFF"/>
            <w:tcMar>
              <w:top w:w="57" w:type="dxa"/>
            </w:tcMar>
            <w:hideMark/>
          </w:tcPr>
          <w:p w14:paraId="0E118821" w14:textId="533F2E61" w:rsidR="00C73096" w:rsidRPr="00F9578B" w:rsidRDefault="004B040B" w:rsidP="00986700">
            <w:pPr>
              <w:rPr>
                <w:color w:val="000000"/>
                <w:sz w:val="16"/>
                <w:szCs w:val="16"/>
              </w:rPr>
            </w:pPr>
            <w:r>
              <w:rPr>
                <w:color w:val="000000"/>
                <w:sz w:val="16"/>
                <w:szCs w:val="16"/>
              </w:rPr>
              <w:t xml:space="preserve">– </w:t>
            </w:r>
            <w:r w:rsidR="00C73096" w:rsidRPr="00F9578B">
              <w:rPr>
                <w:color w:val="000000"/>
                <w:sz w:val="16"/>
                <w:szCs w:val="16"/>
              </w:rPr>
              <w:t>65% en temps voulu</w:t>
            </w:r>
            <w:r w:rsidR="00C73096" w:rsidRPr="00F9578B">
              <w:rPr>
                <w:color w:val="000000"/>
                <w:sz w:val="16"/>
                <w:szCs w:val="16"/>
              </w:rPr>
              <w:br/>
            </w:r>
            <w:r>
              <w:rPr>
                <w:color w:val="000000"/>
                <w:sz w:val="16"/>
                <w:szCs w:val="16"/>
              </w:rPr>
              <w:t xml:space="preserve">– </w:t>
            </w:r>
            <w:r w:rsidR="00C73096" w:rsidRPr="00F9578B">
              <w:rPr>
                <w:color w:val="000000"/>
                <w:sz w:val="16"/>
                <w:szCs w:val="16"/>
              </w:rPr>
              <w:t>3% dans un délai d</w:t>
            </w:r>
            <w:r w:rsidR="00C73096">
              <w:rPr>
                <w:color w:val="000000"/>
                <w:sz w:val="16"/>
                <w:szCs w:val="16"/>
              </w:rPr>
              <w:t xml:space="preserve">e </w:t>
            </w:r>
            <w:r w:rsidR="00C73096" w:rsidRPr="00F9578B">
              <w:rPr>
                <w:color w:val="000000"/>
                <w:sz w:val="16"/>
                <w:szCs w:val="16"/>
              </w:rPr>
              <w:t>1</w:t>
            </w:r>
            <w:r w:rsidR="00C73096">
              <w:rPr>
                <w:color w:val="000000"/>
                <w:sz w:val="16"/>
                <w:szCs w:val="16"/>
              </w:rPr>
              <w:t> </w:t>
            </w:r>
            <w:r w:rsidR="00C73096" w:rsidRPr="00F9578B">
              <w:rPr>
                <w:color w:val="000000"/>
                <w:sz w:val="16"/>
                <w:szCs w:val="16"/>
              </w:rPr>
              <w:t>semaine après la date prévue</w:t>
            </w:r>
            <w:r w:rsidR="00C73096" w:rsidRPr="00F9578B">
              <w:rPr>
                <w:color w:val="000000"/>
                <w:sz w:val="16"/>
                <w:szCs w:val="16"/>
              </w:rPr>
              <w:br/>
            </w:r>
            <w:r>
              <w:rPr>
                <w:color w:val="000000"/>
                <w:sz w:val="16"/>
                <w:szCs w:val="16"/>
              </w:rPr>
              <w:t xml:space="preserve">– </w:t>
            </w:r>
            <w:r w:rsidR="00C73096" w:rsidRPr="00F9578B">
              <w:rPr>
                <w:color w:val="000000"/>
                <w:sz w:val="16"/>
                <w:szCs w:val="16"/>
              </w:rPr>
              <w:t>12% dans un délai de 4</w:t>
            </w:r>
            <w:r w:rsidR="00C73096">
              <w:rPr>
                <w:color w:val="000000"/>
                <w:sz w:val="16"/>
                <w:szCs w:val="16"/>
              </w:rPr>
              <w:t> </w:t>
            </w:r>
            <w:r w:rsidR="00C73096" w:rsidRPr="00F9578B">
              <w:rPr>
                <w:color w:val="000000"/>
                <w:sz w:val="16"/>
                <w:szCs w:val="16"/>
              </w:rPr>
              <w:t>semaines après la date prévue</w:t>
            </w:r>
          </w:p>
        </w:tc>
      </w:tr>
      <w:tr w:rsidR="00C73096" w:rsidRPr="00F9578B" w14:paraId="2E24381B" w14:textId="77777777" w:rsidTr="00C73096">
        <w:trPr>
          <w:cantSplit/>
        </w:trPr>
        <w:tc>
          <w:tcPr>
            <w:tcW w:w="2393" w:type="dxa"/>
            <w:shd w:val="clear" w:color="000000" w:fill="FFFFFF"/>
            <w:tcMar>
              <w:top w:w="57" w:type="dxa"/>
            </w:tcMar>
            <w:vAlign w:val="bottom"/>
            <w:hideMark/>
          </w:tcPr>
          <w:p w14:paraId="078FB91C" w14:textId="77777777" w:rsidR="00C73096" w:rsidRPr="00F9578B" w:rsidRDefault="00C73096" w:rsidP="00986700">
            <w:pPr>
              <w:jc w:val="right"/>
              <w:rPr>
                <w:color w:val="000000"/>
                <w:sz w:val="16"/>
                <w:szCs w:val="16"/>
              </w:rPr>
            </w:pPr>
            <w:r w:rsidRPr="00F9578B">
              <w:rPr>
                <w:color w:val="000000"/>
                <w:sz w:val="16"/>
                <w:szCs w:val="16"/>
              </w:rPr>
              <w:t> </w:t>
            </w:r>
          </w:p>
        </w:tc>
        <w:tc>
          <w:tcPr>
            <w:tcW w:w="2393" w:type="dxa"/>
            <w:shd w:val="clear" w:color="000000" w:fill="FFFFFF"/>
            <w:tcMar>
              <w:top w:w="57" w:type="dxa"/>
            </w:tcMar>
            <w:hideMark/>
          </w:tcPr>
          <w:p w14:paraId="2FBD1182" w14:textId="77777777" w:rsidR="00C73096" w:rsidRPr="00F9578B" w:rsidRDefault="00C73096" w:rsidP="00986700">
            <w:pPr>
              <w:rPr>
                <w:color w:val="000000"/>
                <w:sz w:val="16"/>
                <w:szCs w:val="16"/>
              </w:rPr>
            </w:pPr>
            <w:r w:rsidRPr="00F9578B">
              <w:rPr>
                <w:color w:val="000000"/>
                <w:sz w:val="16"/>
                <w:szCs w:val="16"/>
              </w:rPr>
              <w:t>Coût par mot traduit</w:t>
            </w:r>
          </w:p>
        </w:tc>
        <w:tc>
          <w:tcPr>
            <w:tcW w:w="2392" w:type="dxa"/>
            <w:shd w:val="clear" w:color="000000" w:fill="FFFFFF"/>
            <w:tcMar>
              <w:top w:w="57" w:type="dxa"/>
            </w:tcMar>
            <w:hideMark/>
          </w:tcPr>
          <w:p w14:paraId="035573C2" w14:textId="77777777" w:rsidR="00C73096" w:rsidRPr="00F9578B" w:rsidRDefault="00C73096" w:rsidP="00986700">
            <w:pPr>
              <w:rPr>
                <w:color w:val="000000"/>
                <w:sz w:val="16"/>
                <w:szCs w:val="16"/>
              </w:rPr>
            </w:pPr>
            <w:r w:rsidRPr="00F9578B">
              <w:rPr>
                <w:color w:val="000000"/>
                <w:sz w:val="16"/>
                <w:szCs w:val="16"/>
              </w:rPr>
              <w:t>0,55 franc suisse par mot (2016)</w:t>
            </w:r>
          </w:p>
        </w:tc>
        <w:tc>
          <w:tcPr>
            <w:tcW w:w="2393" w:type="dxa"/>
            <w:shd w:val="clear" w:color="000000" w:fill="FFFFFF"/>
            <w:tcMar>
              <w:top w:w="57" w:type="dxa"/>
            </w:tcMar>
            <w:hideMark/>
          </w:tcPr>
          <w:p w14:paraId="0046908E" w14:textId="77777777" w:rsidR="00C73096" w:rsidRPr="00F9578B" w:rsidRDefault="00C73096" w:rsidP="00986700">
            <w:pPr>
              <w:rPr>
                <w:color w:val="000000"/>
                <w:sz w:val="16"/>
                <w:szCs w:val="16"/>
              </w:rPr>
            </w:pPr>
            <w:r w:rsidRPr="00F9578B">
              <w:rPr>
                <w:color w:val="000000"/>
                <w:sz w:val="16"/>
                <w:szCs w:val="16"/>
              </w:rPr>
              <w:t>Maintien du coût par mot</w:t>
            </w:r>
          </w:p>
        </w:tc>
      </w:tr>
      <w:tr w:rsidR="00C73096" w:rsidRPr="00F9578B" w14:paraId="3D213A6B" w14:textId="77777777" w:rsidTr="00C73096">
        <w:trPr>
          <w:cantSplit/>
        </w:trPr>
        <w:tc>
          <w:tcPr>
            <w:tcW w:w="2393" w:type="dxa"/>
            <w:shd w:val="clear" w:color="000000" w:fill="FFFFFF"/>
            <w:tcMar>
              <w:top w:w="57" w:type="dxa"/>
            </w:tcMar>
            <w:hideMark/>
          </w:tcPr>
          <w:p w14:paraId="3E893735" w14:textId="6CDF9B84" w:rsidR="00C73096" w:rsidRPr="00F9578B" w:rsidRDefault="00C73096" w:rsidP="00986700">
            <w:pPr>
              <w:rPr>
                <w:color w:val="000000"/>
                <w:sz w:val="16"/>
                <w:szCs w:val="16"/>
              </w:rPr>
            </w:pPr>
          </w:p>
        </w:tc>
        <w:tc>
          <w:tcPr>
            <w:tcW w:w="2393" w:type="dxa"/>
            <w:shd w:val="clear" w:color="000000" w:fill="FFFFFF"/>
            <w:tcMar>
              <w:top w:w="57" w:type="dxa"/>
            </w:tcMar>
            <w:hideMark/>
          </w:tcPr>
          <w:p w14:paraId="3117B47C" w14:textId="4261B412" w:rsidR="00C73096" w:rsidRPr="00F9578B" w:rsidRDefault="00C73096" w:rsidP="00986700">
            <w:pPr>
              <w:rPr>
                <w:color w:val="000000"/>
                <w:sz w:val="16"/>
                <w:szCs w:val="16"/>
              </w:rPr>
            </w:pPr>
            <w:r w:rsidRPr="00F9578B">
              <w:rPr>
                <w:color w:val="000000"/>
                <w:sz w:val="16"/>
                <w:szCs w:val="16"/>
              </w:rPr>
              <w:t>Services d’imprimerie d’un bon rapport coût</w:t>
            </w:r>
            <w:r w:rsidR="00B441CA">
              <w:rPr>
                <w:color w:val="000000"/>
                <w:sz w:val="16"/>
                <w:szCs w:val="16"/>
              </w:rPr>
              <w:noBreakHyphen/>
            </w:r>
            <w:r w:rsidRPr="00F9578B">
              <w:rPr>
                <w:color w:val="000000"/>
                <w:sz w:val="16"/>
                <w:szCs w:val="16"/>
              </w:rPr>
              <w:t>efficacité</w:t>
            </w:r>
          </w:p>
        </w:tc>
        <w:tc>
          <w:tcPr>
            <w:tcW w:w="2392" w:type="dxa"/>
            <w:shd w:val="clear" w:color="000000" w:fill="FFFFFF"/>
            <w:tcMar>
              <w:top w:w="57" w:type="dxa"/>
            </w:tcMar>
            <w:hideMark/>
          </w:tcPr>
          <w:p w14:paraId="7573D6C7" w14:textId="77777777" w:rsidR="00C73096" w:rsidRPr="00F9578B" w:rsidRDefault="00C73096" w:rsidP="00986700">
            <w:pPr>
              <w:rPr>
                <w:color w:val="000000"/>
                <w:sz w:val="16"/>
                <w:szCs w:val="16"/>
              </w:rPr>
            </w:pPr>
            <w:r w:rsidRPr="00F9578B">
              <w:rPr>
                <w:color w:val="000000"/>
                <w:sz w:val="16"/>
                <w:szCs w:val="16"/>
              </w:rPr>
              <w:t>0,161 franc suisse par page (2016)</w:t>
            </w:r>
          </w:p>
        </w:tc>
        <w:tc>
          <w:tcPr>
            <w:tcW w:w="2393" w:type="dxa"/>
            <w:shd w:val="clear" w:color="000000" w:fill="FFFFFF"/>
            <w:tcMar>
              <w:top w:w="57" w:type="dxa"/>
            </w:tcMar>
            <w:hideMark/>
          </w:tcPr>
          <w:p w14:paraId="78039969" w14:textId="77777777" w:rsidR="00C73096" w:rsidRPr="00F9578B" w:rsidRDefault="00C73096" w:rsidP="00986700">
            <w:pPr>
              <w:rPr>
                <w:color w:val="000000"/>
                <w:sz w:val="16"/>
                <w:szCs w:val="16"/>
              </w:rPr>
            </w:pPr>
            <w:r w:rsidRPr="00F9578B">
              <w:rPr>
                <w:color w:val="000000"/>
                <w:sz w:val="16"/>
                <w:szCs w:val="16"/>
              </w:rPr>
              <w:t>0,15 franc suisse par page</w:t>
            </w:r>
          </w:p>
        </w:tc>
      </w:tr>
    </w:tbl>
    <w:p w14:paraId="3ECAFCA7" w14:textId="77777777" w:rsidR="00C73096" w:rsidRPr="00F9578B" w:rsidRDefault="00C73096" w:rsidP="00986700"/>
    <w:tbl>
      <w:tblPr>
        <w:tblW w:w="5000" w:type="pct"/>
        <w:tblCellMar>
          <w:top w:w="57" w:type="dxa"/>
          <w:bottom w:w="57" w:type="dxa"/>
        </w:tblCellMar>
        <w:tblLook w:val="01E0" w:firstRow="1" w:lastRow="1" w:firstColumn="1" w:lastColumn="1" w:noHBand="0" w:noVBand="0"/>
      </w:tblPr>
      <w:tblGrid>
        <w:gridCol w:w="9287"/>
      </w:tblGrid>
      <w:tr w:rsidR="00277197" w:rsidRPr="00821D15" w14:paraId="77E5ED42" w14:textId="77777777" w:rsidTr="001A722F">
        <w:trPr>
          <w:cantSplit/>
        </w:trPr>
        <w:tc>
          <w:tcPr>
            <w:tcW w:w="9571" w:type="dxa"/>
            <w:shd w:val="clear" w:color="auto" w:fill="C6D9F1" w:themeFill="text2" w:themeFillTint="33"/>
            <w:vAlign w:val="center"/>
          </w:tcPr>
          <w:p w14:paraId="3B3B9593" w14:textId="77777777" w:rsidR="00277197" w:rsidRPr="00821D15" w:rsidRDefault="00277197" w:rsidP="00986700">
            <w:pPr>
              <w:jc w:val="center"/>
              <w:rPr>
                <w:rFonts w:cs="Arial"/>
                <w:b/>
                <w:szCs w:val="20"/>
              </w:rPr>
            </w:pPr>
            <w:r w:rsidRPr="00821D15">
              <w:rPr>
                <w:rFonts w:cs="Arial"/>
                <w:b/>
                <w:szCs w:val="20"/>
              </w:rPr>
              <w:t>Ressources allouées au programme 27</w:t>
            </w:r>
          </w:p>
        </w:tc>
      </w:tr>
    </w:tbl>
    <w:p w14:paraId="4ACBFA68" w14:textId="77777777" w:rsidR="00277197" w:rsidRPr="00821D15" w:rsidRDefault="00277197" w:rsidP="00986700">
      <w:pPr>
        <w:rPr>
          <w:rFonts w:cs="Arial"/>
          <w:szCs w:val="20"/>
        </w:rPr>
      </w:pPr>
    </w:p>
    <w:p w14:paraId="0E52442C" w14:textId="77777777" w:rsidR="00277197" w:rsidRPr="00821D15" w:rsidRDefault="00277197" w:rsidP="00616FD3">
      <w:pPr>
        <w:pStyle w:val="ListParagraph"/>
        <w:numPr>
          <w:ilvl w:val="0"/>
          <w:numId w:val="89"/>
        </w:numPr>
        <w:ind w:firstLine="0"/>
        <w:jc w:val="both"/>
        <w:rPr>
          <w:rFonts w:cs="Arial"/>
          <w:szCs w:val="20"/>
        </w:rPr>
      </w:pPr>
      <w:r w:rsidRPr="00821D15">
        <w:rPr>
          <w:rFonts w:cs="Arial"/>
          <w:szCs w:val="20"/>
        </w:rPr>
        <w:t>Une légère augmentation, de 0,5%, peut être observée dans les ressources globales allouées au programme en 2018</w:t>
      </w:r>
      <w:r w:rsidRPr="00821D15">
        <w:rPr>
          <w:rFonts w:cs="Arial"/>
          <w:szCs w:val="20"/>
        </w:rPr>
        <w:noBreakHyphen/>
        <w:t>2019 par rapport au budget approuvé pour 2016</w:t>
      </w:r>
      <w:r w:rsidRPr="00821D15">
        <w:rPr>
          <w:rFonts w:cs="Arial"/>
          <w:szCs w:val="20"/>
        </w:rPr>
        <w:noBreakHyphen/>
        <w:t>2017.</w:t>
      </w:r>
    </w:p>
    <w:p w14:paraId="050DFE0A" w14:textId="77777777" w:rsidR="00277197" w:rsidRPr="00821D15" w:rsidRDefault="00277197" w:rsidP="00986700">
      <w:pPr>
        <w:rPr>
          <w:rFonts w:cs="Arial"/>
          <w:szCs w:val="20"/>
        </w:rPr>
      </w:pPr>
    </w:p>
    <w:p w14:paraId="04D78600" w14:textId="77777777" w:rsidR="00277197" w:rsidRPr="00821D15" w:rsidRDefault="00277197" w:rsidP="00616FD3">
      <w:pPr>
        <w:pStyle w:val="ListParagraph"/>
        <w:numPr>
          <w:ilvl w:val="0"/>
          <w:numId w:val="89"/>
        </w:numPr>
        <w:ind w:firstLine="0"/>
        <w:jc w:val="both"/>
        <w:rPr>
          <w:rFonts w:cs="Arial"/>
          <w:szCs w:val="20"/>
        </w:rPr>
      </w:pPr>
      <w:r w:rsidRPr="00821D15">
        <w:rPr>
          <w:rFonts w:cs="Arial"/>
          <w:szCs w:val="20"/>
        </w:rPr>
        <w:t>Cette augmentation est principalement due à une hausse du nombre de postes et des dépenses de personnel correspondantes résultant du transfert de responsabilité pour les services de messager et de chauffeur du programme 24 (services d’appui généraux), dont il est rendu compte sous les résultats escomptés IX.I (services d’appui efficaces tournés vers la clientèle) et IX.4 (une organisation écologiquement et socialement responsable).  Cette augmentation est partiellement compensée par les changements opérés dans la méthode de calcul des postes.</w:t>
      </w:r>
    </w:p>
    <w:p w14:paraId="5B3C6299" w14:textId="77777777" w:rsidR="00277197" w:rsidRPr="00821D15" w:rsidRDefault="00277197" w:rsidP="00986700">
      <w:pPr>
        <w:rPr>
          <w:rFonts w:cs="Arial"/>
          <w:szCs w:val="20"/>
        </w:rPr>
      </w:pPr>
    </w:p>
    <w:p w14:paraId="369F750E" w14:textId="77777777" w:rsidR="00277197" w:rsidRPr="00821D15" w:rsidRDefault="00277197" w:rsidP="00616FD3">
      <w:pPr>
        <w:pStyle w:val="ListParagraph"/>
        <w:numPr>
          <w:ilvl w:val="0"/>
          <w:numId w:val="89"/>
        </w:numPr>
        <w:ind w:firstLine="0"/>
        <w:jc w:val="both"/>
        <w:rPr>
          <w:rFonts w:cs="Arial"/>
          <w:szCs w:val="20"/>
        </w:rPr>
      </w:pPr>
      <w:r w:rsidRPr="00821D15">
        <w:rPr>
          <w:rFonts w:cs="Arial"/>
          <w:szCs w:val="20"/>
        </w:rPr>
        <w:t>L’augmentation des dépenses autres que les dépenses de personnel résulte d’une provision pour le renforcement de l’initiative relative à la gestion des savoirs et des ressources supplémentaires nécessaires provisoirement pour supprimer les archives qui ne sont pas essentielles.</w:t>
      </w:r>
    </w:p>
    <w:p w14:paraId="44A225C7" w14:textId="77777777" w:rsidR="00C73096" w:rsidRDefault="00C73096" w:rsidP="00986700">
      <w:pPr>
        <w:rPr>
          <w:rFonts w:ascii="Arial Bold" w:eastAsia="SimSun" w:hAnsi="Arial Bold" w:cs="Arial" w:hint="eastAsia"/>
          <w:b/>
          <w:bCs/>
          <w:caps/>
          <w:kern w:val="32"/>
          <w:sz w:val="22"/>
          <w:szCs w:val="32"/>
          <w:lang w:eastAsia="en-US"/>
        </w:rPr>
      </w:pPr>
    </w:p>
    <w:p w14:paraId="17E1DB9E" w14:textId="4805D86A"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27 : </w:t>
      </w:r>
      <w:r w:rsidRPr="00674550">
        <w:rPr>
          <w:rFonts w:eastAsia="Times New Roman" w:cs="Arial"/>
          <w:b/>
          <w:szCs w:val="20"/>
          <w:lang w:eastAsia="en-US"/>
        </w:rPr>
        <w:t>Ressources par résultat</w:t>
      </w:r>
    </w:p>
    <w:p w14:paraId="4EB30694"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2E86119" w14:textId="77777777" w:rsidR="00A3500F" w:rsidRDefault="00A3500F" w:rsidP="00986700">
      <w:pPr>
        <w:rPr>
          <w:lang w:eastAsia="en-US"/>
        </w:rPr>
      </w:pPr>
    </w:p>
    <w:p w14:paraId="199507B4" w14:textId="0708ABBB" w:rsidR="008776A0" w:rsidRDefault="008776A0" w:rsidP="00986700">
      <w:pPr>
        <w:jc w:val="center"/>
        <w:rPr>
          <w:lang w:eastAsia="en-US"/>
        </w:rPr>
      </w:pPr>
      <w:r w:rsidRPr="008776A0">
        <w:rPr>
          <w:rFonts w:hint="eastAsia"/>
          <w:noProof/>
          <w:lang w:val="en-US" w:eastAsia="en-US"/>
        </w:rPr>
        <w:drawing>
          <wp:inline distT="0" distB="0" distL="0" distR="0" wp14:anchorId="78870085" wp14:editId="769BC5DD">
            <wp:extent cx="5400000" cy="1638229"/>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400000" cy="1638229"/>
                    </a:xfrm>
                    <a:prstGeom prst="rect">
                      <a:avLst/>
                    </a:prstGeom>
                    <a:noFill/>
                    <a:ln>
                      <a:noFill/>
                    </a:ln>
                  </pic:spPr>
                </pic:pic>
              </a:graphicData>
            </a:graphic>
          </wp:inline>
        </w:drawing>
      </w:r>
    </w:p>
    <w:p w14:paraId="11417CA5" w14:textId="77777777" w:rsidR="00B55ECC" w:rsidRDefault="00B55ECC" w:rsidP="00986700"/>
    <w:p w14:paraId="5F18D854"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27</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6AFDDE94" w14:textId="572FF9D0"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2850D492" w14:textId="77777777" w:rsidR="008778B5" w:rsidRDefault="008778B5" w:rsidP="00986700">
      <w:pPr>
        <w:keepNext/>
        <w:rPr>
          <w:lang w:eastAsia="en-US"/>
        </w:rPr>
      </w:pPr>
    </w:p>
    <w:p w14:paraId="4DF3AFEE" w14:textId="7D738491" w:rsidR="00B55ECC" w:rsidRDefault="00155E4B" w:rsidP="00986700">
      <w:pPr>
        <w:jc w:val="center"/>
        <w:rPr>
          <w:lang w:eastAsia="en-US"/>
        </w:rPr>
      </w:pPr>
      <w:r w:rsidRPr="00155E4B">
        <w:rPr>
          <w:noProof/>
          <w:lang w:val="en-US" w:eastAsia="en-US"/>
        </w:rPr>
        <w:drawing>
          <wp:inline distT="0" distB="0" distL="0" distR="0" wp14:anchorId="208C4CA0" wp14:editId="59234162">
            <wp:extent cx="5400000" cy="6031770"/>
            <wp:effectExtent l="0" t="0" r="0" b="76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18B1174D" w14:textId="77777777" w:rsidR="00B55ECC" w:rsidRPr="00E16214" w:rsidRDefault="00B55ECC" w:rsidP="00986700">
      <w:pPr>
        <w:rPr>
          <w:lang w:eastAsia="en-US"/>
        </w:rPr>
      </w:pPr>
    </w:p>
    <w:p w14:paraId="02DA5B07" w14:textId="77777777" w:rsidR="00C73096" w:rsidRDefault="00C73096" w:rsidP="00986700">
      <w:pPr>
        <w:rPr>
          <w:rFonts w:ascii="Arial Bold" w:eastAsia="SimSun" w:hAnsi="Arial Bold" w:cs="Arial" w:hint="eastAsia"/>
          <w:b/>
          <w:bCs/>
          <w:caps/>
          <w:kern w:val="32"/>
          <w:sz w:val="22"/>
          <w:szCs w:val="32"/>
          <w:lang w:eastAsia="en-US"/>
        </w:rPr>
      </w:pPr>
      <w:r>
        <w:rPr>
          <w:rFonts w:hint="eastAsia"/>
        </w:rPr>
        <w:br w:type="page"/>
      </w:r>
    </w:p>
    <w:p w14:paraId="4D52D73F" w14:textId="77777777" w:rsidR="00FF01D6" w:rsidRPr="00FF01D6" w:rsidRDefault="00FF01D6" w:rsidP="00986700">
      <w:pPr>
        <w:pStyle w:val="Heading2"/>
      </w:pPr>
      <w:bookmarkStart w:id="82" w:name="_Toc482979513"/>
      <w:r w:rsidRPr="00FF01D6">
        <w:lastRenderedPageBreak/>
        <w:t>Programme 28</w:t>
      </w:r>
      <w:r w:rsidRPr="00FF01D6">
        <w:tab/>
        <w:t>Sécurité de l’information, des biens et des personnes</w:t>
      </w:r>
      <w:bookmarkEnd w:id="82"/>
    </w:p>
    <w:p w14:paraId="7E1863A0" w14:textId="77777777" w:rsidR="00FF01D6" w:rsidRPr="00EF0277" w:rsidRDefault="00FF01D6" w:rsidP="00986700"/>
    <w:p w14:paraId="08B2E5DE" w14:textId="77777777" w:rsidR="00FF01D6" w:rsidRPr="00EF0277" w:rsidRDefault="00FF01D6" w:rsidP="00986700"/>
    <w:tbl>
      <w:tblPr>
        <w:tblW w:w="5000" w:type="pct"/>
        <w:tblCellMar>
          <w:top w:w="57" w:type="dxa"/>
          <w:bottom w:w="57" w:type="dxa"/>
        </w:tblCellMar>
        <w:tblLook w:val="01E0" w:firstRow="1" w:lastRow="1" w:firstColumn="1" w:lastColumn="1" w:noHBand="0" w:noVBand="0"/>
      </w:tblPr>
      <w:tblGrid>
        <w:gridCol w:w="9287"/>
      </w:tblGrid>
      <w:tr w:rsidR="00FF01D6" w:rsidRPr="00EF0277" w14:paraId="1015C28F" w14:textId="77777777" w:rsidTr="008B3CED">
        <w:trPr>
          <w:cantSplit/>
        </w:trPr>
        <w:tc>
          <w:tcPr>
            <w:tcW w:w="9180" w:type="dxa"/>
            <w:shd w:val="clear" w:color="auto" w:fill="C6D9F1" w:themeFill="text2" w:themeFillTint="33"/>
            <w:vAlign w:val="center"/>
            <w:hideMark/>
          </w:tcPr>
          <w:p w14:paraId="522928F9" w14:textId="77777777" w:rsidR="00FF01D6" w:rsidRPr="00EF0277" w:rsidRDefault="00FF01D6" w:rsidP="008B3CED">
            <w:pPr>
              <w:keepNext/>
              <w:keepLines/>
              <w:jc w:val="center"/>
              <w:rPr>
                <w:b/>
                <w:bCs/>
              </w:rPr>
            </w:pPr>
            <w:r w:rsidRPr="00EF0277">
              <w:rPr>
                <w:b/>
                <w:bCs/>
              </w:rPr>
              <w:t xml:space="preserve">Stratégies de mise en œuvre </w:t>
            </w:r>
          </w:p>
        </w:tc>
      </w:tr>
    </w:tbl>
    <w:p w14:paraId="2DD5A338" w14:textId="77777777" w:rsidR="00FF01D6" w:rsidRPr="00EF0277" w:rsidRDefault="00FF01D6" w:rsidP="00986700"/>
    <w:p w14:paraId="77E368D1" w14:textId="3684A4F8" w:rsidR="00FF01D6" w:rsidRPr="00EF0277" w:rsidRDefault="00FF01D6" w:rsidP="00616FD3">
      <w:pPr>
        <w:pStyle w:val="ListParagraph"/>
        <w:numPr>
          <w:ilvl w:val="0"/>
          <w:numId w:val="36"/>
        </w:numPr>
        <w:ind w:left="567" w:hanging="567"/>
        <w:jc w:val="both"/>
      </w:pPr>
      <w:r w:rsidRPr="00EF0277">
        <w:t>Poursuivre la mise en œuvre de la stratégie en matière d’assurance informatique en mettant l’accent sur le renforcement des moyens actuellement déployés;</w:t>
      </w:r>
    </w:p>
    <w:p w14:paraId="6A391315" w14:textId="77777777" w:rsidR="00FF01D6" w:rsidRPr="00EF0277" w:rsidRDefault="00FF01D6" w:rsidP="00986700">
      <w:pPr>
        <w:pStyle w:val="ListParagraph"/>
        <w:ind w:left="567" w:hanging="567"/>
        <w:jc w:val="both"/>
      </w:pPr>
    </w:p>
    <w:p w14:paraId="2A9E01E5" w14:textId="04DC73BF" w:rsidR="00FF01D6" w:rsidRPr="00EF0277" w:rsidRDefault="002F0934" w:rsidP="00616FD3">
      <w:pPr>
        <w:pStyle w:val="ListParagraph"/>
        <w:numPr>
          <w:ilvl w:val="0"/>
          <w:numId w:val="36"/>
        </w:numPr>
        <w:ind w:left="567" w:hanging="567"/>
        <w:jc w:val="both"/>
      </w:pPr>
      <w:r w:rsidRPr="00EF0277">
        <w:t xml:space="preserve">Créer </w:t>
      </w:r>
      <w:r w:rsidR="00FF01D6" w:rsidRPr="00EF0277">
        <w:t>un environnement axé sur la sécurité par l’adoption d’une nouvelle gouvernance accompagnée de programmes de sensibilisation et de formation en matière d’assurance informatique à l’intention du personnel, et par l’utilisation de critères opérationnels en matière d’assurance informatique qui facilitent la prise de décision sur la gestion des risques informatiques;</w:t>
      </w:r>
    </w:p>
    <w:p w14:paraId="0ABB6BF0" w14:textId="77777777" w:rsidR="00FF01D6" w:rsidRPr="00EF0277" w:rsidRDefault="00FF01D6" w:rsidP="00986700">
      <w:pPr>
        <w:pStyle w:val="ListParagraph"/>
        <w:ind w:left="567" w:hanging="567"/>
        <w:jc w:val="both"/>
      </w:pPr>
    </w:p>
    <w:p w14:paraId="53287D13" w14:textId="78743ACF" w:rsidR="00FF01D6" w:rsidRPr="00EF0277" w:rsidRDefault="002F0934" w:rsidP="00616FD3">
      <w:pPr>
        <w:pStyle w:val="ListParagraph"/>
        <w:numPr>
          <w:ilvl w:val="0"/>
          <w:numId w:val="36"/>
        </w:numPr>
        <w:ind w:left="567" w:hanging="567"/>
        <w:jc w:val="both"/>
      </w:pPr>
      <w:r w:rsidRPr="00EF0277">
        <w:t xml:space="preserve">Limiter </w:t>
      </w:r>
      <w:r w:rsidR="00FF01D6" w:rsidRPr="00EF0277">
        <w:t>l’exposition et assurer la protection des domaines à haut risque pour les activités de l’OMPI en renforçant les capacités de l’Organisation de manière à détecter de façon anticipée les menaces et les failles pouvant affecter les données de l’OMPI afin de hiérarchiser les actions de correction;</w:t>
      </w:r>
    </w:p>
    <w:p w14:paraId="53532628" w14:textId="77777777" w:rsidR="00FF01D6" w:rsidRPr="00EF0277" w:rsidRDefault="00FF01D6" w:rsidP="00986700">
      <w:pPr>
        <w:pStyle w:val="ListParagraph"/>
        <w:ind w:left="567" w:hanging="567"/>
        <w:jc w:val="both"/>
      </w:pPr>
    </w:p>
    <w:p w14:paraId="37EBA7B8" w14:textId="2BBD72A7" w:rsidR="00FF01D6" w:rsidRPr="00EF0277" w:rsidRDefault="002F0934" w:rsidP="00616FD3">
      <w:pPr>
        <w:pStyle w:val="ListParagraph"/>
        <w:numPr>
          <w:ilvl w:val="0"/>
          <w:numId w:val="36"/>
        </w:numPr>
        <w:ind w:left="567" w:hanging="567"/>
        <w:jc w:val="both"/>
      </w:pPr>
      <w:r w:rsidRPr="00EF0277">
        <w:t xml:space="preserve">Valider </w:t>
      </w:r>
      <w:r w:rsidR="00FF01D6" w:rsidRPr="00EF0277">
        <w:t>l’efficacité des mécanismes de contrôle interne en matière de protection des données de l’OMPI et garantir que les politiques et mandats en matière d’assurance informatique continuent d’être respectés en élargissant la portée de la certification aux normes industrielles telles que la norme ISO 27001;</w:t>
      </w:r>
    </w:p>
    <w:p w14:paraId="668E19DB" w14:textId="77777777" w:rsidR="00FF01D6" w:rsidRPr="00EF0277" w:rsidRDefault="00FF01D6" w:rsidP="00986700">
      <w:pPr>
        <w:pStyle w:val="ListParagraph"/>
        <w:ind w:left="567" w:hanging="567"/>
        <w:jc w:val="both"/>
      </w:pPr>
    </w:p>
    <w:p w14:paraId="7482C27E" w14:textId="5523076A" w:rsidR="00FF01D6" w:rsidRPr="00EF0277" w:rsidRDefault="002F0934" w:rsidP="00616FD3">
      <w:pPr>
        <w:pStyle w:val="ListParagraph"/>
        <w:numPr>
          <w:ilvl w:val="0"/>
          <w:numId w:val="36"/>
        </w:numPr>
        <w:ind w:left="567" w:hanging="567"/>
        <w:jc w:val="both"/>
      </w:pPr>
      <w:r w:rsidRPr="00EF0277">
        <w:t xml:space="preserve">Protéger </w:t>
      </w:r>
      <w:r w:rsidR="00FF01D6" w:rsidRPr="00EF0277">
        <w:t>les données sensibles de l’OMPI par l’application de la politique relative au classement et au maniement des informations.  Mettre en œuvre les mécanismes de protection fondés sur le risque en renforçant la résilience du PCT et des autres systèmes opérationnels sensibles;</w:t>
      </w:r>
    </w:p>
    <w:p w14:paraId="576C571B" w14:textId="77777777" w:rsidR="00FF01D6" w:rsidRPr="00EF0277" w:rsidRDefault="00FF01D6" w:rsidP="00986700">
      <w:pPr>
        <w:pStyle w:val="ListParagraph"/>
        <w:ind w:left="567" w:hanging="567"/>
        <w:jc w:val="both"/>
      </w:pPr>
    </w:p>
    <w:p w14:paraId="72567FE5" w14:textId="25B95788" w:rsidR="00FF01D6" w:rsidRPr="00EF0277" w:rsidRDefault="002F0934" w:rsidP="00616FD3">
      <w:pPr>
        <w:pStyle w:val="ListParagraph"/>
        <w:numPr>
          <w:ilvl w:val="0"/>
          <w:numId w:val="36"/>
        </w:numPr>
        <w:ind w:left="567" w:hanging="567"/>
        <w:jc w:val="both"/>
      </w:pPr>
      <w:r w:rsidRPr="00EF0277">
        <w:t xml:space="preserve">Améliorer </w:t>
      </w:r>
      <w:r w:rsidR="00FF01D6" w:rsidRPr="00EF0277">
        <w:t>les opérations de cybersécurité de l’OMPI en diffusant les connaissances en matière de veille contre les menaces internes et externes et en assurant une surveillance 24 heures sur 24.  Accroître la capacité de réaction de l’OMPI afin de garantir un confinement rapide et une interruption minimale des opérations à la suite d’un incident de sécurité informatique;</w:t>
      </w:r>
    </w:p>
    <w:p w14:paraId="7B757344" w14:textId="77777777" w:rsidR="00FF01D6" w:rsidRPr="00EF0277" w:rsidRDefault="00FF01D6" w:rsidP="00986700">
      <w:pPr>
        <w:pStyle w:val="ListParagraph"/>
        <w:ind w:left="567" w:hanging="567"/>
        <w:jc w:val="both"/>
      </w:pPr>
    </w:p>
    <w:p w14:paraId="63D3FA4D" w14:textId="535E19FF" w:rsidR="00FF01D6" w:rsidRPr="00EF0277" w:rsidRDefault="002F0934" w:rsidP="00616FD3">
      <w:pPr>
        <w:pStyle w:val="ListParagraph"/>
        <w:numPr>
          <w:ilvl w:val="0"/>
          <w:numId w:val="36"/>
        </w:numPr>
        <w:ind w:left="567" w:hanging="567"/>
        <w:jc w:val="both"/>
      </w:pPr>
      <w:r w:rsidRPr="00EF0277">
        <w:t xml:space="preserve">Poursuivre </w:t>
      </w:r>
      <w:r w:rsidR="00FF01D6" w:rsidRPr="00EF0277">
        <w:t xml:space="preserve">la mise en œuvre </w:t>
      </w:r>
      <w:r w:rsidR="002362ED">
        <w:t>des</w:t>
      </w:r>
      <w:r w:rsidR="00FF01D6" w:rsidRPr="00EF0277">
        <w:t xml:space="preserve"> plan</w:t>
      </w:r>
      <w:r w:rsidR="002362ED">
        <w:t>s</w:t>
      </w:r>
      <w:r w:rsidR="00FF01D6" w:rsidRPr="00EF0277">
        <w:t xml:space="preserve"> </w:t>
      </w:r>
      <w:r w:rsidR="002362ED">
        <w:t xml:space="preserve">visant à </w:t>
      </w:r>
      <w:r w:rsidR="00FF01D6" w:rsidRPr="00EF0277">
        <w:t xml:space="preserve">optimiser les investissements existants effectués dans les systèmes de sécurité et de sûreté physiques et en créant de nouvelles capacités axées sur la prévention, la préparation et la résilience.  Mettre </w:t>
      </w:r>
      <w:r w:rsidR="002362ED">
        <w:t>ces plans</w:t>
      </w:r>
      <w:r w:rsidR="00FF01D6" w:rsidRPr="00EF0277">
        <w:t xml:space="preserve"> en conformité avec les exigences obligatoires du système de gestion de la sécurité des organismes des Nations Unies ainsi qu’avec les normes commerciales en matière de sécurité;</w:t>
      </w:r>
    </w:p>
    <w:p w14:paraId="56364CE3" w14:textId="77777777" w:rsidR="00FF01D6" w:rsidRPr="00EF0277" w:rsidRDefault="00FF01D6" w:rsidP="00986700">
      <w:pPr>
        <w:pStyle w:val="ListParagraph"/>
        <w:ind w:left="567" w:hanging="567"/>
        <w:jc w:val="both"/>
      </w:pPr>
    </w:p>
    <w:p w14:paraId="7C309666" w14:textId="31E638AD" w:rsidR="00FF01D6" w:rsidRPr="00EF0277" w:rsidRDefault="002F0934" w:rsidP="00616FD3">
      <w:pPr>
        <w:pStyle w:val="ListParagraph"/>
        <w:numPr>
          <w:ilvl w:val="0"/>
          <w:numId w:val="36"/>
        </w:numPr>
        <w:ind w:left="567" w:hanging="567"/>
        <w:jc w:val="both"/>
      </w:pPr>
      <w:r w:rsidRPr="00EF0277">
        <w:t xml:space="preserve">Appuyer </w:t>
      </w:r>
      <w:r w:rsidR="00FF01D6" w:rsidRPr="00EF0277">
        <w:t>la résilience de l’Organisation et assurer l’alignement et l’intégration des risques et des scénarios de risque aux capacités de gestion de crise à l’échelle de l’Organisation;</w:t>
      </w:r>
    </w:p>
    <w:p w14:paraId="6F06C382" w14:textId="77777777" w:rsidR="00FF01D6" w:rsidRPr="00EF0277" w:rsidRDefault="00FF01D6" w:rsidP="00986700">
      <w:pPr>
        <w:pStyle w:val="ListParagraph"/>
        <w:ind w:left="567" w:hanging="567"/>
        <w:jc w:val="both"/>
      </w:pPr>
    </w:p>
    <w:p w14:paraId="71874730" w14:textId="23B5DA66" w:rsidR="00FF01D6" w:rsidRPr="00EF0277" w:rsidRDefault="002F0934" w:rsidP="00616FD3">
      <w:pPr>
        <w:pStyle w:val="ListParagraph"/>
        <w:numPr>
          <w:ilvl w:val="0"/>
          <w:numId w:val="36"/>
        </w:numPr>
        <w:ind w:left="567" w:hanging="567"/>
        <w:jc w:val="both"/>
      </w:pPr>
      <w:r w:rsidRPr="00EF0277">
        <w:t xml:space="preserve">Réduire </w:t>
      </w:r>
      <w:r w:rsidR="00FF01D6" w:rsidRPr="00EF0277">
        <w:t>les risques opérationnels en intégrant la gestion de la sûreté, de la sécurité et des risques aux processus opérationnels de l’Organisation;</w:t>
      </w:r>
    </w:p>
    <w:p w14:paraId="6DC2EB1B" w14:textId="77777777" w:rsidR="00FF01D6" w:rsidRPr="00EF0277" w:rsidRDefault="00FF01D6" w:rsidP="00986700">
      <w:pPr>
        <w:pStyle w:val="ListParagraph"/>
        <w:ind w:left="567" w:hanging="567"/>
        <w:jc w:val="both"/>
      </w:pPr>
    </w:p>
    <w:p w14:paraId="69C24F96" w14:textId="12840E7F" w:rsidR="00FF01D6" w:rsidRPr="00EF0277" w:rsidRDefault="002F0934" w:rsidP="00616FD3">
      <w:pPr>
        <w:pStyle w:val="ListParagraph"/>
        <w:numPr>
          <w:ilvl w:val="0"/>
          <w:numId w:val="36"/>
        </w:numPr>
        <w:ind w:left="567" w:hanging="567"/>
        <w:jc w:val="both"/>
      </w:pPr>
      <w:r w:rsidRPr="00EF0277">
        <w:t xml:space="preserve">Renforcer </w:t>
      </w:r>
      <w:r w:rsidR="00FF01D6" w:rsidRPr="00EF0277">
        <w:t>la sûreté et la sécurité physiques et améliorer les connaissances, le comportement et les compétences du personnel à l’aide de programmes coordonnés de sensibilisation et de formation;</w:t>
      </w:r>
    </w:p>
    <w:p w14:paraId="5E74132B" w14:textId="77777777" w:rsidR="00FF01D6" w:rsidRPr="00EF0277" w:rsidRDefault="00FF01D6" w:rsidP="00986700">
      <w:pPr>
        <w:ind w:left="567" w:hanging="567"/>
        <w:jc w:val="both"/>
      </w:pPr>
    </w:p>
    <w:p w14:paraId="2610451F" w14:textId="3527BFB3" w:rsidR="00FF01D6" w:rsidRPr="00EF0277" w:rsidRDefault="002F0934" w:rsidP="00616FD3">
      <w:pPr>
        <w:pStyle w:val="ListParagraph"/>
        <w:numPr>
          <w:ilvl w:val="0"/>
          <w:numId w:val="36"/>
        </w:numPr>
        <w:ind w:left="567" w:hanging="567"/>
        <w:jc w:val="both"/>
      </w:pPr>
      <w:r w:rsidRPr="00EF0277">
        <w:t xml:space="preserve">Renforcer </w:t>
      </w:r>
      <w:r w:rsidR="00FF01D6" w:rsidRPr="00EF0277">
        <w:t>la protection du personnel, des visiteurs et des délégués contre les scénarios de menace potentiels en augmentant les capacités en matière de sécurité tels que la surveillance antimenace en continu, l’analyse du risque et les mécanismes de protection fondés sur le risque (verrouillage des portes, contrôle de sûreté, dissuasion, etc.).</w:t>
      </w:r>
    </w:p>
    <w:p w14:paraId="59386A56" w14:textId="77777777" w:rsidR="00FF01D6" w:rsidRDefault="00FF01D6" w:rsidP="00986700"/>
    <w:p w14:paraId="1C15ECF1" w14:textId="77777777" w:rsidR="00FF01D6" w:rsidRPr="00EF0277" w:rsidRDefault="00FF01D6" w:rsidP="00986700"/>
    <w:tbl>
      <w:tblPr>
        <w:tblW w:w="5000" w:type="pct"/>
        <w:tblCellMar>
          <w:top w:w="57" w:type="dxa"/>
          <w:bottom w:w="57" w:type="dxa"/>
        </w:tblCellMar>
        <w:tblLook w:val="04A0" w:firstRow="1" w:lastRow="0" w:firstColumn="1" w:lastColumn="0" w:noHBand="0" w:noVBand="1"/>
      </w:tblPr>
      <w:tblGrid>
        <w:gridCol w:w="4642"/>
        <w:gridCol w:w="4645"/>
      </w:tblGrid>
      <w:tr w:rsidR="00FF01D6" w:rsidRPr="00EF0277" w14:paraId="4DA20A10" w14:textId="77777777" w:rsidTr="00FF01D6">
        <w:trPr>
          <w:cantSplit/>
        </w:trPr>
        <w:tc>
          <w:tcPr>
            <w:tcW w:w="4785" w:type="dxa"/>
            <w:shd w:val="clear" w:color="auto" w:fill="C6D9F1" w:themeFill="text2" w:themeFillTint="33"/>
            <w:tcMar>
              <w:top w:w="57" w:type="dxa"/>
              <w:left w:w="108" w:type="dxa"/>
              <w:bottom w:w="57" w:type="dxa"/>
              <w:right w:w="108" w:type="dxa"/>
            </w:tcMar>
            <w:vAlign w:val="center"/>
            <w:hideMark/>
          </w:tcPr>
          <w:p w14:paraId="102F944D" w14:textId="77777777" w:rsidR="00FF01D6" w:rsidRPr="00EF0277" w:rsidRDefault="00FF01D6" w:rsidP="00986700">
            <w:pPr>
              <w:keepNext/>
              <w:keepLines/>
              <w:jc w:val="center"/>
              <w:rPr>
                <w:rFonts w:eastAsiaTheme="minorHAnsi"/>
                <w:b/>
                <w:bCs/>
                <w:sz w:val="18"/>
                <w:szCs w:val="18"/>
              </w:rPr>
            </w:pPr>
            <w:r w:rsidRPr="00EF0277">
              <w:rPr>
                <w:rFonts w:eastAsiaTheme="minorHAnsi"/>
                <w:b/>
                <w:bCs/>
                <w:sz w:val="18"/>
                <w:szCs w:val="18"/>
              </w:rPr>
              <w:lastRenderedPageBreak/>
              <w:t>Risques</w:t>
            </w:r>
          </w:p>
        </w:tc>
        <w:tc>
          <w:tcPr>
            <w:tcW w:w="4786" w:type="dxa"/>
            <w:shd w:val="clear" w:color="auto" w:fill="C6D9F1" w:themeFill="text2" w:themeFillTint="33"/>
            <w:tcMar>
              <w:top w:w="57" w:type="dxa"/>
              <w:left w:w="108" w:type="dxa"/>
              <w:bottom w:w="57" w:type="dxa"/>
              <w:right w:w="108" w:type="dxa"/>
            </w:tcMar>
            <w:vAlign w:val="center"/>
            <w:hideMark/>
          </w:tcPr>
          <w:p w14:paraId="0C5901AD" w14:textId="77777777" w:rsidR="00FF01D6" w:rsidRPr="00EF0277" w:rsidRDefault="00FF01D6" w:rsidP="00986700">
            <w:pPr>
              <w:keepNext/>
              <w:keepLines/>
              <w:jc w:val="center"/>
              <w:rPr>
                <w:rFonts w:eastAsiaTheme="minorHAnsi"/>
                <w:b/>
                <w:bCs/>
                <w:sz w:val="18"/>
                <w:szCs w:val="18"/>
              </w:rPr>
            </w:pPr>
            <w:r w:rsidRPr="00EF0277">
              <w:rPr>
                <w:rFonts w:eastAsiaTheme="minorHAnsi"/>
                <w:b/>
                <w:bCs/>
                <w:sz w:val="18"/>
                <w:szCs w:val="18"/>
              </w:rPr>
              <w:t>Mesures d’atténuation</w:t>
            </w:r>
          </w:p>
        </w:tc>
      </w:tr>
      <w:tr w:rsidR="00FF01D6" w:rsidRPr="00EF0277" w14:paraId="485648B1" w14:textId="77777777" w:rsidTr="00FF01D6">
        <w:trPr>
          <w:cantSplit/>
        </w:trPr>
        <w:tc>
          <w:tcPr>
            <w:tcW w:w="4785" w:type="dxa"/>
            <w:tcMar>
              <w:top w:w="57" w:type="dxa"/>
              <w:left w:w="108" w:type="dxa"/>
              <w:bottom w:w="57" w:type="dxa"/>
              <w:right w:w="108" w:type="dxa"/>
            </w:tcMar>
            <w:hideMark/>
          </w:tcPr>
          <w:p w14:paraId="5C68D4D6" w14:textId="77777777" w:rsidR="00FF01D6" w:rsidRPr="00EF0277" w:rsidRDefault="00FF01D6" w:rsidP="00986700">
            <w:pPr>
              <w:keepNext/>
              <w:keepLines/>
              <w:rPr>
                <w:rFonts w:eastAsiaTheme="minorHAnsi"/>
                <w:sz w:val="16"/>
                <w:szCs w:val="16"/>
              </w:rPr>
            </w:pPr>
            <w:r w:rsidRPr="00EF0277">
              <w:rPr>
                <w:sz w:val="16"/>
                <w:szCs w:val="16"/>
              </w:rPr>
              <w:t>À l’instar d’autres organisations, l’OMPI est exposée à des risques de cyberattaque et d’intrusion informatique intentionnelle ou accidentelle pouvant donner lieu à la divulgation non autorisée ou à l’utilisation illicite d’informations confidentielles ou à une interruption des opérations de l’OMPI.  Cette situation peut potentiellement porter atteinte à la réputation de l’OMPI en tant que prestataire fiable de conseils et de services à ses membres et clients.</w:t>
            </w:r>
            <w:r w:rsidRPr="00EF0277">
              <w:rPr>
                <w:sz w:val="16"/>
              </w:rPr>
              <w:t xml:space="preserve"> </w:t>
            </w:r>
            <w:r w:rsidRPr="00EF0277">
              <w:rPr>
                <w:sz w:val="16"/>
                <w:szCs w:val="16"/>
              </w:rPr>
              <w:t xml:space="preserve"> </w:t>
            </w:r>
          </w:p>
        </w:tc>
        <w:tc>
          <w:tcPr>
            <w:tcW w:w="4786" w:type="dxa"/>
            <w:tcMar>
              <w:top w:w="57" w:type="dxa"/>
              <w:left w:w="108" w:type="dxa"/>
              <w:bottom w:w="57" w:type="dxa"/>
              <w:right w:w="108" w:type="dxa"/>
            </w:tcMar>
            <w:hideMark/>
          </w:tcPr>
          <w:p w14:paraId="3CBA0B74" w14:textId="582DBA36" w:rsidR="00FF01D6" w:rsidRPr="00EF0277" w:rsidRDefault="00FF01D6" w:rsidP="002362ED">
            <w:pPr>
              <w:keepNext/>
              <w:keepLines/>
              <w:rPr>
                <w:rFonts w:eastAsiaTheme="minorHAnsi"/>
                <w:sz w:val="16"/>
                <w:szCs w:val="16"/>
              </w:rPr>
            </w:pPr>
            <w:r w:rsidRPr="00EF0277">
              <w:rPr>
                <w:rFonts w:eastAsiaTheme="minorHAnsi"/>
                <w:sz w:val="16"/>
                <w:szCs w:val="16"/>
              </w:rPr>
              <w:t xml:space="preserve">La mise en œuvre progressive </w:t>
            </w:r>
            <w:r w:rsidR="002362ED">
              <w:rPr>
                <w:rFonts w:eastAsiaTheme="minorHAnsi"/>
                <w:sz w:val="16"/>
                <w:szCs w:val="16"/>
              </w:rPr>
              <w:t>de</w:t>
            </w:r>
            <w:r w:rsidRPr="00EF0277">
              <w:rPr>
                <w:rFonts w:eastAsiaTheme="minorHAnsi"/>
                <w:sz w:val="16"/>
                <w:szCs w:val="16"/>
              </w:rPr>
              <w:t xml:space="preserve"> stratégie</w:t>
            </w:r>
            <w:r w:rsidR="002362ED">
              <w:rPr>
                <w:rFonts w:eastAsiaTheme="minorHAnsi"/>
                <w:sz w:val="16"/>
                <w:szCs w:val="16"/>
              </w:rPr>
              <w:t>s</w:t>
            </w:r>
            <w:r w:rsidRPr="00EF0277">
              <w:rPr>
                <w:rFonts w:eastAsiaTheme="minorHAnsi"/>
                <w:sz w:val="16"/>
                <w:szCs w:val="16"/>
              </w:rPr>
              <w:t xml:space="preserve"> adaptée</w:t>
            </w:r>
            <w:r w:rsidR="002362ED">
              <w:rPr>
                <w:rFonts w:eastAsiaTheme="minorHAnsi"/>
                <w:sz w:val="16"/>
                <w:szCs w:val="16"/>
              </w:rPr>
              <w:t>s</w:t>
            </w:r>
            <w:r w:rsidRPr="00EF0277">
              <w:rPr>
                <w:rFonts w:eastAsiaTheme="minorHAnsi"/>
                <w:sz w:val="16"/>
                <w:szCs w:val="16"/>
              </w:rPr>
              <w:t xml:space="preserve"> en matière d’assurance informatique permettra à l’OMPI de continuer de renforcer sa position et sa résilience dans les domaines de la gouvernance, des ressources humaines, des processus et des technologies pour l’assurance informatique.</w:t>
            </w:r>
          </w:p>
        </w:tc>
      </w:tr>
      <w:tr w:rsidR="00FF01D6" w:rsidRPr="00EF0277" w14:paraId="5A5ECF9C" w14:textId="77777777" w:rsidTr="00FF01D6">
        <w:trPr>
          <w:cantSplit/>
        </w:trPr>
        <w:tc>
          <w:tcPr>
            <w:tcW w:w="4785" w:type="dxa"/>
            <w:tcMar>
              <w:top w:w="57" w:type="dxa"/>
              <w:left w:w="108" w:type="dxa"/>
              <w:bottom w:w="57" w:type="dxa"/>
              <w:right w:w="108" w:type="dxa"/>
            </w:tcMar>
          </w:tcPr>
          <w:p w14:paraId="312F8931" w14:textId="77777777" w:rsidR="00FF01D6" w:rsidRPr="00EF0277" w:rsidRDefault="00FF01D6" w:rsidP="00986700">
            <w:pPr>
              <w:rPr>
                <w:rFonts w:eastAsiaTheme="minorHAnsi"/>
                <w:bCs/>
                <w:sz w:val="16"/>
                <w:szCs w:val="16"/>
              </w:rPr>
            </w:pPr>
            <w:r w:rsidRPr="00EF0277">
              <w:rPr>
                <w:rFonts w:eastAsiaTheme="minorHAnsi"/>
                <w:bCs/>
                <w:sz w:val="16"/>
                <w:szCs w:val="16"/>
              </w:rPr>
              <w:t>L’OMPI confie à des prestataires externes de grandes quantités de données qui, soit appartiennent à l’Organisation, soit lui ont été confiées.  Il n’y a actuellement aucune procédure formelle permettant l’analyse de manière approfondie des mécanismes de contrôle existants du côté des fournisseurs, ou exigeant un niveau minimum de sécurité pour le traitement des données de l’Organisation.</w:t>
            </w:r>
          </w:p>
        </w:tc>
        <w:tc>
          <w:tcPr>
            <w:tcW w:w="4786" w:type="dxa"/>
            <w:tcMar>
              <w:top w:w="57" w:type="dxa"/>
              <w:left w:w="108" w:type="dxa"/>
              <w:bottom w:w="57" w:type="dxa"/>
              <w:right w:w="108" w:type="dxa"/>
            </w:tcMar>
          </w:tcPr>
          <w:p w14:paraId="07AEDCF1" w14:textId="6FA8166A" w:rsidR="00FF01D6" w:rsidRPr="00EF0277" w:rsidRDefault="002362ED" w:rsidP="002362ED">
            <w:pPr>
              <w:rPr>
                <w:rFonts w:eastAsiaTheme="minorHAnsi"/>
                <w:sz w:val="16"/>
                <w:szCs w:val="16"/>
              </w:rPr>
            </w:pPr>
            <w:r>
              <w:rPr>
                <w:rFonts w:eastAsiaTheme="minorHAnsi"/>
                <w:sz w:val="16"/>
                <w:szCs w:val="16"/>
              </w:rPr>
              <w:t xml:space="preserve">Les politiques et procédures </w:t>
            </w:r>
            <w:r w:rsidR="00FF01D6" w:rsidRPr="00EF0277">
              <w:rPr>
                <w:rFonts w:eastAsiaTheme="minorHAnsi"/>
                <w:sz w:val="16"/>
                <w:szCs w:val="16"/>
              </w:rPr>
              <w:t>en matière de sécurité relative aux prestataires de services fourni</w:t>
            </w:r>
            <w:r w:rsidR="00CF6859">
              <w:rPr>
                <w:rFonts w:eastAsiaTheme="minorHAnsi"/>
                <w:sz w:val="16"/>
                <w:szCs w:val="16"/>
              </w:rPr>
              <w:t>ssen</w:t>
            </w:r>
            <w:r w:rsidR="00FF01D6" w:rsidRPr="00EF0277">
              <w:rPr>
                <w:rFonts w:eastAsiaTheme="minorHAnsi"/>
                <w:sz w:val="16"/>
                <w:szCs w:val="16"/>
              </w:rPr>
              <w:t>t les éléments fondamentaux de la politique de gestion des risques informatiques liés aux prestataires de services au niveau de l’évaluation, de la sélection, de l’exécution du contrat, du contrôle et de la résiliation.  Les prestataires externes sont tenus de conserver et de présenter en permanence des niveaux de sécurité appropriés au traitement des données de l’OMPI en fonction du degré de confidentialité des données en question et de l’incidence pour l’OMPI.</w:t>
            </w:r>
          </w:p>
        </w:tc>
      </w:tr>
      <w:tr w:rsidR="00FF01D6" w:rsidRPr="00EF0277" w14:paraId="02276195" w14:textId="77777777" w:rsidTr="00FF01D6">
        <w:trPr>
          <w:cantSplit/>
        </w:trPr>
        <w:tc>
          <w:tcPr>
            <w:tcW w:w="4785" w:type="dxa"/>
            <w:tcMar>
              <w:top w:w="57" w:type="dxa"/>
              <w:left w:w="108" w:type="dxa"/>
              <w:bottom w:w="57" w:type="dxa"/>
              <w:right w:w="108" w:type="dxa"/>
            </w:tcMar>
            <w:hideMark/>
          </w:tcPr>
          <w:p w14:paraId="024F6725" w14:textId="77777777" w:rsidR="00FF01D6" w:rsidRPr="00EF0277" w:rsidRDefault="00FF01D6" w:rsidP="00986700">
            <w:pPr>
              <w:rPr>
                <w:rFonts w:eastAsiaTheme="minorHAnsi"/>
                <w:bCs/>
                <w:sz w:val="16"/>
                <w:szCs w:val="16"/>
              </w:rPr>
            </w:pPr>
            <w:r w:rsidRPr="00EF0277">
              <w:rPr>
                <w:rFonts w:eastAsiaTheme="minorHAnsi"/>
                <w:bCs/>
                <w:sz w:val="16"/>
                <w:szCs w:val="16"/>
              </w:rPr>
              <w:t>Risque d’attaque terroriste dirigée contre l’OMPI</w:t>
            </w:r>
          </w:p>
        </w:tc>
        <w:tc>
          <w:tcPr>
            <w:tcW w:w="4786" w:type="dxa"/>
            <w:tcMar>
              <w:top w:w="57" w:type="dxa"/>
              <w:left w:w="108" w:type="dxa"/>
              <w:bottom w:w="57" w:type="dxa"/>
              <w:right w:w="108" w:type="dxa"/>
            </w:tcMar>
          </w:tcPr>
          <w:p w14:paraId="3B34B741" w14:textId="77777777" w:rsidR="00FF01D6" w:rsidRPr="00EF0277" w:rsidRDefault="00FF01D6" w:rsidP="00986700">
            <w:pPr>
              <w:rPr>
                <w:rFonts w:eastAsiaTheme="minorHAnsi"/>
                <w:bCs/>
                <w:iCs/>
                <w:sz w:val="16"/>
                <w:szCs w:val="16"/>
              </w:rPr>
            </w:pPr>
            <w:r w:rsidRPr="00EF0277">
              <w:rPr>
                <w:rFonts w:eastAsiaTheme="minorHAnsi"/>
                <w:bCs/>
                <w:iCs/>
                <w:sz w:val="16"/>
                <w:szCs w:val="16"/>
              </w:rPr>
              <w:t>Établir régulièrement et dans les délais impartis des rapports complets de sécurité opérationnelle et d’information sur les risques en fonction de l’emplacement et du type de menace concernés.</w:t>
            </w:r>
          </w:p>
          <w:p w14:paraId="70671706" w14:textId="77777777" w:rsidR="00FF01D6" w:rsidRPr="00EF0277" w:rsidRDefault="00FF01D6" w:rsidP="00986700">
            <w:pPr>
              <w:rPr>
                <w:rFonts w:eastAsiaTheme="minorHAnsi"/>
                <w:bCs/>
                <w:sz w:val="16"/>
                <w:szCs w:val="16"/>
              </w:rPr>
            </w:pPr>
          </w:p>
          <w:p w14:paraId="3DEB2CED" w14:textId="77777777" w:rsidR="00FF01D6" w:rsidRPr="00EF0277" w:rsidRDefault="00FF01D6" w:rsidP="00986700">
            <w:pPr>
              <w:rPr>
                <w:rFonts w:eastAsiaTheme="minorHAnsi"/>
                <w:bCs/>
                <w:sz w:val="16"/>
                <w:szCs w:val="16"/>
              </w:rPr>
            </w:pPr>
            <w:r w:rsidRPr="00EF0277">
              <w:rPr>
                <w:rFonts w:eastAsiaTheme="minorHAnsi"/>
                <w:bCs/>
                <w:sz w:val="16"/>
                <w:szCs w:val="16"/>
              </w:rPr>
              <w:t>Fournir, dans des séances d’information et des mises à jour, des renseignements sur les risques existants à l’échelle mondiale, régionale, nationale ou locale, qui pourraient constituer une entrave ou une menace pour le personnel, les opérations, les systèmes, les voyages et les données de l’OMPI.</w:t>
            </w:r>
          </w:p>
        </w:tc>
      </w:tr>
    </w:tbl>
    <w:p w14:paraId="3BD750AB" w14:textId="77777777" w:rsidR="00FF01D6" w:rsidRPr="00EF0277" w:rsidRDefault="00FF01D6" w:rsidP="00986700"/>
    <w:p w14:paraId="4E3E8B29" w14:textId="77777777" w:rsidR="00FF01D6" w:rsidRPr="00EF0277" w:rsidRDefault="00FF01D6" w:rsidP="00986700"/>
    <w:tbl>
      <w:tblPr>
        <w:tblW w:w="5000" w:type="pct"/>
        <w:tblCellMar>
          <w:top w:w="57" w:type="dxa"/>
          <w:bottom w:w="57" w:type="dxa"/>
        </w:tblCellMar>
        <w:tblLook w:val="04A0" w:firstRow="1" w:lastRow="0" w:firstColumn="1" w:lastColumn="0" w:noHBand="0" w:noVBand="1"/>
      </w:tblPr>
      <w:tblGrid>
        <w:gridCol w:w="2392"/>
        <w:gridCol w:w="2292"/>
        <w:gridCol w:w="2306"/>
        <w:gridCol w:w="2297"/>
      </w:tblGrid>
      <w:tr w:rsidR="00FF01D6" w:rsidRPr="00EF0277" w14:paraId="6F0CCA87" w14:textId="77777777" w:rsidTr="00FF01D6">
        <w:trPr>
          <w:cantSplit/>
          <w:tblHeader/>
        </w:trPr>
        <w:tc>
          <w:tcPr>
            <w:tcW w:w="2392" w:type="dxa"/>
            <w:shd w:val="clear" w:color="000000" w:fill="C5D9F1"/>
            <w:tcMar>
              <w:top w:w="57" w:type="dxa"/>
            </w:tcMar>
            <w:vAlign w:val="center"/>
            <w:hideMark/>
          </w:tcPr>
          <w:p w14:paraId="506D88F9" w14:textId="77777777" w:rsidR="00FF01D6" w:rsidRPr="00EF0277" w:rsidRDefault="00FF01D6" w:rsidP="00986700">
            <w:pPr>
              <w:jc w:val="center"/>
              <w:rPr>
                <w:b/>
                <w:bCs/>
                <w:sz w:val="18"/>
                <w:szCs w:val="18"/>
              </w:rPr>
            </w:pPr>
            <w:r w:rsidRPr="00EF0277">
              <w:rPr>
                <w:b/>
                <w:bCs/>
                <w:sz w:val="18"/>
                <w:szCs w:val="18"/>
              </w:rPr>
              <w:t xml:space="preserve">Résultat escompté </w:t>
            </w:r>
          </w:p>
        </w:tc>
        <w:tc>
          <w:tcPr>
            <w:tcW w:w="2393" w:type="dxa"/>
            <w:shd w:val="clear" w:color="000000" w:fill="C5D9F1"/>
            <w:tcMar>
              <w:top w:w="57" w:type="dxa"/>
            </w:tcMar>
            <w:vAlign w:val="center"/>
            <w:hideMark/>
          </w:tcPr>
          <w:p w14:paraId="152C9393" w14:textId="77777777" w:rsidR="00FF01D6" w:rsidRPr="00EF0277" w:rsidRDefault="00FF01D6" w:rsidP="00986700">
            <w:pPr>
              <w:jc w:val="center"/>
              <w:rPr>
                <w:b/>
                <w:bCs/>
                <w:sz w:val="18"/>
                <w:szCs w:val="18"/>
              </w:rPr>
            </w:pPr>
            <w:r w:rsidRPr="00EF0277">
              <w:rPr>
                <w:b/>
                <w:bCs/>
                <w:sz w:val="18"/>
                <w:szCs w:val="18"/>
              </w:rPr>
              <w:t>Indicateurs d’exécution</w:t>
            </w:r>
          </w:p>
        </w:tc>
        <w:tc>
          <w:tcPr>
            <w:tcW w:w="2393" w:type="dxa"/>
            <w:shd w:val="clear" w:color="000000" w:fill="C5D9F1"/>
            <w:tcMar>
              <w:top w:w="57" w:type="dxa"/>
            </w:tcMar>
            <w:vAlign w:val="center"/>
            <w:hideMark/>
          </w:tcPr>
          <w:p w14:paraId="6A261D15" w14:textId="77777777" w:rsidR="00FF01D6" w:rsidRPr="00EF0277" w:rsidRDefault="00FF01D6" w:rsidP="00986700">
            <w:pPr>
              <w:jc w:val="center"/>
              <w:rPr>
                <w:b/>
                <w:bCs/>
                <w:sz w:val="18"/>
                <w:szCs w:val="18"/>
              </w:rPr>
            </w:pPr>
            <w:r w:rsidRPr="00EF0277">
              <w:rPr>
                <w:b/>
                <w:bCs/>
                <w:sz w:val="18"/>
                <w:szCs w:val="18"/>
              </w:rPr>
              <w:t>Niveaux de référence</w:t>
            </w:r>
          </w:p>
        </w:tc>
        <w:tc>
          <w:tcPr>
            <w:tcW w:w="2393" w:type="dxa"/>
            <w:shd w:val="clear" w:color="000000" w:fill="C5D9F1"/>
            <w:tcMar>
              <w:top w:w="57" w:type="dxa"/>
            </w:tcMar>
            <w:vAlign w:val="center"/>
            <w:hideMark/>
          </w:tcPr>
          <w:p w14:paraId="53368EB0" w14:textId="77777777" w:rsidR="00FF01D6" w:rsidRPr="00EF0277" w:rsidRDefault="00FF01D6" w:rsidP="00986700">
            <w:pPr>
              <w:jc w:val="center"/>
              <w:rPr>
                <w:b/>
                <w:bCs/>
                <w:sz w:val="18"/>
                <w:szCs w:val="18"/>
              </w:rPr>
            </w:pPr>
            <w:r w:rsidRPr="00EF0277">
              <w:rPr>
                <w:b/>
                <w:bCs/>
                <w:sz w:val="18"/>
                <w:szCs w:val="18"/>
              </w:rPr>
              <w:t>Objectifs visés</w:t>
            </w:r>
          </w:p>
        </w:tc>
      </w:tr>
      <w:tr w:rsidR="00FF01D6" w:rsidRPr="00EF0277" w14:paraId="091A28CA" w14:textId="77777777" w:rsidTr="00FF01D6">
        <w:trPr>
          <w:cantSplit/>
        </w:trPr>
        <w:tc>
          <w:tcPr>
            <w:tcW w:w="2392" w:type="dxa"/>
            <w:shd w:val="clear" w:color="000000" w:fill="FFFFFF"/>
            <w:tcMar>
              <w:top w:w="57" w:type="dxa"/>
            </w:tcMar>
            <w:hideMark/>
          </w:tcPr>
          <w:p w14:paraId="58C2A004" w14:textId="77777777" w:rsidR="00FF01D6" w:rsidRPr="00EF0277" w:rsidRDefault="00FF01D6" w:rsidP="00986700">
            <w:pPr>
              <w:rPr>
                <w:sz w:val="16"/>
                <w:szCs w:val="16"/>
              </w:rPr>
            </w:pPr>
            <w:r w:rsidRPr="00EF0277">
              <w:rPr>
                <w:sz w:val="16"/>
                <w:szCs w:val="16"/>
              </w:rPr>
              <w:t>IX.1 Services d’appui efficaces, efficients, de qualité et tournés vers la clientèle, à l’intention à la fois des clients internes et des parties prenantes externes</w:t>
            </w:r>
          </w:p>
        </w:tc>
        <w:tc>
          <w:tcPr>
            <w:tcW w:w="2393" w:type="dxa"/>
            <w:shd w:val="clear" w:color="000000" w:fill="FFFFFF"/>
            <w:tcMar>
              <w:top w:w="57" w:type="dxa"/>
            </w:tcMar>
            <w:hideMark/>
          </w:tcPr>
          <w:p w14:paraId="3D81A6C6" w14:textId="77777777" w:rsidR="00FF01D6" w:rsidRPr="00EF0277" w:rsidRDefault="00FF01D6" w:rsidP="00986700">
            <w:pPr>
              <w:rPr>
                <w:sz w:val="16"/>
                <w:szCs w:val="16"/>
              </w:rPr>
            </w:pPr>
            <w:r w:rsidRPr="00EF0277">
              <w:rPr>
                <w:sz w:val="16"/>
                <w:szCs w:val="16"/>
              </w:rPr>
              <w:t>Pourcentage de membres du personnel au courant de leurs responsabilités, des politiques et des pratiques recommandées en matière d’assurance informatique.</w:t>
            </w:r>
          </w:p>
        </w:tc>
        <w:tc>
          <w:tcPr>
            <w:tcW w:w="2393" w:type="dxa"/>
            <w:shd w:val="clear" w:color="000000" w:fill="FFFFFF"/>
            <w:tcMar>
              <w:top w:w="57" w:type="dxa"/>
            </w:tcMar>
            <w:hideMark/>
          </w:tcPr>
          <w:p w14:paraId="29A0D499" w14:textId="77777777" w:rsidR="00CF6859" w:rsidRDefault="00FF01D6" w:rsidP="00986700">
            <w:pPr>
              <w:rPr>
                <w:sz w:val="16"/>
                <w:szCs w:val="16"/>
              </w:rPr>
            </w:pPr>
            <w:r w:rsidRPr="00EF0277">
              <w:rPr>
                <w:sz w:val="16"/>
                <w:szCs w:val="16"/>
              </w:rPr>
              <w:t>40% des fonctionnaires de l’OMPI signale</w:t>
            </w:r>
            <w:r w:rsidR="00CF6859">
              <w:rPr>
                <w:sz w:val="16"/>
                <w:szCs w:val="16"/>
              </w:rPr>
              <w:t>nt des attaques par hameçonnage</w:t>
            </w:r>
          </w:p>
          <w:p w14:paraId="5D5CCC52" w14:textId="77777777" w:rsidR="00CF6859" w:rsidRDefault="00CF6859" w:rsidP="00986700">
            <w:pPr>
              <w:rPr>
                <w:sz w:val="16"/>
                <w:szCs w:val="16"/>
              </w:rPr>
            </w:pPr>
          </w:p>
          <w:p w14:paraId="31E7D44B" w14:textId="1A08C43B" w:rsidR="00FF01D6" w:rsidRPr="00EF0277" w:rsidRDefault="00FF01D6" w:rsidP="00986700">
            <w:pPr>
              <w:rPr>
                <w:sz w:val="16"/>
                <w:szCs w:val="16"/>
              </w:rPr>
            </w:pPr>
            <w:r w:rsidRPr="00EF0277">
              <w:rPr>
                <w:sz w:val="16"/>
                <w:szCs w:val="16"/>
              </w:rPr>
              <w:t>90% des utilisateurs de l’OMPI possédant une adresse électronique de l’OMPI terminent la formation commune de base dans les 30 jours après la date de leur engagement</w:t>
            </w:r>
          </w:p>
        </w:tc>
        <w:tc>
          <w:tcPr>
            <w:tcW w:w="2393" w:type="dxa"/>
            <w:shd w:val="clear" w:color="000000" w:fill="FFFFFF"/>
            <w:tcMar>
              <w:top w:w="57" w:type="dxa"/>
            </w:tcMar>
            <w:hideMark/>
          </w:tcPr>
          <w:p w14:paraId="34AB813F" w14:textId="77777777" w:rsidR="00CF6859" w:rsidRDefault="00FF01D6" w:rsidP="00CF6859">
            <w:pPr>
              <w:rPr>
                <w:sz w:val="16"/>
                <w:szCs w:val="16"/>
              </w:rPr>
            </w:pPr>
            <w:r w:rsidRPr="00EF0277">
              <w:rPr>
                <w:sz w:val="16"/>
                <w:szCs w:val="16"/>
              </w:rPr>
              <w:t>60% des fonctionnaires de l’OMPI signalent des attaques par hameçonnage</w:t>
            </w:r>
          </w:p>
          <w:p w14:paraId="75F280F8" w14:textId="77777777" w:rsidR="00CF6859" w:rsidRDefault="00CF6859" w:rsidP="00CF6859">
            <w:pPr>
              <w:rPr>
                <w:sz w:val="16"/>
                <w:szCs w:val="16"/>
              </w:rPr>
            </w:pPr>
          </w:p>
          <w:p w14:paraId="25C81D56" w14:textId="328A1272" w:rsidR="00FF01D6" w:rsidRPr="00EF0277" w:rsidRDefault="00FF01D6" w:rsidP="00CF6859">
            <w:pPr>
              <w:rPr>
                <w:sz w:val="16"/>
                <w:szCs w:val="16"/>
              </w:rPr>
            </w:pPr>
            <w:r w:rsidRPr="00EF0277">
              <w:rPr>
                <w:sz w:val="16"/>
                <w:szCs w:val="16"/>
              </w:rPr>
              <w:t>90% des utilisateurs de l’OMPI possédant une adresse électronique de l’OMPI terminent la formation commune de base dans les 30 jours après la date de leur engagement</w:t>
            </w:r>
          </w:p>
        </w:tc>
      </w:tr>
      <w:tr w:rsidR="00FF01D6" w:rsidRPr="00EF0277" w14:paraId="793C1206" w14:textId="77777777" w:rsidTr="00FF01D6">
        <w:trPr>
          <w:cantSplit/>
        </w:trPr>
        <w:tc>
          <w:tcPr>
            <w:tcW w:w="2392" w:type="dxa"/>
            <w:shd w:val="clear" w:color="000000" w:fill="FFFFFF"/>
            <w:tcMar>
              <w:top w:w="57" w:type="dxa"/>
            </w:tcMar>
            <w:hideMark/>
          </w:tcPr>
          <w:p w14:paraId="4B9B77DE" w14:textId="77777777" w:rsidR="00FF01D6" w:rsidRPr="00EF0277" w:rsidRDefault="00FF01D6" w:rsidP="00986700">
            <w:pPr>
              <w:rPr>
                <w:sz w:val="16"/>
                <w:szCs w:val="16"/>
              </w:rPr>
            </w:pPr>
            <w:r w:rsidRPr="00EF0277">
              <w:rPr>
                <w:sz w:val="16"/>
                <w:szCs w:val="16"/>
              </w:rPr>
              <w:t>IX.4 Une Organisation écologiquement et socialement responsable assurant la sûreté et la sécurité du personnel, des délégués, des visiteurs, de l’information et des biens</w:t>
            </w:r>
          </w:p>
        </w:tc>
        <w:tc>
          <w:tcPr>
            <w:tcW w:w="2393" w:type="dxa"/>
            <w:shd w:val="clear" w:color="000000" w:fill="FFFFFF"/>
            <w:tcMar>
              <w:top w:w="57" w:type="dxa"/>
            </w:tcMar>
            <w:hideMark/>
          </w:tcPr>
          <w:p w14:paraId="2652591D" w14:textId="77777777" w:rsidR="00FF01D6" w:rsidRPr="00EF0277" w:rsidRDefault="00FF01D6" w:rsidP="00986700">
            <w:pPr>
              <w:rPr>
                <w:sz w:val="16"/>
                <w:szCs w:val="16"/>
              </w:rPr>
            </w:pPr>
            <w:r w:rsidRPr="00EF0277">
              <w:rPr>
                <w:sz w:val="16"/>
                <w:szCs w:val="16"/>
              </w:rPr>
              <w:t>Les locaux de l’OMPI répondent aux exigences tirées des évaluations des risques en matière de sécurité</w:t>
            </w:r>
          </w:p>
        </w:tc>
        <w:tc>
          <w:tcPr>
            <w:tcW w:w="2393" w:type="dxa"/>
            <w:shd w:val="clear" w:color="000000" w:fill="FFFFFF"/>
            <w:tcMar>
              <w:top w:w="57" w:type="dxa"/>
            </w:tcMar>
            <w:hideMark/>
          </w:tcPr>
          <w:p w14:paraId="403182BB" w14:textId="314B0F71" w:rsidR="00FF01D6" w:rsidRPr="00EF0277" w:rsidRDefault="00FF01D6" w:rsidP="00A97FA0">
            <w:pPr>
              <w:rPr>
                <w:sz w:val="16"/>
                <w:szCs w:val="16"/>
              </w:rPr>
            </w:pPr>
            <w:r w:rsidRPr="00EF0277">
              <w:rPr>
                <w:sz w:val="16"/>
                <w:szCs w:val="16"/>
              </w:rPr>
              <w:t>À détermin</w:t>
            </w:r>
            <w:r w:rsidR="00A97FA0">
              <w:rPr>
                <w:sz w:val="16"/>
                <w:szCs w:val="16"/>
              </w:rPr>
              <w:t>er</w:t>
            </w:r>
          </w:p>
        </w:tc>
        <w:tc>
          <w:tcPr>
            <w:tcW w:w="2393" w:type="dxa"/>
            <w:shd w:val="clear" w:color="000000" w:fill="FFFFFF"/>
            <w:tcMar>
              <w:top w:w="57" w:type="dxa"/>
            </w:tcMar>
            <w:hideMark/>
          </w:tcPr>
          <w:p w14:paraId="46710791" w14:textId="33DE5D9B" w:rsidR="00FF01D6" w:rsidRPr="00EF0277" w:rsidRDefault="00A97FA0" w:rsidP="00A97FA0">
            <w:pPr>
              <w:rPr>
                <w:sz w:val="16"/>
                <w:szCs w:val="16"/>
              </w:rPr>
            </w:pPr>
            <w:r>
              <w:rPr>
                <w:sz w:val="16"/>
                <w:szCs w:val="16"/>
              </w:rPr>
              <w:t>À déterminer</w:t>
            </w:r>
          </w:p>
        </w:tc>
      </w:tr>
      <w:tr w:rsidR="00FF01D6" w:rsidRPr="00EF0277" w14:paraId="48FB070C" w14:textId="77777777" w:rsidTr="00FF01D6">
        <w:trPr>
          <w:cantSplit/>
        </w:trPr>
        <w:tc>
          <w:tcPr>
            <w:tcW w:w="2392" w:type="dxa"/>
            <w:shd w:val="clear" w:color="auto" w:fill="auto"/>
            <w:noWrap/>
            <w:tcMar>
              <w:top w:w="57" w:type="dxa"/>
            </w:tcMar>
            <w:vAlign w:val="bottom"/>
            <w:hideMark/>
          </w:tcPr>
          <w:p w14:paraId="108C73E8" w14:textId="77777777" w:rsidR="00FF01D6" w:rsidRPr="00EF0277" w:rsidRDefault="00FF01D6" w:rsidP="00986700">
            <w:pPr>
              <w:rPr>
                <w:sz w:val="16"/>
                <w:szCs w:val="16"/>
              </w:rPr>
            </w:pPr>
          </w:p>
        </w:tc>
        <w:tc>
          <w:tcPr>
            <w:tcW w:w="2393" w:type="dxa"/>
            <w:shd w:val="clear" w:color="000000" w:fill="FFFFFF"/>
            <w:tcMar>
              <w:top w:w="57" w:type="dxa"/>
            </w:tcMar>
            <w:hideMark/>
          </w:tcPr>
          <w:p w14:paraId="77474B31" w14:textId="77777777" w:rsidR="00FF01D6" w:rsidRPr="00EF0277" w:rsidRDefault="00FF01D6" w:rsidP="00986700">
            <w:pPr>
              <w:rPr>
                <w:sz w:val="16"/>
                <w:szCs w:val="16"/>
              </w:rPr>
            </w:pPr>
            <w:r w:rsidRPr="00EF0277">
              <w:rPr>
                <w:sz w:val="16"/>
                <w:szCs w:val="16"/>
              </w:rPr>
              <w:t>Respect accru du système d’organisation générale des responsabilités dans le cadre du système de gestion de la sécurité des Nations Unies</w:t>
            </w:r>
          </w:p>
        </w:tc>
        <w:tc>
          <w:tcPr>
            <w:tcW w:w="2393" w:type="dxa"/>
            <w:shd w:val="clear" w:color="000000" w:fill="FFFFFF"/>
            <w:tcMar>
              <w:top w:w="57" w:type="dxa"/>
            </w:tcMar>
            <w:hideMark/>
          </w:tcPr>
          <w:p w14:paraId="051C94AF" w14:textId="77777777" w:rsidR="00FF01D6" w:rsidRPr="00EF0277" w:rsidRDefault="00FF01D6" w:rsidP="00986700">
            <w:pPr>
              <w:rPr>
                <w:sz w:val="16"/>
                <w:szCs w:val="16"/>
              </w:rPr>
            </w:pPr>
            <w:r w:rsidRPr="00EF0277">
              <w:rPr>
                <w:sz w:val="16"/>
                <w:szCs w:val="16"/>
              </w:rPr>
              <w:t>L’OMPI respecte 55% des exigences énoncées dans le cadre du système d’organisation générale des responsabilités des Nations Unies</w:t>
            </w:r>
          </w:p>
        </w:tc>
        <w:tc>
          <w:tcPr>
            <w:tcW w:w="2393" w:type="dxa"/>
            <w:shd w:val="clear" w:color="000000" w:fill="FFFFFF"/>
            <w:tcMar>
              <w:top w:w="57" w:type="dxa"/>
            </w:tcMar>
            <w:hideMark/>
          </w:tcPr>
          <w:p w14:paraId="3480B70C" w14:textId="77777777" w:rsidR="00FF01D6" w:rsidRPr="00EF0277" w:rsidRDefault="00FF01D6" w:rsidP="00986700">
            <w:pPr>
              <w:rPr>
                <w:sz w:val="16"/>
                <w:szCs w:val="16"/>
              </w:rPr>
            </w:pPr>
            <w:r w:rsidRPr="00EF0277">
              <w:rPr>
                <w:sz w:val="16"/>
                <w:szCs w:val="16"/>
              </w:rPr>
              <w:t xml:space="preserve">70% des exigences respectées </w:t>
            </w:r>
          </w:p>
        </w:tc>
      </w:tr>
      <w:tr w:rsidR="00FF01D6" w:rsidRPr="00EF0277" w14:paraId="493635A1" w14:textId="77777777" w:rsidTr="00FF01D6">
        <w:trPr>
          <w:cantSplit/>
        </w:trPr>
        <w:tc>
          <w:tcPr>
            <w:tcW w:w="2392" w:type="dxa"/>
            <w:shd w:val="clear" w:color="000000" w:fill="FFFFFF"/>
            <w:tcMar>
              <w:top w:w="57" w:type="dxa"/>
            </w:tcMar>
            <w:hideMark/>
          </w:tcPr>
          <w:p w14:paraId="614A4055" w14:textId="77777777" w:rsidR="00FF01D6" w:rsidRPr="00EF0277" w:rsidRDefault="00FF01D6" w:rsidP="00986700">
            <w:pPr>
              <w:rPr>
                <w:sz w:val="16"/>
                <w:szCs w:val="16"/>
              </w:rPr>
            </w:pPr>
            <w:r w:rsidRPr="00EF0277">
              <w:rPr>
                <w:sz w:val="16"/>
                <w:szCs w:val="16"/>
              </w:rPr>
              <w:t> </w:t>
            </w:r>
          </w:p>
        </w:tc>
        <w:tc>
          <w:tcPr>
            <w:tcW w:w="2393" w:type="dxa"/>
            <w:shd w:val="clear" w:color="000000" w:fill="FFFFFF"/>
            <w:tcMar>
              <w:top w:w="57" w:type="dxa"/>
            </w:tcMar>
            <w:hideMark/>
          </w:tcPr>
          <w:p w14:paraId="7892E912" w14:textId="77777777" w:rsidR="00FF01D6" w:rsidRPr="00EF0277" w:rsidRDefault="00FF01D6" w:rsidP="00986700">
            <w:pPr>
              <w:rPr>
                <w:sz w:val="16"/>
                <w:szCs w:val="16"/>
              </w:rPr>
            </w:pPr>
            <w:r w:rsidRPr="00EF0277">
              <w:rPr>
                <w:sz w:val="16"/>
                <w:szCs w:val="16"/>
              </w:rPr>
              <w:t>Pourcentage de risques informatiques, y compris les risques de tiers, détectés et gérés conformément aux seuils de tolérance définis par l’OMPI</w:t>
            </w:r>
          </w:p>
        </w:tc>
        <w:tc>
          <w:tcPr>
            <w:tcW w:w="2393" w:type="dxa"/>
            <w:shd w:val="clear" w:color="000000" w:fill="FFFFFF"/>
            <w:tcMar>
              <w:top w:w="57" w:type="dxa"/>
            </w:tcMar>
            <w:hideMark/>
          </w:tcPr>
          <w:p w14:paraId="370462D5" w14:textId="77777777" w:rsidR="00FF01D6" w:rsidRPr="00EF0277" w:rsidRDefault="00FF01D6" w:rsidP="00986700">
            <w:pPr>
              <w:rPr>
                <w:sz w:val="16"/>
                <w:szCs w:val="16"/>
              </w:rPr>
            </w:pPr>
            <w:r w:rsidRPr="00EF0277">
              <w:rPr>
                <w:sz w:val="16"/>
                <w:szCs w:val="16"/>
              </w:rPr>
              <w:t>50% des nouveaux contrats avec des prestataires externes font l’objet d’une évaluation du risque de tiers</w:t>
            </w:r>
          </w:p>
          <w:p w14:paraId="3E5052A1" w14:textId="77777777" w:rsidR="00FF01D6" w:rsidRPr="00EF0277" w:rsidRDefault="00FF01D6" w:rsidP="00986700">
            <w:pPr>
              <w:rPr>
                <w:sz w:val="16"/>
                <w:szCs w:val="16"/>
              </w:rPr>
            </w:pPr>
            <w:r w:rsidRPr="00EF0277">
              <w:rPr>
                <w:sz w:val="16"/>
                <w:szCs w:val="16"/>
              </w:rPr>
              <w:t>Les processus de gestion des risques sont effectués manuellement et de manière ponctuelle</w:t>
            </w:r>
          </w:p>
        </w:tc>
        <w:tc>
          <w:tcPr>
            <w:tcW w:w="2393" w:type="dxa"/>
            <w:shd w:val="clear" w:color="000000" w:fill="FFFFFF"/>
            <w:tcMar>
              <w:top w:w="57" w:type="dxa"/>
            </w:tcMar>
            <w:hideMark/>
          </w:tcPr>
          <w:p w14:paraId="2A7ECEBE" w14:textId="77777777" w:rsidR="00FF01D6" w:rsidRPr="00EF0277" w:rsidRDefault="00FF01D6" w:rsidP="00986700">
            <w:pPr>
              <w:rPr>
                <w:sz w:val="16"/>
                <w:szCs w:val="16"/>
              </w:rPr>
            </w:pPr>
            <w:r w:rsidRPr="00EF0277">
              <w:rPr>
                <w:sz w:val="16"/>
                <w:szCs w:val="16"/>
              </w:rPr>
              <w:t>90% des nouveaux contrats avec des prestataires externes font l’objet d’une évaluation du risque de tiers</w:t>
            </w:r>
          </w:p>
          <w:p w14:paraId="5DCE2A36" w14:textId="77777777" w:rsidR="00FF01D6" w:rsidRPr="00EF0277" w:rsidRDefault="00FF01D6" w:rsidP="00986700">
            <w:pPr>
              <w:rPr>
                <w:sz w:val="16"/>
                <w:szCs w:val="16"/>
              </w:rPr>
            </w:pPr>
            <w:r w:rsidRPr="00EF0277">
              <w:rPr>
                <w:sz w:val="16"/>
                <w:szCs w:val="16"/>
              </w:rPr>
              <w:t>Obtenir une meilleure harmonisation grâce à l’automatisation et à la formation dans au moins 4 processus de gestion de la sécurité</w:t>
            </w:r>
          </w:p>
        </w:tc>
      </w:tr>
      <w:tr w:rsidR="00FF01D6" w:rsidRPr="00EF0277" w14:paraId="7E5AD02A" w14:textId="77777777" w:rsidTr="00FF01D6">
        <w:trPr>
          <w:cantSplit/>
        </w:trPr>
        <w:tc>
          <w:tcPr>
            <w:tcW w:w="2392" w:type="dxa"/>
            <w:shd w:val="clear" w:color="000000" w:fill="FFFFFF"/>
            <w:tcMar>
              <w:top w:w="57" w:type="dxa"/>
            </w:tcMar>
            <w:vAlign w:val="bottom"/>
            <w:hideMark/>
          </w:tcPr>
          <w:p w14:paraId="3FB43D6D" w14:textId="77777777" w:rsidR="00FF01D6" w:rsidRPr="00EF0277" w:rsidRDefault="00FF01D6" w:rsidP="00986700">
            <w:pPr>
              <w:jc w:val="right"/>
              <w:rPr>
                <w:sz w:val="16"/>
                <w:szCs w:val="16"/>
              </w:rPr>
            </w:pPr>
            <w:r w:rsidRPr="00EF0277">
              <w:rPr>
                <w:sz w:val="16"/>
                <w:szCs w:val="16"/>
              </w:rPr>
              <w:lastRenderedPageBreak/>
              <w:t> </w:t>
            </w:r>
          </w:p>
        </w:tc>
        <w:tc>
          <w:tcPr>
            <w:tcW w:w="2393" w:type="dxa"/>
            <w:shd w:val="clear" w:color="000000" w:fill="FFFFFF"/>
            <w:tcMar>
              <w:top w:w="57" w:type="dxa"/>
            </w:tcMar>
            <w:hideMark/>
          </w:tcPr>
          <w:p w14:paraId="00A55392" w14:textId="77777777" w:rsidR="00FF01D6" w:rsidRPr="00EF0277" w:rsidRDefault="00FF01D6" w:rsidP="00986700">
            <w:pPr>
              <w:rPr>
                <w:sz w:val="16"/>
                <w:szCs w:val="16"/>
              </w:rPr>
            </w:pPr>
            <w:r w:rsidRPr="00EF0277">
              <w:rPr>
                <w:sz w:val="16"/>
                <w:szCs w:val="16"/>
              </w:rPr>
              <w:t>Les failles de sécurité informatique sont corrigées dans les délais impartis</w:t>
            </w:r>
          </w:p>
        </w:tc>
        <w:tc>
          <w:tcPr>
            <w:tcW w:w="2393" w:type="dxa"/>
            <w:shd w:val="clear" w:color="000000" w:fill="FFFFFF"/>
            <w:tcMar>
              <w:top w:w="57" w:type="dxa"/>
            </w:tcMar>
            <w:hideMark/>
          </w:tcPr>
          <w:p w14:paraId="6183BAC4" w14:textId="77777777" w:rsidR="00FF01D6" w:rsidRPr="00EF0277" w:rsidRDefault="00FF01D6" w:rsidP="00986700">
            <w:pPr>
              <w:rPr>
                <w:sz w:val="16"/>
                <w:szCs w:val="16"/>
              </w:rPr>
            </w:pPr>
            <w:r w:rsidRPr="00EF0277">
              <w:rPr>
                <w:sz w:val="16"/>
                <w:szCs w:val="16"/>
              </w:rPr>
              <w:t>90% des systèmes sensibles ne présentent pas de failles à risque ou à haut risque</w:t>
            </w:r>
          </w:p>
          <w:p w14:paraId="15A0C9EC" w14:textId="77777777" w:rsidR="00FF01D6" w:rsidRPr="00EF0277" w:rsidRDefault="00FF01D6" w:rsidP="00986700">
            <w:pPr>
              <w:rPr>
                <w:sz w:val="16"/>
                <w:szCs w:val="16"/>
              </w:rPr>
            </w:pPr>
          </w:p>
          <w:p w14:paraId="546F2412" w14:textId="77777777" w:rsidR="00FF01D6" w:rsidRPr="00EF0277" w:rsidRDefault="00FF01D6" w:rsidP="00986700">
            <w:pPr>
              <w:rPr>
                <w:sz w:val="16"/>
                <w:szCs w:val="16"/>
              </w:rPr>
            </w:pPr>
            <w:r w:rsidRPr="00EF0277">
              <w:rPr>
                <w:sz w:val="16"/>
                <w:szCs w:val="16"/>
              </w:rPr>
              <w:t>Pourcentage des systèmes non sensibles qui ne présentent pas de failles à risque ou à haut risque (à déterminer en 2017)</w:t>
            </w:r>
          </w:p>
        </w:tc>
        <w:tc>
          <w:tcPr>
            <w:tcW w:w="2393" w:type="dxa"/>
            <w:shd w:val="clear" w:color="000000" w:fill="FFFFFF"/>
            <w:tcMar>
              <w:top w:w="57" w:type="dxa"/>
            </w:tcMar>
            <w:hideMark/>
          </w:tcPr>
          <w:p w14:paraId="46C7AF5D" w14:textId="77777777" w:rsidR="00FF01D6" w:rsidRPr="00EF0277" w:rsidRDefault="00FF01D6" w:rsidP="00986700">
            <w:pPr>
              <w:rPr>
                <w:sz w:val="16"/>
                <w:szCs w:val="16"/>
              </w:rPr>
            </w:pPr>
            <w:r w:rsidRPr="00EF0277">
              <w:rPr>
                <w:sz w:val="16"/>
                <w:szCs w:val="16"/>
              </w:rPr>
              <w:t>90% des failles à risque ou à haut risque dans les systèmes sensibles sont corrigées</w:t>
            </w:r>
          </w:p>
          <w:p w14:paraId="759F610B" w14:textId="77777777" w:rsidR="00FF01D6" w:rsidRPr="00EF0277" w:rsidRDefault="00FF01D6" w:rsidP="00986700">
            <w:pPr>
              <w:rPr>
                <w:sz w:val="16"/>
                <w:szCs w:val="16"/>
              </w:rPr>
            </w:pPr>
            <w:r w:rsidRPr="00EF0277">
              <w:rPr>
                <w:sz w:val="16"/>
                <w:szCs w:val="16"/>
              </w:rPr>
              <w:t>50% des failles à risque ou à haut risque dans les systèmes non sensibles sont corrigées</w:t>
            </w:r>
          </w:p>
        </w:tc>
      </w:tr>
      <w:tr w:rsidR="00FF01D6" w:rsidRPr="00EF0277" w14:paraId="18C0EE73" w14:textId="77777777" w:rsidTr="00FF01D6">
        <w:trPr>
          <w:cantSplit/>
        </w:trPr>
        <w:tc>
          <w:tcPr>
            <w:tcW w:w="2392" w:type="dxa"/>
            <w:shd w:val="clear" w:color="000000" w:fill="FFFFFF"/>
            <w:tcMar>
              <w:top w:w="57" w:type="dxa"/>
            </w:tcMar>
            <w:vAlign w:val="bottom"/>
            <w:hideMark/>
          </w:tcPr>
          <w:p w14:paraId="7CF0CE1F" w14:textId="77777777" w:rsidR="00FF01D6" w:rsidRPr="00EF0277" w:rsidRDefault="00FF01D6" w:rsidP="00986700">
            <w:pPr>
              <w:jc w:val="right"/>
              <w:rPr>
                <w:sz w:val="16"/>
                <w:szCs w:val="16"/>
              </w:rPr>
            </w:pPr>
            <w:r w:rsidRPr="00EF0277">
              <w:rPr>
                <w:sz w:val="16"/>
                <w:szCs w:val="16"/>
              </w:rPr>
              <w:t> </w:t>
            </w:r>
          </w:p>
        </w:tc>
        <w:tc>
          <w:tcPr>
            <w:tcW w:w="2393" w:type="dxa"/>
            <w:shd w:val="clear" w:color="000000" w:fill="FFFFFF"/>
            <w:tcMar>
              <w:top w:w="57" w:type="dxa"/>
            </w:tcMar>
            <w:hideMark/>
          </w:tcPr>
          <w:p w14:paraId="3D2066A2" w14:textId="77777777" w:rsidR="00FF01D6" w:rsidRPr="00EF0277" w:rsidRDefault="00FF01D6" w:rsidP="00986700">
            <w:pPr>
              <w:rPr>
                <w:sz w:val="16"/>
                <w:szCs w:val="16"/>
              </w:rPr>
            </w:pPr>
            <w:r w:rsidRPr="00EF0277">
              <w:rPr>
                <w:sz w:val="16"/>
                <w:szCs w:val="16"/>
              </w:rPr>
              <w:t>Respect accru des politiques en matière de sécurité informatique</w:t>
            </w:r>
          </w:p>
        </w:tc>
        <w:tc>
          <w:tcPr>
            <w:tcW w:w="2393" w:type="dxa"/>
            <w:shd w:val="clear" w:color="000000" w:fill="FFFFFF"/>
            <w:tcMar>
              <w:top w:w="57" w:type="dxa"/>
            </w:tcMar>
            <w:hideMark/>
          </w:tcPr>
          <w:p w14:paraId="1F0E39EF" w14:textId="77777777" w:rsidR="00FF01D6" w:rsidRPr="00EF0277" w:rsidRDefault="00FF01D6" w:rsidP="00986700">
            <w:pPr>
              <w:rPr>
                <w:sz w:val="16"/>
                <w:szCs w:val="16"/>
              </w:rPr>
            </w:pPr>
            <w:r w:rsidRPr="00EF0277">
              <w:rPr>
                <w:sz w:val="16"/>
                <w:szCs w:val="16"/>
              </w:rPr>
              <w:t>Conformité et certification à la norme ISO 27001 étendues aux demandes pour La Haye, Madrid et les ressources humaines</w:t>
            </w:r>
          </w:p>
        </w:tc>
        <w:tc>
          <w:tcPr>
            <w:tcW w:w="2393" w:type="dxa"/>
            <w:shd w:val="clear" w:color="000000" w:fill="FFFFFF"/>
            <w:tcMar>
              <w:top w:w="57" w:type="dxa"/>
            </w:tcMar>
            <w:hideMark/>
          </w:tcPr>
          <w:p w14:paraId="7FD13A92" w14:textId="77777777" w:rsidR="00FF01D6" w:rsidRPr="00EF0277" w:rsidRDefault="00FF01D6" w:rsidP="00986700">
            <w:pPr>
              <w:rPr>
                <w:sz w:val="16"/>
                <w:szCs w:val="16"/>
              </w:rPr>
            </w:pPr>
            <w:r w:rsidRPr="00EF0277">
              <w:rPr>
                <w:sz w:val="16"/>
                <w:szCs w:val="16"/>
              </w:rPr>
              <w:t>2 domaines d’activités supplémentaires conformes à la norme ISO 27001</w:t>
            </w:r>
          </w:p>
        </w:tc>
      </w:tr>
      <w:tr w:rsidR="00FF01D6" w:rsidRPr="00EF0277" w14:paraId="79D2CAC2" w14:textId="77777777" w:rsidTr="00FF01D6">
        <w:trPr>
          <w:cantSplit/>
        </w:trPr>
        <w:tc>
          <w:tcPr>
            <w:tcW w:w="2392" w:type="dxa"/>
            <w:shd w:val="clear" w:color="000000" w:fill="FFFFFF"/>
            <w:tcMar>
              <w:top w:w="57" w:type="dxa"/>
            </w:tcMar>
            <w:vAlign w:val="bottom"/>
            <w:hideMark/>
          </w:tcPr>
          <w:p w14:paraId="3C886B8C" w14:textId="77777777" w:rsidR="00FF01D6" w:rsidRPr="00EF0277" w:rsidRDefault="00FF01D6" w:rsidP="00986700">
            <w:pPr>
              <w:jc w:val="right"/>
              <w:rPr>
                <w:sz w:val="16"/>
                <w:szCs w:val="16"/>
              </w:rPr>
            </w:pPr>
            <w:r w:rsidRPr="00EF0277">
              <w:rPr>
                <w:sz w:val="16"/>
                <w:szCs w:val="16"/>
              </w:rPr>
              <w:t> </w:t>
            </w:r>
          </w:p>
        </w:tc>
        <w:tc>
          <w:tcPr>
            <w:tcW w:w="2393" w:type="dxa"/>
            <w:shd w:val="clear" w:color="000000" w:fill="FFFFFF"/>
            <w:tcMar>
              <w:top w:w="57" w:type="dxa"/>
            </w:tcMar>
            <w:hideMark/>
          </w:tcPr>
          <w:p w14:paraId="5892B56C" w14:textId="77777777" w:rsidR="00FF01D6" w:rsidRPr="00EF0277" w:rsidRDefault="00FF01D6" w:rsidP="00986700">
            <w:pPr>
              <w:rPr>
                <w:sz w:val="16"/>
                <w:szCs w:val="16"/>
              </w:rPr>
            </w:pPr>
            <w:r w:rsidRPr="00EF0277">
              <w:rPr>
                <w:sz w:val="16"/>
                <w:szCs w:val="16"/>
              </w:rPr>
              <w:t>Capacité accrue de détection des menaces informatiques et de réaction à ces menaces, garantissant une interruption minimale des opérations</w:t>
            </w:r>
          </w:p>
        </w:tc>
        <w:tc>
          <w:tcPr>
            <w:tcW w:w="2393" w:type="dxa"/>
            <w:shd w:val="clear" w:color="000000" w:fill="FFFFFF"/>
            <w:tcMar>
              <w:top w:w="57" w:type="dxa"/>
            </w:tcMar>
            <w:hideMark/>
          </w:tcPr>
          <w:p w14:paraId="0F46C8BA" w14:textId="2A43723F" w:rsidR="00FF01D6" w:rsidRPr="00EF0277" w:rsidRDefault="00FF01D6" w:rsidP="00A97FA0">
            <w:pPr>
              <w:rPr>
                <w:sz w:val="16"/>
                <w:szCs w:val="16"/>
              </w:rPr>
            </w:pPr>
            <w:r w:rsidRPr="00EF0277">
              <w:rPr>
                <w:sz w:val="16"/>
                <w:szCs w:val="16"/>
              </w:rPr>
              <w:t xml:space="preserve">À déterminer </w:t>
            </w:r>
          </w:p>
        </w:tc>
        <w:tc>
          <w:tcPr>
            <w:tcW w:w="2393" w:type="dxa"/>
            <w:shd w:val="clear" w:color="000000" w:fill="FFFFFF"/>
            <w:tcMar>
              <w:top w:w="57" w:type="dxa"/>
            </w:tcMar>
            <w:hideMark/>
          </w:tcPr>
          <w:p w14:paraId="298F4EE7" w14:textId="7882AA88" w:rsidR="00FF01D6" w:rsidRPr="00EF0277" w:rsidRDefault="00FF01D6" w:rsidP="00A97FA0">
            <w:pPr>
              <w:rPr>
                <w:sz w:val="16"/>
                <w:szCs w:val="16"/>
              </w:rPr>
            </w:pPr>
            <w:r w:rsidRPr="00EF0277">
              <w:rPr>
                <w:sz w:val="16"/>
                <w:szCs w:val="16"/>
              </w:rPr>
              <w:t xml:space="preserve">À déterminer </w:t>
            </w:r>
          </w:p>
        </w:tc>
      </w:tr>
    </w:tbl>
    <w:p w14:paraId="26B96253" w14:textId="77777777" w:rsidR="00FF01D6" w:rsidRPr="00EF0277" w:rsidRDefault="00FF01D6" w:rsidP="00986700"/>
    <w:tbl>
      <w:tblPr>
        <w:tblW w:w="5000" w:type="pct"/>
        <w:tblCellMar>
          <w:top w:w="57" w:type="dxa"/>
          <w:bottom w:w="57" w:type="dxa"/>
        </w:tblCellMar>
        <w:tblLook w:val="01E0" w:firstRow="1" w:lastRow="1" w:firstColumn="1" w:lastColumn="1" w:noHBand="0" w:noVBand="0"/>
      </w:tblPr>
      <w:tblGrid>
        <w:gridCol w:w="9287"/>
      </w:tblGrid>
      <w:tr w:rsidR="00277197" w:rsidRPr="00821D15" w14:paraId="7C91A026" w14:textId="77777777" w:rsidTr="001A722F">
        <w:trPr>
          <w:cantSplit/>
        </w:trPr>
        <w:tc>
          <w:tcPr>
            <w:tcW w:w="9571" w:type="dxa"/>
            <w:shd w:val="clear" w:color="auto" w:fill="C6D9F1" w:themeFill="text2" w:themeFillTint="33"/>
            <w:vAlign w:val="center"/>
          </w:tcPr>
          <w:p w14:paraId="6D80AD9F" w14:textId="77777777" w:rsidR="00277197" w:rsidRPr="00821D15" w:rsidRDefault="00277197" w:rsidP="00986700">
            <w:pPr>
              <w:jc w:val="center"/>
              <w:rPr>
                <w:rFonts w:cs="Arial"/>
                <w:b/>
                <w:szCs w:val="20"/>
              </w:rPr>
            </w:pPr>
            <w:r w:rsidRPr="00821D15">
              <w:rPr>
                <w:rFonts w:cs="Arial"/>
                <w:b/>
                <w:szCs w:val="20"/>
              </w:rPr>
              <w:t>Ressources allouées au programme 28</w:t>
            </w:r>
          </w:p>
        </w:tc>
      </w:tr>
    </w:tbl>
    <w:p w14:paraId="79B9C784" w14:textId="77777777" w:rsidR="00277197" w:rsidRPr="00821D15" w:rsidRDefault="00277197" w:rsidP="00986700">
      <w:pPr>
        <w:rPr>
          <w:rFonts w:cs="Arial"/>
          <w:szCs w:val="20"/>
        </w:rPr>
      </w:pPr>
    </w:p>
    <w:p w14:paraId="6727FA94" w14:textId="77777777" w:rsidR="00277197" w:rsidRPr="00821D15" w:rsidRDefault="00277197" w:rsidP="00616FD3">
      <w:pPr>
        <w:pStyle w:val="ListParagraph"/>
        <w:numPr>
          <w:ilvl w:val="0"/>
          <w:numId w:val="90"/>
        </w:numPr>
        <w:ind w:firstLine="0"/>
        <w:jc w:val="both"/>
        <w:rPr>
          <w:rFonts w:cs="Arial"/>
          <w:szCs w:val="20"/>
        </w:rPr>
      </w:pPr>
      <w:r w:rsidRPr="00821D15">
        <w:rPr>
          <w:rFonts w:cs="Arial"/>
          <w:szCs w:val="20"/>
        </w:rPr>
        <w:t>Les ressources globales allouées au programme en 2018</w:t>
      </w:r>
      <w:r w:rsidRPr="00821D15">
        <w:rPr>
          <w:rFonts w:cs="Arial"/>
          <w:szCs w:val="20"/>
        </w:rPr>
        <w:noBreakHyphen/>
        <w:t>2019 indiquent une hausse de 30,3% par rapport au budget approuvé pour 2016</w:t>
      </w:r>
      <w:r w:rsidRPr="00821D15">
        <w:rPr>
          <w:rFonts w:cs="Arial"/>
          <w:szCs w:val="20"/>
        </w:rPr>
        <w:noBreakHyphen/>
        <w:t>2017.</w:t>
      </w:r>
    </w:p>
    <w:p w14:paraId="03C4E1B3" w14:textId="77777777" w:rsidR="00277197" w:rsidRPr="00821D15" w:rsidRDefault="00277197" w:rsidP="00986700">
      <w:pPr>
        <w:rPr>
          <w:rFonts w:cs="Arial"/>
          <w:szCs w:val="20"/>
        </w:rPr>
      </w:pPr>
    </w:p>
    <w:p w14:paraId="33135304" w14:textId="77777777" w:rsidR="00277197" w:rsidRPr="00821D15" w:rsidRDefault="00277197" w:rsidP="00616FD3">
      <w:pPr>
        <w:pStyle w:val="ListParagraph"/>
        <w:numPr>
          <w:ilvl w:val="0"/>
          <w:numId w:val="90"/>
        </w:numPr>
        <w:ind w:firstLine="0"/>
        <w:jc w:val="both"/>
        <w:rPr>
          <w:rFonts w:cs="Arial"/>
          <w:szCs w:val="20"/>
        </w:rPr>
      </w:pPr>
      <w:r w:rsidRPr="00821D15">
        <w:rPr>
          <w:rFonts w:cs="Arial"/>
          <w:szCs w:val="20"/>
        </w:rPr>
        <w:t>L’augmentation du nombre de postes et des dépenses de personnel correspondantes résulte de la création de deux postes temporaires pour appuyer la mise en œuvre des stratégies en matière de sécurité de l’information.</w:t>
      </w:r>
    </w:p>
    <w:p w14:paraId="076482C5" w14:textId="77777777" w:rsidR="00277197" w:rsidRPr="00821D15" w:rsidRDefault="00277197" w:rsidP="00986700">
      <w:pPr>
        <w:rPr>
          <w:rFonts w:cs="Arial"/>
          <w:szCs w:val="20"/>
        </w:rPr>
      </w:pPr>
    </w:p>
    <w:p w14:paraId="35F96987" w14:textId="53DA4301" w:rsidR="00277197" w:rsidRPr="00821D15" w:rsidRDefault="00277197" w:rsidP="00616FD3">
      <w:pPr>
        <w:pStyle w:val="ListParagraph"/>
        <w:keepNext/>
        <w:keepLines/>
        <w:numPr>
          <w:ilvl w:val="0"/>
          <w:numId w:val="90"/>
        </w:numPr>
        <w:ind w:firstLine="0"/>
        <w:jc w:val="both"/>
        <w:rPr>
          <w:rFonts w:cs="Arial"/>
          <w:szCs w:val="20"/>
        </w:rPr>
      </w:pPr>
      <w:r w:rsidRPr="00821D15">
        <w:rPr>
          <w:rFonts w:cs="Arial"/>
          <w:szCs w:val="20"/>
        </w:rPr>
        <w:t xml:space="preserve">L’augmentation des dépenses autres que les dépenses de personnel répond à la volonté de l’Organisation de mettre l’accent sur le renforcement de la sécurité de l’information et de la sécurité des personnes et des biens par i) l’ajout </w:t>
      </w:r>
      <w:r w:rsidR="00B604D7">
        <w:rPr>
          <w:rFonts w:cs="Arial"/>
          <w:szCs w:val="20"/>
        </w:rPr>
        <w:t xml:space="preserve">de clauses supplémentaires dans </w:t>
      </w:r>
      <w:r w:rsidRPr="00821D15">
        <w:rPr>
          <w:rFonts w:cs="Arial"/>
          <w:szCs w:val="20"/>
        </w:rPr>
        <w:t>le contrat des agents de sécurité et ii) une augmentation des exigences en matière de capacité d’intensification compte tenu de la structure des dépenses réelles en 2016</w:t>
      </w:r>
      <w:r w:rsidRPr="00821D15">
        <w:rPr>
          <w:rFonts w:cs="Arial"/>
          <w:szCs w:val="20"/>
        </w:rPr>
        <w:noBreakHyphen/>
        <w:t>2017.</w:t>
      </w:r>
    </w:p>
    <w:p w14:paraId="234C2D61" w14:textId="77777777" w:rsidR="00A3500F" w:rsidRDefault="00A3500F" w:rsidP="00986700">
      <w:pPr>
        <w:rPr>
          <w:lang w:eastAsia="en-US"/>
        </w:rPr>
      </w:pPr>
    </w:p>
    <w:p w14:paraId="0B21E3ED" w14:textId="707FA692" w:rsidR="00A3500F" w:rsidRPr="00674550" w:rsidRDefault="00A3500F" w:rsidP="00986700">
      <w:pPr>
        <w:keepNext/>
        <w:keepLines/>
        <w:jc w:val="center"/>
        <w:rPr>
          <w:rFonts w:eastAsia="Times New Roman" w:cs="Arial"/>
          <w:b/>
          <w:szCs w:val="20"/>
          <w:lang w:eastAsia="en-US"/>
        </w:rPr>
      </w:pPr>
      <w:r>
        <w:rPr>
          <w:rFonts w:eastAsia="Times New Roman" w:cs="Arial"/>
          <w:b/>
          <w:szCs w:val="20"/>
          <w:lang w:eastAsia="en-US"/>
        </w:rPr>
        <w:t xml:space="preserve">Programme 28 : </w:t>
      </w:r>
      <w:r w:rsidRPr="00674550">
        <w:rPr>
          <w:rFonts w:eastAsia="Times New Roman" w:cs="Arial"/>
          <w:b/>
          <w:szCs w:val="20"/>
          <w:lang w:eastAsia="en-US"/>
        </w:rPr>
        <w:t>Ressources par résultat</w:t>
      </w:r>
    </w:p>
    <w:p w14:paraId="2E31A67C" w14:textId="77777777" w:rsidR="00A3500F" w:rsidRPr="00674550" w:rsidRDefault="00A3500F" w:rsidP="00986700">
      <w:pPr>
        <w:keepNext/>
        <w:keepLines/>
        <w:jc w:val="center"/>
        <w:rPr>
          <w:rFonts w:eastAsia="Times New Roman" w:cs="Arial"/>
          <w:i/>
          <w:iCs/>
          <w:szCs w:val="20"/>
          <w:lang w:eastAsia="en-US"/>
        </w:rPr>
      </w:pPr>
      <w:r w:rsidRPr="00674550">
        <w:rPr>
          <w:rFonts w:eastAsia="Times New Roman" w:cs="Arial"/>
          <w:i/>
          <w:iCs/>
          <w:szCs w:val="20"/>
          <w:lang w:eastAsia="en-US"/>
        </w:rPr>
        <w:t>(en milliers de francs suisses)</w:t>
      </w:r>
    </w:p>
    <w:p w14:paraId="3C75B808" w14:textId="77777777" w:rsidR="00A3500F" w:rsidRDefault="00A3500F" w:rsidP="00986700">
      <w:pPr>
        <w:rPr>
          <w:lang w:eastAsia="en-US"/>
        </w:rPr>
      </w:pPr>
    </w:p>
    <w:p w14:paraId="72B0DC74" w14:textId="134D1F89" w:rsidR="008776A0" w:rsidRDefault="008776A0" w:rsidP="00986700">
      <w:pPr>
        <w:jc w:val="center"/>
        <w:rPr>
          <w:lang w:eastAsia="en-US"/>
        </w:rPr>
      </w:pPr>
      <w:r w:rsidRPr="008776A0">
        <w:rPr>
          <w:noProof/>
          <w:lang w:val="en-US" w:eastAsia="en-US"/>
        </w:rPr>
        <w:drawing>
          <wp:inline distT="0" distB="0" distL="0" distR="0" wp14:anchorId="29DCE383" wp14:editId="2500FEF9">
            <wp:extent cx="5400000" cy="1638229"/>
            <wp:effectExtent l="0" t="0" r="0" b="63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00000" cy="1638229"/>
                    </a:xfrm>
                    <a:prstGeom prst="rect">
                      <a:avLst/>
                    </a:prstGeom>
                    <a:noFill/>
                    <a:ln>
                      <a:noFill/>
                    </a:ln>
                  </pic:spPr>
                </pic:pic>
              </a:graphicData>
            </a:graphic>
          </wp:inline>
        </w:drawing>
      </w:r>
    </w:p>
    <w:p w14:paraId="51684F8F" w14:textId="77777777" w:rsidR="00B55ECC" w:rsidRDefault="00B55ECC" w:rsidP="00986700">
      <w:pPr>
        <w:rPr>
          <w:lang w:eastAsia="en-US"/>
        </w:rPr>
      </w:pPr>
    </w:p>
    <w:p w14:paraId="29F88BD9" w14:textId="77777777" w:rsidR="0027684D" w:rsidRPr="00B55ECC" w:rsidRDefault="00B55ECC" w:rsidP="00986700">
      <w:pPr>
        <w:keepNext/>
        <w:keepLines/>
        <w:jc w:val="center"/>
        <w:rPr>
          <w:rFonts w:asciiTheme="minorBidi" w:eastAsia="Times New Roman" w:hAnsiTheme="minorBidi"/>
          <w:b/>
          <w:sz w:val="18"/>
          <w:szCs w:val="18"/>
          <w:lang w:eastAsia="en-US"/>
        </w:rPr>
      </w:pPr>
      <w:r w:rsidRPr="00B55ECC">
        <w:rPr>
          <w:rFonts w:asciiTheme="minorBidi" w:eastAsia="Times New Roman" w:hAnsiTheme="minorBidi"/>
          <w:b/>
          <w:sz w:val="18"/>
          <w:szCs w:val="18"/>
          <w:lang w:eastAsia="en-US"/>
        </w:rPr>
        <w:lastRenderedPageBreak/>
        <w:t xml:space="preserve">Programme </w:t>
      </w:r>
      <w:r>
        <w:rPr>
          <w:rFonts w:asciiTheme="minorBidi" w:eastAsia="Times New Roman" w:hAnsiTheme="minorBidi"/>
          <w:b/>
          <w:sz w:val="18"/>
          <w:szCs w:val="18"/>
          <w:lang w:eastAsia="en-US"/>
        </w:rPr>
        <w:t>28</w:t>
      </w:r>
      <w:r w:rsidRPr="00B55ECC">
        <w:rPr>
          <w:rFonts w:asciiTheme="minorBidi" w:eastAsia="Times New Roman" w:hAnsiTheme="minorBidi"/>
          <w:b/>
          <w:sz w:val="18"/>
          <w:szCs w:val="18"/>
          <w:lang w:eastAsia="en-US"/>
        </w:rPr>
        <w:t xml:space="preserve"> : </w:t>
      </w:r>
      <w:r w:rsidR="0027684D" w:rsidRPr="00B55ECC">
        <w:rPr>
          <w:rFonts w:asciiTheme="minorBidi" w:eastAsia="Times New Roman" w:hAnsiTheme="minorBidi"/>
          <w:b/>
          <w:sz w:val="18"/>
          <w:szCs w:val="18"/>
          <w:lang w:eastAsia="en-US"/>
        </w:rPr>
        <w:t xml:space="preserve">Ressources par </w:t>
      </w:r>
      <w:r w:rsidR="0027684D">
        <w:rPr>
          <w:rFonts w:asciiTheme="minorBidi" w:eastAsia="Times New Roman" w:hAnsiTheme="minorBidi"/>
          <w:b/>
          <w:sz w:val="18"/>
          <w:szCs w:val="18"/>
          <w:lang w:eastAsia="en-US"/>
        </w:rPr>
        <w:t>objet</w:t>
      </w:r>
      <w:r w:rsidR="0027684D" w:rsidRPr="00B55ECC">
        <w:rPr>
          <w:rFonts w:asciiTheme="minorBidi" w:eastAsia="Times New Roman" w:hAnsiTheme="minorBidi"/>
          <w:b/>
          <w:sz w:val="18"/>
          <w:szCs w:val="18"/>
          <w:lang w:eastAsia="en-US"/>
        </w:rPr>
        <w:t xml:space="preserve"> de dépense</w:t>
      </w:r>
    </w:p>
    <w:p w14:paraId="236C0AF5" w14:textId="3F19DC9F" w:rsidR="008778B5" w:rsidRDefault="0027684D" w:rsidP="00986700">
      <w:pPr>
        <w:keepNext/>
        <w:keepLines/>
        <w:jc w:val="center"/>
        <w:rPr>
          <w:rFonts w:asciiTheme="minorBidi" w:eastAsia="Times New Roman" w:hAnsiTheme="minorBidi"/>
          <w:i/>
          <w:iCs/>
          <w:sz w:val="16"/>
          <w:szCs w:val="16"/>
          <w:lang w:eastAsia="en-US"/>
        </w:rPr>
      </w:pPr>
      <w:r w:rsidRPr="00E16214">
        <w:rPr>
          <w:rFonts w:asciiTheme="minorBidi" w:eastAsia="Times New Roman" w:hAnsiTheme="minorBidi"/>
          <w:i/>
          <w:iCs/>
          <w:sz w:val="16"/>
          <w:szCs w:val="16"/>
          <w:lang w:eastAsia="en-US"/>
        </w:rPr>
        <w:t>(en milliers de francs suisses)</w:t>
      </w:r>
    </w:p>
    <w:p w14:paraId="02ED2F53" w14:textId="77777777" w:rsidR="008778B5" w:rsidRDefault="008778B5" w:rsidP="00986700">
      <w:pPr>
        <w:keepNext/>
        <w:rPr>
          <w:lang w:eastAsia="en-US"/>
        </w:rPr>
      </w:pPr>
    </w:p>
    <w:p w14:paraId="706E439C" w14:textId="4DC43D1D" w:rsidR="00B55ECC" w:rsidRDefault="00155E4B" w:rsidP="00986700">
      <w:pPr>
        <w:jc w:val="center"/>
        <w:rPr>
          <w:lang w:eastAsia="en-US"/>
        </w:rPr>
      </w:pPr>
      <w:r w:rsidRPr="00155E4B">
        <w:rPr>
          <w:noProof/>
          <w:lang w:val="en-US" w:eastAsia="en-US"/>
        </w:rPr>
        <w:drawing>
          <wp:inline distT="0" distB="0" distL="0" distR="0" wp14:anchorId="08658ADB" wp14:editId="3D5172FC">
            <wp:extent cx="5400000" cy="6031770"/>
            <wp:effectExtent l="0" t="0" r="0" b="762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00000" cy="6031770"/>
                    </a:xfrm>
                    <a:prstGeom prst="rect">
                      <a:avLst/>
                    </a:prstGeom>
                    <a:noFill/>
                    <a:ln>
                      <a:noFill/>
                    </a:ln>
                  </pic:spPr>
                </pic:pic>
              </a:graphicData>
            </a:graphic>
          </wp:inline>
        </w:drawing>
      </w:r>
    </w:p>
    <w:p w14:paraId="5124B421" w14:textId="77777777" w:rsidR="00B55ECC" w:rsidRPr="00E16214" w:rsidRDefault="00B55ECC" w:rsidP="00986700">
      <w:pPr>
        <w:rPr>
          <w:lang w:eastAsia="en-US"/>
        </w:rPr>
      </w:pPr>
    </w:p>
    <w:p w14:paraId="7A59C73B" w14:textId="7548041A" w:rsidR="00AA49D8" w:rsidRDefault="00AA49D8" w:rsidP="00986700">
      <w:pPr>
        <w:rPr>
          <w:lang w:eastAsia="en-US"/>
        </w:rPr>
      </w:pPr>
    </w:p>
    <w:p w14:paraId="5AAA0CCA" w14:textId="77777777" w:rsidR="00436D87" w:rsidRDefault="00436D87" w:rsidP="00986700">
      <w:pPr>
        <w:pStyle w:val="Heading1"/>
        <w:rPr>
          <w:rFonts w:hint="eastAsia"/>
        </w:rPr>
        <w:sectPr w:rsidR="00436D87" w:rsidSect="0060494B">
          <w:headerReference w:type="even" r:id="rId212"/>
          <w:headerReference w:type="default" r:id="rId213"/>
          <w:pgSz w:w="11907" w:h="16839" w:code="9"/>
          <w:pgMar w:top="567" w:right="1418" w:bottom="1418" w:left="1418" w:header="510" w:footer="1021" w:gutter="0"/>
          <w:cols w:space="720"/>
          <w:docGrid w:linePitch="299"/>
        </w:sectPr>
      </w:pPr>
      <w:bookmarkStart w:id="83" w:name="_Toc293334843"/>
      <w:bookmarkStart w:id="84" w:name="_Toc298920425"/>
      <w:bookmarkStart w:id="85" w:name="_Toc356567789"/>
      <w:bookmarkStart w:id="86" w:name="_Toc367350615"/>
    </w:p>
    <w:p w14:paraId="5D694CD4" w14:textId="1B3EFE2F" w:rsidR="00D21BE2" w:rsidRDefault="00D21BE2" w:rsidP="00986700">
      <w:pPr>
        <w:pStyle w:val="Heading1"/>
        <w:rPr>
          <w:rFonts w:hint="eastAsia"/>
        </w:rPr>
      </w:pPr>
      <w:bookmarkStart w:id="87" w:name="_Toc482979514"/>
      <w:r>
        <w:lastRenderedPageBreak/>
        <w:t>III.</w:t>
      </w:r>
      <w:r>
        <w:tab/>
        <w:t>Annexes</w:t>
      </w:r>
      <w:bookmarkEnd w:id="87"/>
    </w:p>
    <w:p w14:paraId="2BB552FC" w14:textId="77777777" w:rsidR="00D21BE2" w:rsidRDefault="00D21BE2" w:rsidP="00986700"/>
    <w:p w14:paraId="03FDE370" w14:textId="36A63E36" w:rsidR="00436D87" w:rsidRDefault="00436D87" w:rsidP="00436D87">
      <w:pPr>
        <w:pStyle w:val="Heading2"/>
      </w:pPr>
      <w:bookmarkStart w:id="88" w:name="_Toc482979515"/>
      <w:r>
        <w:t>Annexe I</w:t>
      </w:r>
      <w:r>
        <w:tab/>
      </w:r>
      <w:r w:rsidRPr="00436D87">
        <w:t xml:space="preserve">Budget </w:t>
      </w:r>
      <w:r>
        <w:t>2016-2017</w:t>
      </w:r>
      <w:r w:rsidRPr="00436D87">
        <w:t xml:space="preserve"> après virements par programme</w:t>
      </w:r>
      <w:bookmarkEnd w:id="88"/>
    </w:p>
    <w:p w14:paraId="6219D210" w14:textId="77777777" w:rsidR="005C728F" w:rsidRDefault="005C728F" w:rsidP="005C728F"/>
    <w:p w14:paraId="139C9B43" w14:textId="3563C406" w:rsidR="005C728F" w:rsidRPr="005C728F" w:rsidRDefault="005C728F" w:rsidP="005C728F">
      <w:pPr>
        <w:jc w:val="center"/>
        <w:rPr>
          <w:b/>
        </w:rPr>
      </w:pPr>
      <w:r w:rsidRPr="005C728F">
        <w:rPr>
          <w:b/>
        </w:rPr>
        <w:t>Tableau 8.  Budget 2016-2017 après virements par programme</w:t>
      </w:r>
    </w:p>
    <w:p w14:paraId="29566523" w14:textId="7272B3AC" w:rsidR="005C728F" w:rsidRPr="005C728F" w:rsidRDefault="005C728F" w:rsidP="005C728F">
      <w:pPr>
        <w:jc w:val="center"/>
        <w:rPr>
          <w:i/>
        </w:rPr>
      </w:pPr>
      <w:r w:rsidRPr="005C728F">
        <w:rPr>
          <w:i/>
        </w:rPr>
        <w:t>(en milliers de francs suisses)</w:t>
      </w:r>
    </w:p>
    <w:p w14:paraId="22AD8159" w14:textId="77777777" w:rsidR="00436D87" w:rsidRDefault="00436D87" w:rsidP="00986700"/>
    <w:p w14:paraId="7ED3E757" w14:textId="77777777" w:rsidR="005C728F" w:rsidRDefault="00436D87" w:rsidP="00986700">
      <w:r w:rsidRPr="00436D87">
        <w:rPr>
          <w:rFonts w:hint="eastAsia"/>
          <w:noProof/>
          <w:lang w:val="en-US" w:eastAsia="en-US"/>
        </w:rPr>
        <w:drawing>
          <wp:inline distT="0" distB="0" distL="0" distR="0" wp14:anchorId="6C482495" wp14:editId="746C0736">
            <wp:extent cx="9432290" cy="4398353"/>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432290" cy="4398353"/>
                    </a:xfrm>
                    <a:prstGeom prst="rect">
                      <a:avLst/>
                    </a:prstGeom>
                    <a:noFill/>
                    <a:ln>
                      <a:noFill/>
                    </a:ln>
                  </pic:spPr>
                </pic:pic>
              </a:graphicData>
            </a:graphic>
          </wp:inline>
        </w:drawing>
      </w:r>
    </w:p>
    <w:p w14:paraId="2E4D2D1B" w14:textId="77777777" w:rsidR="005C728F" w:rsidRDefault="005C728F">
      <w:r>
        <w:br w:type="page"/>
      </w:r>
    </w:p>
    <w:p w14:paraId="17D66DA1" w14:textId="45897264" w:rsidR="00D21BE2" w:rsidRDefault="005C728F" w:rsidP="005C728F">
      <w:pPr>
        <w:pStyle w:val="Heading2"/>
      </w:pPr>
      <w:bookmarkStart w:id="89" w:name="_Toc482979516"/>
      <w:r>
        <w:lastRenderedPageBreak/>
        <w:t>Annexe II</w:t>
      </w:r>
      <w:r>
        <w:tab/>
      </w:r>
      <w:r w:rsidRPr="005C728F">
        <w:t>Ressources proposées pour 201</w:t>
      </w:r>
      <w:r>
        <w:t>8-2019</w:t>
      </w:r>
      <w:r w:rsidRPr="005C728F">
        <w:t xml:space="preserve"> par programme</w:t>
      </w:r>
      <w:bookmarkEnd w:id="89"/>
    </w:p>
    <w:p w14:paraId="688F435B" w14:textId="77777777" w:rsidR="005C728F" w:rsidRDefault="005C728F" w:rsidP="00986700"/>
    <w:p w14:paraId="158484CA" w14:textId="44DF5C39" w:rsidR="005C728F" w:rsidRPr="005C728F" w:rsidRDefault="005C728F" w:rsidP="005C728F">
      <w:pPr>
        <w:jc w:val="center"/>
        <w:rPr>
          <w:b/>
        </w:rPr>
      </w:pPr>
      <w:r w:rsidRPr="005C728F">
        <w:rPr>
          <w:b/>
        </w:rPr>
        <w:t xml:space="preserve">Tableau </w:t>
      </w:r>
      <w:r>
        <w:rPr>
          <w:b/>
        </w:rPr>
        <w:t>9</w:t>
      </w:r>
      <w:r w:rsidRPr="005C728F">
        <w:rPr>
          <w:b/>
        </w:rPr>
        <w:t xml:space="preserve">.  </w:t>
      </w:r>
      <w:r>
        <w:rPr>
          <w:b/>
        </w:rPr>
        <w:t>Budget 2018-2019</w:t>
      </w:r>
      <w:r w:rsidRPr="005C728F">
        <w:rPr>
          <w:b/>
        </w:rPr>
        <w:t xml:space="preserve"> par programme</w:t>
      </w:r>
    </w:p>
    <w:p w14:paraId="17E6EA04" w14:textId="77777777" w:rsidR="005C728F" w:rsidRPr="005C728F" w:rsidRDefault="005C728F" w:rsidP="005C728F">
      <w:pPr>
        <w:jc w:val="center"/>
        <w:rPr>
          <w:i/>
        </w:rPr>
      </w:pPr>
      <w:r w:rsidRPr="005C728F">
        <w:rPr>
          <w:i/>
        </w:rPr>
        <w:t>(en milliers de francs suisses)</w:t>
      </w:r>
    </w:p>
    <w:p w14:paraId="10AC4A83" w14:textId="77777777" w:rsidR="005C728F" w:rsidRDefault="005C728F" w:rsidP="005C728F"/>
    <w:p w14:paraId="1FAEABD7" w14:textId="7EF82DE0" w:rsidR="005C728F" w:rsidRDefault="005C728F" w:rsidP="00986700">
      <w:pPr>
        <w:rPr>
          <w:rFonts w:ascii="Arial Bold" w:eastAsia="SimSun" w:hAnsi="Arial Bold" w:cs="Arial" w:hint="eastAsia"/>
          <w:b/>
          <w:bCs/>
          <w:caps/>
          <w:kern w:val="32"/>
          <w:sz w:val="22"/>
          <w:szCs w:val="32"/>
          <w:lang w:eastAsia="en-US"/>
        </w:rPr>
      </w:pPr>
      <w:r w:rsidRPr="005C728F">
        <w:rPr>
          <w:rFonts w:hint="eastAsia"/>
          <w:noProof/>
          <w:lang w:val="en-US" w:eastAsia="en-US"/>
        </w:rPr>
        <w:drawing>
          <wp:inline distT="0" distB="0" distL="0" distR="0" wp14:anchorId="31ED95BA" wp14:editId="2A69362B">
            <wp:extent cx="8640000" cy="4980736"/>
            <wp:effectExtent l="0" t="0" r="889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640000" cy="4980736"/>
                    </a:xfrm>
                    <a:prstGeom prst="rect">
                      <a:avLst/>
                    </a:prstGeom>
                    <a:noFill/>
                    <a:ln>
                      <a:noFill/>
                    </a:ln>
                  </pic:spPr>
                </pic:pic>
              </a:graphicData>
            </a:graphic>
          </wp:inline>
        </w:drawing>
      </w:r>
    </w:p>
    <w:p w14:paraId="15991D59" w14:textId="07546EBF" w:rsidR="005C728F" w:rsidRPr="005C728F" w:rsidRDefault="005C728F" w:rsidP="005C728F">
      <w:pPr>
        <w:jc w:val="center"/>
        <w:rPr>
          <w:b/>
        </w:rPr>
      </w:pPr>
      <w:r w:rsidRPr="005C728F">
        <w:rPr>
          <w:b/>
        </w:rPr>
        <w:lastRenderedPageBreak/>
        <w:t xml:space="preserve">Tableau 10. </w:t>
      </w:r>
      <w:r>
        <w:rPr>
          <w:b/>
        </w:rPr>
        <w:t xml:space="preserve"> </w:t>
      </w:r>
      <w:r w:rsidRPr="005C728F">
        <w:rPr>
          <w:b/>
        </w:rPr>
        <w:t>Nombre de postes par programme pour</w:t>
      </w:r>
      <w:r>
        <w:rPr>
          <w:b/>
        </w:rPr>
        <w:t xml:space="preserve"> 2018-2019</w:t>
      </w:r>
    </w:p>
    <w:p w14:paraId="75F0A5D7" w14:textId="77777777" w:rsidR="005C728F" w:rsidRDefault="005C728F" w:rsidP="005C728F"/>
    <w:p w14:paraId="1204F153" w14:textId="4D294650" w:rsidR="005C728F" w:rsidRDefault="005C728F">
      <w:pPr>
        <w:rPr>
          <w:rFonts w:ascii="Arial Bold" w:eastAsia="SimSun" w:hAnsi="Arial Bold" w:cs="Arial" w:hint="eastAsia"/>
          <w:b/>
          <w:bCs/>
          <w:caps/>
          <w:kern w:val="32"/>
          <w:sz w:val="22"/>
          <w:szCs w:val="32"/>
          <w:lang w:eastAsia="en-US"/>
        </w:rPr>
      </w:pPr>
      <w:r w:rsidRPr="005C728F">
        <w:rPr>
          <w:rFonts w:hint="eastAsia"/>
          <w:noProof/>
          <w:lang w:val="en-US" w:eastAsia="en-US"/>
        </w:rPr>
        <w:drawing>
          <wp:inline distT="0" distB="0" distL="0" distR="0" wp14:anchorId="0BE2FC45" wp14:editId="45C03C3F">
            <wp:extent cx="9432290" cy="4696682"/>
            <wp:effectExtent l="0" t="0" r="0" b="889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432290" cy="4696682"/>
                    </a:xfrm>
                    <a:prstGeom prst="rect">
                      <a:avLst/>
                    </a:prstGeom>
                    <a:noFill/>
                    <a:ln>
                      <a:noFill/>
                    </a:ln>
                  </pic:spPr>
                </pic:pic>
              </a:graphicData>
            </a:graphic>
          </wp:inline>
        </w:drawing>
      </w:r>
    </w:p>
    <w:p w14:paraId="38285957" w14:textId="2E68CE61" w:rsidR="005C728F" w:rsidRDefault="00AA4946" w:rsidP="005C728F">
      <w:pPr>
        <w:rPr>
          <w:lang w:eastAsia="en-US"/>
        </w:rPr>
      </w:pPr>
      <w:r w:rsidRPr="00AA4946">
        <w:rPr>
          <w:sz w:val="16"/>
          <w:lang w:eastAsia="en-US"/>
        </w:rPr>
        <w:t xml:space="preserve">Note : </w:t>
      </w:r>
      <w:r w:rsidR="005C728F" w:rsidRPr="00AA4946">
        <w:rPr>
          <w:sz w:val="16"/>
          <w:lang w:eastAsia="en-US"/>
        </w:rPr>
        <w:t>La rubrique non affecté comprend les postes restant à régulariser.</w:t>
      </w:r>
    </w:p>
    <w:p w14:paraId="1322B88F" w14:textId="77777777" w:rsidR="00436D87" w:rsidRDefault="00436D87" w:rsidP="00986700">
      <w:pPr>
        <w:pStyle w:val="Heading2"/>
        <w:sectPr w:rsidR="00436D87" w:rsidSect="00436D87">
          <w:pgSz w:w="16839" w:h="11907" w:orient="landscape" w:code="9"/>
          <w:pgMar w:top="1418" w:right="567" w:bottom="1418" w:left="1418" w:header="510" w:footer="1021" w:gutter="0"/>
          <w:cols w:space="720"/>
          <w:docGrid w:linePitch="299"/>
        </w:sectPr>
      </w:pPr>
    </w:p>
    <w:p w14:paraId="226A719B" w14:textId="77777777" w:rsidR="00616FD3" w:rsidRPr="00E740B8" w:rsidRDefault="00616FD3" w:rsidP="00616FD3">
      <w:pPr>
        <w:pStyle w:val="Heading2"/>
        <w:rPr>
          <w:rStyle w:val="StyleStyleHeading3ComplexItalicLatinChar"/>
          <w:rFonts w:asciiTheme="minorBidi" w:hAnsiTheme="minorBidi"/>
          <w:b/>
          <w:bCs w:val="0"/>
        </w:rPr>
      </w:pPr>
      <w:bookmarkStart w:id="90" w:name="_Toc482979517"/>
      <w:r w:rsidRPr="001D4B80">
        <w:rPr>
          <w:rStyle w:val="StyleStyleHeading3ComplexItalicLatinChar"/>
          <w:rFonts w:asciiTheme="minorBidi" w:hAnsiTheme="minorBidi"/>
          <w:b/>
          <w:bCs w:val="0"/>
        </w:rPr>
        <w:lastRenderedPageBreak/>
        <w:t>Annexe III</w:t>
      </w:r>
      <w:r w:rsidRPr="001D4B80">
        <w:rPr>
          <w:rStyle w:val="StyleStyleHeading3ComplexItalicLatinChar"/>
          <w:rFonts w:asciiTheme="minorBidi" w:hAnsiTheme="minorBidi"/>
          <w:b/>
          <w:bCs w:val="0"/>
        </w:rPr>
        <w:tab/>
        <w:t>Répartition des recettes et des dépenses par union</w:t>
      </w:r>
      <w:r w:rsidRPr="001D4B80">
        <w:rPr>
          <w:rStyle w:val="StyleStyleHeading3ComplexItalicLatinChar"/>
          <w:rFonts w:asciiTheme="minorBidi" w:hAnsiTheme="minorBidi"/>
          <w:b/>
          <w:bCs w:val="0"/>
        </w:rPr>
        <w:br/>
        <w:t>en 2018</w:t>
      </w:r>
      <w:r>
        <w:rPr>
          <w:rStyle w:val="StyleStyleHeading3ComplexItalicLatinChar"/>
          <w:rFonts w:asciiTheme="minorBidi" w:hAnsiTheme="minorBidi"/>
          <w:b/>
          <w:bCs w:val="0"/>
        </w:rPr>
        <w:t>-</w:t>
      </w:r>
      <w:r w:rsidRPr="001D4B80">
        <w:rPr>
          <w:rStyle w:val="StyleStyleHeading3ComplexItalicLatinChar"/>
          <w:rFonts w:asciiTheme="minorBidi" w:hAnsiTheme="minorBidi"/>
          <w:b/>
          <w:bCs w:val="0"/>
        </w:rPr>
        <w:t>2019</w:t>
      </w:r>
      <w:bookmarkEnd w:id="90"/>
    </w:p>
    <w:p w14:paraId="689509D8" w14:textId="77777777" w:rsidR="00616FD3" w:rsidRPr="00E740B8" w:rsidRDefault="00616FD3" w:rsidP="00616FD3">
      <w:pPr>
        <w:rPr>
          <w:rFonts w:asciiTheme="minorBidi" w:hAnsiTheme="minorBidi"/>
        </w:rPr>
      </w:pPr>
    </w:p>
    <w:p w14:paraId="38A788B3" w14:textId="77777777" w:rsidR="00616FD3" w:rsidRPr="00E740B8" w:rsidRDefault="00616FD3" w:rsidP="00616FD3">
      <w:pPr>
        <w:rPr>
          <w:rFonts w:asciiTheme="minorBidi" w:hAnsiTheme="minorBidi"/>
          <w:b/>
        </w:rPr>
      </w:pPr>
      <w:r w:rsidRPr="001D4B80">
        <w:rPr>
          <w:rFonts w:asciiTheme="minorBidi" w:hAnsiTheme="minorBidi"/>
          <w:b/>
        </w:rPr>
        <w:t>Introduction</w:t>
      </w:r>
    </w:p>
    <w:p w14:paraId="0E33FDB8" w14:textId="77777777" w:rsidR="00616FD3" w:rsidRPr="00E740B8" w:rsidRDefault="00616FD3" w:rsidP="00616FD3">
      <w:pPr>
        <w:jc w:val="both"/>
        <w:rPr>
          <w:rFonts w:asciiTheme="minorBidi" w:hAnsiTheme="minorBidi"/>
        </w:rPr>
      </w:pPr>
    </w:p>
    <w:p w14:paraId="7B992247" w14:textId="03FDC049" w:rsidR="00616FD3" w:rsidRPr="00E740B8" w:rsidRDefault="00616FD3" w:rsidP="00616FD3">
      <w:pPr>
        <w:numPr>
          <w:ilvl w:val="0"/>
          <w:numId w:val="50"/>
        </w:numPr>
        <w:jc w:val="both"/>
        <w:rPr>
          <w:rFonts w:asciiTheme="minorBidi" w:hAnsiTheme="minorBidi"/>
        </w:rPr>
      </w:pPr>
      <w:r w:rsidRPr="001D4B80">
        <w:rPr>
          <w:rFonts w:asciiTheme="minorBidi" w:hAnsiTheme="minorBidi"/>
        </w:rPr>
        <w:t>Conformément au Règlement financier de l</w:t>
      </w:r>
      <w:r>
        <w:rPr>
          <w:rFonts w:asciiTheme="minorBidi" w:hAnsiTheme="minorBidi"/>
        </w:rPr>
        <w:t>’</w:t>
      </w:r>
      <w:r w:rsidRPr="001D4B80">
        <w:rPr>
          <w:rFonts w:asciiTheme="minorBidi" w:hAnsiTheme="minorBidi"/>
        </w:rPr>
        <w:t>OMPI (article</w:t>
      </w:r>
      <w:r>
        <w:rPr>
          <w:rFonts w:asciiTheme="minorBidi" w:hAnsiTheme="minorBidi"/>
        </w:rPr>
        <w:t> </w:t>
      </w:r>
      <w:r w:rsidRPr="001D4B80">
        <w:rPr>
          <w:rFonts w:asciiTheme="minorBidi" w:hAnsiTheme="minorBidi"/>
        </w:rPr>
        <w:t>2.3), la présente annexe présente le programme et budget par union pour l</w:t>
      </w:r>
      <w:r>
        <w:rPr>
          <w:rFonts w:asciiTheme="minorBidi" w:hAnsiTheme="minorBidi"/>
        </w:rPr>
        <w:t>’</w:t>
      </w:r>
      <w:r w:rsidRPr="001D4B80">
        <w:rPr>
          <w:rFonts w:asciiTheme="minorBidi" w:hAnsiTheme="minorBidi"/>
        </w:rPr>
        <w:t>exercice biennal</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w:t>
      </w:r>
      <w:r w:rsidRPr="00E740B8">
        <w:rPr>
          <w:rFonts w:asciiTheme="minorBidi" w:hAnsiTheme="minorBidi"/>
        </w:rPr>
        <w:t xml:space="preserve">  </w:t>
      </w:r>
      <w:r>
        <w:rPr>
          <w:rFonts w:asciiTheme="minorBidi" w:hAnsiTheme="minorBidi"/>
        </w:rPr>
        <w:t>Les unions comprennent les un</w:t>
      </w:r>
      <w:r w:rsidRPr="001D4B80">
        <w:rPr>
          <w:rFonts w:asciiTheme="minorBidi" w:hAnsiTheme="minorBidi"/>
        </w:rPr>
        <w:t>ions financées par des contributions (Paris, Berne, IPC, Nice, Locarno</w:t>
      </w:r>
      <w:r w:rsidR="0058771A">
        <w:rPr>
          <w:rFonts w:asciiTheme="minorBidi" w:hAnsiTheme="minorBidi"/>
        </w:rPr>
        <w:t xml:space="preserve"> et</w:t>
      </w:r>
      <w:r w:rsidRPr="001D4B80">
        <w:rPr>
          <w:rFonts w:asciiTheme="minorBidi" w:hAnsiTheme="minorBidi"/>
        </w:rPr>
        <w:t xml:space="preserve"> Vienne</w:t>
      </w:r>
      <w:r w:rsidR="0058771A">
        <w:rPr>
          <w:rFonts w:asciiTheme="minorBidi" w:hAnsiTheme="minorBidi"/>
        </w:rPr>
        <w:t>)</w:t>
      </w:r>
      <w:r w:rsidRPr="001D4B80">
        <w:rPr>
          <w:rFonts w:asciiTheme="minorBidi" w:hAnsiTheme="minorBidi"/>
        </w:rPr>
        <w:t xml:space="preserve"> et </w:t>
      </w:r>
      <w:r w:rsidR="0058771A">
        <w:rPr>
          <w:rFonts w:asciiTheme="minorBidi" w:hAnsiTheme="minorBidi"/>
        </w:rPr>
        <w:t xml:space="preserve">la </w:t>
      </w:r>
      <w:r w:rsidRPr="001D4B80">
        <w:rPr>
          <w:rFonts w:asciiTheme="minorBidi" w:hAnsiTheme="minorBidi"/>
        </w:rPr>
        <w:t>Convention instituant l</w:t>
      </w:r>
      <w:r>
        <w:rPr>
          <w:rFonts w:asciiTheme="minorBidi" w:hAnsiTheme="minorBidi"/>
        </w:rPr>
        <w:t>’</w:t>
      </w:r>
      <w:r w:rsidRPr="001D4B80">
        <w:rPr>
          <w:rFonts w:asciiTheme="minorBidi" w:hAnsiTheme="minorBidi"/>
        </w:rPr>
        <w:t>OMPI</w:t>
      </w:r>
      <w:r w:rsidR="0058771A">
        <w:rPr>
          <w:rFonts w:asciiTheme="minorBidi" w:hAnsiTheme="minorBidi"/>
        </w:rPr>
        <w:t>,</w:t>
      </w:r>
      <w:r w:rsidRPr="001D4B80">
        <w:rPr>
          <w:rFonts w:asciiTheme="minorBidi" w:hAnsiTheme="minorBidi"/>
        </w:rPr>
        <w:t xml:space="preserve"> et les unions des quatre</w:t>
      </w:r>
      <w:r>
        <w:rPr>
          <w:rFonts w:asciiTheme="minorBidi" w:hAnsiTheme="minorBidi"/>
        </w:rPr>
        <w:t> </w:t>
      </w:r>
      <w:r w:rsidRPr="001D4B80">
        <w:rPr>
          <w:rFonts w:asciiTheme="minorBidi" w:hAnsiTheme="minorBidi"/>
        </w:rPr>
        <w:t>systèmes d</w:t>
      </w:r>
      <w:r>
        <w:rPr>
          <w:rFonts w:asciiTheme="minorBidi" w:hAnsiTheme="minorBidi"/>
        </w:rPr>
        <w:t>’</w:t>
      </w:r>
      <w:r w:rsidRPr="001D4B80">
        <w:rPr>
          <w:rFonts w:asciiTheme="minorBidi" w:hAnsiTheme="minorBidi"/>
        </w:rPr>
        <w:t xml:space="preserve">enregistrement international (PCT, Madrid, </w:t>
      </w:r>
      <w:r>
        <w:rPr>
          <w:rFonts w:asciiTheme="minorBidi" w:hAnsiTheme="minorBidi"/>
        </w:rPr>
        <w:t>La Haye</w:t>
      </w:r>
      <w:r w:rsidRPr="001D4B80">
        <w:rPr>
          <w:rFonts w:asciiTheme="minorBidi" w:hAnsiTheme="minorBidi"/>
        </w:rPr>
        <w:t xml:space="preserve"> et Lisbonne)</w:t>
      </w:r>
      <w:r>
        <w:rPr>
          <w:rFonts w:asciiTheme="minorBidi" w:hAnsiTheme="minorBidi"/>
        </w:rPr>
        <w:t xml:space="preserve">.  </w:t>
      </w:r>
      <w:r w:rsidRPr="001D4B80">
        <w:rPr>
          <w:rFonts w:asciiTheme="minorBidi" w:hAnsiTheme="minorBidi"/>
        </w:rPr>
        <w:t>La méthodologie utilisée pour la répartition des recettes et des dépenses parmi les unions dans le cadre du programme et budget pour l</w:t>
      </w:r>
      <w:r>
        <w:rPr>
          <w:rFonts w:asciiTheme="minorBidi" w:hAnsiTheme="minorBidi"/>
        </w:rPr>
        <w:t>’</w:t>
      </w:r>
      <w:r w:rsidRPr="001D4B80">
        <w:rPr>
          <w:rFonts w:asciiTheme="minorBidi" w:hAnsiTheme="minorBidi"/>
        </w:rPr>
        <w:t>exercice biennal</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 est restée inchangée par rapport à la celle utilisée pour le programme et budget de</w:t>
      </w:r>
      <w:r>
        <w:rPr>
          <w:rFonts w:asciiTheme="minorBidi" w:hAnsiTheme="minorBidi"/>
        </w:rPr>
        <w:t> </w:t>
      </w:r>
      <w:r w:rsidRPr="001D4B80">
        <w:rPr>
          <w:rFonts w:asciiTheme="minorBidi" w:hAnsiTheme="minorBidi"/>
        </w:rPr>
        <w:t>2016</w:t>
      </w:r>
      <w:r>
        <w:rPr>
          <w:rFonts w:asciiTheme="minorBidi" w:hAnsiTheme="minorBidi"/>
        </w:rPr>
        <w:t>-</w:t>
      </w:r>
      <w:r w:rsidRPr="001D4B80">
        <w:rPr>
          <w:rFonts w:asciiTheme="minorBidi" w:hAnsiTheme="minorBidi"/>
        </w:rPr>
        <w:t>2017.  Les calculs ont été affinés dans ce cas où une meilleure estimation des dépenses a été rendue possible par les systèmes ERP/EPM, conformément à la pratique antérieure</w:t>
      </w:r>
      <w:r>
        <w:rPr>
          <w:rFonts w:asciiTheme="minorBidi" w:hAnsiTheme="minorBidi"/>
        </w:rPr>
        <w:t xml:space="preserve">.  </w:t>
      </w:r>
      <w:r w:rsidRPr="001D4B80">
        <w:rPr>
          <w:rFonts w:asciiTheme="minorBidi" w:hAnsiTheme="minorBidi"/>
        </w:rPr>
        <w:t>Les tableaux 11, 12 et 13 donnent un aperçu de la répartition des recettes et des dépenses par union pour l</w:t>
      </w:r>
      <w:r>
        <w:rPr>
          <w:rFonts w:asciiTheme="minorBidi" w:hAnsiTheme="minorBidi"/>
        </w:rPr>
        <w:t>’</w:t>
      </w:r>
      <w:r w:rsidRPr="001D4B80">
        <w:rPr>
          <w:rFonts w:asciiTheme="minorBidi" w:hAnsiTheme="minorBidi"/>
        </w:rPr>
        <w:t>exercice biennal</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 des recettes prévisionnelles par union pour l</w:t>
      </w:r>
      <w:r>
        <w:rPr>
          <w:rFonts w:asciiTheme="minorBidi" w:hAnsiTheme="minorBidi"/>
        </w:rPr>
        <w:t>’</w:t>
      </w:r>
      <w:r w:rsidRPr="001D4B80">
        <w:rPr>
          <w:rFonts w:asciiTheme="minorBidi" w:hAnsiTheme="minorBidi"/>
        </w:rPr>
        <w:t>exercice biennal</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 et du budget pour</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 par programme et par union.</w:t>
      </w:r>
    </w:p>
    <w:p w14:paraId="3CC504F7" w14:textId="77777777" w:rsidR="00616FD3" w:rsidRPr="00E740B8" w:rsidRDefault="00616FD3" w:rsidP="00616FD3">
      <w:pPr>
        <w:rPr>
          <w:rFonts w:asciiTheme="minorBidi" w:hAnsiTheme="minorBidi"/>
          <w:b/>
          <w:u w:val="single"/>
        </w:rPr>
      </w:pPr>
    </w:p>
    <w:p w14:paraId="6D5C4547" w14:textId="77777777" w:rsidR="00616FD3" w:rsidRPr="00E740B8" w:rsidRDefault="00616FD3" w:rsidP="00616FD3">
      <w:pPr>
        <w:rPr>
          <w:rFonts w:asciiTheme="minorBidi" w:hAnsiTheme="minorBidi"/>
          <w:b/>
        </w:rPr>
      </w:pPr>
      <w:r w:rsidRPr="001D4B80">
        <w:rPr>
          <w:rFonts w:asciiTheme="minorBidi" w:hAnsiTheme="minorBidi"/>
          <w:b/>
        </w:rPr>
        <w:t>Répartition des recettes par union</w:t>
      </w:r>
    </w:p>
    <w:p w14:paraId="07DAB4ED" w14:textId="77777777" w:rsidR="00616FD3" w:rsidRPr="00E740B8" w:rsidRDefault="00616FD3" w:rsidP="00616FD3">
      <w:pPr>
        <w:rPr>
          <w:rFonts w:asciiTheme="minorBidi" w:hAnsiTheme="minorBidi"/>
        </w:rPr>
      </w:pPr>
    </w:p>
    <w:p w14:paraId="6C5B8C6F" w14:textId="77777777" w:rsidR="00616FD3" w:rsidRDefault="00616FD3" w:rsidP="00616FD3">
      <w:pPr>
        <w:numPr>
          <w:ilvl w:val="0"/>
          <w:numId w:val="50"/>
        </w:numPr>
        <w:jc w:val="both"/>
        <w:rPr>
          <w:rFonts w:asciiTheme="minorBidi" w:hAnsiTheme="minorBidi"/>
        </w:rPr>
      </w:pPr>
      <w:r w:rsidRPr="001D4B80">
        <w:rPr>
          <w:rFonts w:asciiTheme="minorBidi" w:hAnsiTheme="minorBidi"/>
        </w:rPr>
        <w:t>L</w:t>
      </w:r>
      <w:r>
        <w:rPr>
          <w:rFonts w:asciiTheme="minorBidi" w:hAnsiTheme="minorBidi"/>
        </w:rPr>
        <w:t>’</w:t>
      </w:r>
      <w:r w:rsidRPr="001D4B80">
        <w:rPr>
          <w:rFonts w:asciiTheme="minorBidi" w:hAnsiTheme="minorBidi"/>
        </w:rPr>
        <w:t>allocation des recettes aux unions est fondée sur la méthode de répartition ci</w:t>
      </w:r>
      <w:r>
        <w:rPr>
          <w:rFonts w:asciiTheme="minorBidi" w:hAnsiTheme="minorBidi"/>
        </w:rPr>
        <w:t>-</w:t>
      </w:r>
      <w:r w:rsidRPr="001D4B80">
        <w:rPr>
          <w:rFonts w:asciiTheme="minorBidi" w:hAnsiTheme="minorBidi"/>
        </w:rPr>
        <w:t>après</w:t>
      </w:r>
      <w:r>
        <w:rPr>
          <w:rFonts w:asciiTheme="minorBidi" w:hAnsiTheme="minorBidi"/>
        </w:rPr>
        <w:t> :</w:t>
      </w:r>
    </w:p>
    <w:p w14:paraId="0F278234" w14:textId="77777777" w:rsidR="00616FD3" w:rsidRPr="00E740B8" w:rsidRDefault="00616FD3" w:rsidP="00616FD3">
      <w:pPr>
        <w:jc w:val="both"/>
        <w:rPr>
          <w:rFonts w:asciiTheme="minorBidi" w:hAnsiTheme="minorBidi"/>
        </w:rPr>
      </w:pPr>
    </w:p>
    <w:p w14:paraId="79BAAC60" w14:textId="77777777" w:rsidR="00616FD3" w:rsidRPr="00E740B8"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 xml:space="preserve">les recettes provenant des contributions des États </w:t>
      </w:r>
      <w:r>
        <w:rPr>
          <w:rFonts w:asciiTheme="minorBidi" w:hAnsiTheme="minorBidi"/>
        </w:rPr>
        <w:t>membres</w:t>
      </w:r>
      <w:r w:rsidRPr="001D4B80">
        <w:rPr>
          <w:rFonts w:asciiTheme="minorBidi" w:hAnsiTheme="minorBidi"/>
        </w:rPr>
        <w:t xml:space="preserve"> sont allouées aux unions financées par des contributions;</w:t>
      </w:r>
    </w:p>
    <w:p w14:paraId="0973D484" w14:textId="77777777" w:rsidR="00616FD3"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les recettes provenant des taxes des systèmes d</w:t>
      </w:r>
      <w:r>
        <w:rPr>
          <w:rFonts w:asciiTheme="minorBidi" w:hAnsiTheme="minorBidi"/>
        </w:rPr>
        <w:t>’</w:t>
      </w:r>
      <w:r w:rsidRPr="001D4B80">
        <w:rPr>
          <w:rFonts w:asciiTheme="minorBidi" w:hAnsiTheme="minorBidi"/>
        </w:rPr>
        <w:t>enregistrement</w:t>
      </w:r>
      <w:r w:rsidRPr="006926A4">
        <w:rPr>
          <w:rFonts w:asciiTheme="minorBidi" w:hAnsiTheme="minorBidi"/>
        </w:rPr>
        <w:t xml:space="preserve"> du PCT</w:t>
      </w:r>
      <w:r w:rsidRPr="001D4B80">
        <w:rPr>
          <w:rFonts w:asciiTheme="minorBidi" w:hAnsiTheme="minorBidi"/>
        </w:rPr>
        <w:t xml:space="preserve">, de Madrid, de </w:t>
      </w:r>
      <w:r>
        <w:rPr>
          <w:rFonts w:asciiTheme="minorBidi" w:hAnsiTheme="minorBidi"/>
        </w:rPr>
        <w:t>La Haye</w:t>
      </w:r>
      <w:r w:rsidRPr="001D4B80">
        <w:rPr>
          <w:rFonts w:asciiTheme="minorBidi" w:hAnsiTheme="minorBidi"/>
        </w:rPr>
        <w:t xml:space="preserve"> et de Lisbonne sont allouées aux unions respectives;</w:t>
      </w:r>
    </w:p>
    <w:p w14:paraId="3BAC862C" w14:textId="77777777" w:rsidR="00616FD3" w:rsidRPr="00E740B8"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les recettes provenant des publications sont attribuées aux unions financées par des contributions et aux unions</w:t>
      </w:r>
      <w:r w:rsidRPr="006926A4">
        <w:rPr>
          <w:rFonts w:asciiTheme="minorBidi" w:hAnsiTheme="minorBidi"/>
        </w:rPr>
        <w:t xml:space="preserve"> du PCT</w:t>
      </w:r>
      <w:r w:rsidRPr="001D4B80">
        <w:rPr>
          <w:rFonts w:asciiTheme="minorBidi" w:hAnsiTheme="minorBidi"/>
        </w:rPr>
        <w:t xml:space="preserve">, de Madrid et de </w:t>
      </w:r>
      <w:r>
        <w:rPr>
          <w:rFonts w:asciiTheme="minorBidi" w:hAnsiTheme="minorBidi"/>
        </w:rPr>
        <w:t>La Haye</w:t>
      </w:r>
      <w:r w:rsidRPr="001D4B80">
        <w:rPr>
          <w:rFonts w:asciiTheme="minorBidi" w:hAnsiTheme="minorBidi"/>
        </w:rPr>
        <w:t xml:space="preserve"> sur la base des estimations relatives aux recettes provenant des publications de chacune de ces unions;</w:t>
      </w:r>
    </w:p>
    <w:p w14:paraId="64A424FE" w14:textId="77777777" w:rsidR="00616FD3" w:rsidRPr="00E740B8"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les recettes provenant du Centre d</w:t>
      </w:r>
      <w:r>
        <w:rPr>
          <w:rFonts w:asciiTheme="minorBidi" w:hAnsiTheme="minorBidi"/>
        </w:rPr>
        <w:t>’</w:t>
      </w:r>
      <w:r w:rsidRPr="001D4B80">
        <w:rPr>
          <w:rFonts w:asciiTheme="minorBidi" w:hAnsiTheme="minorBidi"/>
        </w:rPr>
        <w:t>arbitrage et de médiation sont réparties entre les unions sur la base des estimations du chef de programme;</w:t>
      </w:r>
    </w:p>
    <w:p w14:paraId="082C0A68" w14:textId="77777777" w:rsidR="00616FD3" w:rsidRPr="00E740B8"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les revenus de placements sont répartis en fonction du niveau proportionnel des réserves et soldes de trésorerie de chacune des unions;</w:t>
      </w:r>
    </w:p>
    <w:p w14:paraId="1C97DB00" w14:textId="77777777" w:rsidR="00616FD3" w:rsidRDefault="00616FD3" w:rsidP="00616FD3">
      <w:pPr>
        <w:pStyle w:val="ListParagraph"/>
        <w:numPr>
          <w:ilvl w:val="0"/>
          <w:numId w:val="97"/>
        </w:numPr>
        <w:ind w:left="1134" w:hanging="567"/>
        <w:jc w:val="both"/>
        <w:rPr>
          <w:rFonts w:asciiTheme="minorBidi" w:hAnsiTheme="minorBidi"/>
        </w:rPr>
      </w:pPr>
      <w:r w:rsidRPr="001D4B80">
        <w:rPr>
          <w:rFonts w:asciiTheme="minorBidi" w:hAnsiTheme="minorBidi"/>
        </w:rPr>
        <w:t>les revenus divers (à l</w:t>
      </w:r>
      <w:r>
        <w:rPr>
          <w:rFonts w:asciiTheme="minorBidi" w:hAnsiTheme="minorBidi"/>
        </w:rPr>
        <w:t>’</w:t>
      </w:r>
      <w:r w:rsidRPr="001D4B80">
        <w:rPr>
          <w:rFonts w:asciiTheme="minorBidi" w:hAnsiTheme="minorBidi"/>
        </w:rPr>
        <w:t>exception du revenu de location du bâtiment de l</w:t>
      </w:r>
      <w:r>
        <w:rPr>
          <w:rFonts w:asciiTheme="minorBidi" w:hAnsiTheme="minorBidi"/>
        </w:rPr>
        <w:t>’</w:t>
      </w:r>
      <w:r w:rsidRPr="001D4B80">
        <w:rPr>
          <w:rFonts w:asciiTheme="minorBidi" w:hAnsiTheme="minorBidi"/>
        </w:rPr>
        <w:t>Union de Madrid) sont répartis à égalité entre toutes les unions.</w:t>
      </w:r>
    </w:p>
    <w:p w14:paraId="08B950B7" w14:textId="77777777" w:rsidR="00616FD3" w:rsidRPr="00E740B8" w:rsidRDefault="00616FD3" w:rsidP="00616FD3">
      <w:pPr>
        <w:spacing w:after="120"/>
        <w:rPr>
          <w:rFonts w:asciiTheme="minorBidi" w:hAnsiTheme="minorBidi"/>
        </w:rPr>
      </w:pPr>
    </w:p>
    <w:p w14:paraId="485A3B6C" w14:textId="77777777" w:rsidR="00616FD3" w:rsidRPr="00E740B8" w:rsidRDefault="00616FD3" w:rsidP="00616FD3">
      <w:pPr>
        <w:rPr>
          <w:rFonts w:asciiTheme="minorBidi" w:hAnsiTheme="minorBidi"/>
          <w:b/>
        </w:rPr>
      </w:pPr>
      <w:r w:rsidRPr="001D4B80">
        <w:rPr>
          <w:rFonts w:asciiTheme="minorBidi" w:hAnsiTheme="minorBidi"/>
          <w:b/>
        </w:rPr>
        <w:t>Répartition des dépenses par union</w:t>
      </w:r>
    </w:p>
    <w:p w14:paraId="48A667E4" w14:textId="77777777" w:rsidR="00616FD3" w:rsidRPr="00E740B8" w:rsidRDefault="00616FD3" w:rsidP="00616FD3">
      <w:pPr>
        <w:rPr>
          <w:rFonts w:asciiTheme="minorBidi" w:hAnsiTheme="minorBidi"/>
        </w:rPr>
      </w:pPr>
    </w:p>
    <w:p w14:paraId="32EC5E82" w14:textId="77777777" w:rsidR="00616FD3" w:rsidRPr="00E740B8" w:rsidRDefault="00616FD3" w:rsidP="00616FD3">
      <w:pPr>
        <w:pStyle w:val="ListParagraph"/>
        <w:ind w:left="0"/>
        <w:rPr>
          <w:rFonts w:asciiTheme="minorBidi" w:hAnsiTheme="minorBidi"/>
          <w:i/>
          <w:u w:val="single"/>
        </w:rPr>
      </w:pPr>
      <w:r w:rsidRPr="001D4B80">
        <w:rPr>
          <w:rFonts w:asciiTheme="minorBidi" w:hAnsiTheme="minorBidi"/>
          <w:i/>
          <w:u w:val="single"/>
        </w:rPr>
        <w:t>Principes de répartition</w:t>
      </w:r>
    </w:p>
    <w:p w14:paraId="30F28269" w14:textId="77777777" w:rsidR="00616FD3" w:rsidRPr="00E740B8" w:rsidRDefault="00616FD3" w:rsidP="00616FD3">
      <w:pPr>
        <w:pStyle w:val="ListParagraph"/>
        <w:ind w:left="0"/>
        <w:rPr>
          <w:rFonts w:asciiTheme="minorBidi" w:hAnsiTheme="minorBidi"/>
        </w:rPr>
      </w:pPr>
    </w:p>
    <w:p w14:paraId="6281C02C"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dépenses sont réparties entre les Unions selon les quatre</w:t>
      </w:r>
      <w:r>
        <w:rPr>
          <w:rFonts w:asciiTheme="minorBidi" w:hAnsiTheme="minorBidi"/>
        </w:rPr>
        <w:t> </w:t>
      </w:r>
      <w:r w:rsidRPr="001D4B80">
        <w:rPr>
          <w:rFonts w:asciiTheme="minorBidi" w:hAnsiTheme="minorBidi"/>
        </w:rPr>
        <w:t>catégories suivantes</w:t>
      </w:r>
      <w:r>
        <w:rPr>
          <w:rFonts w:asciiTheme="minorBidi" w:hAnsiTheme="minorBidi"/>
        </w:rPr>
        <w:t> :</w:t>
      </w:r>
    </w:p>
    <w:p w14:paraId="26B64382" w14:textId="77777777" w:rsidR="00616FD3" w:rsidRPr="00E740B8" w:rsidRDefault="00616FD3" w:rsidP="00616FD3">
      <w:pPr>
        <w:pStyle w:val="ListParagraph"/>
        <w:ind w:left="0"/>
        <w:rPr>
          <w:rFonts w:asciiTheme="minorBidi" w:hAnsiTheme="minorBidi"/>
        </w:rPr>
      </w:pPr>
    </w:p>
    <w:p w14:paraId="39489ECE" w14:textId="77777777" w:rsidR="00616FD3" w:rsidRPr="00E740B8" w:rsidRDefault="00616FD3" w:rsidP="00616FD3">
      <w:pPr>
        <w:pStyle w:val="ListParagraph"/>
        <w:numPr>
          <w:ilvl w:val="0"/>
          <w:numId w:val="98"/>
        </w:numPr>
        <w:ind w:left="1134" w:hanging="567"/>
        <w:jc w:val="both"/>
        <w:rPr>
          <w:rFonts w:asciiTheme="minorBidi" w:hAnsiTheme="minorBidi"/>
          <w:lang w:eastAsia="fr-CH"/>
        </w:rPr>
      </w:pPr>
      <w:r w:rsidRPr="001D4B80">
        <w:rPr>
          <w:rFonts w:asciiTheme="minorBidi" w:hAnsiTheme="minorBidi"/>
          <w:lang w:eastAsia="fr-CH"/>
        </w:rPr>
        <w:t>“dépenses directes des unions” (par exemple, les dépenses faites au titre du programme 5 – Système</w:t>
      </w:r>
      <w:r w:rsidRPr="006926A4">
        <w:rPr>
          <w:rFonts w:asciiTheme="minorBidi" w:hAnsiTheme="minorBidi"/>
          <w:lang w:eastAsia="fr-CH"/>
        </w:rPr>
        <w:t xml:space="preserve"> du PCT</w:t>
      </w:r>
      <w:r w:rsidRPr="001D4B80">
        <w:rPr>
          <w:rFonts w:asciiTheme="minorBidi" w:hAnsiTheme="minorBidi"/>
          <w:lang w:eastAsia="fr-CH"/>
        </w:rPr>
        <w:t xml:space="preserve"> – constituent des “dépenses directes” de l</w:t>
      </w:r>
      <w:r>
        <w:rPr>
          <w:rFonts w:asciiTheme="minorBidi" w:hAnsiTheme="minorBidi"/>
          <w:lang w:eastAsia="fr-CH"/>
        </w:rPr>
        <w:t>’</w:t>
      </w:r>
      <w:r w:rsidRPr="001D4B80">
        <w:rPr>
          <w:rFonts w:asciiTheme="minorBidi" w:hAnsiTheme="minorBidi"/>
          <w:lang w:eastAsia="fr-CH"/>
        </w:rPr>
        <w:t>Union</w:t>
      </w:r>
      <w:r w:rsidRPr="006926A4">
        <w:rPr>
          <w:rFonts w:asciiTheme="minorBidi" w:hAnsiTheme="minorBidi"/>
          <w:lang w:eastAsia="fr-CH"/>
        </w:rPr>
        <w:t xml:space="preserve"> du PCT</w:t>
      </w:r>
      <w:r w:rsidRPr="001D4B80">
        <w:rPr>
          <w:rFonts w:asciiTheme="minorBidi" w:hAnsiTheme="minorBidi"/>
          <w:lang w:eastAsia="fr-CH"/>
        </w:rPr>
        <w:t>);</w:t>
      </w:r>
    </w:p>
    <w:p w14:paraId="320110BD" w14:textId="77777777" w:rsidR="00616FD3" w:rsidRDefault="00616FD3" w:rsidP="00616FD3">
      <w:pPr>
        <w:pStyle w:val="ListParagraph"/>
        <w:ind w:left="1134" w:hanging="567"/>
        <w:jc w:val="both"/>
        <w:rPr>
          <w:rFonts w:asciiTheme="minorBidi" w:hAnsiTheme="minorBidi"/>
          <w:lang w:eastAsia="fr-CH"/>
        </w:rPr>
      </w:pPr>
    </w:p>
    <w:p w14:paraId="6DEBFC92" w14:textId="77777777" w:rsidR="00616FD3" w:rsidRDefault="00616FD3" w:rsidP="00616FD3">
      <w:pPr>
        <w:pStyle w:val="ListParagraph"/>
        <w:numPr>
          <w:ilvl w:val="0"/>
          <w:numId w:val="98"/>
        </w:numPr>
        <w:ind w:left="1134" w:hanging="567"/>
        <w:jc w:val="both"/>
        <w:rPr>
          <w:rFonts w:asciiTheme="minorBidi" w:hAnsiTheme="minorBidi"/>
          <w:lang w:eastAsia="fr-CH"/>
        </w:rPr>
      </w:pPr>
      <w:r w:rsidRPr="001D4B80">
        <w:rPr>
          <w:rFonts w:asciiTheme="minorBidi" w:hAnsiTheme="minorBidi"/>
          <w:lang w:eastAsia="fr-CH"/>
        </w:rPr>
        <w:t>“dépenses indirectes des unions” (par exemple, la part des dépenses faites au titre du programme 9 – Bureaux régionaux et PMA – prise en charge par l</w:t>
      </w:r>
      <w:r>
        <w:rPr>
          <w:rFonts w:asciiTheme="minorBidi" w:hAnsiTheme="minorBidi"/>
          <w:lang w:eastAsia="fr-CH"/>
        </w:rPr>
        <w:t>’</w:t>
      </w:r>
      <w:r w:rsidRPr="001D4B80">
        <w:rPr>
          <w:rFonts w:asciiTheme="minorBidi" w:hAnsiTheme="minorBidi"/>
          <w:lang w:eastAsia="fr-CH"/>
        </w:rPr>
        <w:t>Union</w:t>
      </w:r>
      <w:r w:rsidRPr="006926A4">
        <w:rPr>
          <w:rFonts w:asciiTheme="minorBidi" w:hAnsiTheme="minorBidi"/>
          <w:lang w:eastAsia="fr-CH"/>
        </w:rPr>
        <w:t xml:space="preserve"> du PCT</w:t>
      </w:r>
      <w:r w:rsidRPr="001D4B80">
        <w:rPr>
          <w:rFonts w:asciiTheme="minorBidi" w:hAnsiTheme="minorBidi"/>
          <w:lang w:eastAsia="fr-CH"/>
        </w:rPr>
        <w:t xml:space="preserve"> constitue une “dépense indirecte de l</w:t>
      </w:r>
      <w:r>
        <w:rPr>
          <w:rFonts w:asciiTheme="minorBidi" w:hAnsiTheme="minorBidi"/>
          <w:lang w:eastAsia="fr-CH"/>
        </w:rPr>
        <w:t>’</w:t>
      </w:r>
      <w:r w:rsidRPr="001D4B80">
        <w:rPr>
          <w:rFonts w:asciiTheme="minorBidi" w:hAnsiTheme="minorBidi"/>
          <w:lang w:eastAsia="fr-CH"/>
        </w:rPr>
        <w:t>union”);</w:t>
      </w:r>
    </w:p>
    <w:p w14:paraId="11456C0C" w14:textId="77777777" w:rsidR="00616FD3" w:rsidRPr="00E740B8" w:rsidRDefault="00616FD3" w:rsidP="00616FD3">
      <w:pPr>
        <w:pStyle w:val="ListParagraph"/>
        <w:ind w:left="1134" w:hanging="567"/>
        <w:jc w:val="both"/>
        <w:rPr>
          <w:rFonts w:asciiTheme="minorBidi" w:hAnsiTheme="minorBidi"/>
          <w:lang w:eastAsia="fr-CH"/>
        </w:rPr>
      </w:pPr>
    </w:p>
    <w:p w14:paraId="2F4EB757" w14:textId="77777777" w:rsidR="00616FD3" w:rsidRDefault="00616FD3" w:rsidP="00616FD3">
      <w:pPr>
        <w:pStyle w:val="ListParagraph"/>
        <w:numPr>
          <w:ilvl w:val="0"/>
          <w:numId w:val="98"/>
        </w:numPr>
        <w:ind w:left="1134" w:hanging="567"/>
        <w:jc w:val="both"/>
        <w:rPr>
          <w:rFonts w:asciiTheme="minorBidi" w:hAnsiTheme="minorBidi"/>
          <w:lang w:eastAsia="fr-CH"/>
        </w:rPr>
      </w:pPr>
      <w:r w:rsidRPr="001D4B80">
        <w:rPr>
          <w:rFonts w:asciiTheme="minorBidi" w:hAnsiTheme="minorBidi"/>
          <w:lang w:eastAsia="fr-CH"/>
        </w:rPr>
        <w:t>“dépenses administratives directes” (par exemple, les dépenses faites au titre du programme 23 – DGRH – concernant l</w:t>
      </w:r>
      <w:r>
        <w:rPr>
          <w:rFonts w:asciiTheme="minorBidi" w:hAnsiTheme="minorBidi"/>
          <w:lang w:eastAsia="fr-CH"/>
        </w:rPr>
        <w:t>’</w:t>
      </w:r>
      <w:r w:rsidRPr="001D4B80">
        <w:rPr>
          <w:rFonts w:asciiTheme="minorBidi" w:hAnsiTheme="minorBidi"/>
          <w:lang w:eastAsia="fr-CH"/>
        </w:rPr>
        <w:t>appui en matière de ressources humaines fourni au programme 5 constituent des “dépenses administratives directes” de l</w:t>
      </w:r>
      <w:r>
        <w:rPr>
          <w:rFonts w:asciiTheme="minorBidi" w:hAnsiTheme="minorBidi"/>
          <w:lang w:eastAsia="fr-CH"/>
        </w:rPr>
        <w:t>’</w:t>
      </w:r>
      <w:r w:rsidRPr="001D4B80">
        <w:rPr>
          <w:rFonts w:asciiTheme="minorBidi" w:hAnsiTheme="minorBidi"/>
          <w:lang w:eastAsia="fr-CH"/>
        </w:rPr>
        <w:t>Union</w:t>
      </w:r>
      <w:r w:rsidRPr="006926A4">
        <w:rPr>
          <w:rFonts w:asciiTheme="minorBidi" w:hAnsiTheme="minorBidi"/>
          <w:lang w:eastAsia="fr-CH"/>
        </w:rPr>
        <w:t xml:space="preserve"> du PCT</w:t>
      </w:r>
      <w:r w:rsidRPr="001D4B80">
        <w:rPr>
          <w:rFonts w:asciiTheme="minorBidi" w:hAnsiTheme="minorBidi"/>
          <w:lang w:eastAsia="fr-CH"/>
        </w:rPr>
        <w:t>);  et</w:t>
      </w:r>
    </w:p>
    <w:p w14:paraId="79DC5A2C" w14:textId="77777777" w:rsidR="00616FD3" w:rsidRPr="00E740B8" w:rsidRDefault="00616FD3" w:rsidP="00616FD3">
      <w:pPr>
        <w:pStyle w:val="ListParagraph"/>
        <w:ind w:left="1134" w:hanging="567"/>
        <w:jc w:val="both"/>
        <w:rPr>
          <w:rFonts w:asciiTheme="minorBidi" w:hAnsiTheme="minorBidi"/>
          <w:lang w:eastAsia="fr-CH"/>
        </w:rPr>
      </w:pPr>
    </w:p>
    <w:p w14:paraId="157C3476" w14:textId="77777777" w:rsidR="00616FD3" w:rsidRPr="00E740B8" w:rsidRDefault="00616FD3" w:rsidP="00616FD3">
      <w:pPr>
        <w:pStyle w:val="ListParagraph"/>
        <w:numPr>
          <w:ilvl w:val="0"/>
          <w:numId w:val="98"/>
        </w:numPr>
        <w:ind w:left="1134" w:hanging="567"/>
        <w:jc w:val="both"/>
        <w:rPr>
          <w:rFonts w:asciiTheme="minorBidi" w:hAnsiTheme="minorBidi"/>
          <w:lang w:eastAsia="fr-CH"/>
        </w:rPr>
      </w:pPr>
      <w:r w:rsidRPr="001D4B80">
        <w:rPr>
          <w:rFonts w:asciiTheme="minorBidi" w:hAnsiTheme="minorBidi"/>
          <w:lang w:eastAsia="fr-CH"/>
        </w:rPr>
        <w:t>“dépenses administratives indirectes” (par exemple, la part des dépenses faites au titre du programme 23 concernant l</w:t>
      </w:r>
      <w:r>
        <w:rPr>
          <w:rFonts w:asciiTheme="minorBidi" w:hAnsiTheme="minorBidi"/>
          <w:lang w:eastAsia="fr-CH"/>
        </w:rPr>
        <w:t>’</w:t>
      </w:r>
      <w:r w:rsidRPr="001D4B80">
        <w:rPr>
          <w:rFonts w:asciiTheme="minorBidi" w:hAnsiTheme="minorBidi"/>
          <w:lang w:eastAsia="fr-CH"/>
        </w:rPr>
        <w:t>appui en matière de ressources humaines fourni au programme 9 prise en charge par l</w:t>
      </w:r>
      <w:r>
        <w:rPr>
          <w:rFonts w:asciiTheme="minorBidi" w:hAnsiTheme="minorBidi"/>
          <w:lang w:eastAsia="fr-CH"/>
        </w:rPr>
        <w:t>’</w:t>
      </w:r>
      <w:r w:rsidRPr="001D4B80">
        <w:rPr>
          <w:rFonts w:asciiTheme="minorBidi" w:hAnsiTheme="minorBidi"/>
          <w:lang w:eastAsia="fr-CH"/>
        </w:rPr>
        <w:t>Union</w:t>
      </w:r>
      <w:r w:rsidRPr="006926A4">
        <w:rPr>
          <w:rFonts w:asciiTheme="minorBidi" w:hAnsiTheme="minorBidi"/>
          <w:lang w:eastAsia="fr-CH"/>
        </w:rPr>
        <w:t xml:space="preserve"> du PCT</w:t>
      </w:r>
      <w:r w:rsidRPr="001D4B80">
        <w:rPr>
          <w:rFonts w:asciiTheme="minorBidi" w:hAnsiTheme="minorBidi"/>
          <w:lang w:eastAsia="fr-CH"/>
        </w:rPr>
        <w:t xml:space="preserve"> constitue une “dépense administrative indirecte”).</w:t>
      </w:r>
    </w:p>
    <w:p w14:paraId="58F54AB0" w14:textId="77777777" w:rsidR="00616FD3" w:rsidRPr="00E740B8" w:rsidRDefault="00616FD3" w:rsidP="00616FD3">
      <w:pPr>
        <w:rPr>
          <w:rFonts w:asciiTheme="minorBidi" w:hAnsiTheme="minorBidi"/>
        </w:rPr>
      </w:pPr>
    </w:p>
    <w:p w14:paraId="553F2824"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lastRenderedPageBreak/>
        <w:t>Les dépenses directes des unions sont réparties entre les unions soit en intégralité soit sur la base d</w:t>
      </w:r>
      <w:r>
        <w:rPr>
          <w:rFonts w:asciiTheme="minorBidi" w:hAnsiTheme="minorBidi"/>
        </w:rPr>
        <w:t>’</w:t>
      </w:r>
      <w:r w:rsidRPr="001D4B80">
        <w:rPr>
          <w:rFonts w:asciiTheme="minorBidi" w:hAnsiTheme="minorBidi"/>
        </w:rPr>
        <w:t>estimations des chefs de programme</w:t>
      </w:r>
      <w:r>
        <w:rPr>
          <w:rFonts w:asciiTheme="minorBidi" w:hAnsiTheme="minorBidi"/>
        </w:rPr>
        <w:t>.  Les d</w:t>
      </w:r>
      <w:r w:rsidRPr="001D4B80">
        <w:rPr>
          <w:rFonts w:asciiTheme="minorBidi" w:hAnsiTheme="minorBidi"/>
        </w:rPr>
        <w:t>épenses administratives directes sont réparties entre les unions sur la base de l</w:t>
      </w:r>
      <w:r>
        <w:rPr>
          <w:rFonts w:asciiTheme="minorBidi" w:hAnsiTheme="minorBidi"/>
        </w:rPr>
        <w:t>’</w:t>
      </w:r>
      <w:r w:rsidRPr="001D4B80">
        <w:rPr>
          <w:rFonts w:asciiTheme="minorBidi" w:hAnsiTheme="minorBidi"/>
        </w:rPr>
        <w:t>effectif relatif.</w:t>
      </w:r>
    </w:p>
    <w:p w14:paraId="72F3BDA0" w14:textId="77777777" w:rsidR="00616FD3" w:rsidRPr="00E740B8" w:rsidRDefault="00616FD3" w:rsidP="00616FD3">
      <w:pPr>
        <w:jc w:val="both"/>
        <w:rPr>
          <w:rFonts w:asciiTheme="minorBidi" w:hAnsiTheme="minorBidi"/>
        </w:rPr>
      </w:pPr>
    </w:p>
    <w:p w14:paraId="0BBE8715"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dépenses indirectes de l</w:t>
      </w:r>
      <w:r>
        <w:rPr>
          <w:rFonts w:asciiTheme="minorBidi" w:hAnsiTheme="minorBidi"/>
        </w:rPr>
        <w:t>’</w:t>
      </w:r>
      <w:r w:rsidRPr="001D4B80">
        <w:rPr>
          <w:rFonts w:asciiTheme="minorBidi" w:hAnsiTheme="minorBidi"/>
        </w:rPr>
        <w:t>union et les dépenses administratives indirectes sont réparties entre les unions sur la base du principe de la “capacité de paiement”.  La “capacité de paiement” représente la différence entre les recettes prévisionnelles biennales d</w:t>
      </w:r>
      <w:r>
        <w:rPr>
          <w:rFonts w:asciiTheme="minorBidi" w:hAnsiTheme="minorBidi"/>
        </w:rPr>
        <w:t>’</w:t>
      </w:r>
      <w:r w:rsidRPr="001D4B80">
        <w:rPr>
          <w:rFonts w:asciiTheme="minorBidi" w:hAnsiTheme="minorBidi"/>
        </w:rPr>
        <w:t>une union, d</w:t>
      </w:r>
      <w:r>
        <w:rPr>
          <w:rFonts w:asciiTheme="minorBidi" w:hAnsiTheme="minorBidi"/>
        </w:rPr>
        <w:t>’</w:t>
      </w:r>
      <w:r w:rsidRPr="001D4B80">
        <w:rPr>
          <w:rFonts w:asciiTheme="minorBidi" w:hAnsiTheme="minorBidi"/>
        </w:rPr>
        <w:t>une part, et ses dépenses directes et exigences en matière de réserves, d</w:t>
      </w:r>
      <w:r>
        <w:rPr>
          <w:rFonts w:asciiTheme="minorBidi" w:hAnsiTheme="minorBidi"/>
        </w:rPr>
        <w:t>’</w:t>
      </w:r>
      <w:r w:rsidRPr="001D4B80">
        <w:rPr>
          <w:rFonts w:asciiTheme="minorBidi" w:hAnsiTheme="minorBidi"/>
        </w:rPr>
        <w:t>autre part</w:t>
      </w:r>
      <w:r>
        <w:rPr>
          <w:rFonts w:asciiTheme="minorBidi" w:hAnsiTheme="minorBidi"/>
        </w:rPr>
        <w:t xml:space="preserve">.  </w:t>
      </w:r>
      <w:r w:rsidRPr="001D4B80">
        <w:rPr>
          <w:rFonts w:asciiTheme="minorBidi" w:hAnsiTheme="minorBidi"/>
        </w:rPr>
        <w:t>Si l</w:t>
      </w:r>
      <w:r>
        <w:rPr>
          <w:rFonts w:asciiTheme="minorBidi" w:hAnsiTheme="minorBidi"/>
        </w:rPr>
        <w:t>’</w:t>
      </w:r>
      <w:r w:rsidRPr="001D4B80">
        <w:rPr>
          <w:rFonts w:asciiTheme="minorBidi" w:hAnsiTheme="minorBidi"/>
        </w:rPr>
        <w:t>union dispose d</w:t>
      </w:r>
      <w:r>
        <w:rPr>
          <w:rFonts w:asciiTheme="minorBidi" w:hAnsiTheme="minorBidi"/>
        </w:rPr>
        <w:t>’</w:t>
      </w:r>
      <w:r w:rsidRPr="001D4B80">
        <w:rPr>
          <w:rFonts w:asciiTheme="minorBidi" w:hAnsiTheme="minorBidi"/>
        </w:rPr>
        <w:t>un niveau de réserves supérieur au montant recommandé, elle est réputée être à même de financer les activités indirectes</w:t>
      </w:r>
      <w:r>
        <w:rPr>
          <w:rFonts w:asciiTheme="minorBidi" w:hAnsiTheme="minorBidi"/>
        </w:rPr>
        <w:t xml:space="preserve">.  </w:t>
      </w:r>
      <w:r w:rsidRPr="001D4B80">
        <w:rPr>
          <w:rFonts w:asciiTheme="minorBidi" w:hAnsiTheme="minorBidi"/>
        </w:rPr>
        <w:t>La mesure dans laquelle cet appui peut être fourni par chaque union est fonction la proportion relative dans laquelle ses recettes dépassent ses dépenses directes.</w:t>
      </w:r>
    </w:p>
    <w:p w14:paraId="2750EFF2" w14:textId="77777777" w:rsidR="00616FD3" w:rsidRPr="00E740B8" w:rsidRDefault="00616FD3" w:rsidP="00616FD3">
      <w:pPr>
        <w:rPr>
          <w:rFonts w:asciiTheme="minorBidi" w:hAnsiTheme="minorBidi"/>
        </w:rPr>
      </w:pPr>
    </w:p>
    <w:p w14:paraId="6711DD0B" w14:textId="77777777" w:rsidR="00616FD3" w:rsidRPr="00E740B8" w:rsidRDefault="00616FD3" w:rsidP="00616FD3">
      <w:pPr>
        <w:rPr>
          <w:rFonts w:asciiTheme="minorBidi" w:hAnsiTheme="minorBidi"/>
          <w:i/>
          <w:u w:val="single"/>
        </w:rPr>
      </w:pPr>
      <w:r w:rsidRPr="001D4B80">
        <w:rPr>
          <w:rFonts w:asciiTheme="minorBidi" w:hAnsiTheme="minorBidi"/>
          <w:i/>
          <w:u w:val="single"/>
        </w:rPr>
        <w:t>Répartition des dépenses de l</w:t>
      </w:r>
      <w:r>
        <w:rPr>
          <w:rFonts w:asciiTheme="minorBidi" w:hAnsiTheme="minorBidi"/>
          <w:i/>
          <w:u w:val="single"/>
        </w:rPr>
        <w:t>’</w:t>
      </w:r>
      <w:r w:rsidRPr="001D4B80">
        <w:rPr>
          <w:rFonts w:asciiTheme="minorBidi" w:hAnsiTheme="minorBidi"/>
          <w:i/>
          <w:u w:val="single"/>
        </w:rPr>
        <w:t>exercice biennal</w:t>
      </w:r>
      <w:r>
        <w:rPr>
          <w:rFonts w:asciiTheme="minorBidi" w:hAnsiTheme="minorBidi"/>
          <w:i/>
          <w:u w:val="single"/>
        </w:rPr>
        <w:t> </w:t>
      </w:r>
      <w:r w:rsidRPr="001D4B80">
        <w:rPr>
          <w:rFonts w:asciiTheme="minorBidi" w:hAnsiTheme="minorBidi"/>
          <w:i/>
          <w:u w:val="single"/>
        </w:rPr>
        <w:t>2018</w:t>
      </w:r>
      <w:r>
        <w:rPr>
          <w:rFonts w:asciiTheme="minorBidi" w:hAnsiTheme="minorBidi"/>
          <w:i/>
          <w:u w:val="single"/>
        </w:rPr>
        <w:t>-</w:t>
      </w:r>
      <w:r w:rsidRPr="001D4B80">
        <w:rPr>
          <w:rFonts w:asciiTheme="minorBidi" w:hAnsiTheme="minorBidi"/>
          <w:i/>
          <w:u w:val="single"/>
        </w:rPr>
        <w:t>2019 par catégorie</w:t>
      </w:r>
    </w:p>
    <w:p w14:paraId="3359EFCD" w14:textId="77777777" w:rsidR="00616FD3" w:rsidRPr="00E740B8" w:rsidRDefault="00616FD3" w:rsidP="00616FD3">
      <w:pPr>
        <w:rPr>
          <w:rFonts w:asciiTheme="minorBidi" w:hAnsiTheme="minorBidi"/>
        </w:rPr>
      </w:pPr>
    </w:p>
    <w:p w14:paraId="1C51482B"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 tableau ci</w:t>
      </w:r>
      <w:r>
        <w:rPr>
          <w:rFonts w:asciiTheme="minorBidi" w:hAnsiTheme="minorBidi"/>
        </w:rPr>
        <w:t>-</w:t>
      </w:r>
      <w:r w:rsidRPr="001D4B80">
        <w:rPr>
          <w:rFonts w:asciiTheme="minorBidi" w:hAnsiTheme="minorBidi"/>
        </w:rPr>
        <w:t>dessous résume la répartition des dépenses de l</w:t>
      </w:r>
      <w:r>
        <w:rPr>
          <w:rFonts w:asciiTheme="minorBidi" w:hAnsiTheme="minorBidi"/>
        </w:rPr>
        <w:t>’</w:t>
      </w:r>
      <w:r w:rsidRPr="001D4B80">
        <w:rPr>
          <w:rFonts w:asciiTheme="minorBidi" w:hAnsiTheme="minorBidi"/>
        </w:rPr>
        <w:t>exercice biennal</w:t>
      </w:r>
      <w:r>
        <w:rPr>
          <w:rFonts w:asciiTheme="minorBidi" w:hAnsiTheme="minorBidi"/>
        </w:rPr>
        <w:t> </w:t>
      </w:r>
      <w:r w:rsidRPr="001D4B80">
        <w:rPr>
          <w:rFonts w:asciiTheme="minorBidi" w:hAnsiTheme="minorBidi"/>
        </w:rPr>
        <w:t>2018</w:t>
      </w:r>
      <w:r>
        <w:rPr>
          <w:rFonts w:asciiTheme="minorBidi" w:hAnsiTheme="minorBidi"/>
        </w:rPr>
        <w:t>-</w:t>
      </w:r>
      <w:r w:rsidRPr="001D4B80">
        <w:rPr>
          <w:rFonts w:asciiTheme="minorBidi" w:hAnsiTheme="minorBidi"/>
        </w:rPr>
        <w:t>2019 entre les unions sur la base de quatre</w:t>
      </w:r>
      <w:r>
        <w:rPr>
          <w:rFonts w:asciiTheme="minorBidi" w:hAnsiTheme="minorBidi"/>
        </w:rPr>
        <w:t> </w:t>
      </w:r>
      <w:r w:rsidRPr="001D4B80">
        <w:rPr>
          <w:rFonts w:asciiTheme="minorBidi" w:hAnsiTheme="minorBidi"/>
        </w:rPr>
        <w:t>catégories de répartition</w:t>
      </w:r>
      <w:r>
        <w:rPr>
          <w:rFonts w:asciiTheme="minorBidi" w:hAnsiTheme="minorBidi"/>
        </w:rPr>
        <w:t xml:space="preserve">.  </w:t>
      </w:r>
      <w:r w:rsidRPr="001D4B80">
        <w:rPr>
          <w:rFonts w:asciiTheme="minorBidi" w:hAnsiTheme="minorBidi"/>
        </w:rPr>
        <w:t>Les dépenses indirectes sont réparties entre les unions financées par des contributions et les unions</w:t>
      </w:r>
      <w:r w:rsidRPr="006926A4">
        <w:rPr>
          <w:rFonts w:asciiTheme="minorBidi" w:hAnsiTheme="minorBidi"/>
        </w:rPr>
        <w:t xml:space="preserve"> du PCT</w:t>
      </w:r>
      <w:r w:rsidRPr="001D4B80">
        <w:rPr>
          <w:rFonts w:asciiTheme="minorBidi" w:hAnsiTheme="minorBidi"/>
        </w:rPr>
        <w:t xml:space="preserve"> et de Madrid en fonction de leur “capacité de paiement”.</w:t>
      </w:r>
    </w:p>
    <w:p w14:paraId="754A520A" w14:textId="77777777" w:rsidR="00616FD3" w:rsidRPr="00E740B8" w:rsidRDefault="00616FD3" w:rsidP="00616FD3">
      <w:pPr>
        <w:rPr>
          <w:rFonts w:asciiTheme="minorBidi" w:hAnsiTheme="minorBidi"/>
        </w:rPr>
      </w:pP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858"/>
        <w:gridCol w:w="1858"/>
        <w:gridCol w:w="1857"/>
        <w:gridCol w:w="1857"/>
        <w:gridCol w:w="1857"/>
      </w:tblGrid>
      <w:tr w:rsidR="00616FD3" w:rsidRPr="00616FD3" w14:paraId="340F69E2" w14:textId="77777777" w:rsidTr="00616FD3">
        <w:trPr>
          <w:cantSplit/>
        </w:trPr>
        <w:tc>
          <w:tcPr>
            <w:tcW w:w="1825" w:type="dxa"/>
            <w:shd w:val="clear" w:color="auto" w:fill="C6D9F1" w:themeFill="text2" w:themeFillTint="33"/>
            <w:vAlign w:val="center"/>
          </w:tcPr>
          <w:p w14:paraId="3F3A4138" w14:textId="77777777" w:rsidR="00616FD3" w:rsidRPr="00616FD3" w:rsidRDefault="00616FD3" w:rsidP="00616FD3">
            <w:pPr>
              <w:jc w:val="center"/>
              <w:rPr>
                <w:rFonts w:cs="Arial"/>
                <w:color w:val="000000" w:themeColor="text1"/>
                <w:sz w:val="18"/>
                <w:szCs w:val="18"/>
              </w:rPr>
            </w:pPr>
            <w:r w:rsidRPr="00616FD3">
              <w:rPr>
                <w:rFonts w:cs="Arial"/>
                <w:sz w:val="18"/>
                <w:szCs w:val="18"/>
              </w:rPr>
              <w:t>Unions financées par des contributions</w:t>
            </w:r>
          </w:p>
        </w:tc>
        <w:tc>
          <w:tcPr>
            <w:tcW w:w="1825" w:type="dxa"/>
            <w:shd w:val="clear" w:color="auto" w:fill="C6D9F1" w:themeFill="text2" w:themeFillTint="33"/>
            <w:vAlign w:val="center"/>
          </w:tcPr>
          <w:p w14:paraId="38E4D74A" w14:textId="77777777" w:rsidR="00616FD3" w:rsidRPr="00616FD3" w:rsidRDefault="00616FD3" w:rsidP="00616FD3">
            <w:pPr>
              <w:jc w:val="center"/>
              <w:rPr>
                <w:rFonts w:cs="Arial"/>
                <w:color w:val="000000" w:themeColor="text1"/>
                <w:sz w:val="18"/>
                <w:szCs w:val="18"/>
              </w:rPr>
            </w:pPr>
            <w:r w:rsidRPr="00616FD3">
              <w:rPr>
                <w:rFonts w:cs="Arial"/>
                <w:sz w:val="18"/>
                <w:szCs w:val="18"/>
              </w:rPr>
              <w:t>Union du PCT</w:t>
            </w:r>
          </w:p>
        </w:tc>
        <w:tc>
          <w:tcPr>
            <w:tcW w:w="1826" w:type="dxa"/>
            <w:shd w:val="clear" w:color="auto" w:fill="C6D9F1" w:themeFill="text2" w:themeFillTint="33"/>
            <w:vAlign w:val="center"/>
          </w:tcPr>
          <w:p w14:paraId="3E23F279" w14:textId="77777777" w:rsidR="00616FD3" w:rsidRPr="00616FD3" w:rsidRDefault="00616FD3" w:rsidP="00616FD3">
            <w:pPr>
              <w:jc w:val="center"/>
              <w:rPr>
                <w:rFonts w:cs="Arial"/>
                <w:color w:val="000000" w:themeColor="text1"/>
                <w:sz w:val="18"/>
                <w:szCs w:val="18"/>
              </w:rPr>
            </w:pPr>
            <w:r w:rsidRPr="00616FD3">
              <w:rPr>
                <w:rFonts w:cs="Arial"/>
                <w:sz w:val="18"/>
                <w:szCs w:val="18"/>
              </w:rPr>
              <w:t>Union de Madrid</w:t>
            </w:r>
          </w:p>
        </w:tc>
        <w:tc>
          <w:tcPr>
            <w:tcW w:w="1826" w:type="dxa"/>
            <w:shd w:val="clear" w:color="auto" w:fill="C6D9F1" w:themeFill="text2" w:themeFillTint="33"/>
            <w:vAlign w:val="center"/>
          </w:tcPr>
          <w:p w14:paraId="0419D577" w14:textId="77777777" w:rsidR="00616FD3" w:rsidRPr="00616FD3" w:rsidRDefault="00616FD3" w:rsidP="00616FD3">
            <w:pPr>
              <w:rPr>
                <w:rFonts w:cs="Arial"/>
                <w:color w:val="000000" w:themeColor="text1"/>
                <w:sz w:val="18"/>
                <w:szCs w:val="18"/>
              </w:rPr>
            </w:pPr>
            <w:r w:rsidRPr="00616FD3">
              <w:rPr>
                <w:rFonts w:cs="Arial"/>
                <w:sz w:val="18"/>
                <w:szCs w:val="18"/>
              </w:rPr>
              <w:t>Union de La Haye</w:t>
            </w:r>
          </w:p>
        </w:tc>
        <w:tc>
          <w:tcPr>
            <w:tcW w:w="1912" w:type="dxa"/>
            <w:shd w:val="clear" w:color="auto" w:fill="C6D9F1" w:themeFill="text2" w:themeFillTint="33"/>
            <w:vAlign w:val="center"/>
          </w:tcPr>
          <w:p w14:paraId="6E1EF0F9" w14:textId="77777777" w:rsidR="00616FD3" w:rsidRPr="00616FD3" w:rsidRDefault="00616FD3" w:rsidP="00616FD3">
            <w:pPr>
              <w:jc w:val="center"/>
              <w:rPr>
                <w:rFonts w:cs="Arial"/>
                <w:color w:val="000000" w:themeColor="text1"/>
                <w:sz w:val="18"/>
                <w:szCs w:val="18"/>
              </w:rPr>
            </w:pPr>
            <w:r w:rsidRPr="00616FD3">
              <w:rPr>
                <w:rFonts w:cs="Arial"/>
                <w:sz w:val="18"/>
                <w:szCs w:val="18"/>
              </w:rPr>
              <w:t>Union de Lisbonne</w:t>
            </w:r>
          </w:p>
        </w:tc>
      </w:tr>
      <w:tr w:rsidR="00616FD3" w:rsidRPr="00616FD3" w14:paraId="72474B48" w14:textId="77777777" w:rsidTr="00616FD3">
        <w:trPr>
          <w:cantSplit/>
        </w:trPr>
        <w:tc>
          <w:tcPr>
            <w:tcW w:w="1825" w:type="dxa"/>
          </w:tcPr>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825"/>
              <w:gridCol w:w="1826"/>
              <w:gridCol w:w="1826"/>
              <w:gridCol w:w="1912"/>
            </w:tblGrid>
            <w:tr w:rsidR="00616FD3" w:rsidRPr="00616FD3" w14:paraId="4F133AD0" w14:textId="77777777" w:rsidTr="00616FD3">
              <w:trPr>
                <w:trHeight w:val="1021"/>
              </w:trPr>
              <w:tc>
                <w:tcPr>
                  <w:tcW w:w="1825" w:type="dxa"/>
                  <w:vAlign w:val="center"/>
                </w:tcPr>
                <w:p w14:paraId="4E5DCC75"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7F7977AC"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71F0F326"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43ACE7C6"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5" w:type="dxa"/>
                  <w:vAlign w:val="center"/>
                </w:tcPr>
                <w:p w14:paraId="5B447138"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6BB84676"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177403E5"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58C638BD"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477B8E9D"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6A1B02B6"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2943EC9D"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2DD91D7A"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7D4C8E02"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7CF0E7DF"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40FC4DAC" w14:textId="77777777" w:rsidR="00616FD3" w:rsidRPr="00616FD3" w:rsidRDefault="00616FD3" w:rsidP="00616FD3">
                  <w:pPr>
                    <w:pStyle w:val="ListParagraph"/>
                    <w:ind w:left="0"/>
                    <w:rPr>
                      <w:rFonts w:cs="Arial"/>
                      <w:color w:val="000000" w:themeColor="text1"/>
                      <w:sz w:val="18"/>
                      <w:szCs w:val="18"/>
                    </w:rPr>
                  </w:pPr>
                </w:p>
              </w:tc>
              <w:tc>
                <w:tcPr>
                  <w:tcW w:w="1912" w:type="dxa"/>
                  <w:vAlign w:val="center"/>
                </w:tcPr>
                <w:p w14:paraId="2A3C9C79"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724B9164"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58159573" w14:textId="77777777" w:rsidR="00616FD3" w:rsidRPr="00616FD3" w:rsidRDefault="00616FD3" w:rsidP="00616FD3">
                  <w:pPr>
                    <w:rPr>
                      <w:rFonts w:cs="Arial"/>
                      <w:color w:val="000000" w:themeColor="text1"/>
                      <w:sz w:val="18"/>
                      <w:szCs w:val="18"/>
                    </w:rPr>
                  </w:pPr>
                </w:p>
              </w:tc>
            </w:tr>
          </w:tbl>
          <w:p w14:paraId="2FC415D4" w14:textId="77777777" w:rsidR="00616FD3" w:rsidRPr="00616FD3" w:rsidRDefault="00616FD3" w:rsidP="00616FD3">
            <w:pPr>
              <w:rPr>
                <w:rFonts w:cs="Arial"/>
                <w:sz w:val="18"/>
                <w:szCs w:val="18"/>
              </w:rPr>
            </w:pPr>
          </w:p>
        </w:tc>
        <w:tc>
          <w:tcPr>
            <w:tcW w:w="1825" w:type="dxa"/>
          </w:tcPr>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825"/>
              <w:gridCol w:w="1826"/>
              <w:gridCol w:w="1826"/>
              <w:gridCol w:w="1912"/>
            </w:tblGrid>
            <w:tr w:rsidR="00616FD3" w:rsidRPr="00616FD3" w14:paraId="43BC4D3D" w14:textId="77777777" w:rsidTr="00616FD3">
              <w:trPr>
                <w:trHeight w:val="1021"/>
              </w:trPr>
              <w:tc>
                <w:tcPr>
                  <w:tcW w:w="1825" w:type="dxa"/>
                  <w:vAlign w:val="center"/>
                </w:tcPr>
                <w:p w14:paraId="10863ECF"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0924480B"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4FEC945A"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4204300A"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5" w:type="dxa"/>
                  <w:vAlign w:val="center"/>
                </w:tcPr>
                <w:p w14:paraId="35B3C653"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4CCC3E0F"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5275B278"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084C8A73"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7B6823FB"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65395BF4"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64897E93"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09C9AC91"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18EDDE04"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786B00CA"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3C0A2E35" w14:textId="77777777" w:rsidR="00616FD3" w:rsidRPr="00616FD3" w:rsidRDefault="00616FD3" w:rsidP="00616FD3">
                  <w:pPr>
                    <w:pStyle w:val="ListParagraph"/>
                    <w:ind w:left="0"/>
                    <w:rPr>
                      <w:rFonts w:cs="Arial"/>
                      <w:color w:val="000000" w:themeColor="text1"/>
                      <w:sz w:val="18"/>
                      <w:szCs w:val="18"/>
                    </w:rPr>
                  </w:pPr>
                </w:p>
              </w:tc>
              <w:tc>
                <w:tcPr>
                  <w:tcW w:w="1912" w:type="dxa"/>
                  <w:vAlign w:val="center"/>
                </w:tcPr>
                <w:p w14:paraId="6D9B8596"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0260BFA3"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54A47228" w14:textId="77777777" w:rsidR="00616FD3" w:rsidRPr="00616FD3" w:rsidRDefault="00616FD3" w:rsidP="00616FD3">
                  <w:pPr>
                    <w:rPr>
                      <w:rFonts w:cs="Arial"/>
                      <w:color w:val="000000" w:themeColor="text1"/>
                      <w:sz w:val="18"/>
                      <w:szCs w:val="18"/>
                    </w:rPr>
                  </w:pPr>
                </w:p>
              </w:tc>
            </w:tr>
          </w:tbl>
          <w:p w14:paraId="29EBEC70" w14:textId="77777777" w:rsidR="00616FD3" w:rsidRPr="00616FD3" w:rsidRDefault="00616FD3" w:rsidP="00616FD3">
            <w:pPr>
              <w:rPr>
                <w:rFonts w:cs="Arial"/>
                <w:sz w:val="18"/>
                <w:szCs w:val="18"/>
              </w:rPr>
            </w:pPr>
          </w:p>
        </w:tc>
        <w:tc>
          <w:tcPr>
            <w:tcW w:w="1826" w:type="dxa"/>
          </w:tcPr>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825"/>
              <w:gridCol w:w="1826"/>
              <w:gridCol w:w="1826"/>
              <w:gridCol w:w="1912"/>
            </w:tblGrid>
            <w:tr w:rsidR="00616FD3" w:rsidRPr="00616FD3" w14:paraId="02BE1770" w14:textId="77777777" w:rsidTr="00616FD3">
              <w:trPr>
                <w:trHeight w:val="1021"/>
              </w:trPr>
              <w:tc>
                <w:tcPr>
                  <w:tcW w:w="1825" w:type="dxa"/>
                  <w:vAlign w:val="center"/>
                </w:tcPr>
                <w:p w14:paraId="5ADA3EE8"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01AC294B"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44B8E203"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03C356AD"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5" w:type="dxa"/>
                  <w:vAlign w:val="center"/>
                </w:tcPr>
                <w:p w14:paraId="77E0DD32"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0892C9C5"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02532EC3"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4C35980D"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3F1700D1"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70873773"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0E673BB4"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296A24B6"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680F160F"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25CE2347"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702C2EDC" w14:textId="77777777" w:rsidR="00616FD3" w:rsidRPr="00616FD3" w:rsidRDefault="00616FD3" w:rsidP="00616FD3">
                  <w:pPr>
                    <w:pStyle w:val="ListParagraph"/>
                    <w:ind w:left="0"/>
                    <w:rPr>
                      <w:rFonts w:cs="Arial"/>
                      <w:color w:val="000000" w:themeColor="text1"/>
                      <w:sz w:val="18"/>
                      <w:szCs w:val="18"/>
                    </w:rPr>
                  </w:pPr>
                </w:p>
              </w:tc>
              <w:tc>
                <w:tcPr>
                  <w:tcW w:w="1912" w:type="dxa"/>
                  <w:vAlign w:val="center"/>
                </w:tcPr>
                <w:p w14:paraId="6A0EA67B"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4F15A090"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0BBD9306" w14:textId="77777777" w:rsidR="00616FD3" w:rsidRPr="00616FD3" w:rsidRDefault="00616FD3" w:rsidP="00616FD3">
                  <w:pPr>
                    <w:rPr>
                      <w:rFonts w:cs="Arial"/>
                      <w:color w:val="000000" w:themeColor="text1"/>
                      <w:sz w:val="18"/>
                      <w:szCs w:val="18"/>
                    </w:rPr>
                  </w:pPr>
                </w:p>
              </w:tc>
            </w:tr>
          </w:tbl>
          <w:p w14:paraId="5195D763" w14:textId="77777777" w:rsidR="00616FD3" w:rsidRPr="00616FD3" w:rsidRDefault="00616FD3" w:rsidP="00616FD3">
            <w:pPr>
              <w:rPr>
                <w:rFonts w:cs="Arial"/>
                <w:sz w:val="18"/>
                <w:szCs w:val="18"/>
              </w:rPr>
            </w:pPr>
          </w:p>
        </w:tc>
        <w:tc>
          <w:tcPr>
            <w:tcW w:w="1826" w:type="dxa"/>
          </w:tcPr>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825"/>
              <w:gridCol w:w="1826"/>
              <w:gridCol w:w="1826"/>
              <w:gridCol w:w="1912"/>
            </w:tblGrid>
            <w:tr w:rsidR="00616FD3" w:rsidRPr="00616FD3" w14:paraId="2F70F007" w14:textId="77777777" w:rsidTr="00616FD3">
              <w:trPr>
                <w:trHeight w:val="1021"/>
              </w:trPr>
              <w:tc>
                <w:tcPr>
                  <w:tcW w:w="1825" w:type="dxa"/>
                  <w:vAlign w:val="center"/>
                </w:tcPr>
                <w:p w14:paraId="7C74D78A"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297DD387"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5B28A866"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41D14066"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5" w:type="dxa"/>
                  <w:vAlign w:val="center"/>
                </w:tcPr>
                <w:p w14:paraId="13A05FC0"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0A86024C"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5212E444"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39CBE98F"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5ECBD928"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4D56B4F0"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12683A20"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438A966C"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36B97AF0"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04AE0A87"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23D69F82" w14:textId="77777777" w:rsidR="00616FD3" w:rsidRPr="00616FD3" w:rsidRDefault="00616FD3" w:rsidP="00616FD3">
                  <w:pPr>
                    <w:pStyle w:val="ListParagraph"/>
                    <w:ind w:left="0"/>
                    <w:rPr>
                      <w:rFonts w:cs="Arial"/>
                      <w:color w:val="000000" w:themeColor="text1"/>
                      <w:sz w:val="18"/>
                      <w:szCs w:val="18"/>
                    </w:rPr>
                  </w:pPr>
                </w:p>
              </w:tc>
              <w:tc>
                <w:tcPr>
                  <w:tcW w:w="1912" w:type="dxa"/>
                  <w:vAlign w:val="center"/>
                </w:tcPr>
                <w:p w14:paraId="7BB1F61F"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753BF06E"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17839ED4" w14:textId="77777777" w:rsidR="00616FD3" w:rsidRPr="00616FD3" w:rsidRDefault="00616FD3" w:rsidP="00616FD3">
                  <w:pPr>
                    <w:rPr>
                      <w:rFonts w:cs="Arial"/>
                      <w:color w:val="000000" w:themeColor="text1"/>
                      <w:sz w:val="18"/>
                      <w:szCs w:val="18"/>
                    </w:rPr>
                  </w:pPr>
                </w:p>
              </w:tc>
            </w:tr>
          </w:tbl>
          <w:p w14:paraId="1AB4FB30" w14:textId="77777777" w:rsidR="00616FD3" w:rsidRPr="00616FD3" w:rsidRDefault="00616FD3" w:rsidP="00616FD3">
            <w:pPr>
              <w:rPr>
                <w:rFonts w:cs="Arial"/>
                <w:sz w:val="18"/>
                <w:szCs w:val="18"/>
              </w:rPr>
            </w:pPr>
          </w:p>
        </w:tc>
        <w:tc>
          <w:tcPr>
            <w:tcW w:w="1912" w:type="dxa"/>
          </w:tcPr>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825"/>
              <w:gridCol w:w="1826"/>
              <w:gridCol w:w="1826"/>
              <w:gridCol w:w="1912"/>
            </w:tblGrid>
            <w:tr w:rsidR="00616FD3" w:rsidRPr="00616FD3" w14:paraId="6DD3108A" w14:textId="77777777" w:rsidTr="00616FD3">
              <w:trPr>
                <w:trHeight w:val="1021"/>
              </w:trPr>
              <w:tc>
                <w:tcPr>
                  <w:tcW w:w="1825" w:type="dxa"/>
                  <w:vAlign w:val="center"/>
                </w:tcPr>
                <w:p w14:paraId="2C150E38"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3ECF5382"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32C381E9"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115B9FC3"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5" w:type="dxa"/>
                  <w:vAlign w:val="center"/>
                </w:tcPr>
                <w:p w14:paraId="030CC6B2"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1C2F5FC0"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60790E5C"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1F28C673"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7A51FA3F"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Union</w:t>
                  </w:r>
                </w:p>
                <w:p w14:paraId="35FA463D"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Direct Admin</w:t>
                  </w:r>
                </w:p>
                <w:p w14:paraId="5D6555AB" w14:textId="77777777" w:rsidR="00616FD3" w:rsidRPr="00591A2F" w:rsidRDefault="00616FD3" w:rsidP="00616FD3">
                  <w:pPr>
                    <w:pStyle w:val="ListParagraph"/>
                    <w:ind w:left="0"/>
                    <w:rPr>
                      <w:rFonts w:cs="Arial"/>
                      <w:color w:val="000000" w:themeColor="text1"/>
                      <w:sz w:val="18"/>
                      <w:szCs w:val="18"/>
                      <w:lang w:val="en-US"/>
                    </w:rPr>
                  </w:pPr>
                  <w:r w:rsidRPr="00591A2F">
                    <w:rPr>
                      <w:rFonts w:cs="Arial"/>
                      <w:color w:val="000000" w:themeColor="text1"/>
                      <w:sz w:val="18"/>
                      <w:szCs w:val="18"/>
                      <w:lang w:val="en-US"/>
                    </w:rPr>
                    <w:t>Indirect Union</w:t>
                  </w:r>
                </w:p>
                <w:p w14:paraId="13947437"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Indirect Admin</w:t>
                  </w:r>
                </w:p>
              </w:tc>
              <w:tc>
                <w:tcPr>
                  <w:tcW w:w="1826" w:type="dxa"/>
                  <w:vAlign w:val="center"/>
                </w:tcPr>
                <w:p w14:paraId="413B1575"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12B2FB2E"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775AC6BC" w14:textId="77777777" w:rsidR="00616FD3" w:rsidRPr="00616FD3" w:rsidRDefault="00616FD3" w:rsidP="00616FD3">
                  <w:pPr>
                    <w:pStyle w:val="ListParagraph"/>
                    <w:ind w:left="0"/>
                    <w:rPr>
                      <w:rFonts w:cs="Arial"/>
                      <w:color w:val="000000" w:themeColor="text1"/>
                      <w:sz w:val="18"/>
                      <w:szCs w:val="18"/>
                    </w:rPr>
                  </w:pPr>
                </w:p>
              </w:tc>
              <w:tc>
                <w:tcPr>
                  <w:tcW w:w="1912" w:type="dxa"/>
                  <w:vAlign w:val="center"/>
                </w:tcPr>
                <w:p w14:paraId="70870EE2"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Union</w:t>
                  </w:r>
                </w:p>
                <w:p w14:paraId="0852E639" w14:textId="77777777" w:rsidR="00616FD3" w:rsidRPr="00616FD3" w:rsidRDefault="00616FD3" w:rsidP="00616FD3">
                  <w:pPr>
                    <w:pStyle w:val="ListParagraph"/>
                    <w:ind w:left="0"/>
                    <w:rPr>
                      <w:rFonts w:cs="Arial"/>
                      <w:color w:val="000000" w:themeColor="text1"/>
                      <w:sz w:val="18"/>
                      <w:szCs w:val="18"/>
                    </w:rPr>
                  </w:pPr>
                  <w:r w:rsidRPr="00616FD3">
                    <w:rPr>
                      <w:rFonts w:cs="Arial"/>
                      <w:color w:val="000000" w:themeColor="text1"/>
                      <w:sz w:val="18"/>
                      <w:szCs w:val="18"/>
                    </w:rPr>
                    <w:t>Direct Admin</w:t>
                  </w:r>
                </w:p>
                <w:p w14:paraId="6F56BE65" w14:textId="77777777" w:rsidR="00616FD3" w:rsidRPr="00616FD3" w:rsidRDefault="00616FD3" w:rsidP="00616FD3">
                  <w:pPr>
                    <w:rPr>
                      <w:rFonts w:cs="Arial"/>
                      <w:color w:val="000000" w:themeColor="text1"/>
                      <w:sz w:val="18"/>
                      <w:szCs w:val="18"/>
                    </w:rPr>
                  </w:pPr>
                </w:p>
              </w:tc>
            </w:tr>
          </w:tbl>
          <w:p w14:paraId="552E74E5" w14:textId="77777777" w:rsidR="00616FD3" w:rsidRPr="00616FD3" w:rsidRDefault="00616FD3" w:rsidP="00616FD3">
            <w:pPr>
              <w:rPr>
                <w:rFonts w:cs="Arial"/>
                <w:sz w:val="18"/>
                <w:szCs w:val="18"/>
              </w:rPr>
            </w:pPr>
          </w:p>
        </w:tc>
      </w:tr>
      <w:tr w:rsidR="00616FD3" w:rsidRPr="00616FD3" w14:paraId="76EDFBC7" w14:textId="77777777" w:rsidTr="00616FD3">
        <w:trPr>
          <w:cantSplit/>
        </w:trPr>
        <w:tc>
          <w:tcPr>
            <w:tcW w:w="1825" w:type="dxa"/>
            <w:shd w:val="clear" w:color="auto" w:fill="C6D9F1" w:themeFill="text2" w:themeFillTint="33"/>
            <w:vAlign w:val="center"/>
          </w:tcPr>
          <w:p w14:paraId="341FFE0C" w14:textId="77777777" w:rsidR="00616FD3" w:rsidRPr="00616FD3" w:rsidRDefault="00616FD3" w:rsidP="00616FD3">
            <w:pPr>
              <w:pStyle w:val="ListParagraph"/>
              <w:ind w:left="0"/>
              <w:rPr>
                <w:rFonts w:cs="Arial"/>
                <w:color w:val="000000" w:themeColor="text1"/>
                <w:sz w:val="18"/>
                <w:szCs w:val="18"/>
              </w:rPr>
            </w:pPr>
          </w:p>
        </w:tc>
        <w:tc>
          <w:tcPr>
            <w:tcW w:w="5477" w:type="dxa"/>
            <w:gridSpan w:val="3"/>
            <w:shd w:val="clear" w:color="auto" w:fill="C6D9F1" w:themeFill="text2" w:themeFillTint="33"/>
            <w:vAlign w:val="center"/>
          </w:tcPr>
          <w:p w14:paraId="4A61D39F" w14:textId="77777777" w:rsidR="00616FD3" w:rsidRPr="00616FD3" w:rsidRDefault="00616FD3" w:rsidP="00616FD3">
            <w:pPr>
              <w:pStyle w:val="ListParagraph"/>
              <w:ind w:left="0"/>
              <w:jc w:val="center"/>
              <w:rPr>
                <w:rFonts w:cs="Arial"/>
                <w:color w:val="000000" w:themeColor="text1"/>
                <w:sz w:val="18"/>
                <w:szCs w:val="18"/>
              </w:rPr>
            </w:pPr>
            <w:r w:rsidRPr="00616FD3">
              <w:rPr>
                <w:rFonts w:cs="Arial"/>
                <w:sz w:val="18"/>
                <w:szCs w:val="18"/>
              </w:rPr>
              <w:t>Les ajustements IPSAS aux dépenses</w:t>
            </w:r>
          </w:p>
        </w:tc>
        <w:tc>
          <w:tcPr>
            <w:tcW w:w="1912" w:type="dxa"/>
            <w:shd w:val="clear" w:color="auto" w:fill="C6D9F1" w:themeFill="text2" w:themeFillTint="33"/>
            <w:vAlign w:val="center"/>
          </w:tcPr>
          <w:p w14:paraId="26005C9F" w14:textId="77777777" w:rsidR="00616FD3" w:rsidRPr="00616FD3" w:rsidRDefault="00616FD3" w:rsidP="00616FD3">
            <w:pPr>
              <w:pStyle w:val="ListParagraph"/>
              <w:ind w:left="0"/>
              <w:rPr>
                <w:rFonts w:cs="Arial"/>
                <w:color w:val="000000" w:themeColor="text1"/>
                <w:sz w:val="18"/>
                <w:szCs w:val="18"/>
              </w:rPr>
            </w:pPr>
          </w:p>
        </w:tc>
      </w:tr>
    </w:tbl>
    <w:p w14:paraId="22E0EE17" w14:textId="77777777" w:rsidR="00616FD3" w:rsidRPr="00E740B8" w:rsidRDefault="00616FD3" w:rsidP="00616FD3">
      <w:pPr>
        <w:rPr>
          <w:rFonts w:asciiTheme="minorBidi" w:hAnsiTheme="minorBidi"/>
          <w:sz w:val="12"/>
          <w:szCs w:val="12"/>
        </w:rPr>
      </w:pPr>
    </w:p>
    <w:p w14:paraId="2A1AB84E" w14:textId="77777777" w:rsidR="00616FD3" w:rsidRPr="00E740B8" w:rsidRDefault="00616FD3" w:rsidP="00616FD3">
      <w:pPr>
        <w:rPr>
          <w:rFonts w:asciiTheme="minorBidi" w:hAnsiTheme="minorBidi"/>
        </w:rPr>
      </w:pPr>
    </w:p>
    <w:p w14:paraId="5E1D5AE8" w14:textId="77777777" w:rsidR="00616FD3" w:rsidRPr="00FE2838" w:rsidRDefault="00616FD3" w:rsidP="00616FD3">
      <w:pPr>
        <w:rPr>
          <w:rFonts w:asciiTheme="minorBidi" w:hAnsiTheme="minorBidi"/>
          <w:i/>
          <w:u w:val="single"/>
        </w:rPr>
      </w:pPr>
      <w:r w:rsidRPr="001D4B80">
        <w:rPr>
          <w:rFonts w:asciiTheme="minorBidi" w:hAnsiTheme="minorBidi"/>
          <w:i/>
          <w:u w:val="single"/>
        </w:rPr>
        <w:t>Répartition des dépenses par résultat escompté</w:t>
      </w:r>
      <w:r w:rsidRPr="00FE2838">
        <w:rPr>
          <w:rStyle w:val="FootnoteReference"/>
          <w:rFonts w:asciiTheme="minorBidi" w:hAnsiTheme="minorBidi"/>
          <w:i/>
          <w:u w:val="single"/>
        </w:rPr>
        <w:footnoteReference w:id="42"/>
      </w:r>
    </w:p>
    <w:p w14:paraId="27355691" w14:textId="77777777" w:rsidR="00616FD3" w:rsidRPr="00E740B8" w:rsidRDefault="00616FD3" w:rsidP="00616FD3">
      <w:pPr>
        <w:rPr>
          <w:rFonts w:asciiTheme="minorBidi" w:hAnsiTheme="minorBidi"/>
        </w:rPr>
      </w:pPr>
    </w:p>
    <w:p w14:paraId="4446BBD0"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activités de l</w:t>
      </w:r>
      <w:r>
        <w:rPr>
          <w:rFonts w:asciiTheme="minorBidi" w:hAnsiTheme="minorBidi"/>
        </w:rPr>
        <w:t>’</w:t>
      </w:r>
      <w:r w:rsidRPr="001D4B80">
        <w:rPr>
          <w:rFonts w:asciiTheme="minorBidi" w:hAnsiTheme="minorBidi"/>
        </w:rPr>
        <w:t>OMPI sont mises en œuvre conformément à une structure programmatique</w:t>
      </w:r>
      <w:r>
        <w:rPr>
          <w:rFonts w:asciiTheme="minorBidi" w:hAnsiTheme="minorBidi"/>
        </w:rPr>
        <w:t>.  Les p</w:t>
      </w:r>
      <w:r w:rsidRPr="001D4B80">
        <w:rPr>
          <w:rFonts w:asciiTheme="minorBidi" w:hAnsiTheme="minorBidi"/>
        </w:rPr>
        <w:t>rogrammes entreprennent des activités qui contribuent à l</w:t>
      </w:r>
      <w:r>
        <w:rPr>
          <w:rFonts w:asciiTheme="minorBidi" w:hAnsiTheme="minorBidi"/>
        </w:rPr>
        <w:t>’</w:t>
      </w:r>
      <w:r w:rsidRPr="001D4B80">
        <w:rPr>
          <w:rFonts w:asciiTheme="minorBidi" w:hAnsiTheme="minorBidi"/>
        </w:rPr>
        <w:t>obtention des résultats escomptés au niveau de l</w:t>
      </w:r>
      <w:r>
        <w:rPr>
          <w:rFonts w:asciiTheme="minorBidi" w:hAnsiTheme="minorBidi"/>
        </w:rPr>
        <w:t>’</w:t>
      </w:r>
      <w:r w:rsidRPr="001D4B80">
        <w:rPr>
          <w:rFonts w:asciiTheme="minorBidi" w:hAnsiTheme="minorBidi"/>
        </w:rPr>
        <w:t>Organisation.</w:t>
      </w:r>
    </w:p>
    <w:p w14:paraId="689FEACF" w14:textId="77777777" w:rsidR="00616FD3" w:rsidRPr="00E740B8" w:rsidRDefault="00616FD3" w:rsidP="00616FD3">
      <w:pPr>
        <w:rPr>
          <w:rFonts w:asciiTheme="minorBidi" w:hAnsiTheme="minorBidi"/>
        </w:rPr>
      </w:pPr>
    </w:p>
    <w:p w14:paraId="59FFF5A4"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I.1 “</w:t>
      </w:r>
      <w:r w:rsidRPr="001D4B80">
        <w:rPr>
          <w:rFonts w:asciiTheme="minorBidi" w:hAnsiTheme="minorBidi"/>
          <w:lang w:val="fr-CH"/>
        </w:rPr>
        <w:t>Renforcement de la coopération entre les États membres en ce qui concerne l</w:t>
      </w:r>
      <w:r>
        <w:rPr>
          <w:rFonts w:asciiTheme="minorBidi" w:hAnsiTheme="minorBidi"/>
          <w:lang w:val="fr-CH"/>
        </w:rPr>
        <w:t>’</w:t>
      </w:r>
      <w:r w:rsidRPr="001D4B80">
        <w:rPr>
          <w:rFonts w:asciiTheme="minorBidi" w:hAnsiTheme="minorBidi"/>
          <w:lang w:val="fr-CH"/>
        </w:rPr>
        <w:t>élaboration de cadres normatifs internationaux équilibrés dans le domaine de la propriété intellectuelle”</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4B7F8ABD" w14:textId="77777777" w:rsidR="00616FD3" w:rsidRPr="00027C73" w:rsidRDefault="00616FD3" w:rsidP="00616FD3"/>
    <w:p w14:paraId="76FA5FA8" w14:textId="77777777" w:rsidR="00616FD3" w:rsidRPr="00616FD3" w:rsidRDefault="00616FD3" w:rsidP="00616FD3">
      <w:pPr>
        <w:ind w:left="1985" w:hanging="1418"/>
        <w:rPr>
          <w:sz w:val="18"/>
        </w:rPr>
      </w:pPr>
      <w:r w:rsidRPr="00616FD3">
        <w:rPr>
          <w:sz w:val="18"/>
        </w:rPr>
        <w:t xml:space="preserve">Programme 1 </w:t>
      </w:r>
      <w:r w:rsidRPr="00616FD3">
        <w:rPr>
          <w:sz w:val="18"/>
        </w:rPr>
        <w:tab/>
        <w:t>(Droit des brevets)</w:t>
      </w:r>
    </w:p>
    <w:p w14:paraId="7E34988E" w14:textId="77777777" w:rsidR="00616FD3" w:rsidRPr="00616FD3" w:rsidRDefault="00616FD3" w:rsidP="00616FD3">
      <w:pPr>
        <w:ind w:left="1985" w:hanging="1418"/>
        <w:rPr>
          <w:sz w:val="18"/>
        </w:rPr>
      </w:pPr>
      <w:r w:rsidRPr="00616FD3">
        <w:rPr>
          <w:sz w:val="18"/>
        </w:rPr>
        <w:t xml:space="preserve">Programme 2 </w:t>
      </w:r>
      <w:r w:rsidRPr="00616FD3">
        <w:rPr>
          <w:sz w:val="18"/>
        </w:rPr>
        <w:tab/>
        <w:t>(Marques, dessins et modèles industriels et indications géographiques)</w:t>
      </w:r>
    </w:p>
    <w:p w14:paraId="42CD6869" w14:textId="77777777" w:rsidR="00616FD3" w:rsidRPr="00616FD3" w:rsidRDefault="00616FD3" w:rsidP="00616FD3">
      <w:pPr>
        <w:ind w:left="1985" w:hanging="1418"/>
        <w:rPr>
          <w:sz w:val="18"/>
        </w:rPr>
      </w:pPr>
      <w:r w:rsidRPr="00616FD3">
        <w:rPr>
          <w:sz w:val="18"/>
        </w:rPr>
        <w:t xml:space="preserve">Programme 3 </w:t>
      </w:r>
      <w:r w:rsidRPr="00616FD3">
        <w:rPr>
          <w:sz w:val="18"/>
        </w:rPr>
        <w:tab/>
        <w:t>(Droit d’auteur et droits connexes)</w:t>
      </w:r>
    </w:p>
    <w:p w14:paraId="5D2B627A" w14:textId="77777777" w:rsidR="00616FD3" w:rsidRPr="00616FD3" w:rsidRDefault="00616FD3" w:rsidP="00616FD3">
      <w:pPr>
        <w:ind w:left="1985" w:hanging="1418"/>
        <w:rPr>
          <w:sz w:val="18"/>
        </w:rPr>
      </w:pPr>
      <w:r w:rsidRPr="00616FD3">
        <w:rPr>
          <w:sz w:val="18"/>
        </w:rPr>
        <w:t>Programme 4</w:t>
      </w:r>
      <w:r w:rsidRPr="00616FD3">
        <w:rPr>
          <w:sz w:val="18"/>
        </w:rPr>
        <w:tab/>
        <w:t>(Savoirs traditionnels, expressions culturelles traditionnelles et ressources génétiques)</w:t>
      </w:r>
    </w:p>
    <w:p w14:paraId="646DD675" w14:textId="77777777" w:rsidR="00616FD3" w:rsidRPr="00616FD3" w:rsidRDefault="00616FD3" w:rsidP="00616FD3">
      <w:pPr>
        <w:ind w:left="1985" w:hanging="1418"/>
        <w:rPr>
          <w:sz w:val="18"/>
        </w:rPr>
      </w:pPr>
      <w:r w:rsidRPr="00616FD3">
        <w:rPr>
          <w:sz w:val="18"/>
        </w:rPr>
        <w:t>Programme 18</w:t>
      </w:r>
      <w:r w:rsidRPr="00616FD3">
        <w:rPr>
          <w:sz w:val="18"/>
        </w:rPr>
        <w:tab/>
        <w:t>(Propriété intellectuelle et défis mondiaux)</w:t>
      </w:r>
    </w:p>
    <w:p w14:paraId="64C9352C" w14:textId="77777777" w:rsidR="00616FD3" w:rsidRPr="00027C73" w:rsidRDefault="00616FD3" w:rsidP="00616FD3"/>
    <w:p w14:paraId="1609BDB1" w14:textId="77777777" w:rsidR="00616FD3" w:rsidRPr="00E740B8" w:rsidRDefault="00616FD3" w:rsidP="00616FD3">
      <w:pPr>
        <w:rPr>
          <w:rFonts w:asciiTheme="minorBidi" w:hAnsiTheme="minorBidi"/>
          <w:lang w:eastAsia="fr-CH"/>
        </w:rPr>
      </w:pPr>
      <w:r w:rsidRPr="001D4B80">
        <w:rPr>
          <w:rFonts w:asciiTheme="minorBidi" w:hAnsiTheme="minorBidi"/>
          <w:lang w:eastAsia="fr-CH"/>
        </w:rPr>
        <w:t>sont réparties en tant que “dépenses directes de l</w:t>
      </w:r>
      <w:r>
        <w:rPr>
          <w:rFonts w:asciiTheme="minorBidi" w:hAnsiTheme="minorBidi"/>
          <w:lang w:eastAsia="fr-CH"/>
        </w:rPr>
        <w:t>’</w:t>
      </w:r>
      <w:r w:rsidRPr="001D4B80">
        <w:rPr>
          <w:rFonts w:asciiTheme="minorBidi" w:hAnsiTheme="minorBidi"/>
          <w:lang w:eastAsia="fr-CH"/>
        </w:rPr>
        <w:t>union” et “dépenses indirectes de l</w:t>
      </w:r>
      <w:r>
        <w:rPr>
          <w:rFonts w:asciiTheme="minorBidi" w:hAnsiTheme="minorBidi"/>
          <w:lang w:eastAsia="fr-CH"/>
        </w:rPr>
        <w:t>’</w:t>
      </w:r>
      <w:r w:rsidRPr="001D4B80">
        <w:rPr>
          <w:rFonts w:asciiTheme="minorBidi" w:hAnsiTheme="minorBidi"/>
          <w:lang w:eastAsia="fr-CH"/>
        </w:rPr>
        <w:t>union”, comme indiqué ci</w:t>
      </w:r>
      <w:r>
        <w:rPr>
          <w:rFonts w:asciiTheme="minorBidi" w:hAnsiTheme="minorBidi"/>
          <w:lang w:eastAsia="fr-CH"/>
        </w:rPr>
        <w:t>-</w:t>
      </w:r>
      <w:r w:rsidRPr="001D4B80">
        <w:rPr>
          <w:rFonts w:asciiTheme="minorBidi" w:hAnsiTheme="minorBidi"/>
          <w:lang w:eastAsia="fr-CH"/>
        </w:rPr>
        <w:t>après</w:t>
      </w:r>
      <w:r>
        <w:rPr>
          <w:rFonts w:asciiTheme="minorBidi" w:hAnsiTheme="minorBidi"/>
          <w:lang w:eastAsia="fr-CH"/>
        </w:rPr>
        <w:t> :</w:t>
      </w:r>
    </w:p>
    <w:p w14:paraId="0EBEE793" w14:textId="77777777" w:rsidR="00616FD3" w:rsidRPr="00E740B8" w:rsidRDefault="00616FD3" w:rsidP="00616FD3">
      <w:pPr>
        <w:ind w:left="1701"/>
        <w:rPr>
          <w:rFonts w:asciiTheme="minorBidi" w:hAnsiTheme="minorBidi"/>
        </w:rPr>
      </w:pP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370"/>
        <w:gridCol w:w="2194"/>
        <w:gridCol w:w="2369"/>
        <w:gridCol w:w="2282"/>
      </w:tblGrid>
      <w:tr w:rsidR="00616FD3" w:rsidRPr="00E740B8" w14:paraId="3FFFC029" w14:textId="77777777" w:rsidTr="00616FD3">
        <w:trPr>
          <w:cantSplit/>
        </w:trPr>
        <w:tc>
          <w:tcPr>
            <w:tcW w:w="2369" w:type="dxa"/>
            <w:shd w:val="clear" w:color="auto" w:fill="C6D9F1" w:themeFill="text2" w:themeFillTint="33"/>
          </w:tcPr>
          <w:p w14:paraId="4CC6B5B0" w14:textId="77777777" w:rsidR="00616FD3" w:rsidRPr="00E740B8"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lastRenderedPageBreak/>
              <w:t>Unions financées par des contributions</w:t>
            </w:r>
          </w:p>
          <w:p w14:paraId="7E34FF1E"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194" w:type="dxa"/>
            <w:shd w:val="clear" w:color="auto" w:fill="C6D9F1" w:themeFill="text2" w:themeFillTint="33"/>
          </w:tcPr>
          <w:p w14:paraId="522C2E77" w14:textId="77777777" w:rsidR="00616FD3" w:rsidRPr="00E740B8"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03FF5BC8"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369" w:type="dxa"/>
            <w:shd w:val="clear" w:color="auto" w:fill="C6D9F1" w:themeFill="text2" w:themeFillTint="33"/>
          </w:tcPr>
          <w:p w14:paraId="7670C53F" w14:textId="77777777" w:rsidR="00616FD3" w:rsidRPr="00E740B8"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t>Union de Madrid</w:t>
            </w:r>
          </w:p>
          <w:p w14:paraId="5F4BE790"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82" w:type="dxa"/>
            <w:shd w:val="clear" w:color="auto" w:fill="C6D9F1" w:themeFill="text2" w:themeFillTint="33"/>
          </w:tcPr>
          <w:p w14:paraId="7DFF6BE1" w14:textId="77777777" w:rsidR="00616FD3"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4ADA9E82"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r w:rsidRPr="00E740B8">
              <w:rPr>
                <w:rFonts w:asciiTheme="minorBidi" w:hAnsiTheme="minorBidi"/>
                <w:i/>
                <w:color w:val="000000" w:themeColor="text1"/>
                <w:sz w:val="18"/>
                <w:szCs w:val="18"/>
              </w:rPr>
              <w:t xml:space="preserve"> </w:t>
            </w:r>
          </w:p>
        </w:tc>
      </w:tr>
      <w:tr w:rsidR="00616FD3" w:rsidRPr="00E740B8" w14:paraId="32A33C6A" w14:textId="77777777" w:rsidTr="00616FD3">
        <w:trPr>
          <w:cantSplit/>
        </w:trPr>
        <w:tc>
          <w:tcPr>
            <w:tcW w:w="2369" w:type="dxa"/>
          </w:tcPr>
          <w:p w14:paraId="517BC40D" w14:textId="77777777" w:rsidR="00616FD3" w:rsidRPr="005E1670" w:rsidRDefault="00616FD3" w:rsidP="00616FD3">
            <w:pPr>
              <w:pStyle w:val="ListParagraph"/>
              <w:ind w:left="0"/>
              <w:jc w:val="center"/>
              <w:rPr>
                <w:rFonts w:asciiTheme="minorBidi" w:hAnsiTheme="minorBidi"/>
                <w:color w:val="000000" w:themeColor="text1"/>
                <w:sz w:val="18"/>
                <w:szCs w:val="18"/>
              </w:rPr>
            </w:pPr>
          </w:p>
          <w:p w14:paraId="141D1ACA"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1- SCP</w:t>
            </w:r>
          </w:p>
          <w:p w14:paraId="3B9978B9" w14:textId="77777777" w:rsidR="00616FD3" w:rsidRPr="005E1670" w:rsidRDefault="00616FD3" w:rsidP="00616FD3">
            <w:pPr>
              <w:jc w:val="center"/>
              <w:rPr>
                <w:rFonts w:asciiTheme="minorBidi" w:hAnsiTheme="minorBidi"/>
                <w:color w:val="000000" w:themeColor="text1"/>
                <w:sz w:val="18"/>
                <w:szCs w:val="18"/>
                <w:lang w:eastAsia="fr-CH"/>
              </w:rPr>
            </w:pPr>
            <w:r w:rsidRPr="005E1670">
              <w:rPr>
                <w:rFonts w:asciiTheme="minorBidi" w:hAnsiTheme="minorBidi"/>
                <w:sz w:val="18"/>
                <w:szCs w:val="18"/>
                <w:lang w:eastAsia="fr-CH"/>
              </w:rPr>
              <w:t>(10% – estimation du chef de programme)</w:t>
            </w:r>
          </w:p>
          <w:p w14:paraId="09B913AC" w14:textId="77777777" w:rsidR="00616FD3" w:rsidRPr="005E1670" w:rsidRDefault="00616FD3" w:rsidP="00616FD3">
            <w:pPr>
              <w:pStyle w:val="ListParagraph"/>
              <w:ind w:left="0"/>
              <w:jc w:val="center"/>
              <w:rPr>
                <w:rFonts w:asciiTheme="minorBidi" w:hAnsiTheme="minorBidi"/>
                <w:color w:val="000000" w:themeColor="text1"/>
                <w:sz w:val="18"/>
                <w:szCs w:val="18"/>
              </w:rPr>
            </w:pPr>
          </w:p>
          <w:p w14:paraId="1C346562"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2-SCT</w:t>
            </w:r>
          </w:p>
          <w:p w14:paraId="21222769"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(20% – estimation du chef de programme)</w:t>
            </w:r>
          </w:p>
          <w:p w14:paraId="364EB393" w14:textId="77777777" w:rsidR="00616FD3" w:rsidRPr="005E1670" w:rsidRDefault="00616FD3" w:rsidP="00616FD3">
            <w:pPr>
              <w:pStyle w:val="ListParagraph"/>
              <w:ind w:left="0"/>
              <w:jc w:val="center"/>
              <w:rPr>
                <w:rFonts w:asciiTheme="minorBidi" w:hAnsiTheme="minorBidi"/>
                <w:color w:val="000000" w:themeColor="text1"/>
                <w:sz w:val="18"/>
                <w:szCs w:val="18"/>
              </w:rPr>
            </w:pPr>
          </w:p>
          <w:p w14:paraId="044BCC5F"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3 – SCCR</w:t>
            </w:r>
          </w:p>
          <w:p w14:paraId="6AEC144D" w14:textId="77777777" w:rsidR="00616FD3" w:rsidRPr="005E1670" w:rsidRDefault="00616FD3" w:rsidP="00616FD3">
            <w:pPr>
              <w:pStyle w:val="ListParagraph"/>
              <w:ind w:left="0"/>
              <w:jc w:val="center"/>
              <w:rPr>
                <w:rFonts w:asciiTheme="minorBidi" w:hAnsiTheme="minorBidi"/>
                <w:color w:val="000000" w:themeColor="text1"/>
                <w:sz w:val="18"/>
                <w:szCs w:val="18"/>
              </w:rPr>
            </w:pPr>
          </w:p>
          <w:p w14:paraId="7DD3CC39"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4-IGC</w:t>
            </w:r>
          </w:p>
        </w:tc>
        <w:tc>
          <w:tcPr>
            <w:tcW w:w="2194" w:type="dxa"/>
          </w:tcPr>
          <w:p w14:paraId="414EA975" w14:textId="77777777" w:rsidR="00616FD3" w:rsidRPr="005E1670" w:rsidRDefault="00616FD3" w:rsidP="00616FD3">
            <w:pPr>
              <w:jc w:val="center"/>
              <w:rPr>
                <w:rFonts w:asciiTheme="minorBidi" w:hAnsiTheme="minorBidi"/>
                <w:color w:val="000000" w:themeColor="text1"/>
                <w:sz w:val="18"/>
                <w:szCs w:val="18"/>
              </w:rPr>
            </w:pPr>
          </w:p>
          <w:p w14:paraId="01C7C600"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1- SCP</w:t>
            </w:r>
          </w:p>
          <w:p w14:paraId="68038EF7" w14:textId="77777777" w:rsidR="00616FD3" w:rsidRPr="005E1670" w:rsidRDefault="00616FD3" w:rsidP="00616FD3">
            <w:pPr>
              <w:jc w:val="center"/>
              <w:rPr>
                <w:rFonts w:asciiTheme="minorBidi" w:hAnsiTheme="minorBidi"/>
                <w:color w:val="000000" w:themeColor="text1"/>
                <w:sz w:val="18"/>
                <w:szCs w:val="18"/>
                <w:lang w:eastAsia="fr-CH"/>
              </w:rPr>
            </w:pPr>
            <w:r w:rsidRPr="005E1670">
              <w:rPr>
                <w:rFonts w:asciiTheme="minorBidi" w:hAnsiTheme="minorBidi"/>
                <w:sz w:val="18"/>
                <w:szCs w:val="18"/>
                <w:lang w:eastAsia="fr-CH"/>
              </w:rPr>
              <w:t>(90% – estimation du chef de programme)</w:t>
            </w:r>
          </w:p>
          <w:p w14:paraId="6B9096F0" w14:textId="77777777" w:rsidR="00616FD3" w:rsidRPr="005E1670" w:rsidRDefault="00616FD3" w:rsidP="00616FD3">
            <w:pPr>
              <w:jc w:val="center"/>
              <w:rPr>
                <w:rFonts w:asciiTheme="minorBidi" w:hAnsiTheme="minorBidi"/>
                <w:color w:val="000000" w:themeColor="text1"/>
                <w:sz w:val="18"/>
                <w:szCs w:val="18"/>
              </w:rPr>
            </w:pPr>
          </w:p>
        </w:tc>
        <w:tc>
          <w:tcPr>
            <w:tcW w:w="2369" w:type="dxa"/>
          </w:tcPr>
          <w:p w14:paraId="24FB53AD" w14:textId="77777777" w:rsidR="00616FD3" w:rsidRPr="005E1670" w:rsidRDefault="00616FD3" w:rsidP="00616FD3">
            <w:pPr>
              <w:jc w:val="center"/>
              <w:rPr>
                <w:rFonts w:asciiTheme="minorBidi" w:hAnsiTheme="minorBidi"/>
                <w:color w:val="000000" w:themeColor="text1"/>
                <w:sz w:val="18"/>
                <w:szCs w:val="18"/>
              </w:rPr>
            </w:pPr>
          </w:p>
          <w:p w14:paraId="58C5C945"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2- SCT</w:t>
            </w:r>
          </w:p>
          <w:p w14:paraId="36C74976"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 xml:space="preserve">(65%- estimation </w:t>
            </w:r>
            <w:r w:rsidRPr="005E1670">
              <w:rPr>
                <w:rFonts w:asciiTheme="minorBidi" w:hAnsiTheme="minorBidi"/>
                <w:sz w:val="18"/>
                <w:szCs w:val="18"/>
                <w:lang w:eastAsia="fr-CH"/>
              </w:rPr>
              <w:t>du chef de programme</w:t>
            </w:r>
            <w:r w:rsidRPr="005E1670">
              <w:rPr>
                <w:rFonts w:asciiTheme="minorBidi" w:hAnsiTheme="minorBidi"/>
                <w:sz w:val="18"/>
                <w:szCs w:val="18"/>
              </w:rPr>
              <w:t>)</w:t>
            </w:r>
          </w:p>
        </w:tc>
        <w:tc>
          <w:tcPr>
            <w:tcW w:w="2282" w:type="dxa"/>
          </w:tcPr>
          <w:p w14:paraId="165A1534" w14:textId="77777777" w:rsidR="00616FD3" w:rsidRPr="005E1670" w:rsidRDefault="00616FD3" w:rsidP="00616FD3">
            <w:pPr>
              <w:jc w:val="center"/>
              <w:rPr>
                <w:rFonts w:asciiTheme="minorBidi" w:hAnsiTheme="minorBidi"/>
                <w:color w:val="000000" w:themeColor="text1"/>
                <w:sz w:val="18"/>
                <w:szCs w:val="18"/>
              </w:rPr>
            </w:pPr>
          </w:p>
          <w:p w14:paraId="18EC1D7F"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Programme 2- SCT</w:t>
            </w:r>
          </w:p>
          <w:p w14:paraId="35344E0E" w14:textId="77777777" w:rsidR="00616FD3" w:rsidRPr="005E1670" w:rsidRDefault="00616FD3" w:rsidP="00616FD3">
            <w:pPr>
              <w:jc w:val="center"/>
              <w:rPr>
                <w:rFonts w:asciiTheme="minorBidi" w:hAnsiTheme="minorBidi"/>
                <w:color w:val="000000" w:themeColor="text1"/>
                <w:sz w:val="18"/>
                <w:szCs w:val="18"/>
              </w:rPr>
            </w:pPr>
            <w:r w:rsidRPr="005E1670">
              <w:rPr>
                <w:rFonts w:asciiTheme="minorBidi" w:hAnsiTheme="minorBidi"/>
                <w:sz w:val="18"/>
                <w:szCs w:val="18"/>
              </w:rPr>
              <w:t xml:space="preserve">(15% – estimation </w:t>
            </w:r>
            <w:r w:rsidRPr="005E1670">
              <w:rPr>
                <w:rFonts w:asciiTheme="minorBidi" w:hAnsiTheme="minorBidi"/>
                <w:sz w:val="18"/>
                <w:szCs w:val="18"/>
                <w:lang w:eastAsia="fr-CH"/>
              </w:rPr>
              <w:t>du chef de programme</w:t>
            </w:r>
            <w:r w:rsidRPr="005E1670">
              <w:rPr>
                <w:rFonts w:asciiTheme="minorBidi" w:hAnsiTheme="minorBidi"/>
                <w:sz w:val="18"/>
                <w:szCs w:val="18"/>
              </w:rPr>
              <w:t>)</w:t>
            </w:r>
          </w:p>
        </w:tc>
      </w:tr>
      <w:tr w:rsidR="00616FD3" w:rsidRPr="00E740B8" w14:paraId="3EC3B437" w14:textId="77777777" w:rsidTr="00616FD3">
        <w:trPr>
          <w:cantSplit/>
        </w:trPr>
        <w:tc>
          <w:tcPr>
            <w:tcW w:w="9214" w:type="dxa"/>
            <w:gridSpan w:val="4"/>
            <w:shd w:val="clear" w:color="auto" w:fill="C6D9F1" w:themeFill="text2" w:themeFillTint="33"/>
            <w:vAlign w:val="center"/>
          </w:tcPr>
          <w:p w14:paraId="3B51735E" w14:textId="77777777" w:rsidR="00616FD3" w:rsidRPr="00E740B8" w:rsidRDefault="00616FD3" w:rsidP="00616FD3">
            <w:pPr>
              <w:pStyle w:val="ListParagraph"/>
              <w:ind w:left="0"/>
              <w:jc w:val="center"/>
              <w:rPr>
                <w:rFonts w:asciiTheme="minorBidi" w:hAnsiTheme="minorBidi"/>
                <w:color w:val="000000" w:themeColor="text1"/>
                <w:sz w:val="18"/>
                <w:szCs w:val="18"/>
                <w:lang w:eastAsia="fr-CH"/>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 1 (renforcement des capacités) et programme 18</w:t>
            </w:r>
            <w:r w:rsidRPr="00E740B8">
              <w:rPr>
                <w:rFonts w:asciiTheme="minorBidi" w:hAnsiTheme="minorBidi"/>
                <w:color w:val="000000" w:themeColor="text1"/>
                <w:sz w:val="18"/>
                <w:szCs w:val="18"/>
              </w:rPr>
              <w:t xml:space="preserve"> </w:t>
            </w:r>
          </w:p>
        </w:tc>
      </w:tr>
    </w:tbl>
    <w:p w14:paraId="74E57E5D" w14:textId="77777777" w:rsidR="00616FD3" w:rsidRPr="00E740B8" w:rsidRDefault="00616FD3" w:rsidP="00616FD3">
      <w:pPr>
        <w:rPr>
          <w:rFonts w:asciiTheme="minorBidi" w:hAnsiTheme="minorBidi"/>
        </w:rPr>
      </w:pPr>
    </w:p>
    <w:p w14:paraId="232DB491" w14:textId="4550E321" w:rsidR="00616FD3" w:rsidRPr="00E740B8" w:rsidRDefault="00616FD3" w:rsidP="007D728A">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I.2 “</w:t>
      </w:r>
      <w:r w:rsidR="007D728A" w:rsidRPr="007D728A">
        <w:rPr>
          <w:rFonts w:asciiTheme="minorBidi" w:hAnsiTheme="minorBidi"/>
          <w:lang w:val="fr-CH"/>
        </w:rPr>
        <w:t>Cadres législatifs, réglementaires et politiques</w:t>
      </w:r>
      <w:r w:rsidRPr="001D4B80">
        <w:rPr>
          <w:rFonts w:asciiTheme="minorBidi" w:hAnsiTheme="minorBidi"/>
          <w:lang w:val="fr-CH"/>
        </w:rPr>
        <w:t xml:space="preserve"> adaptés et équilibrés en matière de propriété intellectuelle</w:t>
      </w:r>
      <w:r w:rsidRPr="001D4B80">
        <w:rPr>
          <w:rFonts w:asciiTheme="minorBidi" w:hAnsiTheme="minorBidi"/>
        </w:rPr>
        <w:t>”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2B74DF0A" w14:textId="77777777" w:rsidR="00616FD3" w:rsidRDefault="00616FD3" w:rsidP="00616FD3">
      <w:pPr>
        <w:rPr>
          <w:rFonts w:asciiTheme="minorBidi" w:hAnsiTheme="minorBidi"/>
        </w:rPr>
      </w:pPr>
    </w:p>
    <w:p w14:paraId="3D9D5D99"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1</w:t>
      </w:r>
      <w:r w:rsidRPr="00616FD3">
        <w:rPr>
          <w:rFonts w:asciiTheme="minorBidi" w:hAnsiTheme="minorBidi"/>
          <w:sz w:val="18"/>
        </w:rPr>
        <w:tab/>
      </w:r>
      <w:r w:rsidRPr="00616FD3">
        <w:rPr>
          <w:rFonts w:asciiTheme="minorBidi" w:hAnsiTheme="minorBidi" w:cs="Arial"/>
          <w:sz w:val="18"/>
          <w:szCs w:val="18"/>
          <w:rtl/>
        </w:rPr>
        <w:t>‏</w:t>
      </w:r>
      <w:r w:rsidRPr="00616FD3">
        <w:rPr>
          <w:rFonts w:asciiTheme="minorBidi" w:hAnsiTheme="minorBidi"/>
          <w:sz w:val="18"/>
        </w:rPr>
        <w:t>(Droit des brevets)</w:t>
      </w:r>
    </w:p>
    <w:p w14:paraId="591C7DB0"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2</w:t>
      </w:r>
      <w:r w:rsidRPr="00616FD3">
        <w:rPr>
          <w:rFonts w:asciiTheme="minorBidi" w:hAnsiTheme="minorBidi"/>
          <w:sz w:val="18"/>
        </w:rPr>
        <w:tab/>
        <w:t>(Marques, dessins et modèles industriels et indications géographiques),</w:t>
      </w:r>
    </w:p>
    <w:p w14:paraId="350EB13D"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3</w:t>
      </w:r>
      <w:r w:rsidRPr="00616FD3">
        <w:rPr>
          <w:rFonts w:asciiTheme="minorBidi" w:hAnsiTheme="minorBidi"/>
          <w:sz w:val="18"/>
        </w:rPr>
        <w:tab/>
        <w:t>(Droit d’auteur et droits connexes)</w:t>
      </w:r>
    </w:p>
    <w:p w14:paraId="0FB24502"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9</w:t>
      </w:r>
      <w:r w:rsidRPr="00616FD3">
        <w:rPr>
          <w:rFonts w:asciiTheme="minorBidi" w:hAnsiTheme="minorBidi"/>
          <w:sz w:val="18"/>
        </w:rPr>
        <w:tab/>
        <w:t>(Bureaux régionaux et PMA)</w:t>
      </w:r>
    </w:p>
    <w:p w14:paraId="450E1B05"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10</w:t>
      </w:r>
      <w:r w:rsidRPr="00616FD3">
        <w:rPr>
          <w:rFonts w:asciiTheme="minorBidi" w:hAnsiTheme="minorBidi"/>
          <w:sz w:val="18"/>
        </w:rPr>
        <w:tab/>
        <w:t>(Pays en transition et pays développés)</w:t>
      </w:r>
    </w:p>
    <w:p w14:paraId="492F589F"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17</w:t>
      </w:r>
      <w:r w:rsidRPr="00616FD3">
        <w:rPr>
          <w:rFonts w:asciiTheme="minorBidi" w:hAnsiTheme="minorBidi"/>
          <w:sz w:val="18"/>
        </w:rPr>
        <w:tab/>
      </w:r>
      <w:r w:rsidRPr="00616FD3">
        <w:rPr>
          <w:rFonts w:asciiTheme="minorBidi" w:hAnsiTheme="minorBidi" w:cs="Arial"/>
          <w:sz w:val="18"/>
          <w:szCs w:val="18"/>
          <w:cs/>
        </w:rPr>
        <w:t>‎</w:t>
      </w:r>
      <w:r w:rsidRPr="00616FD3">
        <w:rPr>
          <w:rFonts w:asciiTheme="minorBidi" w:hAnsiTheme="minorBidi"/>
          <w:sz w:val="18"/>
          <w:rtl/>
          <w:cs/>
        </w:rPr>
        <w:t>(Promotion du respect de la propriété intellectuelle)</w:t>
      </w:r>
    </w:p>
    <w:p w14:paraId="3867A261"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18</w:t>
      </w:r>
      <w:r w:rsidRPr="00616FD3">
        <w:rPr>
          <w:rFonts w:asciiTheme="minorBidi" w:hAnsiTheme="minorBidi"/>
          <w:sz w:val="18"/>
        </w:rPr>
        <w:tab/>
      </w:r>
      <w:r w:rsidRPr="00616FD3">
        <w:rPr>
          <w:rFonts w:asciiTheme="minorBidi" w:hAnsiTheme="minorBidi" w:cs="Arial"/>
          <w:sz w:val="18"/>
          <w:szCs w:val="18"/>
          <w:rtl/>
        </w:rPr>
        <w:t>‏</w:t>
      </w:r>
      <w:r w:rsidRPr="00616FD3">
        <w:rPr>
          <w:rFonts w:asciiTheme="minorBidi" w:hAnsiTheme="minorBidi"/>
          <w:sz w:val="18"/>
          <w:rtl/>
          <w:cs/>
        </w:rPr>
        <w:t>‎(Propriété intellectuelle et défis mondiaux)</w:t>
      </w:r>
    </w:p>
    <w:p w14:paraId="7ACD3C2D" w14:textId="77777777" w:rsidR="00616FD3" w:rsidRPr="00616FD3" w:rsidRDefault="00616FD3" w:rsidP="00616FD3">
      <w:pPr>
        <w:ind w:left="1985" w:hanging="1418"/>
        <w:rPr>
          <w:rFonts w:asciiTheme="minorBidi" w:hAnsiTheme="minorBidi"/>
          <w:sz w:val="18"/>
        </w:rPr>
      </w:pPr>
      <w:r w:rsidRPr="00616FD3">
        <w:rPr>
          <w:rFonts w:asciiTheme="minorBidi" w:hAnsiTheme="minorBidi"/>
          <w:sz w:val="18"/>
        </w:rPr>
        <w:t>Programme 20</w:t>
      </w:r>
      <w:r w:rsidRPr="00616FD3">
        <w:rPr>
          <w:rFonts w:asciiTheme="minorBidi" w:hAnsiTheme="minorBidi"/>
          <w:sz w:val="18"/>
        </w:rPr>
        <w:tab/>
        <w:t>(Relations extérieures, partenariats et bureaux extérieurs)</w:t>
      </w:r>
    </w:p>
    <w:p w14:paraId="2E8A7B7E" w14:textId="77777777" w:rsidR="00616FD3" w:rsidRPr="00E740B8" w:rsidRDefault="00616FD3" w:rsidP="00616FD3">
      <w:pPr>
        <w:rPr>
          <w:rFonts w:asciiTheme="minorBidi" w:hAnsiTheme="minorBidi"/>
        </w:rPr>
      </w:pPr>
    </w:p>
    <w:p w14:paraId="11B04EE4" w14:textId="77777777" w:rsidR="00616FD3" w:rsidRPr="00E740B8" w:rsidRDefault="00616FD3" w:rsidP="00616FD3">
      <w:pPr>
        <w:rPr>
          <w:rFonts w:asciiTheme="minorBidi" w:hAnsiTheme="minorBidi"/>
          <w:lang w:eastAsia="fr-CH"/>
        </w:rPr>
      </w:pPr>
      <w:r w:rsidRPr="001D4B80">
        <w:rPr>
          <w:rFonts w:asciiTheme="minorBidi" w:hAnsiTheme="minorBidi"/>
        </w:rPr>
        <w:t>sont réparties en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r w:rsidRPr="00E740B8">
        <w:rPr>
          <w:rFonts w:asciiTheme="minorBidi" w:hAnsiTheme="minorBidi"/>
        </w:rPr>
        <w:t xml:space="preserve"> </w:t>
      </w: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383"/>
        <w:gridCol w:w="2190"/>
        <w:gridCol w:w="2365"/>
        <w:gridCol w:w="2277"/>
      </w:tblGrid>
      <w:tr w:rsidR="00616FD3" w:rsidRPr="00E740B8" w14:paraId="4301EACE" w14:textId="77777777" w:rsidTr="00616FD3">
        <w:trPr>
          <w:cantSplit/>
        </w:trPr>
        <w:tc>
          <w:tcPr>
            <w:tcW w:w="2382" w:type="dxa"/>
            <w:shd w:val="clear" w:color="auto" w:fill="C6D9F1" w:themeFill="text2" w:themeFillTint="33"/>
          </w:tcPr>
          <w:p w14:paraId="33CF4A8F"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Unions financées par des contributions</w:t>
            </w:r>
          </w:p>
          <w:p w14:paraId="326C1F99" w14:textId="77777777" w:rsidR="00616FD3" w:rsidRPr="00E740B8" w:rsidRDefault="00616FD3" w:rsidP="00616FD3">
            <w:pPr>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190" w:type="dxa"/>
            <w:shd w:val="clear" w:color="auto" w:fill="C6D9F1" w:themeFill="text2" w:themeFillTint="33"/>
          </w:tcPr>
          <w:p w14:paraId="79050DA4"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51E93D58" w14:textId="77777777" w:rsidR="00616FD3" w:rsidRPr="00E740B8" w:rsidRDefault="00616FD3" w:rsidP="00616FD3">
            <w:pPr>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365" w:type="dxa"/>
            <w:shd w:val="clear" w:color="auto" w:fill="C6D9F1" w:themeFill="text2" w:themeFillTint="33"/>
          </w:tcPr>
          <w:p w14:paraId="7BE3410A"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 de Madrid</w:t>
            </w:r>
          </w:p>
          <w:p w14:paraId="5843284C" w14:textId="77777777" w:rsidR="00616FD3" w:rsidRPr="00E740B8" w:rsidRDefault="00616FD3" w:rsidP="00616FD3">
            <w:pPr>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77" w:type="dxa"/>
            <w:shd w:val="clear" w:color="auto" w:fill="C6D9F1" w:themeFill="text2" w:themeFillTint="33"/>
          </w:tcPr>
          <w:p w14:paraId="236DDBA1" w14:textId="77777777" w:rsidR="00616FD3"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488F782B" w14:textId="77777777" w:rsidR="00616FD3" w:rsidRPr="00E740B8" w:rsidRDefault="00616FD3" w:rsidP="00616FD3">
            <w:pPr>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r w:rsidRPr="00E740B8">
              <w:rPr>
                <w:rFonts w:asciiTheme="minorBidi" w:hAnsiTheme="minorBidi"/>
                <w:i/>
                <w:color w:val="000000" w:themeColor="text1"/>
                <w:sz w:val="18"/>
                <w:szCs w:val="18"/>
              </w:rPr>
              <w:t xml:space="preserve"> </w:t>
            </w:r>
          </w:p>
        </w:tc>
      </w:tr>
      <w:tr w:rsidR="00616FD3" w:rsidRPr="00E740B8" w14:paraId="10EA317B" w14:textId="77777777" w:rsidTr="00616FD3">
        <w:trPr>
          <w:cantSplit/>
        </w:trPr>
        <w:tc>
          <w:tcPr>
            <w:tcW w:w="2382" w:type="dxa"/>
          </w:tcPr>
          <w:p w14:paraId="3B99AADE" w14:textId="77777777" w:rsidR="00616FD3" w:rsidRPr="00E740B8" w:rsidRDefault="00616FD3" w:rsidP="00616FD3">
            <w:pPr>
              <w:rPr>
                <w:rFonts w:asciiTheme="minorBidi" w:hAnsiTheme="minorBidi"/>
                <w:sz w:val="8"/>
                <w:szCs w:val="8"/>
              </w:rPr>
            </w:pPr>
          </w:p>
          <w:p w14:paraId="113CCBCF"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w:t>
            </w:r>
            <w:r>
              <w:rPr>
                <w:rFonts w:asciiTheme="minorBidi" w:hAnsiTheme="minorBidi"/>
                <w:sz w:val="18"/>
                <w:szCs w:val="18"/>
              </w:rPr>
              <w:t>-</w:t>
            </w:r>
            <w:r w:rsidRPr="001D4B80">
              <w:rPr>
                <w:rFonts w:asciiTheme="minorBidi" w:hAnsiTheme="minorBidi"/>
                <w:sz w:val="18"/>
                <w:szCs w:val="18"/>
              </w:rPr>
              <w:t xml:space="preserve"> Promotion</w:t>
            </w:r>
            <w:r w:rsidRPr="006926A4">
              <w:rPr>
                <w:rFonts w:asciiTheme="minorBidi" w:hAnsiTheme="minorBidi"/>
                <w:sz w:val="18"/>
                <w:szCs w:val="18"/>
              </w:rPr>
              <w:t xml:space="preserve"> du PLT</w:t>
            </w:r>
            <w:r w:rsidRPr="001D4B80">
              <w:rPr>
                <w:rFonts w:asciiTheme="minorBidi" w:hAnsiTheme="minorBidi"/>
                <w:sz w:val="18"/>
                <w:szCs w:val="18"/>
              </w:rPr>
              <w:t xml:space="preserve"> et du Traité de Budapest</w:t>
            </w:r>
          </w:p>
          <w:p w14:paraId="646390C6"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(10%</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5AB5EE32" w14:textId="77777777" w:rsidR="00616FD3" w:rsidRPr="00E740B8" w:rsidRDefault="00616FD3" w:rsidP="00616FD3">
            <w:pPr>
              <w:pStyle w:val="ListParagraph"/>
              <w:ind w:left="0"/>
              <w:jc w:val="center"/>
              <w:rPr>
                <w:rFonts w:asciiTheme="minorBidi" w:hAnsiTheme="minorBidi"/>
                <w:sz w:val="8"/>
                <w:szCs w:val="8"/>
              </w:rPr>
            </w:pPr>
          </w:p>
          <w:p w14:paraId="107FCE15"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2 – Promotion du Traité de Singapour</w:t>
            </w:r>
          </w:p>
          <w:p w14:paraId="1211ADE9"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(20%</w:t>
            </w:r>
            <w:r>
              <w:rPr>
                <w:rFonts w:asciiTheme="minorBidi" w:hAnsiTheme="minorBidi"/>
                <w:sz w:val="18"/>
                <w:szCs w:val="18"/>
                <w:lang w:eastAsia="fr-CH"/>
              </w:rPr>
              <w:t>-</w:t>
            </w:r>
            <w:r w:rsidRPr="001D4B80">
              <w:rPr>
                <w:rFonts w:asciiTheme="minorBidi" w:hAnsiTheme="minorBidi"/>
                <w:sz w:val="18"/>
                <w:szCs w:val="18"/>
                <w:lang w:eastAsia="fr-CH"/>
              </w:rPr>
              <w:t xml:space="preserve"> estimation du chef de programme)</w:t>
            </w:r>
          </w:p>
          <w:p w14:paraId="4B49728D" w14:textId="77777777" w:rsidR="00616FD3" w:rsidRPr="00E740B8" w:rsidRDefault="00616FD3" w:rsidP="00616FD3">
            <w:pPr>
              <w:jc w:val="center"/>
              <w:rPr>
                <w:rFonts w:asciiTheme="minorBidi" w:hAnsiTheme="minorBidi"/>
                <w:sz w:val="8"/>
                <w:szCs w:val="8"/>
              </w:rPr>
            </w:pPr>
          </w:p>
          <w:p w14:paraId="5BBC59D2"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w:t>
            </w:r>
            <w:r>
              <w:rPr>
                <w:rFonts w:asciiTheme="minorBidi" w:hAnsiTheme="minorBidi"/>
                <w:sz w:val="18"/>
                <w:szCs w:val="18"/>
              </w:rPr>
              <w:t xml:space="preserve"> – </w:t>
            </w:r>
            <w:r w:rsidRPr="001D4B80">
              <w:rPr>
                <w:rFonts w:asciiTheme="minorBidi" w:hAnsiTheme="minorBidi"/>
                <w:sz w:val="18"/>
                <w:szCs w:val="18"/>
              </w:rPr>
              <w:t>Promotion des traités (Beijing, Marrakech, WCT, WPPT, etc.)</w:t>
            </w:r>
          </w:p>
          <w:p w14:paraId="63CEBBE2" w14:textId="77777777" w:rsidR="00616FD3" w:rsidRPr="00E740B8" w:rsidRDefault="00616FD3" w:rsidP="00616FD3">
            <w:pPr>
              <w:pStyle w:val="ListParagraph"/>
              <w:ind w:left="0"/>
              <w:rPr>
                <w:rFonts w:asciiTheme="minorBidi" w:hAnsiTheme="minorBidi"/>
                <w:sz w:val="8"/>
                <w:szCs w:val="8"/>
              </w:rPr>
            </w:pPr>
          </w:p>
        </w:tc>
        <w:tc>
          <w:tcPr>
            <w:tcW w:w="2190" w:type="dxa"/>
          </w:tcPr>
          <w:p w14:paraId="0D0AAAD7" w14:textId="77777777" w:rsidR="00616FD3" w:rsidRPr="00E740B8" w:rsidRDefault="00616FD3" w:rsidP="00616FD3">
            <w:pPr>
              <w:jc w:val="center"/>
              <w:rPr>
                <w:rFonts w:asciiTheme="minorBidi" w:hAnsiTheme="minorBidi"/>
                <w:sz w:val="8"/>
                <w:szCs w:val="8"/>
              </w:rPr>
            </w:pPr>
          </w:p>
          <w:p w14:paraId="6D48B67F"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Programme 1</w:t>
            </w:r>
            <w:r>
              <w:rPr>
                <w:rFonts w:asciiTheme="minorBidi" w:hAnsiTheme="minorBidi"/>
                <w:sz w:val="18"/>
                <w:szCs w:val="18"/>
                <w:lang w:eastAsia="fr-CH"/>
              </w:rPr>
              <w:t>-</w:t>
            </w:r>
            <w:r w:rsidRPr="001D4B80">
              <w:rPr>
                <w:rFonts w:asciiTheme="minorBidi" w:hAnsiTheme="minorBidi"/>
                <w:sz w:val="18"/>
                <w:szCs w:val="18"/>
                <w:lang w:eastAsia="fr-CH"/>
              </w:rPr>
              <w:t xml:space="preserve"> Promotion</w:t>
            </w:r>
            <w:r w:rsidRPr="006926A4">
              <w:rPr>
                <w:rFonts w:asciiTheme="minorBidi" w:hAnsiTheme="minorBidi"/>
                <w:sz w:val="18"/>
                <w:szCs w:val="18"/>
                <w:lang w:eastAsia="fr-CH"/>
              </w:rPr>
              <w:t xml:space="preserve"> du PLT</w:t>
            </w:r>
            <w:r w:rsidRPr="001D4B80">
              <w:rPr>
                <w:rFonts w:asciiTheme="minorBidi" w:hAnsiTheme="minorBidi"/>
                <w:sz w:val="18"/>
                <w:szCs w:val="18"/>
                <w:lang w:eastAsia="fr-CH"/>
              </w:rPr>
              <w:t xml:space="preserve"> et du Traité de Budapest (90%</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198E0F6A" w14:textId="77777777" w:rsidR="00616FD3" w:rsidRPr="00E740B8" w:rsidRDefault="00616FD3" w:rsidP="00616FD3">
            <w:pPr>
              <w:jc w:val="center"/>
              <w:rPr>
                <w:rFonts w:asciiTheme="minorBidi" w:hAnsiTheme="minorBidi"/>
                <w:sz w:val="18"/>
                <w:szCs w:val="18"/>
              </w:rPr>
            </w:pPr>
          </w:p>
        </w:tc>
        <w:tc>
          <w:tcPr>
            <w:tcW w:w="2365" w:type="dxa"/>
          </w:tcPr>
          <w:p w14:paraId="79F210EC" w14:textId="77777777" w:rsidR="00616FD3" w:rsidRPr="00E740B8" w:rsidRDefault="00616FD3" w:rsidP="00616FD3">
            <w:pPr>
              <w:jc w:val="center"/>
              <w:rPr>
                <w:rFonts w:asciiTheme="minorBidi" w:hAnsiTheme="minorBidi"/>
                <w:sz w:val="8"/>
                <w:szCs w:val="8"/>
              </w:rPr>
            </w:pPr>
          </w:p>
          <w:p w14:paraId="56802F82"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2 – Promotion du Traité de Singapour</w:t>
            </w:r>
          </w:p>
          <w:p w14:paraId="0EAB7F26"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(65%</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64397E03" w14:textId="77777777" w:rsidR="00616FD3" w:rsidRPr="00E740B8" w:rsidRDefault="00616FD3" w:rsidP="00616FD3">
            <w:pPr>
              <w:jc w:val="center"/>
              <w:rPr>
                <w:rFonts w:asciiTheme="minorBidi" w:hAnsiTheme="minorBidi"/>
                <w:sz w:val="18"/>
                <w:szCs w:val="18"/>
              </w:rPr>
            </w:pPr>
          </w:p>
        </w:tc>
        <w:tc>
          <w:tcPr>
            <w:tcW w:w="2277" w:type="dxa"/>
          </w:tcPr>
          <w:p w14:paraId="0CA4358D" w14:textId="77777777" w:rsidR="00616FD3" w:rsidRPr="00E740B8" w:rsidRDefault="00616FD3" w:rsidP="00616FD3">
            <w:pPr>
              <w:jc w:val="center"/>
              <w:rPr>
                <w:rFonts w:asciiTheme="minorBidi" w:hAnsiTheme="minorBidi"/>
                <w:sz w:val="8"/>
                <w:szCs w:val="8"/>
              </w:rPr>
            </w:pPr>
          </w:p>
          <w:p w14:paraId="12A70A63"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2 – Promotion du Traité de Singapour</w:t>
            </w:r>
          </w:p>
          <w:p w14:paraId="2D46393B"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(15%</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7A0E47EC" w14:textId="77777777" w:rsidR="00616FD3" w:rsidRPr="00E740B8" w:rsidRDefault="00616FD3" w:rsidP="00616FD3">
            <w:pPr>
              <w:jc w:val="center"/>
              <w:rPr>
                <w:rFonts w:asciiTheme="minorBidi" w:hAnsiTheme="minorBidi"/>
                <w:sz w:val="18"/>
                <w:szCs w:val="18"/>
              </w:rPr>
            </w:pPr>
          </w:p>
        </w:tc>
      </w:tr>
      <w:tr w:rsidR="00616FD3" w:rsidRPr="00E740B8" w14:paraId="5455E8B7" w14:textId="77777777" w:rsidTr="00616FD3">
        <w:trPr>
          <w:cantSplit/>
        </w:trPr>
        <w:tc>
          <w:tcPr>
            <w:tcW w:w="9214" w:type="dxa"/>
            <w:gridSpan w:val="4"/>
            <w:shd w:val="clear" w:color="auto" w:fill="C6D9F1" w:themeFill="text2" w:themeFillTint="33"/>
            <w:vAlign w:val="center"/>
          </w:tcPr>
          <w:p w14:paraId="03790232" w14:textId="77777777" w:rsidR="00616FD3" w:rsidRPr="00E740B8" w:rsidRDefault="00616FD3" w:rsidP="00616FD3">
            <w:pPr>
              <w:pStyle w:val="ListParagraph"/>
              <w:ind w:left="0"/>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1 (conseils législatifs), 9, 10, 17, 18 et 20</w:t>
            </w:r>
          </w:p>
        </w:tc>
      </w:tr>
    </w:tbl>
    <w:p w14:paraId="7ECDA94A" w14:textId="77777777" w:rsidR="00616FD3" w:rsidRPr="00E740B8" w:rsidRDefault="00616FD3" w:rsidP="00616FD3">
      <w:pPr>
        <w:ind w:left="1701"/>
        <w:rPr>
          <w:rFonts w:asciiTheme="minorBidi" w:hAnsiTheme="minorBidi"/>
        </w:rPr>
      </w:pPr>
    </w:p>
    <w:p w14:paraId="32E482E8" w14:textId="77777777" w:rsidR="00616FD3" w:rsidRPr="00E740B8" w:rsidRDefault="00616FD3" w:rsidP="00616FD3">
      <w:pPr>
        <w:ind w:left="1701"/>
        <w:rPr>
          <w:rFonts w:asciiTheme="minorBidi" w:hAnsiTheme="minorBidi"/>
        </w:rPr>
      </w:pPr>
    </w:p>
    <w:p w14:paraId="037EBDE6"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I.3 “Sécurité accrue en ce qui concerne la protection des emblèmes d</w:t>
      </w:r>
      <w:r>
        <w:rPr>
          <w:rFonts w:asciiTheme="minorBidi" w:hAnsiTheme="minorBidi"/>
        </w:rPr>
        <w:t>’</w:t>
      </w:r>
      <w:r w:rsidRPr="001D4B80">
        <w:rPr>
          <w:rFonts w:asciiTheme="minorBidi" w:hAnsiTheme="minorBidi"/>
        </w:rPr>
        <w:t>États et des noms et emblèmes d</w:t>
      </w:r>
      <w:r>
        <w:rPr>
          <w:rFonts w:asciiTheme="minorBidi" w:hAnsiTheme="minorBidi"/>
        </w:rPr>
        <w:t>’</w:t>
      </w:r>
      <w:r w:rsidRPr="001D4B80">
        <w:rPr>
          <w:rFonts w:asciiTheme="minorBidi" w:hAnsiTheme="minorBidi"/>
        </w:rPr>
        <w:t>organisations internationales intergouvernementales” mises en œuvre par le programme 2 (Marques, dessins et modèles industriels et indications géographiques) sont réparties en tant que dépenses “directes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3047DC33" w14:textId="77777777" w:rsidR="00616FD3" w:rsidRPr="00E740B8" w:rsidRDefault="00616FD3" w:rsidP="00616FD3">
      <w:pPr>
        <w:rPr>
          <w:rFonts w:asciiTheme="minorBidi" w:hAnsiTheme="minorBidi"/>
          <w:lang w:eastAsia="fr-CH"/>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743"/>
        <w:gridCol w:w="2521"/>
        <w:gridCol w:w="2723"/>
      </w:tblGrid>
      <w:tr w:rsidR="00616FD3" w:rsidRPr="00E740B8" w14:paraId="3BEFAAAE" w14:textId="77777777" w:rsidTr="00616FD3">
        <w:trPr>
          <w:cantSplit/>
          <w:jc w:val="center"/>
        </w:trPr>
        <w:tc>
          <w:tcPr>
            <w:tcW w:w="2448" w:type="dxa"/>
            <w:shd w:val="clear" w:color="auto" w:fill="C6D9F1" w:themeFill="text2" w:themeFillTint="33"/>
          </w:tcPr>
          <w:p w14:paraId="4FD75A7B" w14:textId="77777777" w:rsidR="00616FD3" w:rsidRPr="00E740B8"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lastRenderedPageBreak/>
              <w:t>Unions financées par des contributions</w:t>
            </w:r>
          </w:p>
          <w:p w14:paraId="13B7053E"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50" w:type="dxa"/>
            <w:shd w:val="clear" w:color="auto" w:fill="C6D9F1" w:themeFill="text2" w:themeFillTint="33"/>
          </w:tcPr>
          <w:p w14:paraId="6F50C5DB" w14:textId="77777777" w:rsidR="00616FD3" w:rsidRPr="00E740B8"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t>Union de Madrid</w:t>
            </w:r>
          </w:p>
          <w:p w14:paraId="08C35474"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430" w:type="dxa"/>
            <w:shd w:val="clear" w:color="auto" w:fill="C6D9F1" w:themeFill="text2" w:themeFillTint="33"/>
          </w:tcPr>
          <w:p w14:paraId="488B9D36" w14:textId="77777777" w:rsidR="00616FD3"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2F1B0DDD" w14:textId="77777777" w:rsidR="00616FD3" w:rsidRPr="00E740B8" w:rsidRDefault="00616FD3" w:rsidP="00616FD3">
            <w:pPr>
              <w:keepNext/>
              <w:jc w:val="center"/>
              <w:rPr>
                <w:rFonts w:asciiTheme="minorBidi" w:hAnsiTheme="minorBidi"/>
                <w:i/>
                <w:color w:val="000000" w:themeColor="tex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6B210A9B" w14:textId="77777777" w:rsidTr="00616FD3">
        <w:trPr>
          <w:cantSplit/>
          <w:jc w:val="center"/>
        </w:trPr>
        <w:tc>
          <w:tcPr>
            <w:tcW w:w="2448" w:type="dxa"/>
            <w:shd w:val="clear" w:color="auto" w:fill="auto"/>
          </w:tcPr>
          <w:p w14:paraId="7473B56A" w14:textId="77777777" w:rsidR="00616FD3" w:rsidRPr="00E740B8" w:rsidRDefault="00616FD3" w:rsidP="00616FD3">
            <w:pPr>
              <w:jc w:val="center"/>
              <w:rPr>
                <w:rFonts w:asciiTheme="minorBidi" w:hAnsiTheme="minorBidi"/>
                <w:sz w:val="8"/>
                <w:szCs w:val="8"/>
              </w:rPr>
            </w:pPr>
          </w:p>
          <w:p w14:paraId="1603AC68"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 xml:space="preserve">Programme 2 – </w:t>
            </w:r>
            <w:r>
              <w:rPr>
                <w:rFonts w:asciiTheme="minorBidi" w:hAnsiTheme="minorBidi"/>
                <w:sz w:val="18"/>
                <w:szCs w:val="18"/>
                <w:lang w:eastAsia="fr-CH"/>
              </w:rPr>
              <w:t>article </w:t>
            </w:r>
            <w:r w:rsidRPr="001D4B80">
              <w:rPr>
                <w:rFonts w:asciiTheme="minorBidi" w:hAnsiTheme="minorBidi"/>
                <w:sz w:val="18"/>
                <w:szCs w:val="18"/>
                <w:lang w:eastAsia="fr-CH"/>
              </w:rPr>
              <w:t>6</w:t>
            </w:r>
            <w:r w:rsidRPr="001D4B80">
              <w:rPr>
                <w:rFonts w:asciiTheme="minorBidi" w:hAnsiTheme="minorBidi"/>
                <w:i/>
                <w:sz w:val="18"/>
                <w:szCs w:val="18"/>
                <w:lang w:eastAsia="fr-CH"/>
              </w:rPr>
              <w:t>ter</w:t>
            </w:r>
            <w:r w:rsidRPr="001D4B80">
              <w:rPr>
                <w:rFonts w:asciiTheme="minorBidi" w:hAnsiTheme="minorBidi"/>
                <w:sz w:val="18"/>
                <w:szCs w:val="18"/>
                <w:lang w:eastAsia="fr-CH"/>
              </w:rPr>
              <w:t xml:space="preserve"> (20%</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25F9BFDD" w14:textId="77777777" w:rsidR="00616FD3" w:rsidRPr="00E740B8" w:rsidRDefault="00616FD3" w:rsidP="00616FD3">
            <w:pPr>
              <w:jc w:val="center"/>
              <w:rPr>
                <w:rFonts w:asciiTheme="minorBidi" w:hAnsiTheme="minorBidi"/>
                <w:sz w:val="8"/>
                <w:szCs w:val="8"/>
              </w:rPr>
            </w:pPr>
          </w:p>
        </w:tc>
        <w:tc>
          <w:tcPr>
            <w:tcW w:w="2250" w:type="dxa"/>
            <w:shd w:val="clear" w:color="auto" w:fill="auto"/>
          </w:tcPr>
          <w:p w14:paraId="79424FF5" w14:textId="77777777" w:rsidR="00616FD3" w:rsidRPr="00E740B8" w:rsidRDefault="00616FD3" w:rsidP="00616FD3">
            <w:pPr>
              <w:jc w:val="center"/>
              <w:rPr>
                <w:rFonts w:asciiTheme="minorBidi" w:hAnsiTheme="minorBidi"/>
                <w:sz w:val="8"/>
                <w:szCs w:val="8"/>
              </w:rPr>
            </w:pPr>
          </w:p>
          <w:p w14:paraId="00025F92"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 xml:space="preserve">Programme 2 – </w:t>
            </w:r>
            <w:r>
              <w:rPr>
                <w:rFonts w:asciiTheme="minorBidi" w:hAnsiTheme="minorBidi"/>
                <w:sz w:val="18"/>
                <w:szCs w:val="18"/>
                <w:lang w:eastAsia="fr-CH"/>
              </w:rPr>
              <w:t>article </w:t>
            </w:r>
            <w:r w:rsidRPr="001D4B80">
              <w:rPr>
                <w:rFonts w:asciiTheme="minorBidi" w:hAnsiTheme="minorBidi"/>
                <w:sz w:val="18"/>
                <w:szCs w:val="18"/>
                <w:lang w:eastAsia="fr-CH"/>
              </w:rPr>
              <w:t>6</w:t>
            </w:r>
            <w:r w:rsidRPr="001D4B80">
              <w:rPr>
                <w:rFonts w:asciiTheme="minorBidi" w:hAnsiTheme="minorBidi"/>
                <w:i/>
                <w:sz w:val="18"/>
                <w:szCs w:val="18"/>
                <w:lang w:eastAsia="fr-CH"/>
              </w:rPr>
              <w:t>ter</w:t>
            </w:r>
            <w:r w:rsidRPr="001D4B80">
              <w:rPr>
                <w:rFonts w:asciiTheme="minorBidi" w:hAnsiTheme="minorBidi"/>
                <w:sz w:val="18"/>
                <w:szCs w:val="18"/>
                <w:lang w:eastAsia="fr-CH"/>
              </w:rPr>
              <w:t xml:space="preserve"> (65%</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7619175D" w14:textId="77777777" w:rsidR="00616FD3" w:rsidRPr="00E740B8" w:rsidRDefault="00616FD3" w:rsidP="00616FD3">
            <w:pPr>
              <w:jc w:val="center"/>
              <w:rPr>
                <w:rFonts w:asciiTheme="minorBidi" w:hAnsiTheme="minorBidi"/>
                <w:sz w:val="8"/>
                <w:szCs w:val="8"/>
              </w:rPr>
            </w:pPr>
          </w:p>
        </w:tc>
        <w:tc>
          <w:tcPr>
            <w:tcW w:w="2430" w:type="dxa"/>
            <w:shd w:val="clear" w:color="auto" w:fill="auto"/>
          </w:tcPr>
          <w:p w14:paraId="3BA234E3" w14:textId="77777777" w:rsidR="00616FD3" w:rsidRPr="00E740B8" w:rsidRDefault="00616FD3" w:rsidP="00616FD3">
            <w:pPr>
              <w:jc w:val="center"/>
              <w:rPr>
                <w:rFonts w:asciiTheme="minorBidi" w:hAnsiTheme="minorBidi"/>
                <w:sz w:val="8"/>
                <w:szCs w:val="8"/>
              </w:rPr>
            </w:pPr>
          </w:p>
          <w:p w14:paraId="58D3B185"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 xml:space="preserve">Programme 2 – </w:t>
            </w:r>
            <w:r>
              <w:rPr>
                <w:rFonts w:asciiTheme="minorBidi" w:hAnsiTheme="minorBidi"/>
                <w:sz w:val="18"/>
                <w:szCs w:val="18"/>
                <w:lang w:eastAsia="fr-CH"/>
              </w:rPr>
              <w:t>article </w:t>
            </w:r>
            <w:r w:rsidRPr="001D4B80">
              <w:rPr>
                <w:rFonts w:asciiTheme="minorBidi" w:hAnsiTheme="minorBidi"/>
                <w:sz w:val="18"/>
                <w:szCs w:val="18"/>
                <w:lang w:eastAsia="fr-CH"/>
              </w:rPr>
              <w:t>6</w:t>
            </w:r>
            <w:r w:rsidRPr="001D4B80">
              <w:rPr>
                <w:rFonts w:asciiTheme="minorBidi" w:hAnsiTheme="minorBidi"/>
                <w:i/>
                <w:sz w:val="18"/>
                <w:szCs w:val="18"/>
                <w:lang w:eastAsia="fr-CH"/>
              </w:rPr>
              <w:t>ter</w:t>
            </w:r>
            <w:r w:rsidRPr="001D4B80">
              <w:rPr>
                <w:rFonts w:asciiTheme="minorBidi" w:hAnsiTheme="minorBidi"/>
                <w:sz w:val="18"/>
                <w:szCs w:val="18"/>
                <w:lang w:eastAsia="fr-CH"/>
              </w:rPr>
              <w:t xml:space="preserve"> (15%</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p w14:paraId="4C4E18FA" w14:textId="77777777" w:rsidR="00616FD3" w:rsidRPr="00E740B8" w:rsidRDefault="00616FD3" w:rsidP="00616FD3">
            <w:pPr>
              <w:jc w:val="center"/>
              <w:rPr>
                <w:rFonts w:asciiTheme="minorBidi" w:hAnsiTheme="minorBidi"/>
                <w:sz w:val="8"/>
                <w:szCs w:val="8"/>
              </w:rPr>
            </w:pPr>
          </w:p>
        </w:tc>
      </w:tr>
      <w:tr w:rsidR="00616FD3" w:rsidRPr="00E740B8" w14:paraId="4EC11F22" w14:textId="77777777" w:rsidTr="00616FD3">
        <w:trPr>
          <w:cantSplit/>
          <w:jc w:val="center"/>
        </w:trPr>
        <w:tc>
          <w:tcPr>
            <w:tcW w:w="2448" w:type="dxa"/>
            <w:shd w:val="clear" w:color="auto" w:fill="C6D9F1" w:themeFill="text2" w:themeFillTint="33"/>
          </w:tcPr>
          <w:p w14:paraId="6DA0C9B4" w14:textId="77777777" w:rsidR="00616FD3" w:rsidRPr="00E740B8" w:rsidRDefault="00616FD3" w:rsidP="00616FD3">
            <w:pPr>
              <w:rPr>
                <w:rFonts w:asciiTheme="minorBidi" w:hAnsiTheme="minorBidi"/>
                <w:sz w:val="8"/>
                <w:szCs w:val="8"/>
              </w:rPr>
            </w:pPr>
          </w:p>
        </w:tc>
        <w:tc>
          <w:tcPr>
            <w:tcW w:w="2250" w:type="dxa"/>
            <w:shd w:val="clear" w:color="auto" w:fill="C6D9F1" w:themeFill="text2" w:themeFillTint="33"/>
          </w:tcPr>
          <w:p w14:paraId="4C66DFB9" w14:textId="77777777" w:rsidR="00616FD3" w:rsidRPr="00E740B8" w:rsidRDefault="00616FD3" w:rsidP="00616FD3">
            <w:pPr>
              <w:rPr>
                <w:rFonts w:asciiTheme="minorBidi" w:hAnsiTheme="minorBidi"/>
                <w:sz w:val="8"/>
                <w:szCs w:val="8"/>
              </w:rPr>
            </w:pPr>
          </w:p>
        </w:tc>
        <w:tc>
          <w:tcPr>
            <w:tcW w:w="2430" w:type="dxa"/>
            <w:shd w:val="clear" w:color="auto" w:fill="C6D9F1" w:themeFill="text2" w:themeFillTint="33"/>
          </w:tcPr>
          <w:p w14:paraId="21A19440" w14:textId="77777777" w:rsidR="00616FD3" w:rsidRPr="00E740B8" w:rsidRDefault="00616FD3" w:rsidP="00616FD3">
            <w:pPr>
              <w:rPr>
                <w:rFonts w:asciiTheme="minorBidi" w:hAnsiTheme="minorBidi"/>
                <w:sz w:val="8"/>
                <w:szCs w:val="8"/>
              </w:rPr>
            </w:pPr>
          </w:p>
        </w:tc>
      </w:tr>
    </w:tbl>
    <w:p w14:paraId="61D44AEB" w14:textId="77777777" w:rsidR="00616FD3" w:rsidRPr="00E740B8" w:rsidRDefault="00616FD3" w:rsidP="00616FD3">
      <w:pPr>
        <w:rPr>
          <w:rFonts w:asciiTheme="minorBidi" w:hAnsiTheme="minorBidi"/>
        </w:rPr>
      </w:pPr>
    </w:p>
    <w:p w14:paraId="284B04F8" w14:textId="77777777" w:rsidR="00616FD3" w:rsidRPr="00E740B8" w:rsidRDefault="00616FD3" w:rsidP="00616FD3">
      <w:pPr>
        <w:rPr>
          <w:rFonts w:asciiTheme="minorBidi" w:hAnsiTheme="minorBidi"/>
        </w:rPr>
      </w:pPr>
    </w:p>
    <w:p w14:paraId="610A71A3"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I.4 “</w:t>
      </w:r>
      <w:r w:rsidRPr="001D4B80">
        <w:rPr>
          <w:rFonts w:asciiTheme="minorBidi" w:hAnsiTheme="minorBidi"/>
          <w:lang w:val="fr-CH"/>
        </w:rPr>
        <w:t>Intérêt croissant pour l</w:t>
      </w:r>
      <w:r>
        <w:rPr>
          <w:rFonts w:asciiTheme="minorBidi" w:hAnsiTheme="minorBidi"/>
          <w:lang w:val="fr-CH"/>
        </w:rPr>
        <w:t>’</w:t>
      </w:r>
      <w:r w:rsidRPr="001D4B80">
        <w:rPr>
          <w:rFonts w:asciiTheme="minorBidi" w:hAnsiTheme="minorBidi"/>
          <w:lang w:val="fr-CH"/>
        </w:rPr>
        <w:t>OMPI en tant qu</w:t>
      </w:r>
      <w:r>
        <w:rPr>
          <w:rFonts w:asciiTheme="minorBidi" w:hAnsiTheme="minorBidi"/>
          <w:lang w:val="fr-CH"/>
        </w:rPr>
        <w:t>’</w:t>
      </w:r>
      <w:r w:rsidRPr="001D4B80">
        <w:rPr>
          <w:rFonts w:asciiTheme="minorBidi" w:hAnsiTheme="minorBidi"/>
          <w:lang w:val="fr-CH"/>
        </w:rPr>
        <w:t>instance d</w:t>
      </w:r>
      <w:r>
        <w:rPr>
          <w:rFonts w:asciiTheme="minorBidi" w:hAnsiTheme="minorBidi"/>
          <w:lang w:val="fr-CH"/>
        </w:rPr>
        <w:t>’</w:t>
      </w:r>
      <w:r w:rsidRPr="001D4B80">
        <w:rPr>
          <w:rFonts w:asciiTheme="minorBidi" w:hAnsiTheme="minorBidi"/>
          <w:lang w:val="fr-CH"/>
        </w:rPr>
        <w:t>analyse des questions relatives à la protection internationale des brevets, modèles d</w:t>
      </w:r>
      <w:r>
        <w:rPr>
          <w:rFonts w:asciiTheme="minorBidi" w:hAnsiTheme="minorBidi"/>
          <w:lang w:val="fr-CH"/>
        </w:rPr>
        <w:t>’</w:t>
      </w:r>
      <w:r w:rsidRPr="001D4B80">
        <w:rPr>
          <w:rFonts w:asciiTheme="minorBidi" w:hAnsiTheme="minorBidi"/>
          <w:lang w:val="fr-CH"/>
        </w:rPr>
        <w:t xml:space="preserve">utilité, schémas de configuration (topographies) de circuits intégrés et informations confidentielles” </w:t>
      </w:r>
      <w:r w:rsidRPr="001D4B80">
        <w:rPr>
          <w:rFonts w:asciiTheme="minorBidi" w:hAnsiTheme="minorBidi"/>
        </w:rPr>
        <w:t>mises en œuvre par le programme 1 (Droit des brevets) sont réparties en tant que dépenses “directes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p>
    <w:p w14:paraId="68B6685B"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032"/>
        <w:gridCol w:w="3955"/>
      </w:tblGrid>
      <w:tr w:rsidR="00616FD3" w:rsidRPr="00E740B8" w14:paraId="07A6E19D" w14:textId="77777777" w:rsidTr="00616FD3">
        <w:trPr>
          <w:cantSplit/>
          <w:jc w:val="center"/>
        </w:trPr>
        <w:tc>
          <w:tcPr>
            <w:tcW w:w="4691" w:type="dxa"/>
            <w:shd w:val="clear" w:color="auto" w:fill="C6D9F1" w:themeFill="text2" w:themeFillTint="33"/>
          </w:tcPr>
          <w:p w14:paraId="38CE6BB6"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Unions financées par des contributions</w:t>
            </w:r>
          </w:p>
          <w:p w14:paraId="6206FA3C" w14:textId="77777777" w:rsidR="00616FD3" w:rsidRPr="00592E6C"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4596" w:type="dxa"/>
            <w:shd w:val="clear" w:color="auto" w:fill="C6D9F1" w:themeFill="text2" w:themeFillTint="33"/>
          </w:tcPr>
          <w:p w14:paraId="40BAB6D3"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56048D20" w14:textId="77777777" w:rsidR="00616FD3" w:rsidRPr="00592E6C"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494DC8C6" w14:textId="77777777" w:rsidTr="00616FD3">
        <w:trPr>
          <w:cantSplit/>
          <w:jc w:val="center"/>
        </w:trPr>
        <w:tc>
          <w:tcPr>
            <w:tcW w:w="4691" w:type="dxa"/>
          </w:tcPr>
          <w:p w14:paraId="282A0779" w14:textId="77777777" w:rsidR="00616FD3" w:rsidRPr="00E740B8" w:rsidRDefault="00616FD3" w:rsidP="00616FD3">
            <w:pPr>
              <w:jc w:val="center"/>
              <w:rPr>
                <w:rFonts w:asciiTheme="minorBidi" w:hAnsiTheme="minorBidi"/>
                <w:sz w:val="8"/>
                <w:szCs w:val="8"/>
              </w:rPr>
            </w:pPr>
          </w:p>
          <w:p w14:paraId="6F6D72B6"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 – Informations confidentielles</w:t>
            </w:r>
          </w:p>
          <w:p w14:paraId="54D6B471"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(10%</w:t>
            </w:r>
            <w:r>
              <w:rPr>
                <w:rFonts w:asciiTheme="minorBidi" w:hAnsiTheme="minorBidi"/>
                <w:i/>
                <w:sz w:val="16"/>
                <w:szCs w:val="16"/>
              </w:rPr>
              <w:t xml:space="preserve"> – </w:t>
            </w:r>
            <w:r w:rsidRPr="001D4B80">
              <w:rPr>
                <w:rFonts w:asciiTheme="minorBidi" w:hAnsiTheme="minorBidi"/>
                <w:i/>
                <w:sz w:val="16"/>
                <w:szCs w:val="16"/>
              </w:rPr>
              <w:t>estimation du chef de programme)</w:t>
            </w:r>
          </w:p>
          <w:p w14:paraId="4BD52459" w14:textId="77777777" w:rsidR="00616FD3" w:rsidRPr="00E740B8" w:rsidRDefault="00616FD3" w:rsidP="00616FD3">
            <w:pPr>
              <w:jc w:val="center"/>
              <w:rPr>
                <w:rFonts w:asciiTheme="minorBidi" w:hAnsiTheme="minorBidi"/>
                <w:color w:val="000000" w:themeColor="text1"/>
                <w:sz w:val="8"/>
                <w:szCs w:val="8"/>
                <w:lang w:eastAsia="fr-CH"/>
              </w:rPr>
            </w:pPr>
          </w:p>
        </w:tc>
        <w:tc>
          <w:tcPr>
            <w:tcW w:w="4596" w:type="dxa"/>
          </w:tcPr>
          <w:p w14:paraId="4AE0473E" w14:textId="77777777" w:rsidR="00616FD3" w:rsidRPr="00E740B8" w:rsidRDefault="00616FD3" w:rsidP="00616FD3">
            <w:pPr>
              <w:jc w:val="center"/>
              <w:rPr>
                <w:rFonts w:asciiTheme="minorBidi" w:hAnsiTheme="minorBidi"/>
                <w:sz w:val="8"/>
                <w:szCs w:val="8"/>
              </w:rPr>
            </w:pPr>
          </w:p>
          <w:p w14:paraId="1919F85B"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w:t>
            </w:r>
            <w:r>
              <w:rPr>
                <w:rFonts w:asciiTheme="minorBidi" w:hAnsiTheme="minorBidi"/>
                <w:sz w:val="18"/>
                <w:szCs w:val="18"/>
              </w:rPr>
              <w:t xml:space="preserve"> – </w:t>
            </w:r>
            <w:r w:rsidRPr="001D4B80">
              <w:rPr>
                <w:rFonts w:asciiTheme="minorBidi" w:hAnsiTheme="minorBidi"/>
                <w:sz w:val="18"/>
                <w:szCs w:val="18"/>
              </w:rPr>
              <w:t>Informations confidentielles</w:t>
            </w:r>
          </w:p>
          <w:p w14:paraId="145984F1" w14:textId="77777777" w:rsidR="00616FD3" w:rsidRPr="00E740B8" w:rsidRDefault="00616FD3" w:rsidP="00616FD3">
            <w:pPr>
              <w:jc w:val="center"/>
              <w:rPr>
                <w:rFonts w:asciiTheme="minorBidi" w:hAnsiTheme="minorBidi"/>
                <w:color w:val="000000" w:themeColor="text1"/>
                <w:sz w:val="18"/>
                <w:szCs w:val="18"/>
                <w:lang w:eastAsia="fr-CH"/>
              </w:rPr>
            </w:pPr>
            <w:r w:rsidRPr="001D4B80">
              <w:rPr>
                <w:rFonts w:asciiTheme="minorBidi" w:hAnsiTheme="minorBidi"/>
                <w:sz w:val="18"/>
                <w:szCs w:val="18"/>
                <w:lang w:eastAsia="fr-CH"/>
              </w:rPr>
              <w:t>(90%</w:t>
            </w:r>
            <w:r>
              <w:rPr>
                <w:rFonts w:asciiTheme="minorBidi" w:hAnsiTheme="minorBidi"/>
                <w:sz w:val="18"/>
                <w:szCs w:val="18"/>
                <w:lang w:eastAsia="fr-CH"/>
              </w:rPr>
              <w:t xml:space="preserve"> – </w:t>
            </w:r>
            <w:r w:rsidRPr="001D4B80">
              <w:rPr>
                <w:rFonts w:asciiTheme="minorBidi" w:hAnsiTheme="minorBidi"/>
                <w:sz w:val="18"/>
                <w:szCs w:val="18"/>
                <w:lang w:eastAsia="fr-CH"/>
              </w:rPr>
              <w:t>estimation du chef de programme)</w:t>
            </w:r>
          </w:p>
        </w:tc>
      </w:tr>
      <w:tr w:rsidR="00616FD3" w:rsidRPr="00E740B8" w14:paraId="644C36E0" w14:textId="77777777" w:rsidTr="00616FD3">
        <w:trPr>
          <w:cantSplit/>
          <w:jc w:val="center"/>
        </w:trPr>
        <w:tc>
          <w:tcPr>
            <w:tcW w:w="4691" w:type="dxa"/>
            <w:shd w:val="clear" w:color="auto" w:fill="C6D9F1" w:themeFill="text2" w:themeFillTint="33"/>
          </w:tcPr>
          <w:p w14:paraId="481C28C0" w14:textId="77777777" w:rsidR="00616FD3" w:rsidRPr="00E740B8" w:rsidRDefault="00616FD3" w:rsidP="00616FD3">
            <w:pPr>
              <w:rPr>
                <w:rFonts w:asciiTheme="minorBidi" w:hAnsiTheme="minorBidi"/>
                <w:sz w:val="8"/>
                <w:szCs w:val="8"/>
              </w:rPr>
            </w:pPr>
          </w:p>
        </w:tc>
        <w:tc>
          <w:tcPr>
            <w:tcW w:w="4596" w:type="dxa"/>
            <w:shd w:val="clear" w:color="auto" w:fill="C6D9F1" w:themeFill="text2" w:themeFillTint="33"/>
          </w:tcPr>
          <w:p w14:paraId="7B5418E6" w14:textId="77777777" w:rsidR="00616FD3" w:rsidRPr="00E740B8" w:rsidRDefault="00616FD3" w:rsidP="00616FD3">
            <w:pPr>
              <w:rPr>
                <w:rFonts w:asciiTheme="minorBidi" w:hAnsiTheme="minorBidi"/>
                <w:sz w:val="8"/>
                <w:szCs w:val="8"/>
              </w:rPr>
            </w:pPr>
          </w:p>
        </w:tc>
      </w:tr>
    </w:tbl>
    <w:p w14:paraId="5AE20ADC" w14:textId="77777777" w:rsidR="00616FD3" w:rsidRPr="00E740B8" w:rsidRDefault="00616FD3" w:rsidP="00616FD3">
      <w:pPr>
        <w:rPr>
          <w:rFonts w:asciiTheme="minorBidi" w:hAnsiTheme="minorBidi"/>
        </w:rPr>
      </w:pPr>
    </w:p>
    <w:p w14:paraId="2CC791CF"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II.1 “</w:t>
      </w:r>
      <w:r w:rsidRPr="001D4B80">
        <w:rPr>
          <w:rFonts w:asciiTheme="minorBidi" w:hAnsiTheme="minorBidi"/>
          <w:lang w:val="fr-CH"/>
        </w:rPr>
        <w:t>Utilisation plus large et plus efficace du système du PCT pour le dépôt des demandes internationales de brevet”</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7F317DA6" w14:textId="77777777" w:rsidR="00616FD3" w:rsidRPr="00E740B8" w:rsidRDefault="00616FD3" w:rsidP="00616FD3">
      <w:pPr>
        <w:pStyle w:val="ListParagraph"/>
        <w:ind w:left="360"/>
        <w:rPr>
          <w:rFonts w:asciiTheme="minorBidi" w:hAnsiTheme="minorBidi"/>
        </w:rPr>
      </w:pPr>
    </w:p>
    <w:p w14:paraId="28AE4623" w14:textId="21FA5A52" w:rsidR="00616FD3" w:rsidRPr="00616FD3" w:rsidRDefault="00616FD3" w:rsidP="00616FD3">
      <w:pPr>
        <w:ind w:left="1985" w:hanging="1418"/>
        <w:rPr>
          <w:sz w:val="18"/>
        </w:rPr>
      </w:pPr>
      <w:r w:rsidRPr="00616FD3">
        <w:rPr>
          <w:sz w:val="18"/>
        </w:rPr>
        <w:t xml:space="preserve">Programme 5 </w:t>
      </w:r>
      <w:r>
        <w:rPr>
          <w:sz w:val="18"/>
        </w:rPr>
        <w:tab/>
      </w:r>
      <w:r w:rsidRPr="00616FD3">
        <w:rPr>
          <w:sz w:val="18"/>
        </w:rPr>
        <w:t>(PCT)</w:t>
      </w:r>
    </w:p>
    <w:p w14:paraId="40C577B8" w14:textId="77777777" w:rsidR="00616FD3" w:rsidRPr="00616FD3" w:rsidRDefault="00616FD3" w:rsidP="00616FD3">
      <w:pPr>
        <w:ind w:left="1985" w:hanging="1418"/>
        <w:rPr>
          <w:sz w:val="18"/>
        </w:rPr>
      </w:pPr>
      <w:r w:rsidRPr="00616FD3">
        <w:rPr>
          <w:sz w:val="18"/>
        </w:rPr>
        <w:t>Programme 9</w:t>
      </w:r>
      <w:r w:rsidRPr="00616FD3">
        <w:rPr>
          <w:sz w:val="18"/>
        </w:rPr>
        <w:tab/>
        <w:t>(Bureaux régionaux et PMA)</w:t>
      </w:r>
    </w:p>
    <w:p w14:paraId="728EA0DD" w14:textId="1C67AFDE" w:rsidR="00616FD3" w:rsidRPr="00616FD3" w:rsidRDefault="00616FD3" w:rsidP="00616FD3">
      <w:pPr>
        <w:ind w:left="1985" w:hanging="1418"/>
        <w:rPr>
          <w:sz w:val="18"/>
        </w:rPr>
      </w:pPr>
      <w:r w:rsidRPr="00616FD3">
        <w:rPr>
          <w:sz w:val="18"/>
        </w:rPr>
        <w:t xml:space="preserve">Programme 10 </w:t>
      </w:r>
      <w:r>
        <w:rPr>
          <w:sz w:val="18"/>
        </w:rPr>
        <w:tab/>
      </w:r>
      <w:r w:rsidRPr="00616FD3">
        <w:rPr>
          <w:sz w:val="18"/>
        </w:rPr>
        <w:t>(Pays en transition et pays développés)</w:t>
      </w:r>
    </w:p>
    <w:p w14:paraId="64BE2203" w14:textId="50D29457"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partenariats et bureaux extérieurs)</w:t>
      </w:r>
    </w:p>
    <w:p w14:paraId="6D2BC44C" w14:textId="77777777" w:rsidR="00616FD3" w:rsidRPr="00E740B8" w:rsidRDefault="00616FD3" w:rsidP="00616FD3">
      <w:pPr>
        <w:pStyle w:val="ListParagraph"/>
        <w:ind w:left="360"/>
        <w:rPr>
          <w:rFonts w:asciiTheme="minorBidi" w:hAnsiTheme="minorBidi"/>
        </w:rPr>
      </w:pPr>
    </w:p>
    <w:p w14:paraId="43169770" w14:textId="77777777" w:rsidR="00616FD3" w:rsidRPr="00E740B8" w:rsidRDefault="00616FD3" w:rsidP="00616FD3">
      <w:pPr>
        <w:pStyle w:val="ListParagraph"/>
        <w:ind w:left="360"/>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54BC78E1" w14:textId="77777777" w:rsidR="00616FD3" w:rsidRPr="00E740B8" w:rsidRDefault="00616FD3" w:rsidP="00616FD3">
      <w:pPr>
        <w:rPr>
          <w:rFonts w:asciiTheme="minorBidi" w:hAnsiTheme="minorBidi"/>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tblGrid>
      <w:tr w:rsidR="00616FD3" w:rsidRPr="00E740B8" w14:paraId="3DB6BAAA" w14:textId="77777777" w:rsidTr="00B0098E">
        <w:trPr>
          <w:jc w:val="center"/>
        </w:trPr>
        <w:tc>
          <w:tcPr>
            <w:tcW w:w="6930" w:type="dxa"/>
            <w:shd w:val="clear" w:color="auto" w:fill="C6D9F1" w:themeFill="text2" w:themeFillTint="33"/>
          </w:tcPr>
          <w:p w14:paraId="5D763DBB" w14:textId="77777777" w:rsidR="00616FD3" w:rsidRPr="00E740B8" w:rsidRDefault="00616FD3" w:rsidP="00B0098E">
            <w:pPr>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1C2B21A7" w14:textId="77777777" w:rsidR="00616FD3" w:rsidRPr="00806369" w:rsidRDefault="00616FD3" w:rsidP="00B0098E">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4C091AC9" w14:textId="77777777" w:rsidTr="00B0098E">
        <w:trPr>
          <w:trHeight w:val="486"/>
          <w:jc w:val="center"/>
        </w:trPr>
        <w:tc>
          <w:tcPr>
            <w:tcW w:w="6930" w:type="dxa"/>
            <w:vAlign w:val="center"/>
          </w:tcPr>
          <w:p w14:paraId="2623F209" w14:textId="77777777" w:rsidR="00616FD3" w:rsidRPr="00E740B8" w:rsidRDefault="00616FD3" w:rsidP="00B0098E">
            <w:pPr>
              <w:jc w:val="center"/>
              <w:rPr>
                <w:rFonts w:asciiTheme="minorBidi" w:hAnsiTheme="minorBidi"/>
                <w:sz w:val="18"/>
                <w:szCs w:val="18"/>
              </w:rPr>
            </w:pPr>
            <w:r w:rsidRPr="001D4B80">
              <w:rPr>
                <w:rFonts w:asciiTheme="minorBidi" w:hAnsiTheme="minorBidi"/>
                <w:sz w:val="18"/>
                <w:szCs w:val="18"/>
              </w:rPr>
              <w:t>Programme 5 – Assemblée de l</w:t>
            </w:r>
            <w:r>
              <w:rPr>
                <w:rFonts w:asciiTheme="minorBidi" w:hAnsiTheme="minorBidi"/>
                <w:sz w:val="18"/>
                <w:szCs w:val="18"/>
              </w:rPr>
              <w:t>’</w:t>
            </w:r>
            <w:r w:rsidRPr="001D4B80">
              <w:rPr>
                <w:rFonts w:asciiTheme="minorBidi" w:hAnsiTheme="minorBidi"/>
                <w:sz w:val="18"/>
                <w:szCs w:val="18"/>
              </w:rPr>
              <w:t>Union</w:t>
            </w:r>
            <w:r w:rsidRPr="006926A4">
              <w:rPr>
                <w:rFonts w:asciiTheme="minorBidi" w:hAnsiTheme="minorBidi"/>
                <w:sz w:val="18"/>
                <w:szCs w:val="18"/>
              </w:rPr>
              <w:t xml:space="preserve"> du PCT</w:t>
            </w:r>
            <w:r w:rsidRPr="001D4B80">
              <w:rPr>
                <w:rFonts w:asciiTheme="minorBidi" w:hAnsiTheme="minorBidi"/>
                <w:sz w:val="18"/>
                <w:szCs w:val="18"/>
              </w:rPr>
              <w:t>, Groupe de travail</w:t>
            </w:r>
            <w:r w:rsidRPr="006926A4">
              <w:rPr>
                <w:rFonts w:asciiTheme="minorBidi" w:hAnsiTheme="minorBidi"/>
                <w:sz w:val="18"/>
                <w:szCs w:val="18"/>
              </w:rPr>
              <w:t xml:space="preserve"> du PCT</w:t>
            </w:r>
            <w:r w:rsidRPr="001D4B80">
              <w:rPr>
                <w:rFonts w:asciiTheme="minorBidi" w:hAnsiTheme="minorBidi"/>
                <w:sz w:val="18"/>
                <w:szCs w:val="18"/>
              </w:rPr>
              <w:t>, activités juridiques et promotionnelles</w:t>
            </w:r>
            <w:r w:rsidRPr="006926A4">
              <w:rPr>
                <w:rFonts w:asciiTheme="minorBidi" w:hAnsiTheme="minorBidi"/>
                <w:sz w:val="18"/>
                <w:szCs w:val="18"/>
              </w:rPr>
              <w:t xml:space="preserve"> du PCT</w:t>
            </w:r>
          </w:p>
        </w:tc>
      </w:tr>
      <w:tr w:rsidR="00616FD3" w:rsidRPr="00E740B8" w14:paraId="2CD74140" w14:textId="77777777" w:rsidTr="00B0098E">
        <w:trPr>
          <w:trHeight w:val="240"/>
          <w:jc w:val="center"/>
        </w:trPr>
        <w:tc>
          <w:tcPr>
            <w:tcW w:w="6930" w:type="dxa"/>
            <w:shd w:val="clear" w:color="auto" w:fill="C6D9F1" w:themeFill="text2" w:themeFillTint="33"/>
          </w:tcPr>
          <w:p w14:paraId="145570DB" w14:textId="77777777" w:rsidR="00616FD3" w:rsidRPr="00E740B8" w:rsidRDefault="00616FD3" w:rsidP="00B0098E">
            <w:pPr>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10 et 20</w:t>
            </w:r>
          </w:p>
        </w:tc>
      </w:tr>
    </w:tbl>
    <w:p w14:paraId="58EEF6DC" w14:textId="77777777" w:rsidR="00616FD3" w:rsidRPr="00E740B8" w:rsidRDefault="00616FD3" w:rsidP="00616FD3">
      <w:pPr>
        <w:rPr>
          <w:rFonts w:asciiTheme="minorBidi" w:hAnsiTheme="minorBidi"/>
        </w:rPr>
      </w:pPr>
    </w:p>
    <w:p w14:paraId="6281421E"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II.2 “</w:t>
      </w:r>
      <w:r w:rsidRPr="001D4B80">
        <w:rPr>
          <w:rFonts w:asciiTheme="minorBidi" w:hAnsiTheme="minorBidi"/>
          <w:lang w:val="fr-CH"/>
        </w:rPr>
        <w:t>Amélioration de la productivité et de la qualité de service des opérations</w:t>
      </w:r>
      <w:r w:rsidRPr="006926A4">
        <w:rPr>
          <w:rFonts w:asciiTheme="minorBidi" w:hAnsiTheme="minorBidi"/>
          <w:lang w:val="fr-CH"/>
        </w:rPr>
        <w:t xml:space="preserve"> du PCT</w:t>
      </w:r>
      <w:r w:rsidRPr="001D4B80">
        <w:rPr>
          <w:rFonts w:asciiTheme="minorBidi" w:hAnsiTheme="minorBidi"/>
          <w:lang w:val="fr-CH"/>
        </w:rPr>
        <w:t>”</w:t>
      </w:r>
      <w:r w:rsidRPr="001D4B80">
        <w:rPr>
          <w:rFonts w:asciiTheme="minorBidi" w:hAnsiTheme="minorBidi"/>
        </w:rPr>
        <w:t xml:space="preserve"> mises en œuvre par le programme 5 (PCT) sont attribuées en tant que dépenses “directes de l</w:t>
      </w:r>
      <w:r>
        <w:rPr>
          <w:rFonts w:asciiTheme="minorBidi" w:hAnsiTheme="minorBidi"/>
        </w:rPr>
        <w:t>’</w:t>
      </w:r>
      <w:r w:rsidRPr="001D4B80">
        <w:rPr>
          <w:rFonts w:asciiTheme="minorBidi" w:hAnsiTheme="minorBidi"/>
        </w:rPr>
        <w:t>union” à l</w:t>
      </w:r>
      <w:r>
        <w:rPr>
          <w:rFonts w:asciiTheme="minorBidi" w:hAnsiTheme="minorBidi"/>
        </w:rPr>
        <w:t>’</w:t>
      </w:r>
      <w:r w:rsidRPr="001D4B80">
        <w:rPr>
          <w:rFonts w:asciiTheme="minorBidi" w:hAnsiTheme="minorBidi"/>
        </w:rPr>
        <w:t>Union</w:t>
      </w:r>
      <w:r w:rsidRPr="006926A4">
        <w:rPr>
          <w:rFonts w:asciiTheme="minorBidi" w:hAnsiTheme="minorBidi"/>
        </w:rPr>
        <w:t xml:space="preserve"> du PCT</w:t>
      </w:r>
      <w:r w:rsidRPr="001D4B80">
        <w:rPr>
          <w:rFonts w:asciiTheme="minorBidi" w:hAnsiTheme="minorBidi"/>
        </w:rPr>
        <w:t>.</w:t>
      </w:r>
    </w:p>
    <w:p w14:paraId="13D25DD4" w14:textId="77777777" w:rsidR="00616FD3" w:rsidRPr="00E740B8" w:rsidRDefault="00616FD3" w:rsidP="00616FD3">
      <w:pPr>
        <w:rPr>
          <w:rFonts w:asciiTheme="minorBidi" w:hAnsiTheme="minorBidi"/>
          <w:b/>
        </w:rPr>
      </w:pP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616FD3" w:rsidRPr="00E740B8" w14:paraId="7FD1DF4C" w14:textId="77777777" w:rsidTr="00B0098E">
        <w:trPr>
          <w:trHeight w:val="41"/>
          <w:jc w:val="center"/>
        </w:trPr>
        <w:tc>
          <w:tcPr>
            <w:tcW w:w="6790" w:type="dxa"/>
            <w:shd w:val="clear" w:color="auto" w:fill="C6D9F1" w:themeFill="text2" w:themeFillTint="33"/>
          </w:tcPr>
          <w:p w14:paraId="08665B32" w14:textId="77777777" w:rsidR="00616FD3" w:rsidRPr="00E740B8" w:rsidRDefault="00616FD3" w:rsidP="00B0098E">
            <w:pPr>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59C54416" w14:textId="77777777" w:rsidR="00616FD3" w:rsidRPr="00E740B8" w:rsidRDefault="00616FD3" w:rsidP="00B0098E">
            <w:pPr>
              <w:jc w:val="center"/>
              <w:rPr>
                <w:rFonts w:asciiTheme="minorBidi" w:hAnsiTheme="minorBidi"/>
                <w:sz w:val="18"/>
                <w:szCs w:val="18"/>
              </w:rPr>
            </w:pPr>
            <w:r w:rsidRPr="001D4B80">
              <w:rPr>
                <w:rFonts w:asciiTheme="minorBidi" w:hAnsiTheme="minorBidi"/>
                <w:sz w:val="18"/>
                <w:szCs w:val="18"/>
              </w:rPr>
              <w:t>Dépenses directes de l</w:t>
            </w:r>
            <w:r>
              <w:rPr>
                <w:rFonts w:asciiTheme="minorBidi" w:hAnsiTheme="minorBidi"/>
                <w:sz w:val="18"/>
                <w:szCs w:val="18"/>
              </w:rPr>
              <w:t>’</w:t>
            </w:r>
            <w:r w:rsidRPr="001D4B80">
              <w:rPr>
                <w:rFonts w:asciiTheme="minorBidi" w:hAnsiTheme="minorBidi"/>
                <w:sz w:val="18"/>
                <w:szCs w:val="18"/>
              </w:rPr>
              <w:t>Union</w:t>
            </w:r>
          </w:p>
        </w:tc>
      </w:tr>
      <w:tr w:rsidR="00616FD3" w:rsidRPr="00E740B8" w14:paraId="588FAC6B" w14:textId="77777777" w:rsidTr="00B0098E">
        <w:trPr>
          <w:trHeight w:val="120"/>
          <w:jc w:val="center"/>
        </w:trPr>
        <w:tc>
          <w:tcPr>
            <w:tcW w:w="6790" w:type="dxa"/>
            <w:vAlign w:val="center"/>
          </w:tcPr>
          <w:p w14:paraId="3170689C" w14:textId="77777777" w:rsidR="00616FD3" w:rsidRPr="00E740B8" w:rsidRDefault="00616FD3" w:rsidP="00B0098E">
            <w:pPr>
              <w:jc w:val="center"/>
              <w:rPr>
                <w:rFonts w:asciiTheme="minorBidi" w:hAnsiTheme="minorBidi"/>
                <w:sz w:val="8"/>
                <w:szCs w:val="8"/>
              </w:rPr>
            </w:pPr>
          </w:p>
          <w:p w14:paraId="406A0835" w14:textId="77777777" w:rsidR="00616FD3" w:rsidRPr="00E740B8" w:rsidRDefault="00616FD3" w:rsidP="00B0098E">
            <w:pPr>
              <w:jc w:val="center"/>
              <w:rPr>
                <w:rFonts w:asciiTheme="minorBidi" w:hAnsiTheme="minorBidi"/>
                <w:sz w:val="18"/>
                <w:szCs w:val="18"/>
              </w:rPr>
            </w:pPr>
            <w:r w:rsidRPr="001D4B80">
              <w:rPr>
                <w:rFonts w:asciiTheme="minorBidi" w:hAnsiTheme="minorBidi"/>
                <w:sz w:val="18"/>
                <w:szCs w:val="18"/>
              </w:rPr>
              <w:t>Programme 5 – Services de traitement, services de traduction et systèmes informatiques</w:t>
            </w:r>
            <w:r w:rsidRPr="006926A4">
              <w:rPr>
                <w:rFonts w:asciiTheme="minorBidi" w:hAnsiTheme="minorBidi"/>
                <w:sz w:val="18"/>
                <w:szCs w:val="18"/>
              </w:rPr>
              <w:t xml:space="preserve"> du PCT</w:t>
            </w:r>
          </w:p>
          <w:p w14:paraId="3EC9A36F" w14:textId="77777777" w:rsidR="00616FD3" w:rsidRPr="00E740B8" w:rsidRDefault="00616FD3" w:rsidP="00B0098E">
            <w:pPr>
              <w:pStyle w:val="ListParagraph"/>
              <w:ind w:left="360"/>
              <w:jc w:val="center"/>
              <w:rPr>
                <w:rFonts w:asciiTheme="minorBidi" w:hAnsiTheme="minorBidi"/>
                <w:sz w:val="8"/>
                <w:szCs w:val="8"/>
              </w:rPr>
            </w:pPr>
          </w:p>
        </w:tc>
      </w:tr>
      <w:tr w:rsidR="00616FD3" w:rsidRPr="00E740B8" w14:paraId="2F8300B1" w14:textId="77777777" w:rsidTr="00B0098E">
        <w:trPr>
          <w:trHeight w:val="53"/>
          <w:jc w:val="center"/>
        </w:trPr>
        <w:tc>
          <w:tcPr>
            <w:tcW w:w="6790" w:type="dxa"/>
            <w:shd w:val="clear" w:color="auto" w:fill="C6D9F1" w:themeFill="text2" w:themeFillTint="33"/>
            <w:vAlign w:val="center"/>
          </w:tcPr>
          <w:p w14:paraId="1AD66F92" w14:textId="77777777" w:rsidR="00616FD3" w:rsidRPr="00E740B8" w:rsidRDefault="00616FD3" w:rsidP="00B0098E">
            <w:pPr>
              <w:jc w:val="center"/>
              <w:rPr>
                <w:rFonts w:asciiTheme="minorBidi" w:hAnsiTheme="minorBidi"/>
                <w:sz w:val="8"/>
                <w:szCs w:val="8"/>
              </w:rPr>
            </w:pPr>
          </w:p>
        </w:tc>
      </w:tr>
    </w:tbl>
    <w:p w14:paraId="7F66D8E9" w14:textId="77777777" w:rsidR="00C21B9B" w:rsidRDefault="00C21B9B" w:rsidP="00C21B9B">
      <w:pPr>
        <w:jc w:val="both"/>
        <w:rPr>
          <w:rFonts w:asciiTheme="minorBidi" w:hAnsiTheme="minorBidi"/>
        </w:rPr>
      </w:pPr>
    </w:p>
    <w:p w14:paraId="4FBE592C"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II.3 “</w:t>
      </w:r>
      <w:r w:rsidRPr="001D4B80">
        <w:rPr>
          <w:rFonts w:asciiTheme="minorBidi" w:hAnsiTheme="minorBidi"/>
          <w:lang w:val="fr-CH"/>
        </w:rPr>
        <w:t xml:space="preserve">Utilisation plus large et plus efficace du système de </w:t>
      </w:r>
      <w:r>
        <w:rPr>
          <w:rFonts w:asciiTheme="minorBidi" w:hAnsiTheme="minorBidi"/>
          <w:lang w:val="fr-CH"/>
        </w:rPr>
        <w:t>La Haye</w:t>
      </w:r>
      <w:r w:rsidRPr="001D4B80">
        <w:rPr>
          <w:rFonts w:asciiTheme="minorBidi" w:hAnsiTheme="minorBidi"/>
          <w:lang w:val="fr-CH"/>
        </w:rPr>
        <w:t>, notamment par les pays en développement et les PMA”</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546FC2C7" w14:textId="77777777" w:rsidR="00616FD3" w:rsidRPr="00E740B8" w:rsidRDefault="00616FD3" w:rsidP="00616FD3">
      <w:pPr>
        <w:rPr>
          <w:rFonts w:asciiTheme="minorBidi" w:hAnsiTheme="minorBidi"/>
        </w:rPr>
      </w:pPr>
    </w:p>
    <w:p w14:paraId="5E90254E" w14:textId="28057C2B" w:rsidR="00616FD3" w:rsidRPr="00616FD3" w:rsidRDefault="00616FD3" w:rsidP="00616FD3">
      <w:pPr>
        <w:ind w:left="1985" w:hanging="1418"/>
        <w:rPr>
          <w:sz w:val="18"/>
        </w:rPr>
      </w:pPr>
      <w:r w:rsidRPr="00616FD3">
        <w:rPr>
          <w:sz w:val="18"/>
        </w:rPr>
        <w:t xml:space="preserve">Programme 9 </w:t>
      </w:r>
      <w:r>
        <w:rPr>
          <w:sz w:val="18"/>
        </w:rPr>
        <w:tab/>
      </w:r>
      <w:r w:rsidRPr="00616FD3">
        <w:rPr>
          <w:sz w:val="18"/>
        </w:rPr>
        <w:t>(Bureaux régionaux et PMA)</w:t>
      </w:r>
    </w:p>
    <w:p w14:paraId="5AF41972" w14:textId="75793E35" w:rsidR="00616FD3" w:rsidRPr="00616FD3" w:rsidRDefault="00616FD3" w:rsidP="00616FD3">
      <w:pPr>
        <w:ind w:left="1985" w:hanging="1418"/>
        <w:rPr>
          <w:sz w:val="18"/>
        </w:rPr>
      </w:pPr>
      <w:r w:rsidRPr="00616FD3">
        <w:rPr>
          <w:sz w:val="18"/>
        </w:rPr>
        <w:t xml:space="preserve">Programme 10 </w:t>
      </w:r>
      <w:r>
        <w:rPr>
          <w:sz w:val="18"/>
        </w:rPr>
        <w:tab/>
      </w:r>
      <w:r w:rsidRPr="00616FD3">
        <w:rPr>
          <w:sz w:val="18"/>
        </w:rPr>
        <w:t>(Pays en transition et pays développés)</w:t>
      </w:r>
    </w:p>
    <w:p w14:paraId="61810AC5" w14:textId="4754671F"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2E871809" w14:textId="0C04F172" w:rsidR="00616FD3" w:rsidRPr="00616FD3" w:rsidRDefault="00616FD3" w:rsidP="00616FD3">
      <w:pPr>
        <w:ind w:left="1985" w:hanging="1418"/>
        <w:rPr>
          <w:sz w:val="18"/>
        </w:rPr>
      </w:pPr>
      <w:r w:rsidRPr="00616FD3">
        <w:rPr>
          <w:sz w:val="18"/>
        </w:rPr>
        <w:t>Programme 31</w:t>
      </w:r>
      <w:r>
        <w:rPr>
          <w:sz w:val="18"/>
        </w:rPr>
        <w:tab/>
      </w:r>
      <w:r w:rsidRPr="00616FD3">
        <w:rPr>
          <w:sz w:val="18"/>
        </w:rPr>
        <w:t>(Système de La Haye)</w:t>
      </w:r>
    </w:p>
    <w:p w14:paraId="0FB1DD66" w14:textId="77777777" w:rsidR="00616FD3" w:rsidRPr="00E740B8" w:rsidRDefault="00616FD3" w:rsidP="00616FD3">
      <w:pPr>
        <w:rPr>
          <w:rFonts w:asciiTheme="minorBidi" w:hAnsiTheme="minorBidi"/>
          <w:sz w:val="12"/>
          <w:szCs w:val="12"/>
        </w:rPr>
      </w:pPr>
    </w:p>
    <w:p w14:paraId="35875A83"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24A81FDE"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5AB39008" w14:textId="77777777" w:rsidTr="00616FD3">
        <w:trPr>
          <w:cantSplit/>
          <w:jc w:val="center"/>
        </w:trPr>
        <w:tc>
          <w:tcPr>
            <w:tcW w:w="9287" w:type="dxa"/>
            <w:shd w:val="clear" w:color="auto" w:fill="C6D9F1" w:themeFill="text2" w:themeFillTint="33"/>
          </w:tcPr>
          <w:p w14:paraId="60DB5E0A"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lastRenderedPageBreak/>
              <w:t xml:space="preserve">Union de </w:t>
            </w:r>
            <w:r>
              <w:rPr>
                <w:rFonts w:asciiTheme="minorBidi" w:hAnsiTheme="minorBidi"/>
                <w:sz w:val="18"/>
                <w:szCs w:val="18"/>
              </w:rPr>
              <w:t>La Haye</w:t>
            </w:r>
            <w:r w:rsidRPr="001D4B80">
              <w:rPr>
                <w:rFonts w:asciiTheme="minorBidi" w:hAnsiTheme="minorBidi"/>
                <w:sz w:val="18"/>
                <w:szCs w:val="18"/>
              </w:rPr>
              <w:t xml:space="preserve"> </w:t>
            </w:r>
            <w:r w:rsidRPr="001D4B80">
              <w:rPr>
                <w:rFonts w:asciiTheme="minorBidi" w:hAnsiTheme="minorBidi"/>
                <w:sz w:val="18"/>
                <w:szCs w:val="18"/>
              </w:rPr>
              <w:br/>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21A2FC08" w14:textId="77777777" w:rsidTr="00616FD3">
        <w:trPr>
          <w:cantSplit/>
          <w:jc w:val="center"/>
        </w:trPr>
        <w:tc>
          <w:tcPr>
            <w:tcW w:w="9287" w:type="dxa"/>
            <w:vAlign w:val="center"/>
          </w:tcPr>
          <w:p w14:paraId="35A95A0C" w14:textId="77777777" w:rsidR="00616FD3" w:rsidRPr="00E740B8" w:rsidRDefault="00616FD3" w:rsidP="00616FD3">
            <w:pPr>
              <w:jc w:val="center"/>
              <w:rPr>
                <w:rFonts w:asciiTheme="minorBidi" w:hAnsiTheme="minorBidi"/>
                <w:sz w:val="8"/>
                <w:szCs w:val="8"/>
              </w:rPr>
            </w:pPr>
          </w:p>
          <w:p w14:paraId="3CF061B7"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Programme 31 –</w:t>
            </w:r>
            <w:r>
              <w:rPr>
                <w:rFonts w:asciiTheme="minorBidi" w:hAnsiTheme="minorBidi"/>
                <w:sz w:val="18"/>
                <w:szCs w:val="18"/>
              </w:rPr>
              <w:t xml:space="preserve"> G</w:t>
            </w:r>
            <w:r w:rsidRPr="001D4B80">
              <w:rPr>
                <w:rFonts w:asciiTheme="minorBidi" w:hAnsiTheme="minorBidi"/>
                <w:sz w:val="18"/>
                <w:szCs w:val="18"/>
              </w:rPr>
              <w:t xml:space="preserve">roupe de travail de </w:t>
            </w:r>
            <w:r>
              <w:rPr>
                <w:rFonts w:asciiTheme="minorBidi" w:hAnsiTheme="minorBidi"/>
                <w:sz w:val="18"/>
                <w:szCs w:val="18"/>
              </w:rPr>
              <w:t>La Haye</w:t>
            </w:r>
            <w:r w:rsidRPr="001D4B80">
              <w:rPr>
                <w:rFonts w:asciiTheme="minorBidi" w:hAnsiTheme="minorBidi"/>
                <w:sz w:val="18"/>
                <w:szCs w:val="18"/>
              </w:rPr>
              <w:t>, activités juridiques</w:t>
            </w:r>
            <w:r w:rsidRPr="001D4B80">
              <w:rPr>
                <w:rFonts w:asciiTheme="minorBidi" w:hAnsiTheme="minorBidi"/>
                <w:sz w:val="18"/>
                <w:szCs w:val="18"/>
              </w:rPr>
              <w:br/>
              <w:t xml:space="preserve">et promotionnelles de </w:t>
            </w:r>
            <w:r>
              <w:rPr>
                <w:rFonts w:asciiTheme="minorBidi" w:hAnsiTheme="minorBidi"/>
                <w:sz w:val="18"/>
                <w:szCs w:val="18"/>
              </w:rPr>
              <w:t>La Haye</w:t>
            </w:r>
          </w:p>
          <w:p w14:paraId="6CE17DC6" w14:textId="77777777" w:rsidR="00616FD3" w:rsidRPr="00E740B8" w:rsidRDefault="00616FD3" w:rsidP="00616FD3">
            <w:pPr>
              <w:pStyle w:val="ListParagraph"/>
              <w:ind w:left="0"/>
              <w:jc w:val="center"/>
              <w:rPr>
                <w:rFonts w:asciiTheme="minorBidi" w:hAnsiTheme="minorBidi"/>
                <w:sz w:val="8"/>
                <w:szCs w:val="8"/>
              </w:rPr>
            </w:pPr>
          </w:p>
        </w:tc>
      </w:tr>
      <w:tr w:rsidR="00616FD3" w:rsidRPr="00E740B8" w14:paraId="45B3AD32" w14:textId="77777777" w:rsidTr="00616FD3">
        <w:trPr>
          <w:cantSplit/>
          <w:jc w:val="center"/>
        </w:trPr>
        <w:tc>
          <w:tcPr>
            <w:tcW w:w="9287" w:type="dxa"/>
            <w:shd w:val="clear" w:color="auto" w:fill="C6D9F1" w:themeFill="text2" w:themeFillTint="33"/>
            <w:vAlign w:val="center"/>
          </w:tcPr>
          <w:p w14:paraId="04AB965A"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10 et 20</w:t>
            </w:r>
          </w:p>
        </w:tc>
      </w:tr>
    </w:tbl>
    <w:p w14:paraId="19084157" w14:textId="77777777" w:rsidR="00616FD3" w:rsidRPr="00E740B8" w:rsidRDefault="00616FD3" w:rsidP="00616FD3">
      <w:pPr>
        <w:rPr>
          <w:rFonts w:asciiTheme="minorBidi" w:hAnsiTheme="minorBidi"/>
        </w:rPr>
      </w:pPr>
    </w:p>
    <w:p w14:paraId="6CBF68D7"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II.4 “</w:t>
      </w:r>
      <w:r w:rsidRPr="001D4B80">
        <w:rPr>
          <w:rFonts w:asciiTheme="minorBidi" w:hAnsiTheme="minorBidi"/>
          <w:lang w:val="fr-CH"/>
        </w:rPr>
        <w:t xml:space="preserve">Amélioration de la productivité et de la qualité de service des opérations de </w:t>
      </w:r>
      <w:r>
        <w:rPr>
          <w:rFonts w:asciiTheme="minorBidi" w:hAnsiTheme="minorBidi"/>
          <w:lang w:val="fr-CH"/>
        </w:rPr>
        <w:t>La Haye</w:t>
      </w:r>
      <w:r w:rsidRPr="001D4B80">
        <w:rPr>
          <w:rFonts w:asciiTheme="minorBidi" w:hAnsiTheme="minorBidi"/>
          <w:lang w:val="fr-CH"/>
        </w:rPr>
        <w:t>”</w:t>
      </w:r>
      <w:r w:rsidRPr="001D4B80">
        <w:rPr>
          <w:rFonts w:asciiTheme="minorBidi" w:hAnsiTheme="minorBidi"/>
        </w:rPr>
        <w:t xml:space="preserve"> mises en œuvre par le programme 31 (Système de </w:t>
      </w:r>
      <w:r>
        <w:rPr>
          <w:rFonts w:asciiTheme="minorBidi" w:hAnsiTheme="minorBidi"/>
        </w:rPr>
        <w:t>La Haye</w:t>
      </w:r>
      <w:r w:rsidRPr="001D4B80">
        <w:rPr>
          <w:rFonts w:asciiTheme="minorBidi" w:hAnsiTheme="minorBidi"/>
        </w:rPr>
        <w:t>) sont attribuées en tant que dépenses “directes de l</w:t>
      </w:r>
      <w:r>
        <w:rPr>
          <w:rFonts w:asciiTheme="minorBidi" w:hAnsiTheme="minorBidi"/>
        </w:rPr>
        <w:t>’</w:t>
      </w:r>
      <w:r w:rsidRPr="001D4B80">
        <w:rPr>
          <w:rFonts w:asciiTheme="minorBidi" w:hAnsiTheme="minorBidi"/>
        </w:rPr>
        <w:t>union” à l</w:t>
      </w:r>
      <w:r>
        <w:rPr>
          <w:rFonts w:asciiTheme="minorBidi" w:hAnsiTheme="minorBidi"/>
        </w:rPr>
        <w:t>’</w:t>
      </w:r>
      <w:r w:rsidRPr="001D4B80">
        <w:rPr>
          <w:rFonts w:asciiTheme="minorBidi" w:hAnsiTheme="minorBidi"/>
        </w:rPr>
        <w:t xml:space="preserve">Union de </w:t>
      </w:r>
      <w:r>
        <w:rPr>
          <w:rFonts w:asciiTheme="minorBidi" w:hAnsiTheme="minorBidi"/>
        </w:rPr>
        <w:t>La Haye</w:t>
      </w:r>
      <w:r w:rsidRPr="001D4B80">
        <w:rPr>
          <w:rFonts w:asciiTheme="minorBidi" w:hAnsiTheme="minorBidi"/>
        </w:rPr>
        <w:t>.</w:t>
      </w:r>
    </w:p>
    <w:p w14:paraId="0625EFD4"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3955FDD4" w14:textId="77777777" w:rsidTr="00616FD3">
        <w:trPr>
          <w:cantSplit/>
          <w:jc w:val="center"/>
        </w:trPr>
        <w:tc>
          <w:tcPr>
            <w:tcW w:w="9287" w:type="dxa"/>
            <w:shd w:val="clear" w:color="auto" w:fill="C6D9F1" w:themeFill="text2" w:themeFillTint="33"/>
          </w:tcPr>
          <w:p w14:paraId="786E44E5"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r w:rsidRPr="001D4B80">
              <w:rPr>
                <w:rFonts w:asciiTheme="minorBidi" w:hAnsiTheme="minorBidi"/>
                <w:sz w:val="18"/>
                <w:szCs w:val="18"/>
              </w:rPr>
              <w:t xml:space="preserve"> </w:t>
            </w:r>
            <w:r w:rsidRPr="001D4B80">
              <w:rPr>
                <w:rFonts w:asciiTheme="minorBidi" w:hAnsiTheme="minorBidi"/>
                <w:sz w:val="18"/>
                <w:szCs w:val="18"/>
              </w:rPr>
              <w:br/>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5D42B9F5" w14:textId="77777777" w:rsidTr="00616FD3">
        <w:trPr>
          <w:cantSplit/>
          <w:jc w:val="center"/>
        </w:trPr>
        <w:tc>
          <w:tcPr>
            <w:tcW w:w="9287" w:type="dxa"/>
            <w:shd w:val="clear" w:color="auto" w:fill="FFFFFF" w:themeFill="background1"/>
          </w:tcPr>
          <w:p w14:paraId="32F7726D" w14:textId="77777777" w:rsidR="00616FD3" w:rsidRPr="00E740B8" w:rsidRDefault="00616FD3" w:rsidP="00616FD3">
            <w:pPr>
              <w:jc w:val="center"/>
              <w:rPr>
                <w:rFonts w:asciiTheme="minorBidi" w:hAnsiTheme="minorBidi"/>
                <w:sz w:val="8"/>
                <w:szCs w:val="8"/>
              </w:rPr>
            </w:pPr>
          </w:p>
          <w:p w14:paraId="59ED9337"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 xml:space="preserve">Programme 31 Services de traitement et système informatique du système de </w:t>
            </w:r>
            <w:r>
              <w:rPr>
                <w:rFonts w:asciiTheme="minorBidi" w:hAnsiTheme="minorBidi"/>
                <w:sz w:val="18"/>
                <w:szCs w:val="18"/>
              </w:rPr>
              <w:t>La Haye</w:t>
            </w:r>
          </w:p>
          <w:p w14:paraId="0A359A19" w14:textId="77777777" w:rsidR="00616FD3" w:rsidRPr="00E740B8" w:rsidRDefault="00616FD3" w:rsidP="00616FD3">
            <w:pPr>
              <w:jc w:val="center"/>
              <w:rPr>
                <w:rFonts w:asciiTheme="minorBidi" w:hAnsiTheme="minorBidi"/>
                <w:sz w:val="8"/>
                <w:szCs w:val="8"/>
              </w:rPr>
            </w:pPr>
          </w:p>
          <w:p w14:paraId="456560E3" w14:textId="77777777" w:rsidR="00616FD3" w:rsidRPr="00E740B8" w:rsidRDefault="00616FD3" w:rsidP="00616FD3">
            <w:pPr>
              <w:jc w:val="center"/>
              <w:rPr>
                <w:rFonts w:asciiTheme="minorBidi" w:hAnsiTheme="minorBidi"/>
                <w:sz w:val="2"/>
                <w:szCs w:val="2"/>
              </w:rPr>
            </w:pPr>
          </w:p>
        </w:tc>
      </w:tr>
      <w:tr w:rsidR="00616FD3" w:rsidRPr="00E740B8" w14:paraId="5BF99075" w14:textId="77777777" w:rsidTr="00616FD3">
        <w:trPr>
          <w:cantSplit/>
          <w:jc w:val="center"/>
        </w:trPr>
        <w:tc>
          <w:tcPr>
            <w:tcW w:w="9287" w:type="dxa"/>
            <w:shd w:val="clear" w:color="auto" w:fill="C6D9F1" w:themeFill="text2" w:themeFillTint="33"/>
          </w:tcPr>
          <w:p w14:paraId="63E4CF82" w14:textId="77777777" w:rsidR="00616FD3" w:rsidRPr="00E740B8" w:rsidRDefault="00616FD3" w:rsidP="00616FD3">
            <w:pPr>
              <w:jc w:val="center"/>
              <w:rPr>
                <w:rFonts w:asciiTheme="minorBidi" w:hAnsiTheme="minorBidi"/>
                <w:sz w:val="8"/>
                <w:szCs w:val="8"/>
              </w:rPr>
            </w:pPr>
          </w:p>
        </w:tc>
      </w:tr>
    </w:tbl>
    <w:p w14:paraId="1027B75E" w14:textId="77777777" w:rsidR="00616FD3" w:rsidRPr="00E740B8" w:rsidRDefault="00616FD3" w:rsidP="00616FD3">
      <w:pPr>
        <w:rPr>
          <w:rFonts w:asciiTheme="minorBidi" w:hAnsiTheme="minorBidi"/>
        </w:rPr>
      </w:pPr>
    </w:p>
    <w:p w14:paraId="5EB242F9"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II.5 “</w:t>
      </w:r>
      <w:r w:rsidRPr="001D4B80">
        <w:rPr>
          <w:rFonts w:asciiTheme="minorBidi" w:hAnsiTheme="minorBidi"/>
          <w:lang w:val="fr-CH"/>
        </w:rPr>
        <w:t>Utilisation plus large et plus efficace du système de Madrid, notamment par les pays en développement et</w:t>
      </w:r>
      <w:r w:rsidRPr="006926A4">
        <w:rPr>
          <w:rFonts w:asciiTheme="minorBidi" w:hAnsiTheme="minorBidi"/>
          <w:lang w:val="fr-CH"/>
        </w:rPr>
        <w:t xml:space="preserve"> les PMA</w:t>
      </w:r>
      <w:r w:rsidRPr="001D4B80">
        <w:rPr>
          <w:rFonts w:asciiTheme="minorBidi" w:hAnsiTheme="minorBidi"/>
          <w:lang w:val="fr-CH"/>
        </w:rPr>
        <w:t>”</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77C042A4" w14:textId="77777777" w:rsidR="00616FD3" w:rsidRPr="00E740B8" w:rsidRDefault="00616FD3" w:rsidP="00616FD3">
      <w:pPr>
        <w:rPr>
          <w:rFonts w:asciiTheme="minorBidi" w:hAnsiTheme="minorBidi"/>
        </w:rPr>
      </w:pPr>
    </w:p>
    <w:p w14:paraId="25C974E8" w14:textId="57CED1FA" w:rsidR="00616FD3" w:rsidRPr="00616FD3" w:rsidRDefault="00616FD3" w:rsidP="00616FD3">
      <w:pPr>
        <w:ind w:left="1985" w:hanging="1418"/>
        <w:rPr>
          <w:sz w:val="18"/>
        </w:rPr>
      </w:pPr>
      <w:r w:rsidRPr="00616FD3">
        <w:rPr>
          <w:sz w:val="18"/>
        </w:rPr>
        <w:t xml:space="preserve">Programme 6 </w:t>
      </w:r>
      <w:r>
        <w:rPr>
          <w:sz w:val="18"/>
        </w:rPr>
        <w:tab/>
      </w:r>
      <w:r w:rsidRPr="00616FD3">
        <w:rPr>
          <w:sz w:val="18"/>
        </w:rPr>
        <w:t>(Système de Madrid)</w:t>
      </w:r>
    </w:p>
    <w:p w14:paraId="3C96AE57" w14:textId="77777777" w:rsidR="00616FD3" w:rsidRPr="00616FD3" w:rsidRDefault="00616FD3" w:rsidP="00616FD3">
      <w:pPr>
        <w:ind w:left="1985" w:hanging="1418"/>
        <w:rPr>
          <w:sz w:val="18"/>
        </w:rPr>
      </w:pPr>
      <w:r w:rsidRPr="00616FD3">
        <w:rPr>
          <w:sz w:val="18"/>
        </w:rPr>
        <w:t>Programme 9</w:t>
      </w:r>
      <w:r w:rsidRPr="00616FD3">
        <w:rPr>
          <w:sz w:val="18"/>
        </w:rPr>
        <w:tab/>
        <w:t>(Bureaux régionaux et PMA)</w:t>
      </w:r>
    </w:p>
    <w:p w14:paraId="7BAB1313" w14:textId="345A5616" w:rsidR="00616FD3" w:rsidRPr="00616FD3" w:rsidRDefault="00616FD3" w:rsidP="00616FD3">
      <w:pPr>
        <w:ind w:left="1985" w:hanging="1418"/>
        <w:rPr>
          <w:sz w:val="18"/>
        </w:rPr>
      </w:pPr>
      <w:r w:rsidRPr="00616FD3">
        <w:rPr>
          <w:sz w:val="18"/>
        </w:rPr>
        <w:t xml:space="preserve">Programme 10 </w:t>
      </w:r>
      <w:r>
        <w:rPr>
          <w:sz w:val="18"/>
        </w:rPr>
        <w:tab/>
      </w:r>
      <w:r w:rsidRPr="00616FD3">
        <w:rPr>
          <w:sz w:val="18"/>
        </w:rPr>
        <w:t>(Pays en transition et pays développés)</w:t>
      </w:r>
    </w:p>
    <w:p w14:paraId="6D07A714" w14:textId="08A563E9"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59A188C0" w14:textId="77777777" w:rsidR="00616FD3" w:rsidRPr="00E740B8" w:rsidRDefault="00616FD3" w:rsidP="00616FD3">
      <w:pPr>
        <w:pStyle w:val="ListParagraph"/>
        <w:ind w:left="1287" w:firstLine="414"/>
        <w:rPr>
          <w:rFonts w:asciiTheme="minorBidi" w:hAnsiTheme="minorBidi"/>
          <w:sz w:val="12"/>
          <w:szCs w:val="12"/>
        </w:rPr>
      </w:pPr>
    </w:p>
    <w:p w14:paraId="2508098A"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4062BA2A"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00787ED3" w14:textId="77777777" w:rsidTr="00616FD3">
        <w:trPr>
          <w:cantSplit/>
          <w:jc w:val="center"/>
        </w:trPr>
        <w:tc>
          <w:tcPr>
            <w:tcW w:w="9287" w:type="dxa"/>
            <w:shd w:val="clear" w:color="auto" w:fill="C6D9F1" w:themeFill="text2" w:themeFillTint="33"/>
          </w:tcPr>
          <w:p w14:paraId="268CBE97"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Union de Madrid</w:t>
            </w:r>
            <w:r w:rsidRPr="001D4B80">
              <w:rPr>
                <w:rFonts w:asciiTheme="minorBidi" w:hAnsiTheme="minorBidi"/>
                <w:sz w:val="18"/>
                <w:szCs w:val="18"/>
              </w:rPr>
              <w:br/>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79C131FA" w14:textId="77777777" w:rsidTr="00616FD3">
        <w:trPr>
          <w:cantSplit/>
          <w:jc w:val="center"/>
        </w:trPr>
        <w:tc>
          <w:tcPr>
            <w:tcW w:w="9287" w:type="dxa"/>
            <w:shd w:val="clear" w:color="auto" w:fill="FFFFFF" w:themeFill="background1"/>
          </w:tcPr>
          <w:p w14:paraId="29A62192" w14:textId="77777777" w:rsidR="00616FD3" w:rsidRPr="00E740B8" w:rsidRDefault="00616FD3" w:rsidP="00616FD3">
            <w:pPr>
              <w:rPr>
                <w:rFonts w:asciiTheme="minorBidi" w:hAnsiTheme="minorBidi"/>
                <w:sz w:val="8"/>
                <w:szCs w:val="8"/>
              </w:rPr>
            </w:pPr>
          </w:p>
          <w:p w14:paraId="6562AB5D"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6 – Assemblée de l</w:t>
            </w:r>
            <w:r>
              <w:rPr>
                <w:rFonts w:asciiTheme="minorBidi" w:hAnsiTheme="minorBidi"/>
                <w:sz w:val="18"/>
                <w:szCs w:val="18"/>
              </w:rPr>
              <w:t>’</w:t>
            </w:r>
            <w:r w:rsidRPr="001D4B80">
              <w:rPr>
                <w:rFonts w:asciiTheme="minorBidi" w:hAnsiTheme="minorBidi"/>
                <w:sz w:val="18"/>
                <w:szCs w:val="18"/>
              </w:rPr>
              <w:t>Union de Madrid, Groupe de travail de Madrid, activités juridiques et promotionnelles du système de Madrid</w:t>
            </w:r>
          </w:p>
          <w:p w14:paraId="15550583" w14:textId="77777777" w:rsidR="00616FD3" w:rsidRPr="00E740B8" w:rsidRDefault="00616FD3" w:rsidP="00616FD3">
            <w:pPr>
              <w:rPr>
                <w:rFonts w:asciiTheme="minorBidi" w:hAnsiTheme="minorBidi"/>
                <w:sz w:val="8"/>
                <w:szCs w:val="8"/>
              </w:rPr>
            </w:pPr>
          </w:p>
        </w:tc>
      </w:tr>
      <w:tr w:rsidR="00616FD3" w:rsidRPr="00E740B8" w14:paraId="4100C1EA" w14:textId="77777777" w:rsidTr="00616FD3">
        <w:trPr>
          <w:cantSplit/>
          <w:jc w:val="center"/>
        </w:trPr>
        <w:tc>
          <w:tcPr>
            <w:tcW w:w="9287" w:type="dxa"/>
            <w:shd w:val="clear" w:color="auto" w:fill="C6D9F1" w:themeFill="text2" w:themeFillTint="33"/>
          </w:tcPr>
          <w:p w14:paraId="03A7374A"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10 et 20</w:t>
            </w:r>
          </w:p>
        </w:tc>
      </w:tr>
    </w:tbl>
    <w:p w14:paraId="551BF20B" w14:textId="77777777" w:rsidR="00616FD3" w:rsidRPr="00E740B8" w:rsidRDefault="00616FD3" w:rsidP="00616FD3">
      <w:pPr>
        <w:rPr>
          <w:rFonts w:asciiTheme="minorBidi" w:hAnsiTheme="minorBidi"/>
        </w:rPr>
      </w:pPr>
    </w:p>
    <w:p w14:paraId="2C216724" w14:textId="77777777" w:rsidR="00616FD3" w:rsidRPr="00E740B8"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II.6 “</w:t>
      </w:r>
      <w:r w:rsidRPr="001D4B80">
        <w:rPr>
          <w:rFonts w:asciiTheme="minorBidi" w:hAnsiTheme="minorBidi"/>
          <w:lang w:val="fr-CH"/>
        </w:rPr>
        <w:t>Amélioration de la productivité et de la qualité de service des opérations du système de Madrid”</w:t>
      </w:r>
      <w:r w:rsidRPr="001D4B80">
        <w:rPr>
          <w:rFonts w:asciiTheme="minorBidi" w:hAnsiTheme="minorBidi"/>
        </w:rPr>
        <w:t xml:space="preserve"> mises en œuvre par le programme 6 (Système de Madrid) sont attribuées en tant que dépenses “directes de l</w:t>
      </w:r>
      <w:r>
        <w:rPr>
          <w:rFonts w:asciiTheme="minorBidi" w:hAnsiTheme="minorBidi"/>
        </w:rPr>
        <w:t>’</w:t>
      </w:r>
      <w:r w:rsidRPr="001D4B80">
        <w:rPr>
          <w:rFonts w:asciiTheme="minorBidi" w:hAnsiTheme="minorBidi"/>
        </w:rPr>
        <w:t>Union” à l</w:t>
      </w:r>
      <w:r>
        <w:rPr>
          <w:rFonts w:asciiTheme="minorBidi" w:hAnsiTheme="minorBidi"/>
        </w:rPr>
        <w:t>’</w:t>
      </w:r>
      <w:r w:rsidRPr="001D4B80">
        <w:rPr>
          <w:rFonts w:asciiTheme="minorBidi" w:hAnsiTheme="minorBidi"/>
        </w:rPr>
        <w:t>Union de Madrid.</w:t>
      </w:r>
    </w:p>
    <w:p w14:paraId="187E8D13" w14:textId="77777777" w:rsidR="00616FD3" w:rsidRPr="00E740B8" w:rsidRDefault="00616FD3" w:rsidP="00616FD3">
      <w:pPr>
        <w:keepNext/>
        <w:keepLines/>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60528720" w14:textId="77777777" w:rsidTr="00616FD3">
        <w:trPr>
          <w:cantSplit/>
          <w:jc w:val="center"/>
        </w:trPr>
        <w:tc>
          <w:tcPr>
            <w:tcW w:w="9287" w:type="dxa"/>
            <w:shd w:val="clear" w:color="auto" w:fill="C6D9F1" w:themeFill="text2" w:themeFillTint="33"/>
            <w:vAlign w:val="center"/>
          </w:tcPr>
          <w:p w14:paraId="49F6BFD5" w14:textId="77777777" w:rsidR="00616FD3" w:rsidRDefault="00616FD3" w:rsidP="00616FD3">
            <w:pPr>
              <w:keepNext/>
              <w:keepLines/>
              <w:jc w:val="center"/>
              <w:rPr>
                <w:rFonts w:asciiTheme="minorBidi" w:hAnsiTheme="minorBidi"/>
                <w:sz w:val="18"/>
                <w:szCs w:val="18"/>
              </w:rPr>
            </w:pPr>
            <w:r w:rsidRPr="001D4B80">
              <w:rPr>
                <w:rFonts w:asciiTheme="minorBidi" w:hAnsiTheme="minorBidi"/>
                <w:sz w:val="18"/>
                <w:szCs w:val="18"/>
              </w:rPr>
              <w:t>Union de Madrid</w:t>
            </w:r>
          </w:p>
          <w:p w14:paraId="1A2A357C" w14:textId="77777777" w:rsidR="00616FD3" w:rsidRPr="000B7FF3" w:rsidRDefault="00616FD3" w:rsidP="00616FD3">
            <w:pPr>
              <w:keepNext/>
              <w:keepLines/>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28B0934A" w14:textId="77777777" w:rsidTr="00616FD3">
        <w:trPr>
          <w:cantSplit/>
          <w:jc w:val="center"/>
        </w:trPr>
        <w:tc>
          <w:tcPr>
            <w:tcW w:w="9287" w:type="dxa"/>
            <w:vAlign w:val="center"/>
          </w:tcPr>
          <w:p w14:paraId="5916AF7D" w14:textId="77777777" w:rsidR="00616FD3" w:rsidRPr="00E740B8" w:rsidRDefault="00616FD3" w:rsidP="00616FD3">
            <w:pPr>
              <w:keepNext/>
              <w:keepLines/>
              <w:jc w:val="center"/>
              <w:rPr>
                <w:rFonts w:asciiTheme="minorBidi" w:hAnsiTheme="minorBidi"/>
                <w:sz w:val="8"/>
                <w:szCs w:val="8"/>
              </w:rPr>
            </w:pPr>
          </w:p>
          <w:p w14:paraId="56573895"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Programme 6 – Services de traitement et de traduction et système informatique du système de Madrid</w:t>
            </w:r>
            <w:r w:rsidRPr="00E740B8">
              <w:rPr>
                <w:rStyle w:val="FootnoteReference"/>
                <w:rFonts w:asciiTheme="minorBidi" w:hAnsiTheme="minorBidi"/>
                <w:sz w:val="18"/>
                <w:szCs w:val="18"/>
              </w:rPr>
              <w:footnoteReference w:id="43"/>
            </w:r>
          </w:p>
          <w:p w14:paraId="6B2294BA" w14:textId="77777777" w:rsidR="00616FD3" w:rsidRPr="00E740B8" w:rsidRDefault="00616FD3" w:rsidP="00616FD3">
            <w:pPr>
              <w:keepNext/>
              <w:keepLines/>
              <w:jc w:val="center"/>
              <w:rPr>
                <w:rFonts w:asciiTheme="minorBidi" w:hAnsiTheme="minorBidi"/>
                <w:sz w:val="8"/>
                <w:szCs w:val="8"/>
              </w:rPr>
            </w:pPr>
          </w:p>
        </w:tc>
      </w:tr>
      <w:tr w:rsidR="00616FD3" w:rsidRPr="00E740B8" w14:paraId="7BA83142" w14:textId="77777777" w:rsidTr="00616FD3">
        <w:trPr>
          <w:cantSplit/>
          <w:jc w:val="center"/>
        </w:trPr>
        <w:tc>
          <w:tcPr>
            <w:tcW w:w="9287" w:type="dxa"/>
            <w:shd w:val="clear" w:color="auto" w:fill="C6D9F1" w:themeFill="text2" w:themeFillTint="33"/>
            <w:vAlign w:val="center"/>
          </w:tcPr>
          <w:p w14:paraId="190F5121" w14:textId="77777777" w:rsidR="00616FD3" w:rsidRPr="00E740B8" w:rsidRDefault="00616FD3" w:rsidP="00616FD3">
            <w:pPr>
              <w:jc w:val="center"/>
              <w:rPr>
                <w:rFonts w:asciiTheme="minorBidi" w:hAnsiTheme="minorBidi"/>
                <w:sz w:val="8"/>
                <w:szCs w:val="8"/>
              </w:rPr>
            </w:pPr>
          </w:p>
        </w:tc>
      </w:tr>
    </w:tbl>
    <w:p w14:paraId="7E769BBF" w14:textId="77777777" w:rsidR="00616FD3" w:rsidRPr="00E740B8" w:rsidRDefault="00616FD3" w:rsidP="00616FD3">
      <w:pPr>
        <w:rPr>
          <w:rFonts w:asciiTheme="minorBidi" w:hAnsiTheme="minorBidi"/>
        </w:rPr>
      </w:pPr>
    </w:p>
    <w:p w14:paraId="2741E872" w14:textId="77777777" w:rsidR="00616FD3"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II.7 “</w:t>
      </w:r>
      <w:r w:rsidRPr="001D4B80">
        <w:rPr>
          <w:rFonts w:asciiTheme="minorBidi" w:hAnsiTheme="minorBidi"/>
          <w:lang w:val="fr-CH"/>
        </w:rPr>
        <w:t>De plus en plus de litiges internationaux ou nationaux de propriété intellectuelle sont évités ou réglés par la médiation, l</w:t>
      </w:r>
      <w:r>
        <w:rPr>
          <w:rFonts w:asciiTheme="minorBidi" w:hAnsiTheme="minorBidi"/>
          <w:lang w:val="fr-CH"/>
        </w:rPr>
        <w:t>’</w:t>
      </w:r>
      <w:r w:rsidRPr="001D4B80">
        <w:rPr>
          <w:rFonts w:asciiTheme="minorBidi" w:hAnsiTheme="minorBidi"/>
          <w:lang w:val="fr-CH"/>
        </w:rPr>
        <w:t>arbitrage et d</w:t>
      </w:r>
      <w:r>
        <w:rPr>
          <w:rFonts w:asciiTheme="minorBidi" w:hAnsiTheme="minorBidi"/>
          <w:lang w:val="fr-CH"/>
        </w:rPr>
        <w:t>’</w:t>
      </w:r>
      <w:r w:rsidRPr="001D4B80">
        <w:rPr>
          <w:rFonts w:asciiTheme="minorBidi" w:hAnsiTheme="minorBidi"/>
          <w:lang w:val="fr-CH"/>
        </w:rPr>
        <w:t>autres modes extrajudiciaires de règlement des litiges de l</w:t>
      </w:r>
      <w:r>
        <w:rPr>
          <w:rFonts w:asciiTheme="minorBidi" w:hAnsiTheme="minorBidi"/>
          <w:lang w:val="fr-CH"/>
        </w:rPr>
        <w:t>’</w:t>
      </w:r>
      <w:r w:rsidRPr="001D4B80">
        <w:rPr>
          <w:rFonts w:asciiTheme="minorBidi" w:hAnsiTheme="minorBidi"/>
          <w:lang w:val="fr-CH"/>
        </w:rPr>
        <w:t xml:space="preserve">OMPI” </w:t>
      </w:r>
      <w:r w:rsidRPr="001D4B80">
        <w:rPr>
          <w:rFonts w:asciiTheme="minorBidi" w:hAnsiTheme="minorBidi"/>
        </w:rPr>
        <w:t>et au résultat escompté II.8 “</w:t>
      </w:r>
      <w:r w:rsidRPr="001D4B80">
        <w:rPr>
          <w:rFonts w:asciiTheme="minorBidi" w:hAnsiTheme="minorBidi"/>
          <w:lang w:val="fr-CH"/>
        </w:rPr>
        <w:t>Protection effective de la propriété intellectuelle dans les gTLD et les ccTLD”</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267F3335" w14:textId="77777777" w:rsidR="00616FD3" w:rsidRPr="00E740B8" w:rsidRDefault="00616FD3" w:rsidP="00616FD3">
      <w:pPr>
        <w:rPr>
          <w:rFonts w:asciiTheme="minorBidi" w:hAnsiTheme="minorBidi"/>
        </w:rPr>
      </w:pPr>
    </w:p>
    <w:p w14:paraId="78DC5144" w14:textId="7F41E6F6" w:rsidR="00616FD3" w:rsidRPr="00616FD3" w:rsidRDefault="00616FD3" w:rsidP="00616FD3">
      <w:pPr>
        <w:keepNext/>
        <w:ind w:left="1985" w:hanging="1418"/>
        <w:rPr>
          <w:sz w:val="18"/>
        </w:rPr>
      </w:pPr>
      <w:r w:rsidRPr="00616FD3">
        <w:rPr>
          <w:sz w:val="18"/>
        </w:rPr>
        <w:lastRenderedPageBreak/>
        <w:t xml:space="preserve">Programme 7 </w:t>
      </w:r>
      <w:r>
        <w:rPr>
          <w:sz w:val="18"/>
        </w:rPr>
        <w:tab/>
      </w:r>
      <w:r w:rsidRPr="00616FD3">
        <w:rPr>
          <w:sz w:val="18"/>
        </w:rPr>
        <w:t>(Centre d’arbitrage et de médiation de l’OMPI)</w:t>
      </w:r>
    </w:p>
    <w:p w14:paraId="372695D0" w14:textId="77777777" w:rsidR="00616FD3" w:rsidRPr="00616FD3" w:rsidRDefault="00616FD3" w:rsidP="00616FD3">
      <w:pPr>
        <w:keepNext/>
        <w:ind w:left="1985" w:hanging="1418"/>
        <w:rPr>
          <w:sz w:val="18"/>
        </w:rPr>
      </w:pPr>
      <w:r w:rsidRPr="00616FD3">
        <w:rPr>
          <w:sz w:val="18"/>
        </w:rPr>
        <w:t>Programme 9</w:t>
      </w:r>
      <w:r w:rsidRPr="00616FD3">
        <w:rPr>
          <w:sz w:val="18"/>
        </w:rPr>
        <w:tab/>
        <w:t>(Bureaux régionaux et PMA)</w:t>
      </w:r>
    </w:p>
    <w:p w14:paraId="5E4E2CFE" w14:textId="1E4659F7" w:rsidR="00616FD3" w:rsidRPr="00616FD3" w:rsidRDefault="00616FD3" w:rsidP="00616FD3">
      <w:pPr>
        <w:ind w:left="1985" w:hanging="1418"/>
        <w:rPr>
          <w:sz w:val="18"/>
        </w:rPr>
      </w:pPr>
      <w:r w:rsidRPr="00616FD3">
        <w:rPr>
          <w:sz w:val="18"/>
        </w:rPr>
        <w:t xml:space="preserve">Programme 10 </w:t>
      </w:r>
      <w:r>
        <w:rPr>
          <w:sz w:val="18"/>
        </w:rPr>
        <w:tab/>
      </w:r>
      <w:r w:rsidRPr="00616FD3">
        <w:rPr>
          <w:sz w:val="18"/>
        </w:rPr>
        <w:t>(Pays en transition et pays développés)</w:t>
      </w:r>
    </w:p>
    <w:p w14:paraId="782103B5" w14:textId="77777777" w:rsidR="00616FD3" w:rsidRPr="00E740B8" w:rsidRDefault="00616FD3" w:rsidP="00616FD3">
      <w:pPr>
        <w:rPr>
          <w:rFonts w:asciiTheme="minorBidi" w:hAnsiTheme="minorBidi"/>
        </w:rPr>
      </w:pPr>
    </w:p>
    <w:p w14:paraId="25982520"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58D50587" w14:textId="77777777" w:rsidR="00616FD3" w:rsidRPr="00E740B8" w:rsidRDefault="00616FD3" w:rsidP="00616FD3">
      <w:pPr>
        <w:rPr>
          <w:rFonts w:asciiTheme="minorBidi" w:hAnsiTheme="minorBidi"/>
        </w:rPr>
      </w:pP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843"/>
        <w:gridCol w:w="1843"/>
        <w:gridCol w:w="1843"/>
        <w:gridCol w:w="1843"/>
        <w:gridCol w:w="1843"/>
      </w:tblGrid>
      <w:tr w:rsidR="00616FD3" w:rsidRPr="00E740B8" w14:paraId="7B0B13A4" w14:textId="77777777" w:rsidTr="00616FD3">
        <w:trPr>
          <w:cantSplit/>
        </w:trPr>
        <w:tc>
          <w:tcPr>
            <w:tcW w:w="1842" w:type="dxa"/>
            <w:shd w:val="clear" w:color="auto" w:fill="C6D9F1" w:themeFill="text2" w:themeFillTint="33"/>
            <w:vAlign w:val="center"/>
          </w:tcPr>
          <w:p w14:paraId="7F420220"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Unions financées par des contributions</w:t>
            </w:r>
          </w:p>
          <w:p w14:paraId="22589005" w14:textId="77777777" w:rsidR="00616FD3" w:rsidRPr="00445646"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3A99D62D"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3ABA4554" w14:textId="77777777" w:rsidR="00616FD3" w:rsidRPr="00445646"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17027E36"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Union de Madrid</w:t>
            </w:r>
          </w:p>
          <w:p w14:paraId="55B09729" w14:textId="77777777" w:rsidR="00616FD3" w:rsidRPr="00445646"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72A3ECEA"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15C4B1DD" w14:textId="77777777" w:rsidR="00616FD3" w:rsidRPr="00445646"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35E8317E"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Union de Lisbonne</w:t>
            </w:r>
          </w:p>
          <w:p w14:paraId="27BF902F" w14:textId="77777777" w:rsidR="00616FD3" w:rsidRPr="00445646"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2F00C27F" w14:textId="77777777" w:rsidTr="00616FD3">
        <w:trPr>
          <w:cantSplit/>
        </w:trPr>
        <w:tc>
          <w:tcPr>
            <w:tcW w:w="1842" w:type="dxa"/>
            <w:vAlign w:val="center"/>
          </w:tcPr>
          <w:p w14:paraId="72FD8019" w14:textId="77777777" w:rsidR="00616FD3" w:rsidRPr="00445646" w:rsidRDefault="00616FD3" w:rsidP="00616FD3">
            <w:pPr>
              <w:jc w:val="center"/>
              <w:rPr>
                <w:rFonts w:asciiTheme="minorBidi" w:hAnsiTheme="minorBidi"/>
                <w:sz w:val="16"/>
                <w:szCs w:val="16"/>
              </w:rPr>
            </w:pPr>
            <w:r w:rsidRPr="001D4B80">
              <w:rPr>
                <w:rFonts w:asciiTheme="minorBidi" w:hAnsiTheme="minorBidi"/>
                <w:sz w:val="16"/>
                <w:szCs w:val="16"/>
              </w:rPr>
              <w:t>Programme 7 – Services de règlement extrajudiciaire des litiges</w:t>
            </w:r>
          </w:p>
          <w:p w14:paraId="02283326"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(5,2%</w:t>
            </w:r>
            <w:r>
              <w:rPr>
                <w:rFonts w:asciiTheme="minorBidi" w:hAnsiTheme="minorBidi"/>
                <w:sz w:val="16"/>
                <w:szCs w:val="16"/>
              </w:rPr>
              <w:t xml:space="preserve"> – </w:t>
            </w:r>
            <w:r w:rsidRPr="001D4B80">
              <w:rPr>
                <w:rFonts w:asciiTheme="minorBidi" w:hAnsiTheme="minorBidi"/>
                <w:sz w:val="16"/>
                <w:szCs w:val="16"/>
              </w:rPr>
              <w:t>estimation du chef de programme)</w:t>
            </w:r>
          </w:p>
          <w:p w14:paraId="5B3EFA37" w14:textId="77777777" w:rsidR="00616FD3" w:rsidRPr="00E740B8" w:rsidRDefault="00616FD3" w:rsidP="00616FD3">
            <w:pPr>
              <w:jc w:val="center"/>
              <w:rPr>
                <w:rFonts w:asciiTheme="minorBidi" w:hAnsiTheme="minorBidi"/>
                <w:sz w:val="18"/>
                <w:szCs w:val="18"/>
              </w:rPr>
            </w:pPr>
          </w:p>
        </w:tc>
        <w:tc>
          <w:tcPr>
            <w:tcW w:w="1843" w:type="dxa"/>
            <w:vAlign w:val="center"/>
          </w:tcPr>
          <w:p w14:paraId="1A11FFC7"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7 – Services de règlement extrajudiciaire des litiges (63,4%</w:t>
            </w:r>
            <w:r>
              <w:rPr>
                <w:rFonts w:asciiTheme="minorBidi" w:hAnsiTheme="minorBidi"/>
                <w:sz w:val="16"/>
                <w:szCs w:val="16"/>
              </w:rPr>
              <w:t xml:space="preserve"> – </w:t>
            </w:r>
            <w:r w:rsidRPr="001D4B80">
              <w:rPr>
                <w:rFonts w:asciiTheme="minorBidi" w:hAnsiTheme="minorBidi"/>
                <w:sz w:val="16"/>
                <w:szCs w:val="16"/>
              </w:rPr>
              <w:t>estimation du chef de programme)</w:t>
            </w:r>
          </w:p>
          <w:p w14:paraId="3F8E4012" w14:textId="77777777" w:rsidR="00616FD3" w:rsidRPr="00E740B8" w:rsidRDefault="00616FD3" w:rsidP="00616FD3">
            <w:pPr>
              <w:jc w:val="center"/>
              <w:rPr>
                <w:rFonts w:asciiTheme="minorBidi" w:hAnsiTheme="minorBidi"/>
                <w:sz w:val="18"/>
                <w:szCs w:val="18"/>
              </w:rPr>
            </w:pPr>
          </w:p>
        </w:tc>
        <w:tc>
          <w:tcPr>
            <w:tcW w:w="1843" w:type="dxa"/>
            <w:vAlign w:val="center"/>
          </w:tcPr>
          <w:p w14:paraId="4F3CD704"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7 – Services de règlement extrajudiciaire des litiges (30%</w:t>
            </w:r>
            <w:r>
              <w:rPr>
                <w:rFonts w:asciiTheme="minorBidi" w:hAnsiTheme="minorBidi"/>
                <w:sz w:val="16"/>
                <w:szCs w:val="16"/>
              </w:rPr>
              <w:t xml:space="preserve"> – </w:t>
            </w:r>
            <w:r w:rsidRPr="001D4B80">
              <w:rPr>
                <w:rFonts w:asciiTheme="minorBidi" w:hAnsiTheme="minorBidi"/>
                <w:sz w:val="16"/>
                <w:szCs w:val="16"/>
              </w:rPr>
              <w:t>estimation du chef de programme)</w:t>
            </w:r>
          </w:p>
          <w:p w14:paraId="6C11A48B" w14:textId="77777777" w:rsidR="00616FD3" w:rsidRPr="00E740B8" w:rsidRDefault="00616FD3" w:rsidP="00616FD3">
            <w:pPr>
              <w:rPr>
                <w:rFonts w:asciiTheme="minorBidi" w:hAnsiTheme="minorBidi"/>
                <w:sz w:val="18"/>
                <w:szCs w:val="18"/>
              </w:rPr>
            </w:pPr>
          </w:p>
        </w:tc>
        <w:tc>
          <w:tcPr>
            <w:tcW w:w="1843" w:type="dxa"/>
            <w:vAlign w:val="center"/>
          </w:tcPr>
          <w:p w14:paraId="7BE25E81"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7 – Services de règlement extrajudiciaire des litiges (1,2%</w:t>
            </w:r>
            <w:r>
              <w:rPr>
                <w:rFonts w:asciiTheme="minorBidi" w:hAnsiTheme="minorBidi"/>
                <w:sz w:val="16"/>
                <w:szCs w:val="16"/>
              </w:rPr>
              <w:t xml:space="preserve"> – </w:t>
            </w:r>
            <w:r w:rsidRPr="001D4B80">
              <w:rPr>
                <w:rFonts w:asciiTheme="minorBidi" w:hAnsiTheme="minorBidi"/>
                <w:sz w:val="16"/>
                <w:szCs w:val="16"/>
              </w:rPr>
              <w:t>estimation du chef de programme)</w:t>
            </w:r>
          </w:p>
          <w:p w14:paraId="36507E5D" w14:textId="77777777" w:rsidR="00616FD3" w:rsidRPr="00E740B8" w:rsidRDefault="00616FD3" w:rsidP="00616FD3">
            <w:pPr>
              <w:jc w:val="center"/>
              <w:rPr>
                <w:rFonts w:asciiTheme="minorBidi" w:hAnsiTheme="minorBidi"/>
                <w:sz w:val="18"/>
                <w:szCs w:val="18"/>
              </w:rPr>
            </w:pPr>
          </w:p>
        </w:tc>
        <w:tc>
          <w:tcPr>
            <w:tcW w:w="1843" w:type="dxa"/>
            <w:vAlign w:val="center"/>
          </w:tcPr>
          <w:p w14:paraId="490C873B" w14:textId="77777777" w:rsidR="00616FD3" w:rsidRPr="00E740B8" w:rsidRDefault="00616FD3" w:rsidP="00616FD3">
            <w:pPr>
              <w:jc w:val="center"/>
              <w:rPr>
                <w:rFonts w:asciiTheme="minorBidi" w:hAnsiTheme="minorBidi"/>
                <w:sz w:val="8"/>
                <w:szCs w:val="8"/>
              </w:rPr>
            </w:pPr>
          </w:p>
          <w:p w14:paraId="00ACCD49"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7 – Services de règlement extrajudiciaire des litiges (0,2%</w:t>
            </w:r>
            <w:r>
              <w:rPr>
                <w:rFonts w:asciiTheme="minorBidi" w:hAnsiTheme="minorBidi"/>
                <w:sz w:val="16"/>
                <w:szCs w:val="16"/>
              </w:rPr>
              <w:t xml:space="preserve"> – </w:t>
            </w:r>
            <w:r w:rsidRPr="001D4B80">
              <w:rPr>
                <w:rFonts w:asciiTheme="minorBidi" w:hAnsiTheme="minorBidi"/>
                <w:sz w:val="16"/>
                <w:szCs w:val="16"/>
              </w:rPr>
              <w:t>estimation du chef de programme)</w:t>
            </w:r>
          </w:p>
          <w:p w14:paraId="004C1DC0" w14:textId="77777777" w:rsidR="00616FD3" w:rsidRPr="00E740B8" w:rsidRDefault="00616FD3" w:rsidP="00616FD3">
            <w:pPr>
              <w:jc w:val="center"/>
              <w:rPr>
                <w:rFonts w:asciiTheme="minorBidi" w:hAnsiTheme="minorBidi"/>
                <w:sz w:val="18"/>
                <w:szCs w:val="18"/>
              </w:rPr>
            </w:pPr>
          </w:p>
          <w:p w14:paraId="031DF305" w14:textId="77777777" w:rsidR="00616FD3" w:rsidRPr="00E740B8" w:rsidRDefault="00616FD3" w:rsidP="00616FD3">
            <w:pPr>
              <w:jc w:val="center"/>
              <w:rPr>
                <w:rFonts w:asciiTheme="minorBidi" w:hAnsiTheme="minorBidi"/>
                <w:sz w:val="8"/>
                <w:szCs w:val="8"/>
              </w:rPr>
            </w:pPr>
          </w:p>
        </w:tc>
      </w:tr>
      <w:tr w:rsidR="00616FD3" w:rsidRPr="00E740B8" w14:paraId="63FF9782" w14:textId="77777777" w:rsidTr="00616FD3">
        <w:trPr>
          <w:cantSplit/>
        </w:trPr>
        <w:tc>
          <w:tcPr>
            <w:tcW w:w="9214" w:type="dxa"/>
            <w:gridSpan w:val="5"/>
            <w:shd w:val="clear" w:color="auto" w:fill="C6D9F1" w:themeFill="text2" w:themeFillTint="33"/>
            <w:vAlign w:val="center"/>
          </w:tcPr>
          <w:p w14:paraId="4B324EA3" w14:textId="77777777" w:rsidR="00616FD3" w:rsidRPr="00E740B8" w:rsidRDefault="00616FD3" w:rsidP="00616FD3">
            <w:pPr>
              <w:jc w:val="center"/>
              <w:rPr>
                <w:rFonts w:asciiTheme="minorBidi" w:hAnsiTheme="minorBidi"/>
                <w:color w:val="4F81BD" w:themeColor="accent1"/>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et 10 (s</w:t>
            </w:r>
            <w:r>
              <w:rPr>
                <w:rFonts w:asciiTheme="minorBidi" w:hAnsiTheme="minorBidi"/>
                <w:sz w:val="18"/>
                <w:szCs w:val="18"/>
              </w:rPr>
              <w:t>’</w:t>
            </w:r>
            <w:r w:rsidRPr="001D4B80">
              <w:rPr>
                <w:rFonts w:asciiTheme="minorBidi" w:hAnsiTheme="minorBidi"/>
                <w:sz w:val="18"/>
                <w:szCs w:val="18"/>
              </w:rPr>
              <w:t>applique au résultat escompté II.7)</w:t>
            </w:r>
          </w:p>
        </w:tc>
      </w:tr>
    </w:tbl>
    <w:p w14:paraId="5F643D54" w14:textId="77777777" w:rsidR="00616FD3" w:rsidRPr="00E740B8" w:rsidRDefault="00616FD3" w:rsidP="00616FD3">
      <w:pPr>
        <w:rPr>
          <w:rFonts w:asciiTheme="minorBidi" w:hAnsiTheme="minorBidi"/>
        </w:rPr>
      </w:pPr>
    </w:p>
    <w:p w14:paraId="239196F6"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II.9 “</w:t>
      </w:r>
      <w:r w:rsidRPr="001D4B80">
        <w:rPr>
          <w:rFonts w:asciiTheme="minorBidi" w:hAnsiTheme="minorBidi"/>
          <w:lang w:val="fr-CH"/>
        </w:rPr>
        <w:t>Utilisation plus large et plus efficace du système de Lisbonne, notamment par les pays en développement et</w:t>
      </w:r>
      <w:r w:rsidRPr="006926A4">
        <w:rPr>
          <w:rFonts w:asciiTheme="minorBidi" w:hAnsiTheme="minorBidi"/>
          <w:lang w:val="fr-CH"/>
        </w:rPr>
        <w:t xml:space="preserve"> les PMA</w:t>
      </w:r>
      <w:r w:rsidRPr="001D4B80">
        <w:rPr>
          <w:rFonts w:asciiTheme="minorBidi" w:hAnsiTheme="minorBidi"/>
          <w:lang w:val="fr-CH"/>
        </w:rPr>
        <w:t xml:space="preserve">” </w:t>
      </w:r>
      <w:r w:rsidRPr="001D4B80">
        <w:rPr>
          <w:rFonts w:asciiTheme="minorBidi" w:hAnsiTheme="minorBidi"/>
        </w:rPr>
        <w:t>et au résultat escompté II.10 “</w:t>
      </w:r>
      <w:r w:rsidRPr="001D4B80">
        <w:rPr>
          <w:rFonts w:asciiTheme="minorBidi" w:hAnsiTheme="minorBidi"/>
          <w:lang w:val="fr-CH"/>
        </w:rPr>
        <w:t>Amélioration de la productivité et de la qualité de service des opérations du système de Lisbonne”</w:t>
      </w:r>
      <w:r w:rsidRPr="001D4B80">
        <w:rPr>
          <w:rFonts w:asciiTheme="minorBidi" w:hAnsiTheme="minorBidi"/>
        </w:rPr>
        <w:t xml:space="preserve"> mises en œuvre par le programme 32 (Système de Lisbonne) sont attribuées en tant que dépenses “directes de l</w:t>
      </w:r>
      <w:r>
        <w:rPr>
          <w:rFonts w:asciiTheme="minorBidi" w:hAnsiTheme="minorBidi"/>
        </w:rPr>
        <w:t>’</w:t>
      </w:r>
      <w:r w:rsidRPr="001D4B80">
        <w:rPr>
          <w:rFonts w:asciiTheme="minorBidi" w:hAnsiTheme="minorBidi"/>
        </w:rPr>
        <w:t>Union” à l</w:t>
      </w:r>
      <w:r>
        <w:rPr>
          <w:rFonts w:asciiTheme="minorBidi" w:hAnsiTheme="minorBidi"/>
        </w:rPr>
        <w:t>’</w:t>
      </w:r>
      <w:r w:rsidRPr="001D4B80">
        <w:rPr>
          <w:rFonts w:asciiTheme="minorBidi" w:hAnsiTheme="minorBidi"/>
        </w:rPr>
        <w:t>Union de Lisbonne</w:t>
      </w:r>
      <w:r>
        <w:rPr>
          <w:rFonts w:asciiTheme="minorBidi" w:hAnsiTheme="minorBidi"/>
        </w:rPr>
        <w:t> :</w:t>
      </w:r>
    </w:p>
    <w:p w14:paraId="23590DDF"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4BAB332F" w14:textId="77777777" w:rsidTr="00616FD3">
        <w:trPr>
          <w:cantSplit/>
          <w:jc w:val="center"/>
        </w:trPr>
        <w:tc>
          <w:tcPr>
            <w:tcW w:w="7470" w:type="dxa"/>
            <w:shd w:val="clear" w:color="auto" w:fill="C6D9F1" w:themeFill="text2" w:themeFillTint="33"/>
            <w:vAlign w:val="center"/>
          </w:tcPr>
          <w:p w14:paraId="2A75E7D3" w14:textId="77777777" w:rsidR="00616FD3" w:rsidRPr="001D4B80" w:rsidRDefault="00616FD3" w:rsidP="00616FD3">
            <w:pPr>
              <w:jc w:val="center"/>
              <w:rPr>
                <w:rFonts w:asciiTheme="minorBidi" w:hAnsiTheme="minorBidi"/>
                <w:sz w:val="18"/>
                <w:szCs w:val="18"/>
              </w:rPr>
            </w:pPr>
            <w:r w:rsidRPr="001D4B80">
              <w:rPr>
                <w:rFonts w:asciiTheme="minorBidi" w:hAnsiTheme="minorBidi"/>
                <w:sz w:val="18"/>
                <w:szCs w:val="18"/>
              </w:rPr>
              <w:t>Union de Lisbonne</w:t>
            </w:r>
          </w:p>
          <w:p w14:paraId="084B4BE5" w14:textId="77777777" w:rsidR="00616FD3" w:rsidRPr="00033964" w:rsidRDefault="00616FD3" w:rsidP="00616FD3">
            <w:pPr>
              <w:jc w:val="center"/>
              <w:rPr>
                <w:rFonts w:asciiTheme="minorBidi" w:hAnsiTheme="minorBidi"/>
                <w:i/>
                <w:color w:val="4F81BD" w:themeColor="accen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3F53ED31" w14:textId="77777777" w:rsidTr="00616FD3">
        <w:trPr>
          <w:cantSplit/>
          <w:jc w:val="center"/>
        </w:trPr>
        <w:tc>
          <w:tcPr>
            <w:tcW w:w="7470" w:type="dxa"/>
            <w:vAlign w:val="center"/>
          </w:tcPr>
          <w:p w14:paraId="01D76540"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32 – Traitement et développement informatique du système de Lisbonne, Groupe de travail de Lisbonne, promotion</w:t>
            </w:r>
          </w:p>
        </w:tc>
      </w:tr>
      <w:tr w:rsidR="00616FD3" w:rsidRPr="00E740B8" w14:paraId="70075C20" w14:textId="77777777" w:rsidTr="00616FD3">
        <w:trPr>
          <w:cantSplit/>
          <w:jc w:val="center"/>
        </w:trPr>
        <w:tc>
          <w:tcPr>
            <w:tcW w:w="7470" w:type="dxa"/>
            <w:shd w:val="clear" w:color="auto" w:fill="C6D9F1" w:themeFill="text2" w:themeFillTint="33"/>
            <w:vAlign w:val="center"/>
          </w:tcPr>
          <w:p w14:paraId="11BF3956" w14:textId="77777777" w:rsidR="00616FD3" w:rsidRPr="00E740B8" w:rsidRDefault="00616FD3" w:rsidP="00616FD3">
            <w:pPr>
              <w:jc w:val="center"/>
              <w:rPr>
                <w:rFonts w:asciiTheme="minorBidi" w:hAnsiTheme="minorBidi"/>
                <w:color w:val="4F81BD" w:themeColor="accent1"/>
                <w:sz w:val="18"/>
                <w:szCs w:val="18"/>
              </w:rPr>
            </w:pPr>
          </w:p>
        </w:tc>
      </w:tr>
    </w:tbl>
    <w:p w14:paraId="65662731" w14:textId="77777777" w:rsidR="00616FD3" w:rsidRPr="00E740B8" w:rsidRDefault="00616FD3" w:rsidP="00616FD3">
      <w:pPr>
        <w:rPr>
          <w:rFonts w:asciiTheme="minorBidi" w:hAnsiTheme="minorBidi"/>
        </w:rPr>
      </w:pPr>
    </w:p>
    <w:p w14:paraId="1AFA6E7A"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III.2 “</w:t>
      </w:r>
      <w:r w:rsidRPr="001D4B80">
        <w:rPr>
          <w:rFonts w:asciiTheme="minorBidi" w:hAnsiTheme="minorBidi"/>
          <w:lang w:val="fr-CH"/>
        </w:rPr>
        <w:t>Mise en valeur des ressources humaines pour répondre aux besoins variés en matière d</w:t>
      </w:r>
      <w:r>
        <w:rPr>
          <w:rFonts w:asciiTheme="minorBidi" w:hAnsiTheme="minorBidi"/>
          <w:lang w:val="fr-CH"/>
        </w:rPr>
        <w:t>’</w:t>
      </w:r>
      <w:r w:rsidRPr="001D4B80">
        <w:rPr>
          <w:rFonts w:asciiTheme="minorBidi" w:hAnsiTheme="minorBidi"/>
          <w:lang w:val="fr-CH"/>
        </w:rPr>
        <w:t>utilisation efficace de la propriété intellectuelle au service du développement dans les pays en développement,</w:t>
      </w:r>
      <w:r w:rsidRPr="006926A4">
        <w:rPr>
          <w:rFonts w:asciiTheme="minorBidi" w:hAnsiTheme="minorBidi"/>
          <w:lang w:val="fr-CH"/>
        </w:rPr>
        <w:t xml:space="preserve"> les PMA</w:t>
      </w:r>
      <w:r w:rsidRPr="001D4B80">
        <w:rPr>
          <w:rFonts w:asciiTheme="minorBidi" w:hAnsiTheme="minorBidi"/>
          <w:lang w:val="fr-CH"/>
        </w:rPr>
        <w:t xml:space="preserve"> et les économies en transition” </w:t>
      </w:r>
      <w:r w:rsidRPr="001D4B80">
        <w:rPr>
          <w:rFonts w:asciiTheme="minorBidi" w:hAnsiTheme="minorBidi"/>
        </w:rPr>
        <w:t>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146CF279" w14:textId="77777777" w:rsidR="00616FD3" w:rsidRPr="00E740B8" w:rsidRDefault="00616FD3" w:rsidP="00616FD3">
      <w:pPr>
        <w:rPr>
          <w:rFonts w:asciiTheme="minorBidi" w:hAnsiTheme="minorBidi"/>
        </w:rPr>
      </w:pPr>
    </w:p>
    <w:p w14:paraId="329ECF9E" w14:textId="6BDFC5CD" w:rsidR="00616FD3" w:rsidRPr="00616FD3" w:rsidRDefault="00616FD3" w:rsidP="00616FD3">
      <w:pPr>
        <w:ind w:left="1985" w:hanging="1418"/>
        <w:rPr>
          <w:sz w:val="18"/>
        </w:rPr>
      </w:pPr>
      <w:r w:rsidRPr="00616FD3">
        <w:rPr>
          <w:sz w:val="18"/>
        </w:rPr>
        <w:t xml:space="preserve">Programme 2 </w:t>
      </w:r>
      <w:r w:rsidRPr="00616FD3">
        <w:rPr>
          <w:rFonts w:cs="Arial"/>
          <w:sz w:val="18"/>
          <w:szCs w:val="18"/>
          <w:rtl/>
        </w:rPr>
        <w:t>‏</w:t>
      </w:r>
      <w:r>
        <w:rPr>
          <w:sz w:val="18"/>
        </w:rPr>
        <w:tab/>
      </w:r>
      <w:r w:rsidRPr="00616FD3">
        <w:rPr>
          <w:sz w:val="18"/>
        </w:rPr>
        <w:t>(Marques, dessins et modèles industriels et indications géographiques)</w:t>
      </w:r>
    </w:p>
    <w:p w14:paraId="118FBB11" w14:textId="02B42B42" w:rsidR="00616FD3" w:rsidRPr="00616FD3" w:rsidRDefault="00616FD3" w:rsidP="00616FD3">
      <w:pPr>
        <w:ind w:left="1985" w:hanging="1418"/>
        <w:rPr>
          <w:sz w:val="18"/>
        </w:rPr>
      </w:pPr>
      <w:r w:rsidRPr="00616FD3">
        <w:rPr>
          <w:sz w:val="18"/>
        </w:rPr>
        <w:t xml:space="preserve">Programme 3 </w:t>
      </w:r>
      <w:r w:rsidRPr="00616FD3">
        <w:rPr>
          <w:rFonts w:cs="Arial"/>
          <w:sz w:val="18"/>
          <w:szCs w:val="18"/>
          <w:cs/>
        </w:rPr>
        <w:t>‎</w:t>
      </w:r>
      <w:r>
        <w:rPr>
          <w:sz w:val="18"/>
        </w:rPr>
        <w:tab/>
      </w:r>
      <w:r w:rsidRPr="00616FD3">
        <w:rPr>
          <w:sz w:val="18"/>
        </w:rPr>
        <w:t>(Droit d’auteur et droits connexes)</w:t>
      </w:r>
    </w:p>
    <w:p w14:paraId="52082669" w14:textId="54EC381A" w:rsidR="00616FD3" w:rsidRPr="00616FD3" w:rsidRDefault="00616FD3" w:rsidP="00616FD3">
      <w:pPr>
        <w:ind w:left="1985" w:hanging="1418"/>
        <w:rPr>
          <w:sz w:val="18"/>
        </w:rPr>
      </w:pPr>
      <w:r w:rsidRPr="00616FD3">
        <w:rPr>
          <w:sz w:val="18"/>
        </w:rPr>
        <w:t xml:space="preserve">Programme 4 </w:t>
      </w:r>
      <w:r>
        <w:rPr>
          <w:sz w:val="18"/>
        </w:rPr>
        <w:tab/>
      </w:r>
      <w:r w:rsidRPr="00616FD3">
        <w:rPr>
          <w:sz w:val="18"/>
        </w:rPr>
        <w:t>(Savoirs traditionnels)</w:t>
      </w:r>
    </w:p>
    <w:p w14:paraId="1DB65C91" w14:textId="77777777" w:rsidR="00616FD3" w:rsidRPr="00616FD3" w:rsidRDefault="00616FD3" w:rsidP="00616FD3">
      <w:pPr>
        <w:ind w:left="1985" w:hanging="1418"/>
        <w:rPr>
          <w:sz w:val="18"/>
        </w:rPr>
      </w:pPr>
      <w:r w:rsidRPr="00616FD3">
        <w:rPr>
          <w:sz w:val="18"/>
        </w:rPr>
        <w:t>Programme 9</w:t>
      </w:r>
      <w:r w:rsidRPr="00616FD3">
        <w:rPr>
          <w:sz w:val="18"/>
        </w:rPr>
        <w:tab/>
        <w:t>(Bureaux régionaux et PMA)</w:t>
      </w:r>
    </w:p>
    <w:p w14:paraId="7809F905" w14:textId="05310EF9" w:rsidR="00616FD3" w:rsidRPr="00616FD3" w:rsidRDefault="00616FD3" w:rsidP="00616FD3">
      <w:pPr>
        <w:ind w:left="1985" w:hanging="1418"/>
        <w:rPr>
          <w:sz w:val="18"/>
        </w:rPr>
      </w:pPr>
      <w:r w:rsidRPr="00616FD3">
        <w:rPr>
          <w:sz w:val="18"/>
        </w:rPr>
        <w:t xml:space="preserve">Programme 10 </w:t>
      </w:r>
      <w:r>
        <w:rPr>
          <w:sz w:val="18"/>
        </w:rPr>
        <w:tab/>
      </w:r>
      <w:r w:rsidRPr="00616FD3">
        <w:rPr>
          <w:sz w:val="18"/>
        </w:rPr>
        <w:t>(Pays en transition et pays développés)</w:t>
      </w:r>
    </w:p>
    <w:p w14:paraId="31A3268F" w14:textId="4618228D" w:rsidR="00616FD3" w:rsidRPr="00616FD3" w:rsidRDefault="00616FD3" w:rsidP="00616FD3">
      <w:pPr>
        <w:ind w:left="1985" w:hanging="1418"/>
        <w:rPr>
          <w:sz w:val="18"/>
        </w:rPr>
      </w:pPr>
      <w:r w:rsidRPr="00616FD3">
        <w:rPr>
          <w:sz w:val="18"/>
        </w:rPr>
        <w:t xml:space="preserve">Programme 11 </w:t>
      </w:r>
      <w:r>
        <w:rPr>
          <w:sz w:val="18"/>
        </w:rPr>
        <w:tab/>
      </w:r>
      <w:r w:rsidRPr="00616FD3">
        <w:rPr>
          <w:sz w:val="18"/>
        </w:rPr>
        <w:t>(Académie)</w:t>
      </w:r>
    </w:p>
    <w:p w14:paraId="5B0B0B72" w14:textId="26F248A0" w:rsidR="00616FD3" w:rsidRPr="00616FD3" w:rsidRDefault="00616FD3" w:rsidP="00616FD3">
      <w:pPr>
        <w:ind w:left="1985" w:hanging="1418"/>
        <w:rPr>
          <w:sz w:val="18"/>
        </w:rPr>
      </w:pPr>
      <w:r w:rsidRPr="00616FD3">
        <w:rPr>
          <w:sz w:val="18"/>
        </w:rPr>
        <w:t xml:space="preserve">Programme 14 </w:t>
      </w:r>
      <w:r>
        <w:rPr>
          <w:sz w:val="18"/>
        </w:rPr>
        <w:tab/>
      </w:r>
      <w:r w:rsidRPr="00616FD3">
        <w:rPr>
          <w:sz w:val="18"/>
        </w:rPr>
        <w:t>(Information et savoirs)</w:t>
      </w:r>
    </w:p>
    <w:p w14:paraId="51C309E7" w14:textId="37D8EDF4" w:rsidR="00616FD3" w:rsidRPr="00616FD3" w:rsidRDefault="00616FD3" w:rsidP="00616FD3">
      <w:pPr>
        <w:ind w:left="1985" w:hanging="1418"/>
        <w:rPr>
          <w:sz w:val="18"/>
        </w:rPr>
      </w:pPr>
      <w:r w:rsidRPr="00616FD3">
        <w:rPr>
          <w:sz w:val="18"/>
        </w:rPr>
        <w:t xml:space="preserve">Programme 17 </w:t>
      </w:r>
      <w:r w:rsidRPr="00616FD3">
        <w:rPr>
          <w:rFonts w:cs="Arial"/>
          <w:sz w:val="18"/>
          <w:szCs w:val="18"/>
          <w:cs/>
        </w:rPr>
        <w:t>‎</w:t>
      </w:r>
      <w:r>
        <w:rPr>
          <w:sz w:val="18"/>
        </w:rPr>
        <w:tab/>
      </w:r>
      <w:r w:rsidRPr="00616FD3">
        <w:rPr>
          <w:sz w:val="18"/>
        </w:rPr>
        <w:t>(Promotion du respect de la propriété intellectuelle)</w:t>
      </w:r>
    </w:p>
    <w:p w14:paraId="425FB590" w14:textId="182D7C97" w:rsidR="00616FD3" w:rsidRPr="00616FD3" w:rsidRDefault="00616FD3" w:rsidP="00616FD3">
      <w:pPr>
        <w:ind w:left="1985" w:hanging="1418"/>
        <w:rPr>
          <w:sz w:val="18"/>
        </w:rPr>
      </w:pPr>
      <w:r w:rsidRPr="00616FD3">
        <w:rPr>
          <w:sz w:val="18"/>
        </w:rPr>
        <w:t xml:space="preserve">Programme 18 </w:t>
      </w:r>
      <w:r w:rsidRPr="00616FD3">
        <w:rPr>
          <w:rFonts w:cs="Arial"/>
          <w:sz w:val="18"/>
          <w:szCs w:val="18"/>
          <w:rtl/>
        </w:rPr>
        <w:t>‏</w:t>
      </w:r>
      <w:r w:rsidRPr="00616FD3">
        <w:rPr>
          <w:sz w:val="18"/>
          <w:rtl/>
          <w:cs/>
        </w:rPr>
        <w:t>‎</w:t>
      </w:r>
      <w:r>
        <w:rPr>
          <w:sz w:val="18"/>
        </w:rPr>
        <w:tab/>
      </w:r>
      <w:r w:rsidRPr="00616FD3">
        <w:rPr>
          <w:sz w:val="18"/>
        </w:rPr>
        <w:t>(Propriété intellectuelle et défis mondiaux)</w:t>
      </w:r>
    </w:p>
    <w:p w14:paraId="6CC53C90" w14:textId="24116341"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65B145B0" w14:textId="4A198982" w:rsidR="00616FD3" w:rsidRPr="00616FD3" w:rsidRDefault="00616FD3" w:rsidP="00616FD3">
      <w:pPr>
        <w:ind w:left="1985" w:hanging="1418"/>
        <w:rPr>
          <w:sz w:val="18"/>
        </w:rPr>
      </w:pPr>
      <w:r w:rsidRPr="00616FD3">
        <w:rPr>
          <w:sz w:val="18"/>
        </w:rPr>
        <w:t xml:space="preserve">Programme 30 </w:t>
      </w:r>
      <w:r>
        <w:rPr>
          <w:sz w:val="18"/>
        </w:rPr>
        <w:tab/>
      </w:r>
      <w:r w:rsidRPr="00616FD3">
        <w:rPr>
          <w:sz w:val="18"/>
        </w:rPr>
        <w:t>(PME)</w:t>
      </w:r>
    </w:p>
    <w:p w14:paraId="5CCB67FF" w14:textId="77777777" w:rsidR="00616FD3" w:rsidRPr="00E740B8" w:rsidRDefault="00616FD3" w:rsidP="00616FD3">
      <w:pPr>
        <w:rPr>
          <w:rFonts w:asciiTheme="minorBidi" w:hAnsiTheme="minorBidi"/>
        </w:rPr>
      </w:pPr>
    </w:p>
    <w:p w14:paraId="02619388"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74657F7A" w14:textId="77777777" w:rsidR="00616FD3" w:rsidRPr="00E740B8" w:rsidRDefault="00616FD3" w:rsidP="00616FD3">
      <w:pPr>
        <w:rPr>
          <w:rFonts w:asciiTheme="minorBidi" w:hAnsiTheme="minorBidi"/>
        </w:rPr>
      </w:pPr>
    </w:p>
    <w:tbl>
      <w:tblPr>
        <w:tblStyle w:val="TableGrid"/>
        <w:tblW w:w="4961" w:type="pct"/>
        <w:tblCellMar>
          <w:top w:w="57" w:type="dxa"/>
          <w:bottom w:w="57" w:type="dxa"/>
        </w:tblCellMar>
        <w:tblLook w:val="04A0" w:firstRow="1" w:lastRow="0" w:firstColumn="1" w:lastColumn="0" w:noHBand="0" w:noVBand="1"/>
      </w:tblPr>
      <w:tblGrid>
        <w:gridCol w:w="2435"/>
        <w:gridCol w:w="2229"/>
        <w:gridCol w:w="2229"/>
        <w:gridCol w:w="2322"/>
      </w:tblGrid>
      <w:tr w:rsidR="00616FD3" w:rsidRPr="00E740B8" w14:paraId="407AAB6B" w14:textId="77777777" w:rsidTr="00616FD3">
        <w:trPr>
          <w:cantSplit/>
        </w:trPr>
        <w:tc>
          <w:tcPr>
            <w:tcW w:w="2434" w:type="dxa"/>
            <w:tcBorders>
              <w:top w:val="nil"/>
              <w:left w:val="nil"/>
              <w:bottom w:val="nil"/>
              <w:right w:val="nil"/>
            </w:tcBorders>
            <w:shd w:val="clear" w:color="auto" w:fill="C6D9F1" w:themeFill="text2" w:themeFillTint="33"/>
            <w:vAlign w:val="center"/>
          </w:tcPr>
          <w:p w14:paraId="74D85891"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lastRenderedPageBreak/>
              <w:t>Unions financées par des contributions</w:t>
            </w:r>
          </w:p>
          <w:p w14:paraId="2ACA9D00" w14:textId="77777777" w:rsidR="00616FD3" w:rsidRPr="007450E6" w:rsidRDefault="00616FD3" w:rsidP="00616FD3">
            <w:pPr>
              <w:keepNext/>
              <w:jc w:val="center"/>
              <w:rPr>
                <w:rFonts w:asciiTheme="minorBidi" w:hAnsiTheme="minorBidi"/>
                <w:i/>
                <w:color w:val="4F81BD" w:themeColor="accent1"/>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29" w:type="dxa"/>
            <w:tcBorders>
              <w:top w:val="nil"/>
              <w:left w:val="nil"/>
              <w:bottom w:val="nil"/>
              <w:right w:val="nil"/>
            </w:tcBorders>
            <w:shd w:val="clear" w:color="auto" w:fill="C6D9F1" w:themeFill="text2" w:themeFillTint="33"/>
          </w:tcPr>
          <w:p w14:paraId="39F5D940"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279C3455" w14:textId="77777777" w:rsidR="00616FD3" w:rsidRPr="007450E6"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29" w:type="dxa"/>
            <w:tcBorders>
              <w:top w:val="nil"/>
              <w:left w:val="nil"/>
              <w:bottom w:val="nil"/>
              <w:right w:val="nil"/>
            </w:tcBorders>
            <w:shd w:val="clear" w:color="auto" w:fill="C6D9F1" w:themeFill="text2" w:themeFillTint="33"/>
          </w:tcPr>
          <w:p w14:paraId="2E9070AE"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Union de Madrid</w:t>
            </w:r>
          </w:p>
          <w:p w14:paraId="763F87D8" w14:textId="77777777" w:rsidR="00616FD3" w:rsidRPr="007450E6"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322" w:type="dxa"/>
            <w:tcBorders>
              <w:top w:val="nil"/>
              <w:left w:val="nil"/>
              <w:bottom w:val="nil"/>
              <w:right w:val="nil"/>
            </w:tcBorders>
            <w:shd w:val="clear" w:color="auto" w:fill="C6D9F1" w:themeFill="text2" w:themeFillTint="33"/>
          </w:tcPr>
          <w:p w14:paraId="7E4B51FE"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2A95661A" w14:textId="77777777" w:rsidR="00616FD3" w:rsidRPr="007450E6"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1860E3FB" w14:textId="77777777" w:rsidTr="00616FD3">
        <w:trPr>
          <w:cantSplit/>
        </w:trPr>
        <w:tc>
          <w:tcPr>
            <w:tcW w:w="2434" w:type="dxa"/>
            <w:tcBorders>
              <w:top w:val="nil"/>
              <w:left w:val="nil"/>
              <w:bottom w:val="nil"/>
              <w:right w:val="nil"/>
            </w:tcBorders>
            <w:vAlign w:val="center"/>
          </w:tcPr>
          <w:p w14:paraId="3D0EF5A6" w14:textId="77777777" w:rsidR="00616FD3" w:rsidRPr="00D62021"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Programme 2 –</w:t>
            </w:r>
            <w:r>
              <w:rPr>
                <w:rFonts w:asciiTheme="minorBidi" w:hAnsiTheme="minorBidi"/>
                <w:sz w:val="18"/>
                <w:szCs w:val="18"/>
              </w:rPr>
              <w:t xml:space="preserve"> R</w:t>
            </w:r>
            <w:r w:rsidRPr="001D4B80">
              <w:rPr>
                <w:rFonts w:asciiTheme="minorBidi" w:hAnsiTheme="minorBidi"/>
                <w:sz w:val="18"/>
                <w:szCs w:val="18"/>
              </w:rPr>
              <w:t>enforcement des capacités en matière de marques, de dessins et modèles et d</w:t>
            </w:r>
            <w:r>
              <w:rPr>
                <w:rFonts w:asciiTheme="minorBidi" w:hAnsiTheme="minorBidi"/>
                <w:sz w:val="18"/>
                <w:szCs w:val="18"/>
              </w:rPr>
              <w:t>’</w:t>
            </w:r>
            <w:r w:rsidRPr="001D4B80">
              <w:rPr>
                <w:rFonts w:asciiTheme="minorBidi" w:hAnsiTheme="minorBidi"/>
                <w:sz w:val="18"/>
                <w:szCs w:val="18"/>
              </w:rPr>
              <w:t>indications géographiques</w:t>
            </w:r>
          </w:p>
          <w:p w14:paraId="01F2A99D"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(20%</w:t>
            </w:r>
            <w:r>
              <w:rPr>
                <w:rFonts w:asciiTheme="minorBidi" w:hAnsiTheme="minorBidi"/>
                <w:i/>
                <w:sz w:val="16"/>
                <w:szCs w:val="16"/>
              </w:rPr>
              <w:t xml:space="preserve"> – </w:t>
            </w:r>
            <w:r w:rsidRPr="001D4B80">
              <w:rPr>
                <w:rFonts w:asciiTheme="minorBidi" w:hAnsiTheme="minorBidi"/>
                <w:i/>
                <w:sz w:val="16"/>
                <w:szCs w:val="16"/>
              </w:rPr>
              <w:t>estimation du chef de programme)</w:t>
            </w:r>
          </w:p>
          <w:p w14:paraId="5561AA60"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 – ABC</w:t>
            </w:r>
          </w:p>
          <w:p w14:paraId="1ED20384"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Programme 4 – Renforcement des capacités en matière de savoirs traditionnels, d</w:t>
            </w:r>
            <w:r>
              <w:rPr>
                <w:rFonts w:asciiTheme="minorBidi" w:hAnsiTheme="minorBidi"/>
                <w:sz w:val="18"/>
                <w:szCs w:val="18"/>
              </w:rPr>
              <w:t>’</w:t>
            </w:r>
            <w:r w:rsidRPr="001D4B80">
              <w:rPr>
                <w:rFonts w:asciiTheme="minorBidi" w:hAnsiTheme="minorBidi"/>
                <w:sz w:val="18"/>
                <w:szCs w:val="18"/>
              </w:rPr>
              <w:t>expressions culturelles traditionnelles et de ressources génétiques</w:t>
            </w:r>
          </w:p>
          <w:p w14:paraId="79DD92E0" w14:textId="77777777" w:rsidR="00616FD3" w:rsidRPr="00E740B8" w:rsidRDefault="00616FD3" w:rsidP="00616FD3">
            <w:pPr>
              <w:pStyle w:val="ListParagraph"/>
              <w:ind w:left="0"/>
              <w:jc w:val="center"/>
              <w:rPr>
                <w:rFonts w:asciiTheme="minorBidi" w:hAnsiTheme="minorBidi"/>
                <w:sz w:val="8"/>
                <w:szCs w:val="8"/>
              </w:rPr>
            </w:pPr>
          </w:p>
        </w:tc>
        <w:tc>
          <w:tcPr>
            <w:tcW w:w="2229" w:type="dxa"/>
            <w:tcBorders>
              <w:top w:val="nil"/>
              <w:left w:val="nil"/>
              <w:bottom w:val="nil"/>
              <w:right w:val="nil"/>
            </w:tcBorders>
          </w:tcPr>
          <w:p w14:paraId="445896DB"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14 –</w:t>
            </w:r>
            <w:r>
              <w:rPr>
                <w:rFonts w:asciiTheme="minorBidi" w:hAnsiTheme="minorBidi"/>
                <w:sz w:val="18"/>
                <w:szCs w:val="18"/>
              </w:rPr>
              <w:t xml:space="preserve"> T</w:t>
            </w:r>
            <w:r w:rsidRPr="001D4B80">
              <w:rPr>
                <w:rFonts w:asciiTheme="minorBidi" w:hAnsiTheme="minorBidi"/>
                <w:sz w:val="18"/>
                <w:szCs w:val="18"/>
              </w:rPr>
              <w:t>ransfert de technologie</w:t>
            </w:r>
          </w:p>
          <w:p w14:paraId="15A03697"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(80,4%</w:t>
            </w:r>
            <w:r>
              <w:rPr>
                <w:rFonts w:asciiTheme="minorBidi" w:hAnsiTheme="minorBidi"/>
                <w:i/>
                <w:sz w:val="16"/>
                <w:szCs w:val="16"/>
              </w:rPr>
              <w:t xml:space="preserve"> – </w:t>
            </w:r>
            <w:r w:rsidRPr="001D4B80">
              <w:rPr>
                <w:rFonts w:asciiTheme="minorBidi" w:hAnsiTheme="minorBidi"/>
                <w:i/>
                <w:sz w:val="16"/>
                <w:szCs w:val="16"/>
              </w:rPr>
              <w:t>part des recettes)</w:t>
            </w:r>
          </w:p>
          <w:p w14:paraId="3E5AE8F7" w14:textId="77777777" w:rsidR="00616FD3" w:rsidRPr="00E740B8" w:rsidRDefault="00616FD3" w:rsidP="00616FD3">
            <w:pPr>
              <w:jc w:val="center"/>
              <w:rPr>
                <w:rFonts w:asciiTheme="minorBidi" w:hAnsiTheme="minorBidi"/>
                <w:sz w:val="18"/>
                <w:szCs w:val="18"/>
              </w:rPr>
            </w:pPr>
          </w:p>
        </w:tc>
        <w:tc>
          <w:tcPr>
            <w:tcW w:w="2229" w:type="dxa"/>
            <w:tcBorders>
              <w:top w:val="nil"/>
              <w:left w:val="nil"/>
              <w:bottom w:val="nil"/>
              <w:right w:val="nil"/>
            </w:tcBorders>
          </w:tcPr>
          <w:p w14:paraId="40A828B7"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Programme 2</w:t>
            </w:r>
            <w:r>
              <w:rPr>
                <w:rFonts w:asciiTheme="minorBidi" w:hAnsiTheme="minorBidi"/>
                <w:sz w:val="18"/>
                <w:szCs w:val="18"/>
              </w:rPr>
              <w:t xml:space="preserve"> – </w:t>
            </w:r>
            <w:r w:rsidRPr="001D4B80">
              <w:rPr>
                <w:rFonts w:asciiTheme="minorBidi" w:hAnsiTheme="minorBidi"/>
                <w:sz w:val="18"/>
                <w:szCs w:val="18"/>
              </w:rPr>
              <w:t>Renforcement des capacités en matière de marques, de dessins et modèles et d</w:t>
            </w:r>
            <w:r>
              <w:rPr>
                <w:rFonts w:asciiTheme="minorBidi" w:hAnsiTheme="minorBidi"/>
                <w:sz w:val="18"/>
                <w:szCs w:val="18"/>
              </w:rPr>
              <w:t>’</w:t>
            </w:r>
            <w:r w:rsidRPr="001D4B80">
              <w:rPr>
                <w:rFonts w:asciiTheme="minorBidi" w:hAnsiTheme="minorBidi"/>
                <w:sz w:val="18"/>
                <w:szCs w:val="18"/>
              </w:rPr>
              <w:t>indications géographiques</w:t>
            </w:r>
          </w:p>
          <w:p w14:paraId="0E2EDE48"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(65%</w:t>
            </w:r>
            <w:r>
              <w:rPr>
                <w:rFonts w:asciiTheme="minorBidi" w:hAnsiTheme="minorBidi"/>
                <w:i/>
                <w:sz w:val="16"/>
                <w:szCs w:val="16"/>
              </w:rPr>
              <w:t xml:space="preserve"> – </w:t>
            </w:r>
            <w:r w:rsidRPr="001D4B80">
              <w:rPr>
                <w:rFonts w:asciiTheme="minorBidi" w:hAnsiTheme="minorBidi"/>
                <w:i/>
                <w:sz w:val="16"/>
                <w:szCs w:val="16"/>
              </w:rPr>
              <w:t>estimation du chef de programme)</w:t>
            </w:r>
          </w:p>
          <w:p w14:paraId="371235EA"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14 – Transfert de technologie</w:t>
            </w:r>
          </w:p>
          <w:p w14:paraId="50AB2FF8"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(18,1%</w:t>
            </w:r>
            <w:r>
              <w:rPr>
                <w:rFonts w:asciiTheme="minorBidi" w:hAnsiTheme="minorBidi"/>
                <w:i/>
                <w:sz w:val="16"/>
                <w:szCs w:val="16"/>
              </w:rPr>
              <w:t xml:space="preserve"> – </w:t>
            </w:r>
            <w:r w:rsidRPr="001D4B80">
              <w:rPr>
                <w:rFonts w:asciiTheme="minorBidi" w:hAnsiTheme="minorBidi"/>
                <w:i/>
                <w:sz w:val="16"/>
                <w:szCs w:val="16"/>
              </w:rPr>
              <w:t>part des recettes)</w:t>
            </w:r>
          </w:p>
          <w:p w14:paraId="525C0E64" w14:textId="77777777" w:rsidR="00616FD3" w:rsidRPr="00E740B8" w:rsidRDefault="00616FD3" w:rsidP="00616FD3">
            <w:pPr>
              <w:jc w:val="center"/>
              <w:rPr>
                <w:rFonts w:asciiTheme="minorBidi" w:hAnsiTheme="minorBidi"/>
                <w:color w:val="000000" w:themeColor="text1"/>
                <w:sz w:val="18"/>
                <w:szCs w:val="18"/>
              </w:rPr>
            </w:pPr>
          </w:p>
        </w:tc>
        <w:tc>
          <w:tcPr>
            <w:tcW w:w="2322" w:type="dxa"/>
            <w:tcBorders>
              <w:top w:val="nil"/>
              <w:left w:val="nil"/>
              <w:bottom w:val="nil"/>
              <w:right w:val="nil"/>
            </w:tcBorders>
          </w:tcPr>
          <w:p w14:paraId="30A0EF3E"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Programme 2</w:t>
            </w:r>
            <w:r>
              <w:rPr>
                <w:rFonts w:asciiTheme="minorBidi" w:hAnsiTheme="minorBidi"/>
                <w:sz w:val="18"/>
                <w:szCs w:val="18"/>
              </w:rPr>
              <w:t>-</w:t>
            </w:r>
            <w:r w:rsidRPr="001D4B80">
              <w:rPr>
                <w:rFonts w:asciiTheme="minorBidi" w:hAnsiTheme="minorBidi"/>
                <w:sz w:val="18"/>
                <w:szCs w:val="18"/>
              </w:rPr>
              <w:t xml:space="preserve"> Renforcement des capacités en matière de marques, de dessins et modèles et d</w:t>
            </w:r>
            <w:r>
              <w:rPr>
                <w:rFonts w:asciiTheme="minorBidi" w:hAnsiTheme="minorBidi"/>
                <w:sz w:val="18"/>
                <w:szCs w:val="18"/>
              </w:rPr>
              <w:t>’</w:t>
            </w:r>
            <w:r w:rsidRPr="001D4B80">
              <w:rPr>
                <w:rFonts w:asciiTheme="minorBidi" w:hAnsiTheme="minorBidi"/>
                <w:sz w:val="18"/>
                <w:szCs w:val="18"/>
              </w:rPr>
              <w:t>indications géographiques</w:t>
            </w:r>
          </w:p>
          <w:p w14:paraId="2906D9FE"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(15%</w:t>
            </w:r>
            <w:r>
              <w:rPr>
                <w:rFonts w:asciiTheme="minorBidi" w:hAnsiTheme="minorBidi"/>
                <w:i/>
                <w:sz w:val="16"/>
                <w:szCs w:val="16"/>
              </w:rPr>
              <w:t xml:space="preserve"> – </w:t>
            </w:r>
            <w:r w:rsidRPr="001D4B80">
              <w:rPr>
                <w:rFonts w:asciiTheme="minorBidi" w:hAnsiTheme="minorBidi"/>
                <w:i/>
                <w:sz w:val="16"/>
                <w:szCs w:val="16"/>
              </w:rPr>
              <w:t>estimation du chef de programme)</w:t>
            </w:r>
          </w:p>
          <w:p w14:paraId="06E5AF28"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Programme 14 –</w:t>
            </w:r>
            <w:r>
              <w:rPr>
                <w:rFonts w:asciiTheme="minorBidi" w:hAnsiTheme="minorBidi"/>
                <w:sz w:val="18"/>
                <w:szCs w:val="18"/>
              </w:rPr>
              <w:t xml:space="preserve"> T</w:t>
            </w:r>
            <w:r w:rsidRPr="001D4B80">
              <w:rPr>
                <w:rFonts w:asciiTheme="minorBidi" w:hAnsiTheme="minorBidi"/>
                <w:sz w:val="18"/>
                <w:szCs w:val="18"/>
              </w:rPr>
              <w:t>ransfert de technologie</w:t>
            </w:r>
          </w:p>
          <w:p w14:paraId="347D48C1"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i/>
                <w:sz w:val="16"/>
                <w:szCs w:val="16"/>
              </w:rPr>
              <w:t>(1,5%</w:t>
            </w:r>
            <w:r>
              <w:rPr>
                <w:rFonts w:asciiTheme="minorBidi" w:hAnsiTheme="minorBidi"/>
                <w:i/>
                <w:sz w:val="16"/>
                <w:szCs w:val="16"/>
              </w:rPr>
              <w:t xml:space="preserve"> – </w:t>
            </w:r>
            <w:r w:rsidRPr="001D4B80">
              <w:rPr>
                <w:rFonts w:asciiTheme="minorBidi" w:hAnsiTheme="minorBidi"/>
                <w:i/>
                <w:sz w:val="16"/>
                <w:szCs w:val="16"/>
              </w:rPr>
              <w:t>part des recettes)</w:t>
            </w:r>
          </w:p>
          <w:p w14:paraId="455CE8EF" w14:textId="77777777" w:rsidR="00616FD3" w:rsidRPr="00E740B8" w:rsidRDefault="00616FD3" w:rsidP="00616FD3">
            <w:pPr>
              <w:jc w:val="center"/>
              <w:rPr>
                <w:rFonts w:asciiTheme="minorBidi" w:hAnsiTheme="minorBidi"/>
                <w:color w:val="000000" w:themeColor="text1"/>
                <w:sz w:val="18"/>
                <w:szCs w:val="18"/>
              </w:rPr>
            </w:pPr>
          </w:p>
        </w:tc>
      </w:tr>
      <w:tr w:rsidR="00616FD3" w:rsidRPr="00E740B8" w14:paraId="7E0783C7" w14:textId="77777777" w:rsidTr="00616FD3">
        <w:trPr>
          <w:cantSplit/>
        </w:trPr>
        <w:tc>
          <w:tcPr>
            <w:tcW w:w="9214" w:type="dxa"/>
            <w:gridSpan w:val="4"/>
            <w:tcBorders>
              <w:top w:val="nil"/>
              <w:left w:val="nil"/>
              <w:bottom w:val="nil"/>
              <w:right w:val="nil"/>
            </w:tcBorders>
            <w:shd w:val="clear" w:color="auto" w:fill="C6D9F1" w:themeFill="text2" w:themeFillTint="33"/>
            <w:vAlign w:val="center"/>
          </w:tcPr>
          <w:p w14:paraId="5816CEC7" w14:textId="77777777" w:rsidR="00616FD3" w:rsidRPr="00E740B8"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3 (développement du droit d</w:t>
            </w:r>
            <w:r>
              <w:rPr>
                <w:rFonts w:asciiTheme="minorBidi" w:hAnsiTheme="minorBidi"/>
                <w:sz w:val="18"/>
                <w:szCs w:val="18"/>
              </w:rPr>
              <w:t>’</w:t>
            </w:r>
            <w:r w:rsidRPr="001D4B80">
              <w:rPr>
                <w:rFonts w:asciiTheme="minorBidi" w:hAnsiTheme="minorBidi"/>
                <w:sz w:val="18"/>
                <w:szCs w:val="18"/>
              </w:rPr>
              <w:t>auteur, ABC), 9, 10, 11, 17, 18, 20 et 30</w:t>
            </w:r>
          </w:p>
        </w:tc>
      </w:tr>
    </w:tbl>
    <w:p w14:paraId="0157612F" w14:textId="77777777" w:rsidR="00616FD3" w:rsidRPr="00E740B8" w:rsidRDefault="00616FD3" w:rsidP="00616FD3">
      <w:pPr>
        <w:rPr>
          <w:rFonts w:asciiTheme="minorBidi" w:hAnsiTheme="minorBidi"/>
        </w:rPr>
      </w:pPr>
    </w:p>
    <w:p w14:paraId="1037ED2B"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IV.1 “</w:t>
      </w:r>
      <w:r w:rsidRPr="001D4B80">
        <w:rPr>
          <w:rFonts w:asciiTheme="minorBidi" w:hAnsiTheme="minorBidi"/>
          <w:lang w:val="fr-CH"/>
        </w:rPr>
        <w:t xml:space="preserve">Système actualisé et mondialement accepté des classifications internationales et des normes de </w:t>
      </w:r>
      <w:r>
        <w:rPr>
          <w:rFonts w:asciiTheme="minorBidi" w:hAnsiTheme="minorBidi"/>
          <w:lang w:val="fr-CH"/>
        </w:rPr>
        <w:t xml:space="preserve">l’OMPI </w:t>
      </w:r>
      <w:r w:rsidRPr="001D4B80">
        <w:rPr>
          <w:rFonts w:asciiTheme="minorBidi" w:hAnsiTheme="minorBidi"/>
          <w:lang w:val="fr-CH"/>
        </w:rPr>
        <w:t xml:space="preserve">pour faciliter </w:t>
      </w:r>
      <w:r>
        <w:rPr>
          <w:rFonts w:asciiTheme="minorBidi" w:hAnsiTheme="minorBidi"/>
          <w:lang w:val="fr-CH"/>
        </w:rPr>
        <w:t>l’a</w:t>
      </w:r>
      <w:r w:rsidRPr="001D4B80">
        <w:rPr>
          <w:rFonts w:asciiTheme="minorBidi" w:hAnsiTheme="minorBidi"/>
          <w:lang w:val="fr-CH"/>
        </w:rPr>
        <w:t xml:space="preserve">ccès des parties prenantes du monde entier à </w:t>
      </w:r>
      <w:r>
        <w:rPr>
          <w:rFonts w:asciiTheme="minorBidi" w:hAnsiTheme="minorBidi"/>
          <w:lang w:val="fr-CH"/>
        </w:rPr>
        <w:t>l’i</w:t>
      </w:r>
      <w:r w:rsidRPr="001D4B80">
        <w:rPr>
          <w:rFonts w:asciiTheme="minorBidi" w:hAnsiTheme="minorBidi"/>
          <w:lang w:val="fr-CH"/>
        </w:rPr>
        <w:t xml:space="preserve">nformation en matière de propriété intellectuelle, ainsi que son utilisation et sa diffusion” </w:t>
      </w:r>
      <w:r w:rsidRPr="001D4B80">
        <w:rPr>
          <w:rFonts w:asciiTheme="minorBidi" w:hAnsiTheme="minorBidi"/>
        </w:rPr>
        <w:t>mises en œuvre par le programme 12 (Classifications internationales et normes) sont réparties en tant que dépenses “directes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p>
    <w:p w14:paraId="20E3C814" w14:textId="77777777" w:rsidR="00616FD3" w:rsidRPr="00E740B8" w:rsidRDefault="00616FD3" w:rsidP="00616FD3">
      <w:pPr>
        <w:rPr>
          <w:rFonts w:asciiTheme="minorBidi" w:hAnsiTheme="minorBidi"/>
        </w:rPr>
      </w:pP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41"/>
        <w:gridCol w:w="2513"/>
        <w:gridCol w:w="2327"/>
        <w:gridCol w:w="2234"/>
      </w:tblGrid>
      <w:tr w:rsidR="00616FD3" w:rsidRPr="00E740B8" w14:paraId="2A21D095" w14:textId="77777777" w:rsidTr="00616FD3">
        <w:trPr>
          <w:cantSplit/>
        </w:trPr>
        <w:tc>
          <w:tcPr>
            <w:tcW w:w="2140" w:type="dxa"/>
            <w:shd w:val="clear" w:color="auto" w:fill="C6D9F1" w:themeFill="text2" w:themeFillTint="33"/>
            <w:vAlign w:val="center"/>
          </w:tcPr>
          <w:p w14:paraId="5D7F629B"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Unions financées par des contributions</w:t>
            </w:r>
          </w:p>
          <w:p w14:paraId="7AF6CF1D" w14:textId="77777777" w:rsidR="00616FD3" w:rsidRPr="00B53DAD"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513" w:type="dxa"/>
            <w:shd w:val="clear" w:color="auto" w:fill="C6D9F1" w:themeFill="text2" w:themeFillTint="33"/>
            <w:vAlign w:val="center"/>
          </w:tcPr>
          <w:p w14:paraId="69748092" w14:textId="77777777" w:rsidR="00616FD3"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3575569A" w14:textId="77777777" w:rsidR="00616FD3" w:rsidRPr="00B53DAD"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327" w:type="dxa"/>
            <w:shd w:val="clear" w:color="auto" w:fill="C6D9F1" w:themeFill="text2" w:themeFillTint="33"/>
            <w:vAlign w:val="center"/>
          </w:tcPr>
          <w:p w14:paraId="71882B8F" w14:textId="77777777" w:rsidR="00616FD3"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Union de Madrid</w:t>
            </w:r>
          </w:p>
          <w:p w14:paraId="0FFBF015" w14:textId="77777777" w:rsidR="00616FD3" w:rsidRPr="00B53DAD"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2234" w:type="dxa"/>
            <w:shd w:val="clear" w:color="auto" w:fill="C6D9F1" w:themeFill="text2" w:themeFillTint="33"/>
            <w:vAlign w:val="center"/>
          </w:tcPr>
          <w:p w14:paraId="4F361518" w14:textId="77777777" w:rsidR="00616FD3" w:rsidRDefault="00616FD3" w:rsidP="00616FD3">
            <w:pPr>
              <w:jc w:val="center"/>
              <w:rPr>
                <w:rFonts w:asciiTheme="minorBidi" w:hAnsiTheme="minorBidi"/>
                <w:color w:val="000000" w:themeColor="text1"/>
                <w:sz w:val="18"/>
                <w:szCs w:val="18"/>
              </w:rPr>
            </w:pPr>
            <w:r w:rsidRPr="001D4B80">
              <w:rPr>
                <w:rFonts w:asciiTheme="minorBidi" w:hAnsiTheme="minorBidi"/>
                <w:sz w:val="18"/>
                <w:szCs w:val="18"/>
              </w:rPr>
              <w:t xml:space="preserve">Union de </w:t>
            </w:r>
            <w:r>
              <w:rPr>
                <w:rFonts w:asciiTheme="minorBidi" w:hAnsiTheme="minorBidi"/>
                <w:sz w:val="18"/>
                <w:szCs w:val="18"/>
              </w:rPr>
              <w:t>La Haye</w:t>
            </w:r>
          </w:p>
          <w:p w14:paraId="68D40DC9" w14:textId="77777777" w:rsidR="00616FD3" w:rsidRPr="00B53DAD"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216DAAEB" w14:textId="77777777" w:rsidTr="00616FD3">
        <w:trPr>
          <w:cantSplit/>
        </w:trPr>
        <w:tc>
          <w:tcPr>
            <w:tcW w:w="2140" w:type="dxa"/>
            <w:vAlign w:val="center"/>
          </w:tcPr>
          <w:p w14:paraId="6E4BA191" w14:textId="77777777" w:rsidR="00616FD3" w:rsidRPr="00E740B8" w:rsidRDefault="00616FD3" w:rsidP="00616FD3">
            <w:pPr>
              <w:jc w:val="center"/>
              <w:rPr>
                <w:rFonts w:asciiTheme="minorBidi" w:hAnsiTheme="minorBidi"/>
                <w:sz w:val="8"/>
                <w:szCs w:val="8"/>
              </w:rPr>
            </w:pPr>
          </w:p>
          <w:p w14:paraId="668235C7"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12</w:t>
            </w:r>
            <w:r w:rsidRPr="00E740B8">
              <w:rPr>
                <w:rFonts w:asciiTheme="minorBidi" w:hAnsiTheme="minorBidi"/>
                <w:color w:val="000000" w:themeColor="text1"/>
                <w:sz w:val="16"/>
                <w:szCs w:val="16"/>
              </w:rPr>
              <w:t xml:space="preserve"> –</w:t>
            </w:r>
            <w:r>
              <w:rPr>
                <w:rFonts w:asciiTheme="minorBidi" w:hAnsiTheme="minorBidi"/>
                <w:color w:val="000000" w:themeColor="text1"/>
                <w:sz w:val="16"/>
                <w:szCs w:val="16"/>
              </w:rPr>
              <w:t xml:space="preserve"> C</w:t>
            </w:r>
            <w:r w:rsidRPr="00E740B8">
              <w:rPr>
                <w:rFonts w:asciiTheme="minorBidi" w:hAnsiTheme="minorBidi"/>
                <w:color w:val="000000" w:themeColor="text1"/>
                <w:sz w:val="16"/>
                <w:szCs w:val="16"/>
              </w:rPr>
              <w:t xml:space="preserve">lassifications </w:t>
            </w:r>
            <w:r>
              <w:rPr>
                <w:rFonts w:asciiTheme="minorBidi" w:hAnsiTheme="minorBidi"/>
                <w:color w:val="000000" w:themeColor="text1"/>
                <w:sz w:val="16"/>
                <w:szCs w:val="16"/>
              </w:rPr>
              <w:t>internationales et normes de l’</w:t>
            </w:r>
            <w:r w:rsidRPr="001D4B80">
              <w:rPr>
                <w:rFonts w:asciiTheme="minorBidi" w:hAnsiTheme="minorBidi"/>
                <w:sz w:val="16"/>
                <w:szCs w:val="16"/>
              </w:rPr>
              <w:t>OMPI</w:t>
            </w:r>
            <w:r w:rsidRPr="00E740B8">
              <w:rPr>
                <w:rFonts w:asciiTheme="minorBidi" w:hAnsiTheme="minorBidi"/>
                <w:color w:val="000000" w:themeColor="text1"/>
                <w:sz w:val="16"/>
                <w:szCs w:val="16"/>
              </w:rPr>
              <w:t xml:space="preserve"> </w:t>
            </w:r>
            <w:r w:rsidRPr="00E740B8">
              <w:rPr>
                <w:rFonts w:asciiTheme="minorBidi" w:hAnsiTheme="minorBidi"/>
                <w:color w:val="000000" w:themeColor="text1"/>
                <w:sz w:val="16"/>
                <w:szCs w:val="16"/>
              </w:rPr>
              <w:br/>
              <w:t>(7%</w:t>
            </w:r>
            <w:r>
              <w:rPr>
                <w:rFonts w:asciiTheme="minorBidi" w:hAnsiTheme="minorBidi"/>
                <w:color w:val="000000" w:themeColor="text1"/>
                <w:sz w:val="16"/>
                <w:szCs w:val="16"/>
              </w:rPr>
              <w:t xml:space="preserve"> – </w:t>
            </w:r>
            <w:r w:rsidRPr="00322708">
              <w:rPr>
                <w:rFonts w:asciiTheme="minorBidi" w:hAnsiTheme="minorBidi"/>
                <w:i/>
                <w:color w:val="000000" w:themeColor="text1"/>
                <w:sz w:val="16"/>
                <w:szCs w:val="16"/>
              </w:rPr>
              <w:t>estimation du chef de programme</w:t>
            </w:r>
            <w:r w:rsidRPr="00E740B8">
              <w:rPr>
                <w:rFonts w:asciiTheme="minorBidi" w:hAnsiTheme="minorBidi"/>
                <w:color w:val="000000" w:themeColor="text1"/>
                <w:sz w:val="16"/>
                <w:szCs w:val="16"/>
              </w:rPr>
              <w:t>)</w:t>
            </w:r>
          </w:p>
          <w:p w14:paraId="2C56081C" w14:textId="77777777" w:rsidR="00616FD3" w:rsidRPr="00E740B8" w:rsidRDefault="00616FD3" w:rsidP="00616FD3">
            <w:pPr>
              <w:jc w:val="center"/>
              <w:rPr>
                <w:rFonts w:asciiTheme="minorBidi" w:hAnsiTheme="minorBidi"/>
                <w:sz w:val="18"/>
                <w:szCs w:val="18"/>
              </w:rPr>
            </w:pPr>
          </w:p>
        </w:tc>
        <w:tc>
          <w:tcPr>
            <w:tcW w:w="2513" w:type="dxa"/>
            <w:vAlign w:val="center"/>
          </w:tcPr>
          <w:p w14:paraId="7B81D476" w14:textId="77777777" w:rsidR="00616FD3" w:rsidRPr="00E740B8" w:rsidRDefault="00616FD3" w:rsidP="00616FD3">
            <w:pPr>
              <w:jc w:val="center"/>
              <w:rPr>
                <w:rFonts w:asciiTheme="minorBidi" w:hAnsiTheme="minorBidi"/>
                <w:sz w:val="8"/>
                <w:szCs w:val="8"/>
              </w:rPr>
            </w:pPr>
          </w:p>
          <w:p w14:paraId="3EC0BF35"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12 – Classifications internationales et normes de l</w:t>
            </w:r>
            <w:r>
              <w:rPr>
                <w:rFonts w:asciiTheme="minorBidi" w:hAnsiTheme="minorBidi"/>
                <w:sz w:val="16"/>
                <w:szCs w:val="16"/>
              </w:rPr>
              <w:t>’</w:t>
            </w:r>
            <w:r w:rsidRPr="001D4B80">
              <w:rPr>
                <w:rFonts w:asciiTheme="minorBidi" w:hAnsiTheme="minorBidi"/>
                <w:sz w:val="16"/>
                <w:szCs w:val="16"/>
              </w:rPr>
              <w:t>OMPI (88%</w:t>
            </w:r>
            <w:r>
              <w:rPr>
                <w:rFonts w:asciiTheme="minorBidi" w:hAnsiTheme="minorBidi"/>
                <w:sz w:val="16"/>
                <w:szCs w:val="16"/>
              </w:rPr>
              <w:t xml:space="preserve"> – </w:t>
            </w:r>
            <w:r w:rsidRPr="001D4B80">
              <w:rPr>
                <w:rFonts w:asciiTheme="minorBidi" w:hAnsiTheme="minorBidi"/>
                <w:i/>
                <w:sz w:val="16"/>
                <w:szCs w:val="16"/>
              </w:rPr>
              <w:t>estimation du chef de programme)</w:t>
            </w:r>
          </w:p>
          <w:p w14:paraId="03743657" w14:textId="77777777" w:rsidR="00616FD3" w:rsidRPr="00E740B8" w:rsidRDefault="00616FD3" w:rsidP="00616FD3">
            <w:pPr>
              <w:jc w:val="center"/>
              <w:rPr>
                <w:rFonts w:asciiTheme="minorBidi" w:hAnsiTheme="minorBidi"/>
                <w:sz w:val="18"/>
                <w:szCs w:val="18"/>
              </w:rPr>
            </w:pPr>
          </w:p>
        </w:tc>
        <w:tc>
          <w:tcPr>
            <w:tcW w:w="2327" w:type="dxa"/>
            <w:vAlign w:val="center"/>
          </w:tcPr>
          <w:p w14:paraId="1C55522B" w14:textId="77777777" w:rsidR="00616FD3" w:rsidRPr="00E740B8" w:rsidRDefault="00616FD3" w:rsidP="00616FD3">
            <w:pPr>
              <w:jc w:val="center"/>
              <w:rPr>
                <w:rFonts w:asciiTheme="minorBidi" w:hAnsiTheme="minorBidi"/>
                <w:sz w:val="8"/>
                <w:szCs w:val="8"/>
              </w:rPr>
            </w:pPr>
          </w:p>
          <w:p w14:paraId="103DF5B2"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12 – Classifications internationales et normes de l</w:t>
            </w:r>
            <w:r>
              <w:rPr>
                <w:rFonts w:asciiTheme="minorBidi" w:hAnsiTheme="minorBidi"/>
                <w:sz w:val="16"/>
                <w:szCs w:val="16"/>
              </w:rPr>
              <w:t>’</w:t>
            </w:r>
            <w:r w:rsidRPr="001D4B80">
              <w:rPr>
                <w:rFonts w:asciiTheme="minorBidi" w:hAnsiTheme="minorBidi"/>
                <w:sz w:val="16"/>
                <w:szCs w:val="16"/>
              </w:rPr>
              <w:t>OMPI (4%</w:t>
            </w:r>
            <w:r>
              <w:rPr>
                <w:rFonts w:asciiTheme="minorBidi" w:hAnsiTheme="minorBidi"/>
                <w:sz w:val="16"/>
                <w:szCs w:val="16"/>
              </w:rPr>
              <w:t xml:space="preserve"> – </w:t>
            </w:r>
            <w:r w:rsidRPr="001D4B80">
              <w:rPr>
                <w:rFonts w:asciiTheme="minorBidi" w:hAnsiTheme="minorBidi"/>
                <w:i/>
                <w:sz w:val="16"/>
                <w:szCs w:val="16"/>
              </w:rPr>
              <w:t>estimation du chef de programme)</w:t>
            </w:r>
          </w:p>
          <w:p w14:paraId="34075860" w14:textId="77777777" w:rsidR="00616FD3" w:rsidRPr="00E740B8" w:rsidRDefault="00616FD3" w:rsidP="00616FD3">
            <w:pPr>
              <w:jc w:val="center"/>
              <w:rPr>
                <w:rFonts w:asciiTheme="minorBidi" w:hAnsiTheme="minorBidi"/>
                <w:sz w:val="18"/>
                <w:szCs w:val="18"/>
              </w:rPr>
            </w:pPr>
          </w:p>
        </w:tc>
        <w:tc>
          <w:tcPr>
            <w:tcW w:w="2234" w:type="dxa"/>
            <w:vAlign w:val="center"/>
          </w:tcPr>
          <w:p w14:paraId="18D622E2" w14:textId="77777777" w:rsidR="00616FD3" w:rsidRPr="00E740B8" w:rsidRDefault="00616FD3" w:rsidP="00616FD3">
            <w:pPr>
              <w:jc w:val="center"/>
              <w:rPr>
                <w:rFonts w:asciiTheme="minorBidi" w:hAnsiTheme="minorBidi"/>
                <w:sz w:val="8"/>
                <w:szCs w:val="8"/>
              </w:rPr>
            </w:pPr>
          </w:p>
          <w:p w14:paraId="6A0500EE"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12 – Classifications internationales et normes de l</w:t>
            </w:r>
            <w:r>
              <w:rPr>
                <w:rFonts w:asciiTheme="minorBidi" w:hAnsiTheme="minorBidi"/>
                <w:sz w:val="16"/>
                <w:szCs w:val="16"/>
              </w:rPr>
              <w:t>’</w:t>
            </w:r>
            <w:r w:rsidRPr="001D4B80">
              <w:rPr>
                <w:rFonts w:asciiTheme="minorBidi" w:hAnsiTheme="minorBidi"/>
                <w:sz w:val="16"/>
                <w:szCs w:val="16"/>
              </w:rPr>
              <w:t>OMPI (1%</w:t>
            </w:r>
            <w:r>
              <w:rPr>
                <w:rFonts w:asciiTheme="minorBidi" w:hAnsiTheme="minorBidi"/>
                <w:sz w:val="16"/>
                <w:szCs w:val="16"/>
              </w:rPr>
              <w:t xml:space="preserve"> – </w:t>
            </w:r>
            <w:r w:rsidRPr="001D4B80">
              <w:rPr>
                <w:rFonts w:asciiTheme="minorBidi" w:hAnsiTheme="minorBidi"/>
                <w:i/>
                <w:sz w:val="16"/>
                <w:szCs w:val="16"/>
              </w:rPr>
              <w:t>estimation du chef de programme)</w:t>
            </w:r>
          </w:p>
          <w:p w14:paraId="5D019994" w14:textId="77777777" w:rsidR="00616FD3" w:rsidRPr="00E740B8" w:rsidRDefault="00616FD3" w:rsidP="00616FD3">
            <w:pPr>
              <w:jc w:val="center"/>
              <w:rPr>
                <w:rFonts w:asciiTheme="minorBidi" w:hAnsiTheme="minorBidi"/>
                <w:sz w:val="18"/>
                <w:szCs w:val="18"/>
              </w:rPr>
            </w:pPr>
          </w:p>
        </w:tc>
      </w:tr>
      <w:tr w:rsidR="00616FD3" w:rsidRPr="00E740B8" w14:paraId="1F7DAFA2" w14:textId="77777777" w:rsidTr="00616FD3">
        <w:trPr>
          <w:cantSplit/>
        </w:trPr>
        <w:tc>
          <w:tcPr>
            <w:tcW w:w="2140" w:type="dxa"/>
            <w:shd w:val="clear" w:color="auto" w:fill="C6D9F1" w:themeFill="text2" w:themeFillTint="33"/>
            <w:vAlign w:val="center"/>
          </w:tcPr>
          <w:p w14:paraId="0742BF48" w14:textId="77777777" w:rsidR="00616FD3" w:rsidRPr="00E740B8" w:rsidRDefault="00616FD3" w:rsidP="00616FD3">
            <w:pPr>
              <w:jc w:val="center"/>
              <w:rPr>
                <w:rFonts w:asciiTheme="minorBidi" w:hAnsiTheme="minorBidi"/>
                <w:sz w:val="8"/>
                <w:szCs w:val="8"/>
              </w:rPr>
            </w:pPr>
          </w:p>
        </w:tc>
        <w:tc>
          <w:tcPr>
            <w:tcW w:w="2513" w:type="dxa"/>
            <w:shd w:val="clear" w:color="auto" w:fill="C6D9F1" w:themeFill="text2" w:themeFillTint="33"/>
            <w:vAlign w:val="center"/>
          </w:tcPr>
          <w:p w14:paraId="26B0F2B1" w14:textId="77777777" w:rsidR="00616FD3" w:rsidRPr="00E740B8" w:rsidRDefault="00616FD3" w:rsidP="00616FD3">
            <w:pPr>
              <w:jc w:val="center"/>
              <w:rPr>
                <w:rFonts w:asciiTheme="minorBidi" w:hAnsiTheme="minorBidi"/>
                <w:sz w:val="8"/>
                <w:szCs w:val="8"/>
              </w:rPr>
            </w:pPr>
          </w:p>
        </w:tc>
        <w:tc>
          <w:tcPr>
            <w:tcW w:w="2327" w:type="dxa"/>
            <w:shd w:val="clear" w:color="auto" w:fill="C6D9F1" w:themeFill="text2" w:themeFillTint="33"/>
            <w:vAlign w:val="center"/>
          </w:tcPr>
          <w:p w14:paraId="6D5B395A" w14:textId="77777777" w:rsidR="00616FD3" w:rsidRPr="00E740B8" w:rsidRDefault="00616FD3" w:rsidP="00616FD3">
            <w:pPr>
              <w:jc w:val="center"/>
              <w:rPr>
                <w:rFonts w:asciiTheme="minorBidi" w:hAnsiTheme="minorBidi"/>
                <w:sz w:val="8"/>
                <w:szCs w:val="8"/>
              </w:rPr>
            </w:pPr>
          </w:p>
        </w:tc>
        <w:tc>
          <w:tcPr>
            <w:tcW w:w="2234" w:type="dxa"/>
            <w:shd w:val="clear" w:color="auto" w:fill="C6D9F1" w:themeFill="text2" w:themeFillTint="33"/>
            <w:vAlign w:val="center"/>
          </w:tcPr>
          <w:p w14:paraId="5FB435B8" w14:textId="77777777" w:rsidR="00616FD3" w:rsidRPr="00E740B8" w:rsidRDefault="00616FD3" w:rsidP="00616FD3">
            <w:pPr>
              <w:jc w:val="center"/>
              <w:rPr>
                <w:rFonts w:asciiTheme="minorBidi" w:hAnsiTheme="minorBidi"/>
                <w:sz w:val="8"/>
                <w:szCs w:val="8"/>
              </w:rPr>
            </w:pPr>
          </w:p>
        </w:tc>
      </w:tr>
    </w:tbl>
    <w:p w14:paraId="33C7A0E2" w14:textId="77777777" w:rsidR="00616FD3" w:rsidRPr="00E740B8" w:rsidRDefault="00616FD3" w:rsidP="00616FD3">
      <w:pPr>
        <w:rPr>
          <w:rFonts w:asciiTheme="minorBidi" w:hAnsiTheme="minorBidi"/>
        </w:rPr>
      </w:pPr>
    </w:p>
    <w:p w14:paraId="0C73DF70" w14:textId="77777777" w:rsidR="00616FD3" w:rsidRPr="00E740B8" w:rsidRDefault="00616FD3" w:rsidP="00616FD3">
      <w:pPr>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IV.2 “</w:t>
      </w:r>
      <w:r w:rsidRPr="001D4B80">
        <w:rPr>
          <w:rFonts w:asciiTheme="minorBidi" w:hAnsiTheme="minorBidi"/>
          <w:lang w:val="fr-CH"/>
        </w:rPr>
        <w:t>Amélioration de l</w:t>
      </w:r>
      <w:r>
        <w:rPr>
          <w:rFonts w:asciiTheme="minorBidi" w:hAnsiTheme="minorBidi"/>
          <w:lang w:val="fr-CH"/>
        </w:rPr>
        <w:t>’</w:t>
      </w:r>
      <w:r w:rsidRPr="001D4B80">
        <w:rPr>
          <w:rFonts w:asciiTheme="minorBidi" w:hAnsiTheme="minorBidi"/>
          <w:lang w:val="fr-CH"/>
        </w:rPr>
        <w:t>accessibilité et de l</w:t>
      </w:r>
      <w:r>
        <w:rPr>
          <w:rFonts w:asciiTheme="minorBidi" w:hAnsiTheme="minorBidi"/>
          <w:lang w:val="fr-CH"/>
        </w:rPr>
        <w:t>’</w:t>
      </w:r>
      <w:r w:rsidRPr="001D4B80">
        <w:rPr>
          <w:rFonts w:asciiTheme="minorBidi" w:hAnsiTheme="minorBidi"/>
          <w:lang w:val="fr-CH"/>
        </w:rPr>
        <w:t>utilisation de l</w:t>
      </w:r>
      <w:r>
        <w:rPr>
          <w:rFonts w:asciiTheme="minorBidi" w:hAnsiTheme="minorBidi"/>
          <w:lang w:val="fr-CH"/>
        </w:rPr>
        <w:t>’</w:t>
      </w:r>
      <w:r w:rsidRPr="001D4B80">
        <w:rPr>
          <w:rFonts w:asciiTheme="minorBidi" w:hAnsiTheme="minorBidi"/>
          <w:lang w:val="fr-CH"/>
        </w:rPr>
        <w:t>information en matière de propriété intellectuelle par les institutions compétentes et le public afin de promouvoir l</w:t>
      </w:r>
      <w:r>
        <w:rPr>
          <w:rFonts w:asciiTheme="minorBidi" w:hAnsiTheme="minorBidi"/>
          <w:lang w:val="fr-CH"/>
        </w:rPr>
        <w:t>’</w:t>
      </w:r>
      <w:r w:rsidRPr="001D4B80">
        <w:rPr>
          <w:rFonts w:asciiTheme="minorBidi" w:hAnsiTheme="minorBidi"/>
          <w:lang w:val="fr-CH"/>
        </w:rPr>
        <w:t xml:space="preserve">innovation et la créativité” </w:t>
      </w:r>
      <w:r w:rsidRPr="001D4B80">
        <w:rPr>
          <w:rFonts w:asciiTheme="minorBidi" w:hAnsiTheme="minorBidi"/>
        </w:rPr>
        <w:t>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544F7D4A" w14:textId="77777777" w:rsidR="00616FD3" w:rsidRPr="00E740B8" w:rsidRDefault="00616FD3" w:rsidP="00616FD3">
      <w:pPr>
        <w:rPr>
          <w:rFonts w:asciiTheme="minorBidi" w:hAnsiTheme="minorBidi"/>
        </w:rPr>
      </w:pPr>
    </w:p>
    <w:p w14:paraId="0886632B" w14:textId="1A8AC10D" w:rsidR="00616FD3" w:rsidRPr="00616FD3" w:rsidRDefault="00616FD3" w:rsidP="00616FD3">
      <w:pPr>
        <w:ind w:left="1985" w:hanging="1418"/>
        <w:rPr>
          <w:sz w:val="18"/>
        </w:rPr>
      </w:pPr>
      <w:r w:rsidRPr="00616FD3">
        <w:rPr>
          <w:sz w:val="18"/>
        </w:rPr>
        <w:t xml:space="preserve">Programme 3 </w:t>
      </w:r>
      <w:r>
        <w:rPr>
          <w:sz w:val="18"/>
        </w:rPr>
        <w:tab/>
      </w:r>
      <w:r w:rsidRPr="00616FD3">
        <w:rPr>
          <w:rFonts w:cs="Arial"/>
          <w:sz w:val="18"/>
          <w:szCs w:val="18"/>
          <w:cs/>
        </w:rPr>
        <w:t>‎</w:t>
      </w:r>
      <w:r w:rsidRPr="00616FD3">
        <w:rPr>
          <w:sz w:val="18"/>
          <w:rtl/>
          <w:cs/>
        </w:rPr>
        <w:t>(Droit d’a</w:t>
      </w:r>
      <w:r w:rsidRPr="00616FD3">
        <w:rPr>
          <w:sz w:val="18"/>
        </w:rPr>
        <w:t>uteur et droits connexes)</w:t>
      </w:r>
    </w:p>
    <w:p w14:paraId="26970F96" w14:textId="581CD208" w:rsidR="00616FD3" w:rsidRPr="00616FD3" w:rsidRDefault="00616FD3" w:rsidP="00616FD3">
      <w:pPr>
        <w:ind w:left="1985" w:hanging="1418"/>
        <w:rPr>
          <w:sz w:val="18"/>
        </w:rPr>
      </w:pPr>
      <w:r w:rsidRPr="00616FD3">
        <w:rPr>
          <w:sz w:val="18"/>
        </w:rPr>
        <w:t xml:space="preserve">Programme 4 </w:t>
      </w:r>
      <w:r>
        <w:rPr>
          <w:sz w:val="18"/>
        </w:rPr>
        <w:tab/>
      </w:r>
      <w:r w:rsidRPr="00616FD3">
        <w:rPr>
          <w:sz w:val="18"/>
        </w:rPr>
        <w:t>(Savoirs traditionnels)</w:t>
      </w:r>
    </w:p>
    <w:p w14:paraId="0C3DB25B" w14:textId="77777777" w:rsidR="00616FD3" w:rsidRPr="00616FD3" w:rsidRDefault="00616FD3" w:rsidP="00616FD3">
      <w:pPr>
        <w:ind w:left="1985" w:hanging="1418"/>
        <w:rPr>
          <w:sz w:val="18"/>
        </w:rPr>
      </w:pPr>
      <w:r w:rsidRPr="00616FD3">
        <w:rPr>
          <w:sz w:val="18"/>
        </w:rPr>
        <w:t>Programme 9</w:t>
      </w:r>
      <w:r w:rsidRPr="00616FD3">
        <w:rPr>
          <w:sz w:val="18"/>
        </w:rPr>
        <w:tab/>
        <w:t>(Bureaux régionaux et PMA)</w:t>
      </w:r>
    </w:p>
    <w:p w14:paraId="35EFFDC3" w14:textId="64B27397" w:rsidR="00616FD3" w:rsidRPr="00616FD3" w:rsidRDefault="00616FD3" w:rsidP="00616FD3">
      <w:pPr>
        <w:ind w:left="1985" w:hanging="1418"/>
        <w:rPr>
          <w:sz w:val="18"/>
        </w:rPr>
      </w:pPr>
      <w:r w:rsidRPr="00616FD3">
        <w:rPr>
          <w:sz w:val="18"/>
        </w:rPr>
        <w:t xml:space="preserve">Programme 13 </w:t>
      </w:r>
      <w:r>
        <w:rPr>
          <w:sz w:val="18"/>
        </w:rPr>
        <w:tab/>
      </w:r>
      <w:r w:rsidRPr="00616FD3">
        <w:rPr>
          <w:rFonts w:cs="Arial"/>
          <w:sz w:val="18"/>
          <w:szCs w:val="18"/>
          <w:cs/>
        </w:rPr>
        <w:t>‎</w:t>
      </w:r>
      <w:r w:rsidRPr="00616FD3">
        <w:rPr>
          <w:sz w:val="18"/>
          <w:rtl/>
          <w:cs/>
        </w:rPr>
        <w:t>(Bases de données mondiales)</w:t>
      </w:r>
    </w:p>
    <w:p w14:paraId="52E6FE3A" w14:textId="2D095D45" w:rsidR="00616FD3" w:rsidRPr="00616FD3" w:rsidRDefault="00616FD3" w:rsidP="00616FD3">
      <w:pPr>
        <w:ind w:left="1985" w:hanging="1418"/>
        <w:rPr>
          <w:sz w:val="18"/>
        </w:rPr>
      </w:pPr>
      <w:r w:rsidRPr="00616FD3">
        <w:rPr>
          <w:sz w:val="18"/>
        </w:rPr>
        <w:t xml:space="preserve">Programme 14 </w:t>
      </w:r>
      <w:r>
        <w:rPr>
          <w:sz w:val="18"/>
        </w:rPr>
        <w:tab/>
      </w:r>
      <w:r w:rsidRPr="00616FD3">
        <w:rPr>
          <w:sz w:val="18"/>
        </w:rPr>
        <w:t>(Information et savoirs)</w:t>
      </w:r>
    </w:p>
    <w:p w14:paraId="02B3CF7D" w14:textId="5B4BEBBE"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472BAEC6" w14:textId="77777777" w:rsidR="00616FD3" w:rsidRPr="00E740B8" w:rsidRDefault="00616FD3" w:rsidP="00616FD3">
      <w:pPr>
        <w:rPr>
          <w:rFonts w:asciiTheme="minorBidi" w:hAnsiTheme="minorBidi"/>
        </w:rPr>
      </w:pPr>
    </w:p>
    <w:p w14:paraId="71DCBCE4"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3C477B4D" w14:textId="77777777" w:rsidR="00616FD3" w:rsidRPr="00E740B8" w:rsidRDefault="00616FD3" w:rsidP="00616FD3">
      <w:pPr>
        <w:rPr>
          <w:rFonts w:asciiTheme="minorBidi" w:hAnsiTheme="minorBidi"/>
        </w:rPr>
      </w:pPr>
    </w:p>
    <w:tbl>
      <w:tblPr>
        <w:tblStyle w:val="TableGrid"/>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35"/>
        <w:gridCol w:w="1935"/>
        <w:gridCol w:w="1843"/>
        <w:gridCol w:w="1843"/>
        <w:gridCol w:w="1659"/>
      </w:tblGrid>
      <w:tr w:rsidR="00616FD3" w:rsidRPr="00E740B8" w14:paraId="063346A0" w14:textId="77777777" w:rsidTr="00616FD3">
        <w:trPr>
          <w:cantSplit/>
        </w:trPr>
        <w:tc>
          <w:tcPr>
            <w:tcW w:w="1934" w:type="dxa"/>
            <w:shd w:val="clear" w:color="auto" w:fill="C6D9F1" w:themeFill="text2" w:themeFillTint="33"/>
            <w:vAlign w:val="center"/>
          </w:tcPr>
          <w:p w14:paraId="1D521835" w14:textId="77777777" w:rsidR="00616FD3"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lastRenderedPageBreak/>
              <w:t>Unions financées par des contributions</w:t>
            </w:r>
          </w:p>
          <w:p w14:paraId="71777DEC" w14:textId="77777777" w:rsidR="00616FD3" w:rsidRPr="007B1BA2"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935" w:type="dxa"/>
            <w:shd w:val="clear" w:color="auto" w:fill="C6D9F1" w:themeFill="text2" w:themeFillTint="33"/>
            <w:vAlign w:val="center"/>
          </w:tcPr>
          <w:p w14:paraId="1026AA51"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3660A856" w14:textId="77777777" w:rsidR="00616FD3" w:rsidRPr="007B1BA2"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3526CCF3"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Union de Madrid</w:t>
            </w:r>
          </w:p>
          <w:p w14:paraId="2C915AB9" w14:textId="77777777" w:rsidR="00616FD3" w:rsidRPr="007B1BA2"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843" w:type="dxa"/>
            <w:shd w:val="clear" w:color="auto" w:fill="C6D9F1" w:themeFill="text2" w:themeFillTint="33"/>
            <w:vAlign w:val="center"/>
          </w:tcPr>
          <w:p w14:paraId="5F5239E1"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r w:rsidRPr="001D4B80">
              <w:rPr>
                <w:rFonts w:asciiTheme="minorBidi" w:hAnsiTheme="minorBidi"/>
                <w:sz w:val="18"/>
                <w:szCs w:val="18"/>
              </w:rPr>
              <w:t xml:space="preserve"> </w:t>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1659" w:type="dxa"/>
            <w:shd w:val="clear" w:color="auto" w:fill="C6D9F1" w:themeFill="text2" w:themeFillTint="33"/>
            <w:vAlign w:val="center"/>
          </w:tcPr>
          <w:p w14:paraId="7083624C" w14:textId="77777777" w:rsidR="00616FD3" w:rsidRPr="001D4B80" w:rsidRDefault="00616FD3" w:rsidP="00616FD3">
            <w:pPr>
              <w:keepNext/>
              <w:rPr>
                <w:rFonts w:asciiTheme="minorBidi" w:hAnsiTheme="minorBidi"/>
                <w:sz w:val="18"/>
                <w:szCs w:val="18"/>
              </w:rPr>
            </w:pPr>
            <w:r w:rsidRPr="001D4B80">
              <w:rPr>
                <w:rFonts w:asciiTheme="minorBidi" w:hAnsiTheme="minorBidi"/>
                <w:sz w:val="18"/>
                <w:szCs w:val="18"/>
              </w:rPr>
              <w:t>Union de Lisbonne</w:t>
            </w:r>
          </w:p>
          <w:p w14:paraId="7B5EFD95" w14:textId="77777777" w:rsidR="00616FD3" w:rsidRPr="009922B1" w:rsidRDefault="00616FD3" w:rsidP="00616FD3">
            <w:pPr>
              <w:keepNext/>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28E15290" w14:textId="77777777" w:rsidTr="00616FD3">
        <w:trPr>
          <w:cantSplit/>
        </w:trPr>
        <w:tc>
          <w:tcPr>
            <w:tcW w:w="1934" w:type="dxa"/>
          </w:tcPr>
          <w:p w14:paraId="78292796" w14:textId="77777777" w:rsidR="00616FD3" w:rsidRPr="00E740B8" w:rsidRDefault="00616FD3" w:rsidP="00616FD3">
            <w:pPr>
              <w:jc w:val="center"/>
              <w:rPr>
                <w:rFonts w:asciiTheme="minorBidi" w:hAnsiTheme="minorBidi"/>
                <w:sz w:val="8"/>
                <w:szCs w:val="8"/>
              </w:rPr>
            </w:pPr>
          </w:p>
          <w:p w14:paraId="5DE09FEC"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 – Systèmes de gestion des données numériques</w:t>
            </w:r>
          </w:p>
          <w:p w14:paraId="0D64194C"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4 – Bases de données sur les ressources génétiques, les savoirs traditionnels et les expressions culturelles traditionnelles</w:t>
            </w:r>
          </w:p>
          <w:p w14:paraId="542B360D"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14 – CATI, ARDI et ASPI (1,2%</w:t>
            </w:r>
            <w:r>
              <w:rPr>
                <w:rFonts w:asciiTheme="minorBidi" w:hAnsiTheme="minorBidi"/>
                <w:sz w:val="16"/>
                <w:szCs w:val="16"/>
              </w:rPr>
              <w:t xml:space="preserve"> – </w:t>
            </w:r>
            <w:r w:rsidRPr="001D4B80">
              <w:rPr>
                <w:rFonts w:asciiTheme="minorBidi" w:hAnsiTheme="minorBidi"/>
                <w:sz w:val="16"/>
                <w:szCs w:val="16"/>
              </w:rPr>
              <w:t>part des recettes)</w:t>
            </w:r>
          </w:p>
          <w:p w14:paraId="18C56877" w14:textId="77777777" w:rsidR="00616FD3" w:rsidRPr="00E740B8" w:rsidRDefault="00616FD3" w:rsidP="00616FD3">
            <w:pPr>
              <w:pStyle w:val="ListParagraph"/>
              <w:ind w:left="0"/>
              <w:jc w:val="center"/>
              <w:rPr>
                <w:rFonts w:asciiTheme="minorBidi" w:hAnsiTheme="minorBidi"/>
                <w:sz w:val="18"/>
                <w:szCs w:val="18"/>
              </w:rPr>
            </w:pPr>
          </w:p>
        </w:tc>
        <w:tc>
          <w:tcPr>
            <w:tcW w:w="1935" w:type="dxa"/>
          </w:tcPr>
          <w:p w14:paraId="68456B9A" w14:textId="77777777" w:rsidR="00616FD3" w:rsidRPr="00E740B8" w:rsidRDefault="00616FD3" w:rsidP="00616FD3">
            <w:pPr>
              <w:jc w:val="center"/>
              <w:rPr>
                <w:rFonts w:asciiTheme="minorBidi" w:hAnsiTheme="minorBidi"/>
                <w:sz w:val="8"/>
                <w:szCs w:val="8"/>
              </w:rPr>
            </w:pPr>
          </w:p>
          <w:p w14:paraId="4A3DF2FF"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8"/>
                <w:szCs w:val="18"/>
              </w:rPr>
              <w:t>Programme 13 – lnfrastructure des bases de données mondiales, outils de recherche et de traduction automatique, WIPOLex</w:t>
            </w:r>
            <w:r w:rsidRPr="001D4B80">
              <w:rPr>
                <w:rFonts w:asciiTheme="minorBidi" w:hAnsiTheme="minorBidi"/>
                <w:sz w:val="16"/>
                <w:szCs w:val="16"/>
              </w:rPr>
              <w:t xml:space="preserve"> (75,6%</w:t>
            </w:r>
            <w:r>
              <w:rPr>
                <w:rFonts w:asciiTheme="minorBidi" w:hAnsiTheme="minorBidi"/>
                <w:sz w:val="16"/>
                <w:szCs w:val="16"/>
              </w:rPr>
              <w:t xml:space="preserve"> – </w:t>
            </w:r>
            <w:r w:rsidRPr="001D4B80">
              <w:rPr>
                <w:rFonts w:asciiTheme="minorBidi" w:hAnsiTheme="minorBidi"/>
                <w:i/>
                <w:sz w:val="16"/>
                <w:szCs w:val="16"/>
              </w:rPr>
              <w:t>estimation du chef de programme</w:t>
            </w:r>
            <w:r w:rsidRPr="001D4B80">
              <w:rPr>
                <w:rFonts w:asciiTheme="minorBidi" w:hAnsiTheme="minorBidi"/>
                <w:sz w:val="16"/>
                <w:szCs w:val="16"/>
              </w:rPr>
              <w:t>)</w:t>
            </w:r>
          </w:p>
          <w:p w14:paraId="45A00ABC"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14 – CATI, ARDI et ASPI (79,4%</w:t>
            </w:r>
            <w:r>
              <w:rPr>
                <w:rFonts w:asciiTheme="minorBidi" w:hAnsiTheme="minorBidi"/>
                <w:sz w:val="16"/>
                <w:szCs w:val="16"/>
              </w:rPr>
              <w:t xml:space="preserve"> – </w:t>
            </w:r>
            <w:r w:rsidRPr="001D4B80">
              <w:rPr>
                <w:rFonts w:asciiTheme="minorBidi" w:hAnsiTheme="minorBidi"/>
                <w:sz w:val="16"/>
                <w:szCs w:val="16"/>
              </w:rPr>
              <w:t>part des recettes)</w:t>
            </w:r>
          </w:p>
          <w:p w14:paraId="27C8AFEE" w14:textId="77777777" w:rsidR="00616FD3" w:rsidRPr="00E740B8" w:rsidRDefault="00616FD3" w:rsidP="00616FD3">
            <w:pPr>
              <w:pStyle w:val="ListParagraph"/>
              <w:ind w:left="0"/>
              <w:jc w:val="center"/>
              <w:rPr>
                <w:rFonts w:asciiTheme="minorBidi" w:hAnsiTheme="minorBidi"/>
                <w:sz w:val="18"/>
                <w:szCs w:val="18"/>
              </w:rPr>
            </w:pPr>
          </w:p>
        </w:tc>
        <w:tc>
          <w:tcPr>
            <w:tcW w:w="1843" w:type="dxa"/>
            <w:vAlign w:val="center"/>
          </w:tcPr>
          <w:p w14:paraId="59120AF0"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13 – lnfrastructure des bases de données mondiales, outils de recherche et de traduction automatique, WIPOLex</w:t>
            </w:r>
          </w:p>
          <w:p w14:paraId="243A6BFC"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(23,2%</w:t>
            </w:r>
            <w:r>
              <w:rPr>
                <w:rFonts w:asciiTheme="minorBidi" w:hAnsiTheme="minorBidi"/>
                <w:sz w:val="16"/>
                <w:szCs w:val="16"/>
              </w:rPr>
              <w:t xml:space="preserve"> – </w:t>
            </w:r>
            <w:r w:rsidRPr="001D4B80">
              <w:rPr>
                <w:rFonts w:asciiTheme="minorBidi" w:hAnsiTheme="minorBidi"/>
                <w:i/>
                <w:sz w:val="16"/>
                <w:szCs w:val="16"/>
              </w:rPr>
              <w:t>estimation du chef de programme</w:t>
            </w:r>
            <w:r w:rsidRPr="001D4B80">
              <w:rPr>
                <w:rFonts w:asciiTheme="minorBidi" w:hAnsiTheme="minorBidi"/>
                <w:sz w:val="16"/>
                <w:szCs w:val="16"/>
              </w:rPr>
              <w:t>)</w:t>
            </w:r>
          </w:p>
          <w:p w14:paraId="704D715E"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14 – CATI, ARDI et ASPI (17,8%</w:t>
            </w:r>
            <w:r>
              <w:rPr>
                <w:rFonts w:asciiTheme="minorBidi" w:hAnsiTheme="minorBidi"/>
                <w:sz w:val="16"/>
                <w:szCs w:val="16"/>
              </w:rPr>
              <w:t xml:space="preserve"> – </w:t>
            </w:r>
            <w:r w:rsidRPr="001D4B80">
              <w:rPr>
                <w:rFonts w:asciiTheme="minorBidi" w:hAnsiTheme="minorBidi"/>
                <w:sz w:val="16"/>
                <w:szCs w:val="16"/>
              </w:rPr>
              <w:t>part des recettes)</w:t>
            </w:r>
          </w:p>
        </w:tc>
        <w:tc>
          <w:tcPr>
            <w:tcW w:w="1843" w:type="dxa"/>
          </w:tcPr>
          <w:p w14:paraId="660326A5" w14:textId="77777777" w:rsidR="00616FD3" w:rsidRPr="00E740B8" w:rsidRDefault="00616FD3" w:rsidP="00616FD3">
            <w:pPr>
              <w:jc w:val="center"/>
              <w:rPr>
                <w:rFonts w:asciiTheme="minorBidi" w:hAnsiTheme="minorBidi"/>
                <w:sz w:val="8"/>
                <w:szCs w:val="8"/>
              </w:rPr>
            </w:pPr>
          </w:p>
          <w:p w14:paraId="21EE7FC1"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13 – lnfrastructure des bases de données mondiales, outils de recherche et de traduction automatique, WIPOLex</w:t>
            </w:r>
          </w:p>
          <w:p w14:paraId="55A7D399"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(1,2%</w:t>
            </w:r>
            <w:r>
              <w:rPr>
                <w:rFonts w:asciiTheme="minorBidi" w:hAnsiTheme="minorBidi"/>
                <w:sz w:val="16"/>
                <w:szCs w:val="16"/>
              </w:rPr>
              <w:t xml:space="preserve"> – </w:t>
            </w:r>
            <w:r w:rsidRPr="001D4B80">
              <w:rPr>
                <w:rFonts w:asciiTheme="minorBidi" w:hAnsiTheme="minorBidi"/>
                <w:i/>
                <w:sz w:val="16"/>
                <w:szCs w:val="16"/>
              </w:rPr>
              <w:t>estimation du chef de programme</w:t>
            </w:r>
            <w:r w:rsidRPr="001D4B80">
              <w:rPr>
                <w:rFonts w:asciiTheme="minorBidi" w:hAnsiTheme="minorBidi"/>
                <w:sz w:val="16"/>
                <w:szCs w:val="16"/>
              </w:rPr>
              <w:t>)</w:t>
            </w:r>
          </w:p>
          <w:p w14:paraId="226D6F2C"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14 – CATI, ARDI et ASPI (1,5%</w:t>
            </w:r>
            <w:r>
              <w:rPr>
                <w:rFonts w:asciiTheme="minorBidi" w:hAnsiTheme="minorBidi"/>
                <w:sz w:val="16"/>
                <w:szCs w:val="16"/>
              </w:rPr>
              <w:t xml:space="preserve"> – </w:t>
            </w:r>
            <w:r w:rsidRPr="001D4B80">
              <w:rPr>
                <w:rFonts w:asciiTheme="minorBidi" w:hAnsiTheme="minorBidi"/>
                <w:sz w:val="16"/>
                <w:szCs w:val="16"/>
              </w:rPr>
              <w:t>part des recettes)</w:t>
            </w:r>
          </w:p>
        </w:tc>
        <w:tc>
          <w:tcPr>
            <w:tcW w:w="1659" w:type="dxa"/>
          </w:tcPr>
          <w:p w14:paraId="5B4EB59D" w14:textId="77777777" w:rsidR="00616FD3" w:rsidRPr="00E740B8" w:rsidRDefault="00616FD3" w:rsidP="00616FD3">
            <w:pPr>
              <w:jc w:val="center"/>
              <w:rPr>
                <w:rFonts w:asciiTheme="minorBidi" w:hAnsiTheme="minorBidi"/>
                <w:sz w:val="8"/>
                <w:szCs w:val="8"/>
              </w:rPr>
            </w:pPr>
          </w:p>
          <w:p w14:paraId="759A1E93"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6"/>
                <w:szCs w:val="16"/>
              </w:rPr>
              <w:t>Programme 14 – CATI, ARDI et ASPI (0,1%</w:t>
            </w:r>
            <w:r>
              <w:rPr>
                <w:rFonts w:asciiTheme="minorBidi" w:hAnsiTheme="minorBidi"/>
                <w:sz w:val="16"/>
                <w:szCs w:val="16"/>
              </w:rPr>
              <w:t xml:space="preserve"> – </w:t>
            </w:r>
            <w:r w:rsidRPr="001D4B80">
              <w:rPr>
                <w:rFonts w:asciiTheme="minorBidi" w:hAnsiTheme="minorBidi"/>
                <w:i/>
                <w:sz w:val="16"/>
                <w:szCs w:val="16"/>
              </w:rPr>
              <w:t>estimation du chef de programme</w:t>
            </w:r>
            <w:r w:rsidRPr="001D4B80">
              <w:rPr>
                <w:rFonts w:asciiTheme="minorBidi" w:hAnsiTheme="minorBidi"/>
                <w:sz w:val="16"/>
                <w:szCs w:val="16"/>
              </w:rPr>
              <w:t>)</w:t>
            </w:r>
          </w:p>
          <w:p w14:paraId="3493E5BD" w14:textId="77777777" w:rsidR="00616FD3" w:rsidRPr="00E740B8" w:rsidRDefault="00616FD3" w:rsidP="00616FD3">
            <w:pPr>
              <w:pStyle w:val="ListParagraph"/>
              <w:ind w:left="0"/>
              <w:jc w:val="center"/>
              <w:rPr>
                <w:rFonts w:asciiTheme="minorBidi" w:hAnsiTheme="minorBidi"/>
                <w:sz w:val="18"/>
                <w:szCs w:val="18"/>
              </w:rPr>
            </w:pPr>
          </w:p>
        </w:tc>
      </w:tr>
      <w:tr w:rsidR="00616FD3" w:rsidRPr="00E740B8" w14:paraId="2F261257" w14:textId="77777777" w:rsidTr="00616FD3">
        <w:trPr>
          <w:cantSplit/>
        </w:trPr>
        <w:tc>
          <w:tcPr>
            <w:tcW w:w="9214" w:type="dxa"/>
            <w:gridSpan w:val="5"/>
            <w:shd w:val="clear" w:color="auto" w:fill="C6D9F1" w:themeFill="text2" w:themeFillTint="33"/>
            <w:vAlign w:val="center"/>
          </w:tcPr>
          <w:p w14:paraId="67291C0D" w14:textId="77777777" w:rsidR="00616FD3" w:rsidRPr="00E740B8" w:rsidRDefault="00616FD3" w:rsidP="00616FD3">
            <w:pPr>
              <w:jc w:val="center"/>
              <w:rPr>
                <w:rFonts w:asciiTheme="minorBidi" w:hAnsiTheme="minorBidi"/>
                <w:color w:val="4F81BD" w:themeColor="accent1"/>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et 20</w:t>
            </w:r>
          </w:p>
        </w:tc>
      </w:tr>
    </w:tbl>
    <w:p w14:paraId="629A517F" w14:textId="77777777" w:rsidR="00616FD3" w:rsidRPr="00E740B8" w:rsidRDefault="00616FD3" w:rsidP="00616FD3">
      <w:pPr>
        <w:rPr>
          <w:rFonts w:asciiTheme="minorBidi" w:hAnsiTheme="minorBidi"/>
        </w:rPr>
      </w:pPr>
    </w:p>
    <w:p w14:paraId="55355053" w14:textId="77777777" w:rsidR="00616FD3" w:rsidRPr="00E740B8"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IV.3 “</w:t>
      </w:r>
      <w:r w:rsidRPr="001D4B80">
        <w:rPr>
          <w:rFonts w:asciiTheme="minorBidi" w:hAnsiTheme="minorBidi"/>
          <w:lang w:val="fr-CH"/>
        </w:rPr>
        <w:t>Élargissement de la portée géographique du contenu et de l</w:t>
      </w:r>
      <w:r>
        <w:rPr>
          <w:rFonts w:asciiTheme="minorBidi" w:hAnsiTheme="minorBidi"/>
          <w:lang w:val="fr-CH"/>
        </w:rPr>
        <w:t>’</w:t>
      </w:r>
      <w:r w:rsidRPr="001D4B80">
        <w:rPr>
          <w:rFonts w:asciiTheme="minorBidi" w:hAnsiTheme="minorBidi"/>
          <w:lang w:val="fr-CH"/>
        </w:rPr>
        <w:t>utilisation des bases de données mondiales de l</w:t>
      </w:r>
      <w:r>
        <w:rPr>
          <w:rFonts w:asciiTheme="minorBidi" w:hAnsiTheme="minorBidi"/>
          <w:lang w:val="fr-CH"/>
        </w:rPr>
        <w:t>’</w:t>
      </w:r>
      <w:r w:rsidRPr="001D4B80">
        <w:rPr>
          <w:rFonts w:asciiTheme="minorBidi" w:hAnsiTheme="minorBidi"/>
          <w:lang w:val="fr-CH"/>
        </w:rPr>
        <w:t>OMPI en matière de propriété intellectuelle”</w:t>
      </w:r>
      <w:r w:rsidRPr="001D4B80">
        <w:rPr>
          <w:rFonts w:asciiTheme="minorBidi" w:hAnsiTheme="minorBidi"/>
        </w:rPr>
        <w:t xml:space="preserve"> mises en œuvre par le programme 13 (Bases de données mondiales) sont réparties en tant que dépenses “directes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p>
    <w:p w14:paraId="79575C29" w14:textId="77777777" w:rsidR="00616FD3" w:rsidRPr="00E740B8" w:rsidRDefault="00616FD3" w:rsidP="00616FD3">
      <w:pPr>
        <w:keepNext/>
        <w:keepLines/>
        <w:rPr>
          <w:rFonts w:asciiTheme="minorBidi" w:hAnsiTheme="minorBid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27"/>
        <w:gridCol w:w="3032"/>
        <w:gridCol w:w="3128"/>
      </w:tblGrid>
      <w:tr w:rsidR="00616FD3" w:rsidRPr="00E740B8" w14:paraId="1F69CDE7" w14:textId="77777777" w:rsidTr="00616FD3">
        <w:trPr>
          <w:cantSplit/>
        </w:trPr>
        <w:tc>
          <w:tcPr>
            <w:tcW w:w="3127" w:type="dxa"/>
            <w:shd w:val="clear" w:color="auto" w:fill="C6D9F1" w:themeFill="text2" w:themeFillTint="33"/>
            <w:vAlign w:val="center"/>
          </w:tcPr>
          <w:p w14:paraId="27779332"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3156BA35" w14:textId="77777777" w:rsidR="00616FD3" w:rsidRPr="002E080D" w:rsidRDefault="00616FD3" w:rsidP="00616FD3">
            <w:pPr>
              <w:keepNext/>
              <w:keepLines/>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3032" w:type="dxa"/>
            <w:shd w:val="clear" w:color="auto" w:fill="C6D9F1" w:themeFill="text2" w:themeFillTint="33"/>
            <w:vAlign w:val="center"/>
          </w:tcPr>
          <w:p w14:paraId="6732634F"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Union de Madrid</w:t>
            </w:r>
          </w:p>
          <w:p w14:paraId="1318C8A9" w14:textId="77777777" w:rsidR="00616FD3" w:rsidRPr="002E080D" w:rsidRDefault="00616FD3" w:rsidP="00616FD3">
            <w:pPr>
              <w:keepNext/>
              <w:keepLines/>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3128" w:type="dxa"/>
            <w:shd w:val="clear" w:color="auto" w:fill="C6D9F1" w:themeFill="text2" w:themeFillTint="33"/>
            <w:vAlign w:val="center"/>
          </w:tcPr>
          <w:p w14:paraId="38D6B1A5"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r w:rsidRPr="001D4B80">
              <w:rPr>
                <w:rFonts w:asciiTheme="minorBidi" w:hAnsiTheme="minorBidi"/>
                <w:sz w:val="18"/>
                <w:szCs w:val="18"/>
              </w:rPr>
              <w:t xml:space="preserve"> </w:t>
            </w:r>
            <w:r w:rsidRPr="001D4B80">
              <w:rPr>
                <w:rFonts w:asciiTheme="minorBidi" w:hAnsiTheme="minorBidi"/>
                <w:sz w:val="18"/>
                <w:szCs w:val="18"/>
              </w:rPr>
              <w:br/>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70B1E3D3" w14:textId="77777777" w:rsidTr="00616FD3">
        <w:trPr>
          <w:cantSplit/>
        </w:trPr>
        <w:tc>
          <w:tcPr>
            <w:tcW w:w="3127" w:type="dxa"/>
            <w:vAlign w:val="center"/>
          </w:tcPr>
          <w:p w14:paraId="390CCAEB" w14:textId="77777777" w:rsidR="00616FD3" w:rsidRPr="00E740B8" w:rsidRDefault="00616FD3" w:rsidP="00616FD3">
            <w:pPr>
              <w:keepNext/>
              <w:keepLines/>
              <w:jc w:val="center"/>
              <w:rPr>
                <w:rFonts w:asciiTheme="minorBidi" w:hAnsiTheme="minorBidi"/>
                <w:sz w:val="8"/>
                <w:szCs w:val="8"/>
              </w:rPr>
            </w:pPr>
          </w:p>
          <w:p w14:paraId="3AD17575" w14:textId="77777777" w:rsidR="00616FD3" w:rsidRDefault="00616FD3" w:rsidP="00616FD3">
            <w:pPr>
              <w:keepNext/>
              <w:keepLines/>
              <w:jc w:val="center"/>
              <w:rPr>
                <w:rFonts w:asciiTheme="minorBidi" w:hAnsiTheme="minorBidi"/>
                <w:sz w:val="18"/>
                <w:szCs w:val="18"/>
              </w:rPr>
            </w:pPr>
            <w:r w:rsidRPr="001D4B80">
              <w:rPr>
                <w:rFonts w:asciiTheme="minorBidi" w:hAnsiTheme="minorBidi"/>
                <w:sz w:val="18"/>
                <w:szCs w:val="18"/>
              </w:rPr>
              <w:t>Programme 13 – Extension de la couverture des bases de données mondiales</w:t>
            </w:r>
          </w:p>
          <w:p w14:paraId="1093EC6A"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(75,6%</w:t>
            </w:r>
            <w:r>
              <w:rPr>
                <w:rFonts w:asciiTheme="minorBidi" w:hAnsiTheme="minorBidi"/>
                <w:sz w:val="18"/>
                <w:szCs w:val="18"/>
              </w:rPr>
              <w:t xml:space="preserve"> – </w:t>
            </w:r>
            <w:r w:rsidRPr="001D4B80">
              <w:rPr>
                <w:rFonts w:asciiTheme="minorBidi" w:hAnsiTheme="minorBidi"/>
                <w:i/>
                <w:sz w:val="18"/>
                <w:szCs w:val="18"/>
              </w:rPr>
              <w:t>estimation du chef de programme</w:t>
            </w:r>
            <w:r w:rsidRPr="001D4B80">
              <w:rPr>
                <w:rFonts w:asciiTheme="minorBidi" w:hAnsiTheme="minorBidi"/>
                <w:sz w:val="18"/>
                <w:szCs w:val="18"/>
              </w:rPr>
              <w:t>)</w:t>
            </w:r>
          </w:p>
          <w:p w14:paraId="15E148FF" w14:textId="77777777" w:rsidR="00616FD3" w:rsidRPr="00E740B8" w:rsidRDefault="00616FD3" w:rsidP="00616FD3">
            <w:pPr>
              <w:pStyle w:val="ListParagraph"/>
              <w:keepNext/>
              <w:keepLines/>
              <w:ind w:left="0"/>
              <w:jc w:val="center"/>
              <w:rPr>
                <w:rFonts w:asciiTheme="minorBidi" w:hAnsiTheme="minorBidi"/>
                <w:sz w:val="8"/>
                <w:szCs w:val="8"/>
              </w:rPr>
            </w:pPr>
          </w:p>
        </w:tc>
        <w:tc>
          <w:tcPr>
            <w:tcW w:w="3032" w:type="dxa"/>
            <w:vAlign w:val="center"/>
          </w:tcPr>
          <w:p w14:paraId="7EBA11BC" w14:textId="77777777" w:rsidR="00616FD3" w:rsidRPr="00E740B8" w:rsidRDefault="00616FD3" w:rsidP="00616FD3">
            <w:pPr>
              <w:keepNext/>
              <w:keepLines/>
              <w:jc w:val="center"/>
              <w:rPr>
                <w:rFonts w:asciiTheme="minorBidi" w:hAnsiTheme="minorBidi"/>
                <w:sz w:val="8"/>
                <w:szCs w:val="8"/>
              </w:rPr>
            </w:pPr>
          </w:p>
          <w:p w14:paraId="434754DB"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Programme 13</w:t>
            </w:r>
            <w:r>
              <w:rPr>
                <w:rFonts w:asciiTheme="minorBidi" w:hAnsiTheme="minorBidi"/>
                <w:sz w:val="18"/>
                <w:szCs w:val="18"/>
              </w:rPr>
              <w:t xml:space="preserve"> – </w:t>
            </w:r>
            <w:r w:rsidRPr="001D4B80">
              <w:rPr>
                <w:rFonts w:asciiTheme="minorBidi" w:hAnsiTheme="minorBidi"/>
                <w:sz w:val="18"/>
                <w:szCs w:val="18"/>
              </w:rPr>
              <w:t>Extension de la couverture des bases de données mondiales</w:t>
            </w:r>
          </w:p>
          <w:p w14:paraId="228F1D44"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(23,2%</w:t>
            </w:r>
            <w:r>
              <w:rPr>
                <w:rFonts w:asciiTheme="minorBidi" w:hAnsiTheme="minorBidi"/>
                <w:sz w:val="18"/>
                <w:szCs w:val="18"/>
              </w:rPr>
              <w:t xml:space="preserve"> – </w:t>
            </w:r>
            <w:r w:rsidRPr="001D4B80">
              <w:rPr>
                <w:rFonts w:asciiTheme="minorBidi" w:hAnsiTheme="minorBidi"/>
                <w:i/>
                <w:sz w:val="18"/>
                <w:szCs w:val="18"/>
              </w:rPr>
              <w:t>estimation du chef de programme</w:t>
            </w:r>
            <w:r w:rsidRPr="001D4B80">
              <w:rPr>
                <w:rFonts w:asciiTheme="minorBidi" w:hAnsiTheme="minorBidi"/>
                <w:sz w:val="18"/>
                <w:szCs w:val="18"/>
              </w:rPr>
              <w:t>)</w:t>
            </w:r>
          </w:p>
          <w:p w14:paraId="67628D05" w14:textId="77777777" w:rsidR="00616FD3" w:rsidRPr="00E740B8" w:rsidRDefault="00616FD3" w:rsidP="00616FD3">
            <w:pPr>
              <w:keepNext/>
              <w:keepLines/>
              <w:jc w:val="center"/>
              <w:rPr>
                <w:rFonts w:asciiTheme="minorBidi" w:hAnsiTheme="minorBidi"/>
                <w:sz w:val="8"/>
                <w:szCs w:val="8"/>
              </w:rPr>
            </w:pPr>
          </w:p>
        </w:tc>
        <w:tc>
          <w:tcPr>
            <w:tcW w:w="3128" w:type="dxa"/>
            <w:vAlign w:val="center"/>
          </w:tcPr>
          <w:p w14:paraId="4AC8F86B" w14:textId="77777777" w:rsidR="00616FD3" w:rsidRPr="00E740B8" w:rsidRDefault="00616FD3" w:rsidP="00616FD3">
            <w:pPr>
              <w:keepNext/>
              <w:keepLines/>
              <w:jc w:val="center"/>
              <w:rPr>
                <w:rFonts w:asciiTheme="minorBidi" w:hAnsiTheme="minorBidi"/>
                <w:sz w:val="8"/>
                <w:szCs w:val="8"/>
              </w:rPr>
            </w:pPr>
          </w:p>
          <w:p w14:paraId="1AEF0787"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Programme 13</w:t>
            </w:r>
            <w:r>
              <w:rPr>
                <w:rFonts w:asciiTheme="minorBidi" w:hAnsiTheme="minorBidi"/>
                <w:sz w:val="18"/>
                <w:szCs w:val="18"/>
              </w:rPr>
              <w:t xml:space="preserve"> – </w:t>
            </w:r>
            <w:r w:rsidRPr="001D4B80">
              <w:rPr>
                <w:rFonts w:asciiTheme="minorBidi" w:hAnsiTheme="minorBidi"/>
                <w:sz w:val="18"/>
                <w:szCs w:val="18"/>
              </w:rPr>
              <w:t>Extension de la couverture des bases de données mondiales</w:t>
            </w:r>
          </w:p>
          <w:p w14:paraId="5F0073AC"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(1,2%</w:t>
            </w:r>
            <w:r>
              <w:rPr>
                <w:rFonts w:asciiTheme="minorBidi" w:hAnsiTheme="minorBidi"/>
                <w:sz w:val="18"/>
                <w:szCs w:val="18"/>
              </w:rPr>
              <w:t xml:space="preserve"> – </w:t>
            </w:r>
            <w:r w:rsidRPr="001D4B80">
              <w:rPr>
                <w:rFonts w:asciiTheme="minorBidi" w:hAnsiTheme="minorBidi"/>
                <w:i/>
                <w:sz w:val="18"/>
                <w:szCs w:val="18"/>
              </w:rPr>
              <w:t>estimation du chef de programme</w:t>
            </w:r>
            <w:r w:rsidRPr="001D4B80">
              <w:rPr>
                <w:rFonts w:asciiTheme="minorBidi" w:hAnsiTheme="minorBidi"/>
                <w:sz w:val="18"/>
                <w:szCs w:val="18"/>
              </w:rPr>
              <w:t>)</w:t>
            </w:r>
          </w:p>
          <w:p w14:paraId="2F627F14" w14:textId="77777777" w:rsidR="00616FD3" w:rsidRPr="00E740B8" w:rsidRDefault="00616FD3" w:rsidP="00616FD3">
            <w:pPr>
              <w:pStyle w:val="ListParagraph"/>
              <w:keepNext/>
              <w:keepLines/>
              <w:ind w:left="0"/>
              <w:jc w:val="center"/>
              <w:rPr>
                <w:rFonts w:asciiTheme="minorBidi" w:hAnsiTheme="minorBidi"/>
                <w:sz w:val="8"/>
                <w:szCs w:val="8"/>
              </w:rPr>
            </w:pPr>
          </w:p>
        </w:tc>
      </w:tr>
      <w:tr w:rsidR="00616FD3" w:rsidRPr="00E740B8" w14:paraId="73644A0E" w14:textId="77777777" w:rsidTr="00616FD3">
        <w:trPr>
          <w:cantSplit/>
        </w:trPr>
        <w:tc>
          <w:tcPr>
            <w:tcW w:w="3127" w:type="dxa"/>
            <w:shd w:val="clear" w:color="auto" w:fill="C6D9F1" w:themeFill="text2" w:themeFillTint="33"/>
            <w:vAlign w:val="center"/>
          </w:tcPr>
          <w:p w14:paraId="737E1361" w14:textId="77777777" w:rsidR="00616FD3" w:rsidRPr="00E740B8" w:rsidRDefault="00616FD3" w:rsidP="00616FD3">
            <w:pPr>
              <w:keepNext/>
              <w:keepLines/>
              <w:jc w:val="center"/>
              <w:rPr>
                <w:rFonts w:asciiTheme="minorBidi" w:hAnsiTheme="minorBidi"/>
                <w:sz w:val="8"/>
                <w:szCs w:val="8"/>
              </w:rPr>
            </w:pPr>
          </w:p>
        </w:tc>
        <w:tc>
          <w:tcPr>
            <w:tcW w:w="3032" w:type="dxa"/>
            <w:shd w:val="clear" w:color="auto" w:fill="C6D9F1" w:themeFill="text2" w:themeFillTint="33"/>
          </w:tcPr>
          <w:p w14:paraId="46BA6880" w14:textId="77777777" w:rsidR="00616FD3" w:rsidRPr="00E740B8" w:rsidRDefault="00616FD3" w:rsidP="00616FD3">
            <w:pPr>
              <w:keepNext/>
              <w:keepLines/>
              <w:jc w:val="center"/>
              <w:rPr>
                <w:rFonts w:asciiTheme="minorBidi" w:hAnsiTheme="minorBidi"/>
                <w:sz w:val="8"/>
                <w:szCs w:val="8"/>
              </w:rPr>
            </w:pPr>
          </w:p>
        </w:tc>
        <w:tc>
          <w:tcPr>
            <w:tcW w:w="3128" w:type="dxa"/>
            <w:shd w:val="clear" w:color="auto" w:fill="C6D9F1" w:themeFill="text2" w:themeFillTint="33"/>
            <w:vAlign w:val="center"/>
          </w:tcPr>
          <w:p w14:paraId="7847BE81" w14:textId="77777777" w:rsidR="00616FD3" w:rsidRPr="00E740B8" w:rsidRDefault="00616FD3" w:rsidP="00616FD3">
            <w:pPr>
              <w:keepNext/>
              <w:keepLines/>
              <w:jc w:val="center"/>
              <w:rPr>
                <w:rFonts w:asciiTheme="minorBidi" w:hAnsiTheme="minorBidi"/>
                <w:sz w:val="8"/>
                <w:szCs w:val="8"/>
              </w:rPr>
            </w:pPr>
          </w:p>
        </w:tc>
      </w:tr>
    </w:tbl>
    <w:p w14:paraId="6979EA34" w14:textId="77777777" w:rsidR="00616FD3" w:rsidRPr="00E740B8" w:rsidRDefault="00616FD3" w:rsidP="00616FD3">
      <w:pPr>
        <w:rPr>
          <w:rFonts w:asciiTheme="minorBidi" w:hAnsiTheme="minorBidi"/>
        </w:rPr>
      </w:pPr>
    </w:p>
    <w:p w14:paraId="051AB51F" w14:textId="77777777" w:rsidR="00616FD3" w:rsidRPr="00E740B8"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IV.4 “</w:t>
      </w:r>
      <w:r w:rsidRPr="001D4B80">
        <w:rPr>
          <w:rFonts w:asciiTheme="minorBidi" w:hAnsiTheme="minorBidi"/>
          <w:lang w:val="fr-CH"/>
        </w:rPr>
        <w:t>Amélioration de l</w:t>
      </w:r>
      <w:r>
        <w:rPr>
          <w:rFonts w:asciiTheme="minorBidi" w:hAnsiTheme="minorBidi"/>
          <w:lang w:val="fr-CH"/>
        </w:rPr>
        <w:t>’</w:t>
      </w:r>
      <w:r w:rsidRPr="001D4B80">
        <w:rPr>
          <w:rFonts w:asciiTheme="minorBidi" w:hAnsiTheme="minorBidi"/>
          <w:lang w:val="fr-CH"/>
        </w:rPr>
        <w:t>infrastructure technique et du savoir permettant aux offices de propriété intellectuelle et aux autres institutions de propriété intellectuelle de fournir des services améliorés (moins chers, plus rapides, de meilleure qualité) à leurs parties prenantes et d</w:t>
      </w:r>
      <w:r>
        <w:rPr>
          <w:rFonts w:asciiTheme="minorBidi" w:hAnsiTheme="minorBidi"/>
          <w:lang w:val="fr-CH"/>
        </w:rPr>
        <w:t>’</w:t>
      </w:r>
      <w:r w:rsidRPr="001D4B80">
        <w:rPr>
          <w:rFonts w:asciiTheme="minorBidi" w:hAnsiTheme="minorBidi"/>
          <w:lang w:val="fr-CH"/>
        </w:rPr>
        <w:t>obtenir de meilleurs résultat</w:t>
      </w:r>
      <w:r>
        <w:rPr>
          <w:rFonts w:asciiTheme="minorBidi" w:hAnsiTheme="minorBidi"/>
          <w:lang w:val="fr-CH"/>
        </w:rPr>
        <w:t xml:space="preserve">s </w:t>
      </w:r>
      <w:r w:rsidRPr="001D4B80">
        <w:rPr>
          <w:rFonts w:asciiTheme="minorBidi" w:hAnsiTheme="minorBidi"/>
          <w:lang w:val="fr-CH"/>
        </w:rPr>
        <w:t>en matière d</w:t>
      </w:r>
      <w:r>
        <w:rPr>
          <w:rFonts w:asciiTheme="minorBidi" w:hAnsiTheme="minorBidi"/>
          <w:lang w:val="fr-CH"/>
        </w:rPr>
        <w:t>’</w:t>
      </w:r>
      <w:r w:rsidRPr="001D4B80">
        <w:rPr>
          <w:rFonts w:asciiTheme="minorBidi" w:hAnsiTheme="minorBidi"/>
          <w:lang w:val="fr-CH"/>
        </w:rPr>
        <w:t>administration de la propriété intellectuelle”</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6CA30CC6" w14:textId="77777777" w:rsidR="00616FD3" w:rsidRPr="00E740B8" w:rsidRDefault="00616FD3" w:rsidP="00616FD3">
      <w:pPr>
        <w:keepNext/>
        <w:keepLines/>
        <w:rPr>
          <w:rFonts w:asciiTheme="minorBidi" w:hAnsiTheme="minorBidi"/>
        </w:rPr>
      </w:pPr>
    </w:p>
    <w:p w14:paraId="462DEFB5" w14:textId="64C726CE" w:rsidR="00616FD3" w:rsidRPr="00616FD3" w:rsidRDefault="00616FD3" w:rsidP="00616FD3">
      <w:pPr>
        <w:ind w:left="1985" w:hanging="1418"/>
        <w:rPr>
          <w:sz w:val="18"/>
        </w:rPr>
      </w:pPr>
      <w:r w:rsidRPr="00616FD3">
        <w:rPr>
          <w:sz w:val="18"/>
        </w:rPr>
        <w:t xml:space="preserve">Programme 3 </w:t>
      </w:r>
      <w:r w:rsidRPr="00616FD3">
        <w:rPr>
          <w:rFonts w:cs="Arial"/>
          <w:sz w:val="18"/>
          <w:szCs w:val="18"/>
          <w:cs/>
        </w:rPr>
        <w:t>‎</w:t>
      </w:r>
      <w:r>
        <w:rPr>
          <w:sz w:val="18"/>
        </w:rPr>
        <w:tab/>
      </w:r>
      <w:r w:rsidRPr="00616FD3">
        <w:rPr>
          <w:sz w:val="18"/>
        </w:rPr>
        <w:t>(Droit d’auteur et droits connexes)</w:t>
      </w:r>
    </w:p>
    <w:p w14:paraId="6B51BC42" w14:textId="77777777" w:rsidR="00616FD3" w:rsidRPr="00616FD3" w:rsidRDefault="00616FD3" w:rsidP="00616FD3">
      <w:pPr>
        <w:ind w:left="1985" w:hanging="1418"/>
        <w:rPr>
          <w:sz w:val="18"/>
        </w:rPr>
      </w:pPr>
      <w:r w:rsidRPr="00616FD3">
        <w:rPr>
          <w:sz w:val="18"/>
        </w:rPr>
        <w:t>Programme 9</w:t>
      </w:r>
      <w:r w:rsidRPr="00616FD3">
        <w:rPr>
          <w:sz w:val="18"/>
        </w:rPr>
        <w:tab/>
        <w:t>(Bureaux régionaux et PMA)</w:t>
      </w:r>
    </w:p>
    <w:p w14:paraId="39B01116" w14:textId="4728AC5D" w:rsidR="00616FD3" w:rsidRPr="00616FD3" w:rsidRDefault="00616FD3" w:rsidP="00616FD3">
      <w:pPr>
        <w:ind w:left="1985" w:hanging="1418"/>
        <w:rPr>
          <w:sz w:val="18"/>
        </w:rPr>
      </w:pPr>
      <w:r w:rsidRPr="00616FD3">
        <w:rPr>
          <w:sz w:val="18"/>
        </w:rPr>
        <w:t xml:space="preserve">Programme 13 </w:t>
      </w:r>
      <w:r>
        <w:rPr>
          <w:sz w:val="18"/>
        </w:rPr>
        <w:tab/>
      </w:r>
      <w:r w:rsidRPr="00616FD3">
        <w:rPr>
          <w:rFonts w:cs="Arial"/>
          <w:sz w:val="18"/>
          <w:szCs w:val="18"/>
          <w:cs/>
        </w:rPr>
        <w:t>‎</w:t>
      </w:r>
      <w:r w:rsidRPr="00616FD3">
        <w:rPr>
          <w:sz w:val="18"/>
          <w:rtl/>
          <w:cs/>
        </w:rPr>
        <w:t>(Bases de données mondiales)</w:t>
      </w:r>
    </w:p>
    <w:p w14:paraId="328C3C0E" w14:textId="7E694B77" w:rsidR="00616FD3" w:rsidRPr="00616FD3" w:rsidRDefault="00616FD3" w:rsidP="00616FD3">
      <w:pPr>
        <w:ind w:left="1985" w:hanging="1418"/>
        <w:rPr>
          <w:sz w:val="18"/>
        </w:rPr>
      </w:pPr>
      <w:r w:rsidRPr="00616FD3">
        <w:rPr>
          <w:sz w:val="18"/>
        </w:rPr>
        <w:t xml:space="preserve">Programme 15 </w:t>
      </w:r>
      <w:r w:rsidRPr="00616FD3">
        <w:rPr>
          <w:rFonts w:cs="Arial"/>
          <w:sz w:val="18"/>
          <w:szCs w:val="18"/>
          <w:cs/>
        </w:rPr>
        <w:t>‎</w:t>
      </w:r>
      <w:r>
        <w:rPr>
          <w:sz w:val="18"/>
        </w:rPr>
        <w:tab/>
      </w:r>
      <w:r w:rsidRPr="00616FD3">
        <w:rPr>
          <w:sz w:val="18"/>
        </w:rPr>
        <w:t>(Solutions opérationnelles pour les offices de propriété intellectuelle)</w:t>
      </w:r>
    </w:p>
    <w:p w14:paraId="48E8AE5E" w14:textId="288112B6"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2176185A" w14:textId="77777777" w:rsidR="00616FD3" w:rsidRPr="00E740B8" w:rsidRDefault="00616FD3" w:rsidP="00616FD3">
      <w:pPr>
        <w:rPr>
          <w:rFonts w:asciiTheme="minorBidi" w:hAnsiTheme="minorBidi"/>
        </w:rPr>
      </w:pPr>
    </w:p>
    <w:p w14:paraId="4A91041E"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1E6F9CA4" w14:textId="77777777" w:rsidR="00616FD3" w:rsidRPr="00E740B8" w:rsidRDefault="00616FD3" w:rsidP="00616FD3">
      <w:pPr>
        <w:rPr>
          <w:rFonts w:asciiTheme="minorBidi" w:hAnsiTheme="minorBidi"/>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932"/>
        <w:gridCol w:w="3235"/>
        <w:gridCol w:w="3120"/>
      </w:tblGrid>
      <w:tr w:rsidR="00616FD3" w:rsidRPr="00E740B8" w14:paraId="21B8BAB0" w14:textId="77777777" w:rsidTr="00616FD3">
        <w:trPr>
          <w:cantSplit/>
          <w:jc w:val="center"/>
        </w:trPr>
        <w:tc>
          <w:tcPr>
            <w:tcW w:w="2932" w:type="dxa"/>
            <w:shd w:val="clear" w:color="auto" w:fill="C6D9F1" w:themeFill="text2" w:themeFillTint="33"/>
            <w:vAlign w:val="center"/>
          </w:tcPr>
          <w:p w14:paraId="3AD90018" w14:textId="77777777" w:rsidR="00616FD3" w:rsidRDefault="00616FD3" w:rsidP="00616FD3">
            <w:pPr>
              <w:keepNext/>
              <w:jc w:val="center"/>
              <w:rPr>
                <w:rFonts w:asciiTheme="minorBidi" w:hAnsiTheme="minorBidi"/>
                <w:color w:val="000000" w:themeColor="text1"/>
                <w:sz w:val="18"/>
                <w:szCs w:val="18"/>
              </w:rPr>
            </w:pPr>
            <w:r w:rsidRPr="001D4B80">
              <w:rPr>
                <w:rFonts w:asciiTheme="minorBidi" w:hAnsiTheme="minorBidi"/>
                <w:sz w:val="18"/>
                <w:szCs w:val="18"/>
              </w:rPr>
              <w:lastRenderedPageBreak/>
              <w:t>Unions financées par des contributions</w:t>
            </w:r>
          </w:p>
          <w:p w14:paraId="31E55B42" w14:textId="77777777" w:rsidR="00616FD3" w:rsidRPr="0062256A"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3235" w:type="dxa"/>
            <w:shd w:val="clear" w:color="auto" w:fill="C6D9F1" w:themeFill="text2" w:themeFillTint="33"/>
            <w:vAlign w:val="center"/>
          </w:tcPr>
          <w:p w14:paraId="46EAB1D7"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Union</w:t>
            </w:r>
            <w:r w:rsidRPr="006926A4">
              <w:rPr>
                <w:rFonts w:asciiTheme="minorBidi" w:hAnsiTheme="minorBidi"/>
                <w:sz w:val="18"/>
                <w:szCs w:val="18"/>
              </w:rPr>
              <w:t xml:space="preserve"> du PCT</w:t>
            </w:r>
          </w:p>
          <w:p w14:paraId="34B56E28" w14:textId="77777777" w:rsidR="00616FD3" w:rsidRPr="00250D78" w:rsidRDefault="00616FD3" w:rsidP="00616FD3">
            <w:pPr>
              <w:keepNext/>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c>
          <w:tcPr>
            <w:tcW w:w="3120" w:type="dxa"/>
            <w:shd w:val="clear" w:color="auto" w:fill="C6D9F1" w:themeFill="text2" w:themeFillTint="33"/>
            <w:vAlign w:val="center"/>
          </w:tcPr>
          <w:p w14:paraId="2F4FC156" w14:textId="77777777" w:rsidR="00616FD3" w:rsidRPr="00E740B8" w:rsidRDefault="00616FD3" w:rsidP="00616FD3">
            <w:pPr>
              <w:keepNext/>
              <w:jc w:val="center"/>
              <w:rPr>
                <w:rFonts w:asciiTheme="minorBidi" w:hAnsiTheme="minorBidi"/>
                <w:sz w:val="18"/>
                <w:szCs w:val="18"/>
              </w:rPr>
            </w:pPr>
            <w:r w:rsidRPr="001D4B80">
              <w:rPr>
                <w:rFonts w:asciiTheme="minorBidi" w:hAnsiTheme="minorBidi"/>
                <w:sz w:val="18"/>
                <w:szCs w:val="18"/>
              </w:rPr>
              <w:t xml:space="preserve">Union de </w:t>
            </w:r>
            <w:r>
              <w:rPr>
                <w:rFonts w:asciiTheme="minorBidi" w:hAnsiTheme="minorBidi"/>
                <w:sz w:val="18"/>
                <w:szCs w:val="18"/>
              </w:rPr>
              <w:t>La Haye</w:t>
            </w:r>
            <w:r w:rsidRPr="001D4B80">
              <w:rPr>
                <w:rFonts w:asciiTheme="minorBidi" w:hAnsiTheme="minorBidi"/>
                <w:sz w:val="18"/>
                <w:szCs w:val="18"/>
              </w:rPr>
              <w:t xml:space="preserve"> </w:t>
            </w:r>
            <w:r w:rsidRPr="001D4B80">
              <w:rPr>
                <w:rFonts w:asciiTheme="minorBidi" w:hAnsiTheme="minorBidi"/>
                <w:sz w:val="18"/>
                <w:szCs w:val="18"/>
              </w:rPr>
              <w:br/>
            </w: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5193443C" w14:textId="77777777" w:rsidTr="00616FD3">
        <w:trPr>
          <w:cantSplit/>
          <w:jc w:val="center"/>
        </w:trPr>
        <w:tc>
          <w:tcPr>
            <w:tcW w:w="2932" w:type="dxa"/>
          </w:tcPr>
          <w:p w14:paraId="46DEBF7D" w14:textId="77777777" w:rsidR="00616FD3" w:rsidRPr="00E740B8" w:rsidRDefault="00616FD3" w:rsidP="00616FD3">
            <w:pPr>
              <w:jc w:val="center"/>
              <w:rPr>
                <w:rFonts w:asciiTheme="minorBidi" w:hAnsiTheme="minorBidi"/>
                <w:sz w:val="8"/>
                <w:szCs w:val="8"/>
              </w:rPr>
            </w:pPr>
          </w:p>
          <w:p w14:paraId="6A64F82C"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 – Systèmes de gestion des données numériques</w:t>
            </w:r>
          </w:p>
          <w:p w14:paraId="3E91A10D"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13 – Systèmes de ROC</w:t>
            </w:r>
          </w:p>
          <w:p w14:paraId="658BC4A5" w14:textId="52C77B8F" w:rsidR="00616FD3" w:rsidRPr="00E740B8" w:rsidRDefault="00616FD3" w:rsidP="00AC3B37">
            <w:pPr>
              <w:jc w:val="center"/>
              <w:rPr>
                <w:rFonts w:asciiTheme="minorBidi" w:hAnsiTheme="minorBidi"/>
                <w:sz w:val="18"/>
                <w:szCs w:val="18"/>
              </w:rPr>
            </w:pPr>
            <w:r w:rsidRPr="001D4B80">
              <w:rPr>
                <w:rFonts w:asciiTheme="minorBidi" w:hAnsiTheme="minorBidi"/>
                <w:sz w:val="18"/>
                <w:szCs w:val="18"/>
              </w:rPr>
              <w:t>(75,6%</w:t>
            </w:r>
            <w:r>
              <w:rPr>
                <w:rFonts w:asciiTheme="minorBidi" w:hAnsiTheme="minorBidi"/>
                <w:sz w:val="18"/>
                <w:szCs w:val="18"/>
              </w:rPr>
              <w:t xml:space="preserve"> – </w:t>
            </w:r>
            <w:r w:rsidRPr="001D4B80">
              <w:rPr>
                <w:rFonts w:asciiTheme="minorBidi" w:hAnsiTheme="minorBidi"/>
                <w:i/>
                <w:sz w:val="18"/>
                <w:szCs w:val="18"/>
              </w:rPr>
              <w:t>estimation du chef de programme</w:t>
            </w:r>
            <w:r w:rsidRPr="001D4B80">
              <w:rPr>
                <w:rFonts w:asciiTheme="minorBidi" w:hAnsiTheme="minorBidi"/>
                <w:sz w:val="18"/>
                <w:szCs w:val="18"/>
              </w:rPr>
              <w:t>)</w:t>
            </w:r>
          </w:p>
        </w:tc>
        <w:tc>
          <w:tcPr>
            <w:tcW w:w="3235" w:type="dxa"/>
          </w:tcPr>
          <w:p w14:paraId="3E03E3A7" w14:textId="77777777" w:rsidR="00616FD3" w:rsidRPr="00E740B8" w:rsidRDefault="00616FD3" w:rsidP="00616FD3">
            <w:pPr>
              <w:jc w:val="center"/>
              <w:rPr>
                <w:rFonts w:asciiTheme="minorBidi" w:hAnsiTheme="minorBidi"/>
                <w:sz w:val="8"/>
                <w:szCs w:val="8"/>
              </w:rPr>
            </w:pPr>
          </w:p>
          <w:p w14:paraId="36416538" w14:textId="77777777" w:rsidR="00616FD3" w:rsidRPr="00E740B8" w:rsidRDefault="00616FD3" w:rsidP="00616FD3">
            <w:pPr>
              <w:jc w:val="center"/>
              <w:rPr>
                <w:rFonts w:asciiTheme="minorBidi" w:hAnsiTheme="minorBidi"/>
                <w:i/>
                <w:color w:val="000000" w:themeColor="text1"/>
                <w:sz w:val="16"/>
                <w:szCs w:val="16"/>
              </w:rPr>
            </w:pPr>
            <w:r w:rsidRPr="001D4B80">
              <w:rPr>
                <w:rFonts w:asciiTheme="minorBidi" w:hAnsiTheme="minorBidi"/>
                <w:sz w:val="18"/>
                <w:szCs w:val="18"/>
              </w:rPr>
              <w:t>Programme 13 – Systèmes de ROC</w:t>
            </w:r>
            <w:r w:rsidRPr="001D4B80">
              <w:rPr>
                <w:rFonts w:asciiTheme="minorBidi" w:hAnsiTheme="minorBidi"/>
                <w:sz w:val="16"/>
                <w:szCs w:val="16"/>
              </w:rPr>
              <w:t xml:space="preserve"> (75,6%</w:t>
            </w:r>
            <w:r>
              <w:rPr>
                <w:rFonts w:asciiTheme="minorBidi" w:hAnsiTheme="minorBidi"/>
                <w:sz w:val="16"/>
                <w:szCs w:val="16"/>
              </w:rPr>
              <w:t xml:space="preserve"> – </w:t>
            </w:r>
            <w:r w:rsidRPr="001D4B80">
              <w:rPr>
                <w:rFonts w:asciiTheme="minorBidi" w:hAnsiTheme="minorBidi"/>
                <w:i/>
                <w:sz w:val="16"/>
                <w:szCs w:val="16"/>
              </w:rPr>
              <w:t>estimation du chef de programme</w:t>
            </w:r>
            <w:r w:rsidRPr="001D4B80">
              <w:rPr>
                <w:rFonts w:asciiTheme="minorBidi" w:hAnsiTheme="minorBidi"/>
                <w:sz w:val="16"/>
                <w:szCs w:val="16"/>
              </w:rPr>
              <w:t>)</w:t>
            </w:r>
          </w:p>
          <w:p w14:paraId="05D4F03C" w14:textId="77777777" w:rsidR="00616FD3" w:rsidRPr="00E740B8" w:rsidRDefault="00616FD3" w:rsidP="00616FD3">
            <w:pPr>
              <w:jc w:val="center"/>
              <w:rPr>
                <w:rFonts w:asciiTheme="minorBidi" w:hAnsiTheme="minorBidi"/>
                <w:sz w:val="18"/>
                <w:szCs w:val="18"/>
              </w:rPr>
            </w:pPr>
          </w:p>
        </w:tc>
        <w:tc>
          <w:tcPr>
            <w:tcW w:w="3120" w:type="dxa"/>
          </w:tcPr>
          <w:p w14:paraId="5510EDEF" w14:textId="77777777" w:rsidR="00616FD3" w:rsidRPr="00E740B8" w:rsidRDefault="00616FD3" w:rsidP="00616FD3">
            <w:pPr>
              <w:jc w:val="center"/>
              <w:rPr>
                <w:rFonts w:asciiTheme="minorBidi" w:hAnsiTheme="minorBidi"/>
                <w:sz w:val="8"/>
                <w:szCs w:val="8"/>
              </w:rPr>
            </w:pPr>
          </w:p>
          <w:p w14:paraId="0584D640"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13 – Systèmes de ROC</w:t>
            </w:r>
          </w:p>
          <w:p w14:paraId="541C025B"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(1,2%</w:t>
            </w:r>
            <w:r>
              <w:rPr>
                <w:rFonts w:asciiTheme="minorBidi" w:hAnsiTheme="minorBidi"/>
                <w:sz w:val="18"/>
                <w:szCs w:val="18"/>
              </w:rPr>
              <w:t xml:space="preserve"> – </w:t>
            </w:r>
            <w:r w:rsidRPr="001D4B80">
              <w:rPr>
                <w:rFonts w:asciiTheme="minorBidi" w:hAnsiTheme="minorBidi"/>
                <w:i/>
                <w:sz w:val="18"/>
                <w:szCs w:val="18"/>
              </w:rPr>
              <w:t>estimation du chef de programme</w:t>
            </w:r>
            <w:r w:rsidRPr="001D4B80">
              <w:rPr>
                <w:rFonts w:asciiTheme="minorBidi" w:hAnsiTheme="minorBidi"/>
                <w:sz w:val="18"/>
                <w:szCs w:val="18"/>
              </w:rPr>
              <w:t>)</w:t>
            </w:r>
          </w:p>
        </w:tc>
      </w:tr>
      <w:tr w:rsidR="00616FD3" w:rsidRPr="00E740B8" w14:paraId="32821600" w14:textId="77777777" w:rsidTr="00616FD3">
        <w:trPr>
          <w:cantSplit/>
          <w:jc w:val="center"/>
        </w:trPr>
        <w:tc>
          <w:tcPr>
            <w:tcW w:w="9287" w:type="dxa"/>
            <w:gridSpan w:val="3"/>
            <w:shd w:val="clear" w:color="auto" w:fill="C6D9F1" w:themeFill="text2" w:themeFillTint="33"/>
          </w:tcPr>
          <w:p w14:paraId="19AD9036"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9, 15 et 20</w:t>
            </w:r>
          </w:p>
        </w:tc>
      </w:tr>
    </w:tbl>
    <w:p w14:paraId="4392C22F" w14:textId="77777777" w:rsidR="00616FD3" w:rsidRPr="00E740B8" w:rsidRDefault="00616FD3" w:rsidP="00616FD3">
      <w:pPr>
        <w:rPr>
          <w:rFonts w:asciiTheme="minorBidi" w:hAnsiTheme="minorBidi"/>
        </w:rPr>
      </w:pPr>
    </w:p>
    <w:p w14:paraId="70306A26" w14:textId="77777777" w:rsidR="00616FD3"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VII.1 “</w:t>
      </w:r>
      <w:r w:rsidRPr="001D4B80">
        <w:rPr>
          <w:rFonts w:asciiTheme="minorBidi" w:hAnsiTheme="minorBidi"/>
          <w:lang w:val="fr-CH"/>
        </w:rPr>
        <w:t>Plateformes et instruments fondés sur la propriété intellectuelle pour le transfert de connaissances et l</w:t>
      </w:r>
      <w:r>
        <w:rPr>
          <w:rFonts w:asciiTheme="minorBidi" w:hAnsiTheme="minorBidi"/>
          <w:lang w:val="fr-CH"/>
        </w:rPr>
        <w:t>’</w:t>
      </w:r>
      <w:r w:rsidRPr="001D4B80">
        <w:rPr>
          <w:rFonts w:asciiTheme="minorBidi" w:hAnsiTheme="minorBidi"/>
          <w:lang w:val="fr-CH"/>
        </w:rPr>
        <w:t>adaptation et la diffusion de la technologie entre les pays développés et les pays en développement, notamment les PMA, pour relever des défis mondiaux”</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0C653549" w14:textId="77777777" w:rsidR="00616FD3" w:rsidRPr="00E740B8" w:rsidRDefault="00616FD3" w:rsidP="00616FD3">
      <w:pPr>
        <w:rPr>
          <w:rFonts w:asciiTheme="minorBidi" w:hAnsiTheme="minorBidi"/>
        </w:rPr>
      </w:pPr>
    </w:p>
    <w:p w14:paraId="21B9E034" w14:textId="35DB4CE8" w:rsidR="00616FD3" w:rsidRPr="00616FD3" w:rsidRDefault="00616FD3" w:rsidP="00616FD3">
      <w:pPr>
        <w:ind w:left="1985" w:hanging="1418"/>
        <w:rPr>
          <w:sz w:val="18"/>
        </w:rPr>
      </w:pPr>
      <w:r w:rsidRPr="00616FD3">
        <w:rPr>
          <w:sz w:val="18"/>
        </w:rPr>
        <w:t xml:space="preserve">Programme 3 </w:t>
      </w:r>
      <w:r w:rsidRPr="00616FD3">
        <w:rPr>
          <w:rFonts w:cs="Arial"/>
          <w:sz w:val="18"/>
          <w:szCs w:val="18"/>
          <w:cs/>
        </w:rPr>
        <w:t>‎</w:t>
      </w:r>
      <w:r>
        <w:rPr>
          <w:sz w:val="18"/>
        </w:rPr>
        <w:tab/>
      </w:r>
      <w:r w:rsidRPr="00616FD3">
        <w:rPr>
          <w:sz w:val="18"/>
        </w:rPr>
        <w:t>(Droit d’auteur et droits connexes)</w:t>
      </w:r>
    </w:p>
    <w:p w14:paraId="72DAE495" w14:textId="392240CA" w:rsidR="00616FD3" w:rsidRPr="00616FD3" w:rsidRDefault="00616FD3" w:rsidP="00616FD3">
      <w:pPr>
        <w:ind w:left="1985" w:hanging="1418"/>
        <w:rPr>
          <w:sz w:val="18"/>
        </w:rPr>
      </w:pPr>
      <w:r w:rsidRPr="00616FD3">
        <w:rPr>
          <w:sz w:val="18"/>
        </w:rPr>
        <w:t xml:space="preserve">Programme 4 </w:t>
      </w:r>
      <w:r>
        <w:rPr>
          <w:sz w:val="18"/>
        </w:rPr>
        <w:tab/>
      </w:r>
      <w:r w:rsidRPr="00616FD3">
        <w:rPr>
          <w:sz w:val="18"/>
        </w:rPr>
        <w:t>(Savoirs traditionnels)</w:t>
      </w:r>
    </w:p>
    <w:p w14:paraId="52802316" w14:textId="721C5D6C" w:rsidR="00616FD3" w:rsidRPr="00616FD3" w:rsidRDefault="00616FD3" w:rsidP="00616FD3">
      <w:pPr>
        <w:ind w:left="1985" w:hanging="1418"/>
        <w:rPr>
          <w:sz w:val="18"/>
        </w:rPr>
      </w:pPr>
      <w:r w:rsidRPr="00616FD3">
        <w:rPr>
          <w:sz w:val="18"/>
        </w:rPr>
        <w:t xml:space="preserve">Programme 15 </w:t>
      </w:r>
      <w:r>
        <w:rPr>
          <w:sz w:val="18"/>
        </w:rPr>
        <w:tab/>
      </w:r>
      <w:r w:rsidRPr="00616FD3">
        <w:rPr>
          <w:sz w:val="18"/>
        </w:rPr>
        <w:t>(</w:t>
      </w:r>
      <w:r w:rsidRPr="00616FD3">
        <w:rPr>
          <w:rFonts w:cs="Arial"/>
          <w:sz w:val="18"/>
          <w:szCs w:val="18"/>
          <w:cs/>
        </w:rPr>
        <w:t>‎</w:t>
      </w:r>
      <w:r w:rsidRPr="00616FD3">
        <w:rPr>
          <w:sz w:val="18"/>
          <w:rtl/>
          <w:cs/>
        </w:rPr>
        <w:t>Solutions</w:t>
      </w:r>
      <w:r w:rsidRPr="00616FD3">
        <w:rPr>
          <w:sz w:val="18"/>
        </w:rPr>
        <w:t xml:space="preserve"> opérationnelles pour les offices de propriété intellectuelle)</w:t>
      </w:r>
    </w:p>
    <w:p w14:paraId="18CEDFAE" w14:textId="4538E27C" w:rsidR="00616FD3" w:rsidRPr="00616FD3" w:rsidRDefault="00616FD3" w:rsidP="00616FD3">
      <w:pPr>
        <w:ind w:left="1985" w:hanging="1418"/>
        <w:rPr>
          <w:sz w:val="18"/>
        </w:rPr>
      </w:pPr>
      <w:r w:rsidRPr="00616FD3">
        <w:rPr>
          <w:sz w:val="18"/>
        </w:rPr>
        <w:t xml:space="preserve">Programme 18 </w:t>
      </w:r>
      <w:r>
        <w:rPr>
          <w:sz w:val="18"/>
        </w:rPr>
        <w:tab/>
      </w:r>
      <w:r w:rsidRPr="00616FD3">
        <w:rPr>
          <w:sz w:val="18"/>
        </w:rPr>
        <w:t>(</w:t>
      </w:r>
      <w:r w:rsidRPr="00616FD3">
        <w:rPr>
          <w:rFonts w:cs="Arial"/>
          <w:sz w:val="18"/>
          <w:szCs w:val="18"/>
          <w:rtl/>
        </w:rPr>
        <w:t>‏</w:t>
      </w:r>
      <w:r w:rsidRPr="00616FD3">
        <w:rPr>
          <w:sz w:val="18"/>
          <w:rtl/>
          <w:cs/>
        </w:rPr>
        <w:t>‎Propriété intellectuelle et défis mondiaux)</w:t>
      </w:r>
    </w:p>
    <w:p w14:paraId="5367E423" w14:textId="32557841"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53A7E8F5" w14:textId="77777777" w:rsidR="00616FD3" w:rsidRPr="00E740B8" w:rsidRDefault="00616FD3" w:rsidP="00616FD3">
      <w:pPr>
        <w:pStyle w:val="ListParagraph"/>
        <w:ind w:left="1287" w:firstLine="414"/>
        <w:rPr>
          <w:rFonts w:asciiTheme="minorBidi" w:hAnsiTheme="minorBidi"/>
        </w:rPr>
      </w:pPr>
    </w:p>
    <w:p w14:paraId="6BA0DB77" w14:textId="77777777" w:rsidR="00616FD3" w:rsidRPr="00E740B8" w:rsidRDefault="00616FD3" w:rsidP="00616FD3">
      <w:pPr>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1510439E"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53281AD9" w14:textId="77777777" w:rsidTr="00616FD3">
        <w:trPr>
          <w:cantSplit/>
          <w:jc w:val="center"/>
        </w:trPr>
        <w:tc>
          <w:tcPr>
            <w:tcW w:w="9287" w:type="dxa"/>
            <w:shd w:val="clear" w:color="auto" w:fill="C6D9F1" w:themeFill="text2" w:themeFillTint="33"/>
          </w:tcPr>
          <w:p w14:paraId="2BFEC0B8" w14:textId="77777777" w:rsidR="00616FD3" w:rsidRPr="001D4B80" w:rsidRDefault="00616FD3" w:rsidP="00616FD3">
            <w:pPr>
              <w:jc w:val="center"/>
              <w:rPr>
                <w:rFonts w:asciiTheme="minorBidi" w:hAnsiTheme="minorBidi"/>
                <w:sz w:val="18"/>
                <w:szCs w:val="18"/>
              </w:rPr>
            </w:pPr>
            <w:r w:rsidRPr="001D4B80">
              <w:rPr>
                <w:rFonts w:asciiTheme="minorBidi" w:hAnsiTheme="minorBidi"/>
                <w:sz w:val="18"/>
                <w:szCs w:val="18"/>
              </w:rPr>
              <w:t>Unions financées par des contributions</w:t>
            </w:r>
          </w:p>
          <w:p w14:paraId="67340EC9" w14:textId="77777777" w:rsidR="00616FD3" w:rsidRPr="00990F25" w:rsidRDefault="00616FD3" w:rsidP="00616FD3">
            <w:pPr>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r w:rsidR="00616FD3" w:rsidRPr="00E740B8" w14:paraId="79CD232B" w14:textId="77777777" w:rsidTr="00616FD3">
        <w:trPr>
          <w:cantSplit/>
          <w:jc w:val="center"/>
        </w:trPr>
        <w:tc>
          <w:tcPr>
            <w:tcW w:w="9287" w:type="dxa"/>
            <w:shd w:val="clear" w:color="auto" w:fill="FFFFFF" w:themeFill="background1"/>
          </w:tcPr>
          <w:p w14:paraId="449ACAE7" w14:textId="77777777" w:rsidR="00616FD3" w:rsidRPr="00E740B8" w:rsidRDefault="00616FD3" w:rsidP="00616FD3">
            <w:pPr>
              <w:rPr>
                <w:rFonts w:asciiTheme="minorBidi" w:hAnsiTheme="minorBidi"/>
                <w:sz w:val="8"/>
                <w:szCs w:val="8"/>
              </w:rPr>
            </w:pPr>
          </w:p>
          <w:p w14:paraId="0166D21E"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Programme 3 – Service d</w:t>
            </w:r>
            <w:r>
              <w:rPr>
                <w:rFonts w:asciiTheme="minorBidi" w:hAnsiTheme="minorBidi"/>
                <w:sz w:val="18"/>
                <w:szCs w:val="18"/>
              </w:rPr>
              <w:t>’</w:t>
            </w:r>
            <w:r w:rsidRPr="001D4B80">
              <w:rPr>
                <w:rFonts w:asciiTheme="minorBidi" w:hAnsiTheme="minorBidi"/>
                <w:sz w:val="18"/>
                <w:szCs w:val="18"/>
              </w:rPr>
              <w:t>échange de livres et normes de publication ouverte de l</w:t>
            </w:r>
            <w:r>
              <w:rPr>
                <w:rFonts w:asciiTheme="minorBidi" w:hAnsiTheme="minorBidi"/>
                <w:sz w:val="18"/>
                <w:szCs w:val="18"/>
              </w:rPr>
              <w:t>’</w:t>
            </w:r>
            <w:r w:rsidRPr="001D4B80">
              <w:rPr>
                <w:rFonts w:asciiTheme="minorBidi" w:hAnsiTheme="minorBidi"/>
                <w:sz w:val="18"/>
                <w:szCs w:val="18"/>
              </w:rPr>
              <w:t>ABC</w:t>
            </w:r>
          </w:p>
          <w:p w14:paraId="60978657" w14:textId="77777777" w:rsidR="00616FD3" w:rsidRDefault="00616FD3" w:rsidP="00616FD3">
            <w:pPr>
              <w:jc w:val="center"/>
              <w:rPr>
                <w:rFonts w:asciiTheme="minorBidi" w:hAnsiTheme="minorBidi"/>
                <w:sz w:val="18"/>
                <w:szCs w:val="18"/>
              </w:rPr>
            </w:pPr>
            <w:r w:rsidRPr="001D4B80">
              <w:rPr>
                <w:rFonts w:asciiTheme="minorBidi" w:hAnsiTheme="minorBidi"/>
                <w:sz w:val="18"/>
                <w:szCs w:val="18"/>
              </w:rPr>
              <w:t>Programme 4</w:t>
            </w:r>
            <w:r>
              <w:rPr>
                <w:rFonts w:asciiTheme="minorBidi" w:hAnsiTheme="minorBidi"/>
                <w:sz w:val="18"/>
                <w:szCs w:val="18"/>
              </w:rPr>
              <w:t xml:space="preserve"> – </w:t>
            </w:r>
            <w:r w:rsidRPr="001D4B80">
              <w:rPr>
                <w:rFonts w:asciiTheme="minorBidi" w:hAnsiTheme="minorBidi"/>
                <w:sz w:val="18"/>
                <w:szCs w:val="18"/>
              </w:rPr>
              <w:t>Appui aux bases de données WIPO Re</w:t>
            </w:r>
            <w:r>
              <w:rPr>
                <w:rFonts w:asciiTheme="minorBidi" w:hAnsiTheme="minorBidi"/>
                <w:sz w:val="18"/>
                <w:szCs w:val="18"/>
              </w:rPr>
              <w:t>:</w:t>
            </w:r>
            <w:r w:rsidRPr="001D4B80">
              <w:rPr>
                <w:rFonts w:asciiTheme="minorBidi" w:hAnsiTheme="minorBidi"/>
                <w:sz w:val="18"/>
                <w:szCs w:val="18"/>
              </w:rPr>
              <w:t>Search et WIPO Green</w:t>
            </w:r>
          </w:p>
          <w:p w14:paraId="30098F59" w14:textId="77777777" w:rsidR="00616FD3" w:rsidRPr="00E740B8" w:rsidRDefault="00616FD3" w:rsidP="00616FD3">
            <w:pPr>
              <w:rPr>
                <w:rFonts w:asciiTheme="minorBidi" w:hAnsiTheme="minorBidi"/>
                <w:sz w:val="8"/>
                <w:szCs w:val="8"/>
              </w:rPr>
            </w:pPr>
          </w:p>
        </w:tc>
      </w:tr>
      <w:tr w:rsidR="00616FD3" w:rsidRPr="00E740B8" w14:paraId="04B0A66D" w14:textId="77777777" w:rsidTr="00616FD3">
        <w:trPr>
          <w:cantSplit/>
          <w:jc w:val="center"/>
        </w:trPr>
        <w:tc>
          <w:tcPr>
            <w:tcW w:w="9287" w:type="dxa"/>
            <w:shd w:val="clear" w:color="auto" w:fill="C6D9F1" w:themeFill="text2" w:themeFillTint="33"/>
          </w:tcPr>
          <w:p w14:paraId="4DCB20A8" w14:textId="77777777" w:rsidR="00616FD3" w:rsidRPr="00E740B8" w:rsidRDefault="00616FD3" w:rsidP="00616FD3">
            <w:pPr>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15, 18 et 20</w:t>
            </w:r>
          </w:p>
        </w:tc>
      </w:tr>
    </w:tbl>
    <w:p w14:paraId="07ED4B77" w14:textId="77777777" w:rsidR="00616FD3" w:rsidRPr="00E740B8" w:rsidRDefault="00616FD3" w:rsidP="00616FD3">
      <w:pPr>
        <w:rPr>
          <w:rFonts w:asciiTheme="minorBidi" w:hAnsiTheme="minorBidi"/>
        </w:rPr>
      </w:pPr>
    </w:p>
    <w:p w14:paraId="3574B99F" w14:textId="77777777" w:rsidR="00616FD3"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 résultat escompté VIII.1 “</w:t>
      </w:r>
      <w:r w:rsidRPr="001D4B80">
        <w:rPr>
          <w:rFonts w:asciiTheme="minorBidi" w:hAnsiTheme="minorBidi"/>
          <w:lang w:val="fr-CH"/>
        </w:rPr>
        <w:t>Communication plus efficace avec un public large et varié concernant la propriété intellectuelle et le rôle de l</w:t>
      </w:r>
      <w:r>
        <w:rPr>
          <w:rFonts w:asciiTheme="minorBidi" w:hAnsiTheme="minorBidi"/>
          <w:lang w:val="fr-CH"/>
        </w:rPr>
        <w:t>’</w:t>
      </w:r>
      <w:r w:rsidRPr="001D4B80">
        <w:rPr>
          <w:rFonts w:asciiTheme="minorBidi" w:hAnsiTheme="minorBidi"/>
          <w:lang w:val="fr-CH"/>
        </w:rPr>
        <w:t>OMPI”</w:t>
      </w:r>
      <w:r w:rsidRPr="001D4B80">
        <w:rPr>
          <w:rFonts w:asciiTheme="minorBidi" w:hAnsiTheme="minorBidi"/>
        </w:rPr>
        <w:t xml:space="preserve"> mises en œuvre par les programmes ci</w:t>
      </w:r>
      <w:r>
        <w:rPr>
          <w:rFonts w:asciiTheme="minorBidi" w:hAnsiTheme="minorBidi"/>
        </w:rPr>
        <w:t>-</w:t>
      </w:r>
      <w:r w:rsidRPr="001D4B80">
        <w:rPr>
          <w:rFonts w:asciiTheme="minorBidi" w:hAnsiTheme="minorBidi"/>
        </w:rPr>
        <w:t>après</w:t>
      </w:r>
      <w:r>
        <w:rPr>
          <w:rFonts w:asciiTheme="minorBidi" w:hAnsiTheme="minorBidi"/>
        </w:rPr>
        <w:t> :</w:t>
      </w:r>
    </w:p>
    <w:p w14:paraId="5A01D4BD" w14:textId="77777777" w:rsidR="00616FD3" w:rsidRPr="00E740B8" w:rsidRDefault="00616FD3" w:rsidP="00616FD3">
      <w:pPr>
        <w:keepNext/>
        <w:keepLines/>
        <w:rPr>
          <w:rFonts w:asciiTheme="minorBidi" w:hAnsiTheme="minorBidi"/>
        </w:rPr>
      </w:pPr>
    </w:p>
    <w:p w14:paraId="134B378C" w14:textId="3FB5B305" w:rsidR="00616FD3" w:rsidRPr="00616FD3" w:rsidRDefault="00616FD3" w:rsidP="00616FD3">
      <w:pPr>
        <w:ind w:left="1985" w:hanging="1418"/>
        <w:rPr>
          <w:sz w:val="18"/>
        </w:rPr>
      </w:pPr>
      <w:r w:rsidRPr="00616FD3">
        <w:rPr>
          <w:sz w:val="18"/>
        </w:rPr>
        <w:t xml:space="preserve">Programme 3 </w:t>
      </w:r>
      <w:r>
        <w:rPr>
          <w:sz w:val="18"/>
        </w:rPr>
        <w:tab/>
      </w:r>
      <w:r w:rsidRPr="00616FD3">
        <w:rPr>
          <w:sz w:val="18"/>
        </w:rPr>
        <w:t>(</w:t>
      </w:r>
      <w:r w:rsidRPr="00616FD3">
        <w:rPr>
          <w:rFonts w:cs="Arial"/>
          <w:sz w:val="18"/>
          <w:szCs w:val="18"/>
          <w:cs/>
        </w:rPr>
        <w:t>‎</w:t>
      </w:r>
      <w:r w:rsidRPr="00616FD3">
        <w:rPr>
          <w:sz w:val="18"/>
          <w:rtl/>
          <w:cs/>
        </w:rPr>
        <w:t>Droit d’auteur et droits connexes)</w:t>
      </w:r>
    </w:p>
    <w:p w14:paraId="479EA404" w14:textId="38A1A11B" w:rsidR="00616FD3" w:rsidRPr="00616FD3" w:rsidRDefault="00616FD3" w:rsidP="00616FD3">
      <w:pPr>
        <w:ind w:left="1985" w:hanging="1418"/>
        <w:rPr>
          <w:sz w:val="18"/>
        </w:rPr>
      </w:pPr>
      <w:r w:rsidRPr="00616FD3">
        <w:rPr>
          <w:sz w:val="18"/>
        </w:rPr>
        <w:t xml:space="preserve">Programme 19 </w:t>
      </w:r>
      <w:r>
        <w:rPr>
          <w:sz w:val="18"/>
        </w:rPr>
        <w:tab/>
      </w:r>
      <w:r w:rsidRPr="00616FD3">
        <w:rPr>
          <w:rFonts w:cs="Arial"/>
          <w:sz w:val="18"/>
          <w:szCs w:val="18"/>
          <w:rtl/>
        </w:rPr>
        <w:t>‏</w:t>
      </w:r>
      <w:r w:rsidRPr="00616FD3">
        <w:rPr>
          <w:sz w:val="18"/>
          <w:rtl/>
          <w:cs/>
        </w:rPr>
        <w:t>‎(Communications)</w:t>
      </w:r>
    </w:p>
    <w:p w14:paraId="2C070319" w14:textId="2BAE5DEE" w:rsidR="00616FD3" w:rsidRPr="00616FD3" w:rsidRDefault="00616FD3" w:rsidP="00616FD3">
      <w:pPr>
        <w:ind w:left="1985" w:hanging="1418"/>
        <w:rPr>
          <w:sz w:val="18"/>
        </w:rPr>
      </w:pPr>
      <w:r w:rsidRPr="00616FD3">
        <w:rPr>
          <w:sz w:val="18"/>
        </w:rPr>
        <w:t xml:space="preserve">Programme 20 </w:t>
      </w:r>
      <w:r>
        <w:rPr>
          <w:sz w:val="18"/>
        </w:rPr>
        <w:tab/>
      </w:r>
      <w:r w:rsidRPr="00616FD3">
        <w:rPr>
          <w:sz w:val="18"/>
        </w:rPr>
        <w:t>(Relations extérieures et bureaux extérieurs)</w:t>
      </w:r>
    </w:p>
    <w:p w14:paraId="240EA12A" w14:textId="77777777" w:rsidR="00616FD3" w:rsidRPr="00E740B8" w:rsidRDefault="00616FD3" w:rsidP="00616FD3">
      <w:pPr>
        <w:keepNext/>
        <w:keepLines/>
        <w:ind w:left="1134" w:firstLine="567"/>
        <w:rPr>
          <w:rFonts w:asciiTheme="minorBidi" w:hAnsiTheme="minorBidi"/>
        </w:rPr>
      </w:pPr>
    </w:p>
    <w:p w14:paraId="60497BE2" w14:textId="77777777" w:rsidR="00616FD3" w:rsidRPr="00E740B8" w:rsidRDefault="00616FD3" w:rsidP="00616FD3">
      <w:pPr>
        <w:keepNext/>
        <w:keepLines/>
        <w:rPr>
          <w:rFonts w:asciiTheme="minorBidi" w:hAnsiTheme="minorBidi"/>
        </w:rPr>
      </w:pPr>
      <w:r w:rsidRPr="001D4B80">
        <w:rPr>
          <w:rFonts w:asciiTheme="minorBidi" w:hAnsiTheme="minorBidi"/>
        </w:rPr>
        <w:t>sont réparties en tant que dépenses “directes de l</w:t>
      </w:r>
      <w:r>
        <w:rPr>
          <w:rFonts w:asciiTheme="minorBidi" w:hAnsiTheme="minorBidi"/>
        </w:rPr>
        <w:t>’</w:t>
      </w:r>
      <w:r w:rsidRPr="001D4B80">
        <w:rPr>
          <w:rFonts w:asciiTheme="minorBidi" w:hAnsiTheme="minorBidi"/>
        </w:rPr>
        <w:t>union” et dépenses “indirectes de l</w:t>
      </w:r>
      <w:r>
        <w:rPr>
          <w:rFonts w:asciiTheme="minorBidi" w:hAnsiTheme="minorBidi"/>
        </w:rPr>
        <w:t>’</w:t>
      </w:r>
      <w:r w:rsidRPr="001D4B80">
        <w:rPr>
          <w:rFonts w:asciiTheme="minorBidi" w:hAnsiTheme="minorBidi"/>
        </w:rPr>
        <w:t>union”, comme indiqué ci</w:t>
      </w:r>
      <w:r>
        <w:rPr>
          <w:rFonts w:asciiTheme="minorBidi" w:hAnsiTheme="minorBidi"/>
        </w:rPr>
        <w:t>-</w:t>
      </w:r>
      <w:r w:rsidRPr="001D4B80">
        <w:rPr>
          <w:rFonts w:asciiTheme="minorBidi" w:hAnsiTheme="minorBidi"/>
        </w:rPr>
        <w:t>après</w:t>
      </w:r>
      <w:r>
        <w:rPr>
          <w:rFonts w:asciiTheme="minorBidi" w:hAnsiTheme="minorBidi"/>
        </w:rPr>
        <w:t> :</w:t>
      </w:r>
    </w:p>
    <w:p w14:paraId="7E226CB5" w14:textId="77777777" w:rsidR="00616FD3" w:rsidRPr="00E740B8" w:rsidRDefault="00616FD3" w:rsidP="00616FD3">
      <w:pPr>
        <w:keepNext/>
        <w:keepLines/>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59AAAE1E" w14:textId="77777777" w:rsidTr="00616FD3">
        <w:trPr>
          <w:cantSplit/>
          <w:jc w:val="center"/>
        </w:trPr>
        <w:tc>
          <w:tcPr>
            <w:tcW w:w="9287" w:type="dxa"/>
            <w:shd w:val="clear" w:color="auto" w:fill="C6D9F1" w:themeFill="text2" w:themeFillTint="33"/>
          </w:tcPr>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6"/>
            </w:tblGrid>
            <w:tr w:rsidR="00616FD3" w:rsidRPr="001D4B80" w14:paraId="4FDF85CA" w14:textId="77777777" w:rsidTr="00616FD3">
              <w:trPr>
                <w:trHeight w:val="169"/>
                <w:jc w:val="center"/>
              </w:trPr>
              <w:tc>
                <w:tcPr>
                  <w:tcW w:w="6106" w:type="dxa"/>
                  <w:shd w:val="clear" w:color="auto" w:fill="C6D9F1" w:themeFill="text2" w:themeFillTint="33"/>
                </w:tcPr>
                <w:p w14:paraId="09B15345" w14:textId="77777777" w:rsidR="00616FD3" w:rsidRPr="001D4B80" w:rsidRDefault="00616FD3" w:rsidP="00616FD3">
                  <w:pPr>
                    <w:keepNext/>
                    <w:keepLines/>
                    <w:jc w:val="center"/>
                    <w:rPr>
                      <w:rFonts w:asciiTheme="minorBidi" w:hAnsiTheme="minorBidi"/>
                      <w:sz w:val="18"/>
                      <w:szCs w:val="18"/>
                    </w:rPr>
                  </w:pPr>
                  <w:r w:rsidRPr="001D4B80">
                    <w:rPr>
                      <w:rFonts w:asciiTheme="minorBidi" w:hAnsiTheme="minorBidi"/>
                      <w:sz w:val="18"/>
                      <w:szCs w:val="18"/>
                    </w:rPr>
                    <w:t>Unions financées par des contributions</w:t>
                  </w:r>
                </w:p>
                <w:p w14:paraId="72D426C0" w14:textId="77777777" w:rsidR="00616FD3" w:rsidRPr="001D4B80" w:rsidRDefault="00616FD3" w:rsidP="00616FD3">
                  <w:pPr>
                    <w:keepNext/>
                    <w:keepLines/>
                    <w:jc w:val="center"/>
                    <w:rPr>
                      <w:rFonts w:asciiTheme="minorBidi" w:hAnsiTheme="minorBidi"/>
                      <w:i/>
                      <w:sz w:val="18"/>
                      <w:szCs w:val="18"/>
                    </w:rPr>
                  </w:pPr>
                  <w:r w:rsidRPr="001D4B80">
                    <w:rPr>
                      <w:rFonts w:asciiTheme="minorBidi" w:hAnsiTheme="minorBidi"/>
                      <w:i/>
                      <w:sz w:val="18"/>
                      <w:szCs w:val="18"/>
                    </w:rPr>
                    <w:t>Dépenses directes de l</w:t>
                  </w:r>
                  <w:r>
                    <w:rPr>
                      <w:rFonts w:asciiTheme="minorBidi" w:hAnsiTheme="minorBidi"/>
                      <w:i/>
                      <w:sz w:val="18"/>
                      <w:szCs w:val="18"/>
                    </w:rPr>
                    <w:t>’</w:t>
                  </w:r>
                  <w:r w:rsidRPr="001D4B80">
                    <w:rPr>
                      <w:rFonts w:asciiTheme="minorBidi" w:hAnsiTheme="minorBidi"/>
                      <w:i/>
                      <w:sz w:val="18"/>
                      <w:szCs w:val="18"/>
                    </w:rPr>
                    <w:t>union</w:t>
                  </w:r>
                </w:p>
              </w:tc>
            </w:tr>
          </w:tbl>
          <w:p w14:paraId="4D1C81C1" w14:textId="77777777" w:rsidR="00616FD3" w:rsidRPr="00E740B8" w:rsidRDefault="00616FD3" w:rsidP="00616FD3">
            <w:pPr>
              <w:keepNext/>
              <w:keepLines/>
              <w:jc w:val="center"/>
              <w:rPr>
                <w:rFonts w:asciiTheme="minorBidi" w:hAnsiTheme="minorBidi"/>
                <w:sz w:val="18"/>
                <w:szCs w:val="18"/>
              </w:rPr>
            </w:pPr>
          </w:p>
        </w:tc>
      </w:tr>
      <w:tr w:rsidR="00616FD3" w:rsidRPr="00E740B8" w14:paraId="1050DDE2" w14:textId="77777777" w:rsidTr="00616FD3">
        <w:trPr>
          <w:cantSplit/>
          <w:jc w:val="center"/>
        </w:trPr>
        <w:tc>
          <w:tcPr>
            <w:tcW w:w="9287" w:type="dxa"/>
            <w:shd w:val="clear" w:color="auto" w:fill="FFFFFF" w:themeFill="background1"/>
          </w:tcPr>
          <w:p w14:paraId="03E6890C" w14:textId="77777777" w:rsidR="00616FD3" w:rsidRPr="00E740B8" w:rsidRDefault="00616FD3" w:rsidP="00616FD3">
            <w:pPr>
              <w:keepNext/>
              <w:keepLines/>
              <w:rPr>
                <w:rFonts w:asciiTheme="minorBidi" w:hAnsiTheme="minorBidi"/>
                <w:sz w:val="8"/>
                <w:szCs w:val="8"/>
              </w:rPr>
            </w:pPr>
          </w:p>
          <w:p w14:paraId="3E244429"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Programme 3 – Appui à la communication institutionnelle et aux stratégies en matière d</w:t>
            </w:r>
            <w:r>
              <w:rPr>
                <w:rFonts w:asciiTheme="minorBidi" w:hAnsiTheme="minorBidi"/>
                <w:sz w:val="18"/>
                <w:szCs w:val="18"/>
              </w:rPr>
              <w:t>’</w:t>
            </w:r>
            <w:r w:rsidRPr="001D4B80">
              <w:rPr>
                <w:rFonts w:asciiTheme="minorBidi" w:hAnsiTheme="minorBidi"/>
                <w:sz w:val="18"/>
                <w:szCs w:val="18"/>
              </w:rPr>
              <w:t>image de marque</w:t>
            </w:r>
          </w:p>
          <w:p w14:paraId="1057B895" w14:textId="77777777" w:rsidR="00616FD3" w:rsidRPr="00E740B8" w:rsidRDefault="00616FD3" w:rsidP="00616FD3">
            <w:pPr>
              <w:keepNext/>
              <w:keepLines/>
              <w:rPr>
                <w:rFonts w:asciiTheme="minorBidi" w:hAnsiTheme="minorBidi"/>
                <w:sz w:val="8"/>
                <w:szCs w:val="8"/>
              </w:rPr>
            </w:pPr>
          </w:p>
        </w:tc>
      </w:tr>
      <w:tr w:rsidR="00616FD3" w:rsidRPr="00E740B8" w14:paraId="4DBB0916" w14:textId="77777777" w:rsidTr="00616FD3">
        <w:trPr>
          <w:cantSplit/>
          <w:jc w:val="center"/>
        </w:trPr>
        <w:tc>
          <w:tcPr>
            <w:tcW w:w="9287" w:type="dxa"/>
            <w:shd w:val="clear" w:color="auto" w:fill="C6D9F1" w:themeFill="text2" w:themeFillTint="33"/>
          </w:tcPr>
          <w:p w14:paraId="095CF1F5" w14:textId="77777777" w:rsidR="00616FD3" w:rsidRPr="00E740B8" w:rsidRDefault="00616FD3" w:rsidP="00616FD3">
            <w:pPr>
              <w:keepNext/>
              <w:keepLines/>
              <w:jc w:val="center"/>
              <w:rPr>
                <w:rFonts w:asciiTheme="minorBidi" w:hAnsiTheme="minorBidi"/>
                <w:sz w:val="18"/>
                <w:szCs w:val="18"/>
              </w:rPr>
            </w:pPr>
            <w:r w:rsidRPr="001D4B80">
              <w:rPr>
                <w:rFonts w:asciiTheme="minorBidi" w:hAnsiTheme="minorBidi"/>
                <w:sz w:val="18"/>
                <w:szCs w:val="18"/>
              </w:rPr>
              <w:t>Dépenses indirectes de l</w:t>
            </w:r>
            <w:r>
              <w:rPr>
                <w:rFonts w:asciiTheme="minorBidi" w:hAnsiTheme="minorBidi"/>
                <w:sz w:val="18"/>
                <w:szCs w:val="18"/>
              </w:rPr>
              <w:t>’</w:t>
            </w:r>
            <w:r w:rsidRPr="001D4B80">
              <w:rPr>
                <w:rFonts w:asciiTheme="minorBidi" w:hAnsiTheme="minorBidi"/>
                <w:sz w:val="18"/>
                <w:szCs w:val="18"/>
              </w:rPr>
              <w:t>union</w:t>
            </w:r>
            <w:r>
              <w:rPr>
                <w:rFonts w:asciiTheme="minorBidi" w:hAnsiTheme="minorBidi"/>
                <w:sz w:val="18"/>
                <w:szCs w:val="18"/>
              </w:rPr>
              <w:t> :</w:t>
            </w:r>
            <w:r w:rsidRPr="001D4B80">
              <w:rPr>
                <w:rFonts w:asciiTheme="minorBidi" w:hAnsiTheme="minorBidi"/>
                <w:sz w:val="18"/>
                <w:szCs w:val="18"/>
              </w:rPr>
              <w:t xml:space="preserve"> programmes 19 et 20</w:t>
            </w:r>
          </w:p>
        </w:tc>
      </w:tr>
    </w:tbl>
    <w:p w14:paraId="1B587CF7" w14:textId="77777777" w:rsidR="00616FD3" w:rsidRPr="00E740B8" w:rsidRDefault="00616FD3" w:rsidP="00616FD3">
      <w:pPr>
        <w:rPr>
          <w:rFonts w:asciiTheme="minorBidi" w:hAnsiTheme="minorBidi"/>
        </w:rPr>
      </w:pPr>
    </w:p>
    <w:p w14:paraId="2CBEDFC1" w14:textId="553D5611" w:rsidR="00616FD3" w:rsidRDefault="00616FD3" w:rsidP="00616FD3">
      <w:pPr>
        <w:keepNext/>
        <w:keepLines/>
        <w:numPr>
          <w:ilvl w:val="0"/>
          <w:numId w:val="50"/>
        </w:numPr>
        <w:jc w:val="both"/>
        <w:rPr>
          <w:rFonts w:asciiTheme="minorBidi" w:hAnsiTheme="minorBidi"/>
        </w:rPr>
      </w:pPr>
      <w:r w:rsidRPr="001D4B80">
        <w:rPr>
          <w:rFonts w:asciiTheme="minorBidi" w:hAnsiTheme="minorBidi"/>
        </w:rPr>
        <w:t>Les dépenses relatives aux activités menées aux fins de contribuer aux résultats escomptés III.1, III.3 à III.6, V.1, V.2, VI.1, VI.2, VII.2 et VIII.2 à VIII.5 sont réparties en tant que dépenses “indirectes de l</w:t>
      </w:r>
      <w:r>
        <w:rPr>
          <w:rFonts w:asciiTheme="minorBidi" w:hAnsiTheme="minorBidi"/>
        </w:rPr>
        <w:t>’</w:t>
      </w:r>
      <w:r w:rsidRPr="001D4B80">
        <w:rPr>
          <w:rFonts w:asciiTheme="minorBidi" w:hAnsiTheme="minorBidi"/>
        </w:rPr>
        <w:t>Union” sur la base du princ</w:t>
      </w:r>
      <w:r w:rsidR="00C21B9B">
        <w:rPr>
          <w:rFonts w:asciiTheme="minorBidi" w:hAnsiTheme="minorBidi"/>
        </w:rPr>
        <w:t>ipe de la “capacité de paiement</w:t>
      </w:r>
      <w:r w:rsidRPr="001D4B80">
        <w:rPr>
          <w:rFonts w:asciiTheme="minorBidi" w:hAnsiTheme="minorBidi"/>
        </w:rPr>
        <w:t>”.</w:t>
      </w:r>
      <w:r w:rsidRPr="00E740B8">
        <w:rPr>
          <w:rFonts w:asciiTheme="minorBidi" w:hAnsiTheme="minorBidi"/>
        </w:rPr>
        <w:t xml:space="preserve">  </w:t>
      </w:r>
      <w:r w:rsidRPr="001D4B80">
        <w:rPr>
          <w:rFonts w:asciiTheme="minorBidi" w:hAnsiTheme="minorBidi"/>
        </w:rPr>
        <w:t>Les dépenses relatives aux activités pour le résultat escompté I.1 mises en œuvre par le programme 21 et aux activités pour les résultat</w:t>
      </w:r>
      <w:r>
        <w:rPr>
          <w:rFonts w:asciiTheme="minorBidi" w:hAnsiTheme="minorBidi"/>
        </w:rPr>
        <w:t>s</w:t>
      </w:r>
      <w:r w:rsidRPr="001D4B80">
        <w:rPr>
          <w:rFonts w:asciiTheme="minorBidi" w:hAnsiTheme="minorBidi"/>
        </w:rPr>
        <w:t xml:space="preserve"> escompté</w:t>
      </w:r>
      <w:r>
        <w:rPr>
          <w:rFonts w:asciiTheme="minorBidi" w:hAnsiTheme="minorBidi"/>
        </w:rPr>
        <w:t>s</w:t>
      </w:r>
      <w:r w:rsidRPr="001D4B80">
        <w:rPr>
          <w:rFonts w:asciiTheme="minorBidi" w:hAnsiTheme="minorBidi"/>
        </w:rPr>
        <w:t xml:space="preserve"> VIII.1 à VIII.5 mises en œuvre par les programmes 21 et 24 sont réparties de la même manière que les dépenses au titre des activités administratives et de gestion.</w:t>
      </w:r>
    </w:p>
    <w:p w14:paraId="319AC8A7" w14:textId="77777777" w:rsidR="00616FD3" w:rsidRPr="00E740B8" w:rsidRDefault="00616FD3" w:rsidP="00616FD3">
      <w:pPr>
        <w:rPr>
          <w:rFonts w:asciiTheme="minorBidi" w:hAnsiTheme="minorBidi"/>
        </w:rPr>
      </w:pPr>
    </w:p>
    <w:p w14:paraId="1A108AD5" w14:textId="20B29045" w:rsidR="00616FD3" w:rsidRPr="00E740B8" w:rsidRDefault="00616FD3" w:rsidP="00616FD3">
      <w:pPr>
        <w:keepNext/>
        <w:keepLines/>
        <w:numPr>
          <w:ilvl w:val="0"/>
          <w:numId w:val="50"/>
        </w:numPr>
        <w:jc w:val="both"/>
        <w:rPr>
          <w:rFonts w:asciiTheme="minorBidi" w:hAnsiTheme="minorBidi"/>
        </w:rPr>
      </w:pPr>
      <w:r w:rsidRPr="001D4B80">
        <w:rPr>
          <w:rFonts w:asciiTheme="minorBidi" w:hAnsiTheme="minorBidi"/>
        </w:rPr>
        <w:lastRenderedPageBreak/>
        <w:t>Les dépenses relatives aux activités menées aux fins de contribuer à l</w:t>
      </w:r>
      <w:r>
        <w:rPr>
          <w:rFonts w:asciiTheme="minorBidi" w:hAnsiTheme="minorBidi"/>
        </w:rPr>
        <w:t>’</w:t>
      </w:r>
      <w:r w:rsidRPr="001D4B80">
        <w:rPr>
          <w:rFonts w:asciiTheme="minorBidi" w:hAnsiTheme="minorBidi"/>
        </w:rPr>
        <w:t>objectif stratégique IX “Structure d</w:t>
      </w:r>
      <w:r>
        <w:rPr>
          <w:rFonts w:asciiTheme="minorBidi" w:hAnsiTheme="minorBidi"/>
        </w:rPr>
        <w:t>’</w:t>
      </w:r>
      <w:r w:rsidRPr="001D4B80">
        <w:rPr>
          <w:rFonts w:asciiTheme="minorBidi" w:hAnsiTheme="minorBidi"/>
        </w:rPr>
        <w:t>appui administratif et financier efficace afin de permettre à l</w:t>
      </w:r>
      <w:r>
        <w:rPr>
          <w:rFonts w:asciiTheme="minorBidi" w:hAnsiTheme="minorBidi"/>
        </w:rPr>
        <w:t>’</w:t>
      </w:r>
      <w:r w:rsidRPr="001D4B80">
        <w:rPr>
          <w:rFonts w:asciiTheme="minorBidi" w:hAnsiTheme="minorBidi"/>
        </w:rPr>
        <w:t>OMPI d</w:t>
      </w:r>
      <w:r>
        <w:rPr>
          <w:rFonts w:asciiTheme="minorBidi" w:hAnsiTheme="minorBidi"/>
        </w:rPr>
        <w:t>’</w:t>
      </w:r>
      <w:r w:rsidRPr="001D4B80">
        <w:rPr>
          <w:rFonts w:asciiTheme="minorBidi" w:hAnsiTheme="minorBidi"/>
        </w:rPr>
        <w:t>exécuter ses programmes” (résultats escomptés IX.1 à IX.8) mises en œuvre par les programmes ci</w:t>
      </w:r>
      <w:r>
        <w:rPr>
          <w:rFonts w:asciiTheme="minorBidi" w:hAnsiTheme="minorBidi"/>
        </w:rPr>
        <w:t>-</w:t>
      </w:r>
      <w:r w:rsidRPr="001D4B80">
        <w:rPr>
          <w:rFonts w:asciiTheme="minorBidi" w:hAnsiTheme="minorBidi"/>
        </w:rPr>
        <w:t>après sont attribuées en tant que dépenses “administratives directes” à l</w:t>
      </w:r>
      <w:r>
        <w:rPr>
          <w:rFonts w:asciiTheme="minorBidi" w:hAnsiTheme="minorBidi"/>
        </w:rPr>
        <w:t>’</w:t>
      </w:r>
      <w:r w:rsidRPr="001D4B80">
        <w:rPr>
          <w:rFonts w:asciiTheme="minorBidi" w:hAnsiTheme="minorBidi"/>
        </w:rPr>
        <w:t>ensemble des unions comme suit</w:t>
      </w:r>
      <w:r>
        <w:rPr>
          <w:rFonts w:asciiTheme="minorBidi" w:hAnsiTheme="minorBidi"/>
        </w:rPr>
        <w:t> :</w:t>
      </w:r>
      <w:r w:rsidRPr="001D4B80">
        <w:rPr>
          <w:rFonts w:asciiTheme="minorBidi" w:hAnsiTheme="minorBidi"/>
        </w:rPr>
        <w:t xml:space="preserve"> a) attribution directe aux unions des coûts administratifs tels que la part du coût de l</w:t>
      </w:r>
      <w:r>
        <w:rPr>
          <w:rFonts w:asciiTheme="minorBidi" w:hAnsiTheme="minorBidi"/>
        </w:rPr>
        <w:t>’</w:t>
      </w:r>
      <w:r w:rsidRPr="001D4B80">
        <w:rPr>
          <w:rFonts w:asciiTheme="minorBidi" w:hAnsiTheme="minorBidi"/>
        </w:rPr>
        <w:t>hébergement du serveur</w:t>
      </w:r>
      <w:r w:rsidRPr="006926A4">
        <w:rPr>
          <w:rFonts w:asciiTheme="minorBidi" w:hAnsiTheme="minorBidi"/>
        </w:rPr>
        <w:t xml:space="preserve"> au CIC</w:t>
      </w:r>
      <w:r w:rsidRPr="001D4B80">
        <w:rPr>
          <w:rFonts w:asciiTheme="minorBidi" w:hAnsiTheme="minorBidi"/>
        </w:rPr>
        <w:t xml:space="preserve"> et la part du coût de la Section des recettes aux finances;  et b) attribution aux unions des autres coûts “administratifs directs” sur la base de leur part relative dans l</w:t>
      </w:r>
      <w:r>
        <w:rPr>
          <w:rFonts w:asciiTheme="minorBidi" w:hAnsiTheme="minorBidi"/>
        </w:rPr>
        <w:t>’</w:t>
      </w:r>
      <w:r w:rsidRPr="001D4B80">
        <w:rPr>
          <w:rFonts w:asciiTheme="minorBidi" w:hAnsiTheme="minorBidi"/>
        </w:rPr>
        <w:t>effectif</w:t>
      </w:r>
      <w:r>
        <w:rPr>
          <w:rFonts w:asciiTheme="minorBidi" w:hAnsiTheme="minorBidi"/>
        </w:rPr>
        <w:t xml:space="preserve">.  </w:t>
      </w:r>
      <w:r w:rsidRPr="001D4B80">
        <w:rPr>
          <w:rFonts w:asciiTheme="minorBidi" w:hAnsiTheme="minorBidi"/>
        </w:rPr>
        <w:t xml:space="preserve">Les dépenses administratives connexes qui ne sont pas attribuées en tant que dépenses “administratives directes” sont réparties en tant que dépenses “administratives indirectes” sur la base du principe de la “capacité </w:t>
      </w:r>
      <w:r w:rsidR="00C21B9B">
        <w:rPr>
          <w:rFonts w:asciiTheme="minorBidi" w:hAnsiTheme="minorBidi"/>
        </w:rPr>
        <w:t>de paiement</w:t>
      </w:r>
      <w:r w:rsidRPr="001D4B80">
        <w:rPr>
          <w:rFonts w:asciiTheme="minorBidi" w:hAnsiTheme="minorBidi"/>
        </w:rPr>
        <w:t>”</w:t>
      </w:r>
      <w:r>
        <w:rPr>
          <w:rFonts w:asciiTheme="minorBidi" w:hAnsiTheme="minorBidi"/>
        </w:rPr>
        <w:t> :</w:t>
      </w:r>
    </w:p>
    <w:p w14:paraId="3F1C878E" w14:textId="77777777" w:rsidR="00616FD3" w:rsidRPr="00E740B8" w:rsidRDefault="00616FD3" w:rsidP="00616FD3">
      <w:pPr>
        <w:rPr>
          <w:rFonts w:asciiTheme="minorBidi" w:hAnsiTheme="minorBidi"/>
        </w:rPr>
      </w:pPr>
    </w:p>
    <w:tbl>
      <w:tblPr>
        <w:tblStyle w:val="TableGrid"/>
        <w:tblW w:w="43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987"/>
      </w:tblGrid>
      <w:tr w:rsidR="00616FD3" w:rsidRPr="00E740B8" w14:paraId="5D7A2345" w14:textId="77777777" w:rsidTr="00616FD3">
        <w:trPr>
          <w:cantSplit/>
          <w:jc w:val="center"/>
        </w:trPr>
        <w:tc>
          <w:tcPr>
            <w:tcW w:w="9287" w:type="dxa"/>
            <w:shd w:val="clear" w:color="auto" w:fill="C6D9F1" w:themeFill="text2" w:themeFillTint="33"/>
            <w:vAlign w:val="center"/>
          </w:tcPr>
          <w:p w14:paraId="44892C6D" w14:textId="77777777" w:rsidR="00616FD3" w:rsidRPr="00E740B8" w:rsidRDefault="00616FD3" w:rsidP="00616FD3">
            <w:pPr>
              <w:jc w:val="center"/>
              <w:rPr>
                <w:rFonts w:asciiTheme="minorBidi" w:hAnsiTheme="minorBidi"/>
                <w:color w:val="4F81BD" w:themeColor="accent1"/>
                <w:sz w:val="18"/>
                <w:szCs w:val="18"/>
              </w:rPr>
            </w:pPr>
            <w:r w:rsidRPr="001D4B80">
              <w:rPr>
                <w:rFonts w:asciiTheme="minorBidi" w:hAnsiTheme="minorBidi"/>
                <w:sz w:val="18"/>
                <w:szCs w:val="18"/>
              </w:rPr>
              <w:t>Dépenses administratives directes/indirectes</w:t>
            </w:r>
          </w:p>
        </w:tc>
      </w:tr>
      <w:tr w:rsidR="00616FD3" w:rsidRPr="00E740B8" w14:paraId="0294CDF1" w14:textId="77777777" w:rsidTr="00616FD3">
        <w:trPr>
          <w:cantSplit/>
          <w:jc w:val="center"/>
        </w:trPr>
        <w:tc>
          <w:tcPr>
            <w:tcW w:w="9287" w:type="dxa"/>
            <w:vAlign w:val="center"/>
          </w:tcPr>
          <w:p w14:paraId="31A7E775" w14:textId="77777777" w:rsidR="00616FD3" w:rsidRPr="00E740B8" w:rsidRDefault="00616FD3" w:rsidP="00616FD3">
            <w:pPr>
              <w:pStyle w:val="ListParagraph"/>
              <w:ind w:left="0"/>
              <w:rPr>
                <w:rFonts w:asciiTheme="minorBidi" w:hAnsiTheme="minorBidi"/>
                <w:sz w:val="8"/>
                <w:szCs w:val="8"/>
              </w:rPr>
            </w:pPr>
          </w:p>
          <w:p w14:paraId="116741BB"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 xml:space="preserve">Programme 21 </w:t>
            </w:r>
            <w:r w:rsidRPr="001D4B80">
              <w:rPr>
                <w:rFonts w:asciiTheme="minorBidi" w:hAnsiTheme="minorBidi" w:cs="Arial"/>
                <w:sz w:val="18"/>
                <w:szCs w:val="18"/>
                <w:cs/>
              </w:rPr>
              <w:t>‎</w:t>
            </w:r>
            <w:r w:rsidRPr="001D4B80">
              <w:rPr>
                <w:rFonts w:asciiTheme="minorBidi" w:hAnsiTheme="minorBidi"/>
                <w:sz w:val="18"/>
                <w:szCs w:val="18"/>
                <w:rtl/>
                <w:cs/>
              </w:rPr>
              <w:t>(Direction générale)</w:t>
            </w:r>
          </w:p>
          <w:p w14:paraId="41516EB0"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Programme 22 (</w:t>
            </w:r>
            <w:r w:rsidRPr="001D4B80">
              <w:rPr>
                <w:rFonts w:asciiTheme="minorBidi" w:hAnsiTheme="minorBidi" w:cs="Arial"/>
                <w:sz w:val="18"/>
                <w:szCs w:val="18"/>
                <w:rtl/>
              </w:rPr>
              <w:t>‏</w:t>
            </w:r>
            <w:r w:rsidRPr="001D4B80">
              <w:rPr>
                <w:rFonts w:asciiTheme="minorBidi" w:hAnsiTheme="minorBidi"/>
                <w:sz w:val="18"/>
                <w:szCs w:val="18"/>
              </w:rPr>
              <w:t>Gestion du programme et des ressources)</w:t>
            </w:r>
          </w:p>
          <w:p w14:paraId="6C1021EA"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Programme 23 (DGRH)</w:t>
            </w:r>
          </w:p>
          <w:p w14:paraId="41F1EEE4"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 xml:space="preserve">Programme 24 </w:t>
            </w:r>
            <w:r w:rsidRPr="001D4B80">
              <w:rPr>
                <w:rFonts w:asciiTheme="minorBidi" w:hAnsiTheme="minorBidi" w:cs="Arial"/>
                <w:sz w:val="18"/>
                <w:szCs w:val="18"/>
                <w:cs/>
              </w:rPr>
              <w:t>‎</w:t>
            </w:r>
            <w:r w:rsidRPr="001D4B80">
              <w:rPr>
                <w:rFonts w:asciiTheme="minorBidi" w:hAnsiTheme="minorBidi"/>
                <w:sz w:val="18"/>
                <w:szCs w:val="18"/>
                <w:rtl/>
                <w:cs/>
              </w:rPr>
              <w:t>(Services d</w:t>
            </w:r>
            <w:r>
              <w:rPr>
                <w:rFonts w:asciiTheme="minorBidi" w:hAnsiTheme="minorBidi"/>
                <w:sz w:val="18"/>
                <w:szCs w:val="18"/>
              </w:rPr>
              <w:t>’</w:t>
            </w:r>
            <w:r w:rsidRPr="001D4B80">
              <w:rPr>
                <w:rFonts w:asciiTheme="minorBidi" w:hAnsiTheme="minorBidi"/>
                <w:sz w:val="18"/>
                <w:szCs w:val="18"/>
              </w:rPr>
              <w:t>appui généraux)</w:t>
            </w:r>
          </w:p>
          <w:p w14:paraId="7966756B"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Programme 25 (TIC)</w:t>
            </w:r>
          </w:p>
          <w:p w14:paraId="6AB38CD8"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 xml:space="preserve">Programme 26 </w:t>
            </w:r>
            <w:r w:rsidRPr="001D4B80">
              <w:rPr>
                <w:rFonts w:asciiTheme="minorBidi" w:hAnsiTheme="minorBidi" w:cs="Arial"/>
                <w:sz w:val="18"/>
                <w:szCs w:val="18"/>
                <w:cs/>
              </w:rPr>
              <w:t>‎</w:t>
            </w:r>
            <w:r w:rsidRPr="001D4B80">
              <w:rPr>
                <w:rFonts w:asciiTheme="minorBidi" w:hAnsiTheme="minorBidi"/>
                <w:sz w:val="18"/>
                <w:szCs w:val="18"/>
                <w:rtl/>
                <w:cs/>
              </w:rPr>
              <w:t>(Supervision interne)</w:t>
            </w:r>
          </w:p>
          <w:p w14:paraId="052F27CB"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 xml:space="preserve">Programme 27 </w:t>
            </w:r>
            <w:r w:rsidRPr="001D4B80">
              <w:rPr>
                <w:rFonts w:asciiTheme="minorBidi" w:hAnsiTheme="minorBidi" w:cs="Arial"/>
                <w:sz w:val="18"/>
                <w:szCs w:val="18"/>
                <w:cs/>
              </w:rPr>
              <w:t>‎</w:t>
            </w:r>
            <w:r w:rsidRPr="001D4B80">
              <w:rPr>
                <w:rFonts w:asciiTheme="minorBidi" w:hAnsiTheme="minorBidi"/>
                <w:sz w:val="18"/>
                <w:szCs w:val="18"/>
                <w:rtl/>
                <w:cs/>
              </w:rPr>
              <w:t>(Services de conférence et services linguistiques)</w:t>
            </w:r>
          </w:p>
          <w:p w14:paraId="7D164ABE" w14:textId="77777777" w:rsidR="00616FD3" w:rsidRPr="00E740B8" w:rsidRDefault="00616FD3" w:rsidP="00616FD3">
            <w:pPr>
              <w:pStyle w:val="ListParagraph"/>
              <w:ind w:left="0"/>
              <w:rPr>
                <w:rFonts w:asciiTheme="minorBidi" w:hAnsiTheme="minorBidi"/>
                <w:sz w:val="18"/>
                <w:szCs w:val="18"/>
              </w:rPr>
            </w:pPr>
            <w:r w:rsidRPr="001D4B80">
              <w:rPr>
                <w:rFonts w:asciiTheme="minorBidi" w:hAnsiTheme="minorBidi"/>
                <w:sz w:val="18"/>
                <w:szCs w:val="18"/>
              </w:rPr>
              <w:t>Programme 28 (Sécurité de l</w:t>
            </w:r>
            <w:r>
              <w:rPr>
                <w:rFonts w:asciiTheme="minorBidi" w:hAnsiTheme="minorBidi"/>
                <w:sz w:val="18"/>
                <w:szCs w:val="18"/>
              </w:rPr>
              <w:t>’</w:t>
            </w:r>
            <w:r w:rsidRPr="001D4B80">
              <w:rPr>
                <w:rFonts w:asciiTheme="minorBidi" w:hAnsiTheme="minorBidi"/>
                <w:sz w:val="18"/>
                <w:szCs w:val="18"/>
              </w:rPr>
              <w:t>information, des biens et des personnes)</w:t>
            </w:r>
          </w:p>
          <w:p w14:paraId="5B3E5D79" w14:textId="77777777" w:rsidR="00616FD3" w:rsidRPr="00E740B8" w:rsidRDefault="00616FD3" w:rsidP="00616FD3">
            <w:pPr>
              <w:pStyle w:val="ListParagraph"/>
              <w:ind w:left="0"/>
              <w:rPr>
                <w:rFonts w:asciiTheme="minorBidi" w:hAnsiTheme="minorBidi"/>
                <w:color w:val="4F81BD" w:themeColor="accent1"/>
                <w:sz w:val="8"/>
                <w:szCs w:val="8"/>
              </w:rPr>
            </w:pPr>
          </w:p>
        </w:tc>
      </w:tr>
      <w:tr w:rsidR="00616FD3" w:rsidRPr="00E740B8" w14:paraId="0FB023B6" w14:textId="77777777" w:rsidTr="00616FD3">
        <w:trPr>
          <w:cantSplit/>
          <w:jc w:val="center"/>
        </w:trPr>
        <w:tc>
          <w:tcPr>
            <w:tcW w:w="9287" w:type="dxa"/>
            <w:shd w:val="clear" w:color="auto" w:fill="C6D9F1" w:themeFill="text2" w:themeFillTint="33"/>
            <w:vAlign w:val="center"/>
          </w:tcPr>
          <w:p w14:paraId="21AD4801" w14:textId="77777777" w:rsidR="00616FD3" w:rsidRPr="00E740B8" w:rsidRDefault="00616FD3" w:rsidP="00616FD3">
            <w:pPr>
              <w:pStyle w:val="ListParagraph"/>
              <w:ind w:left="0"/>
              <w:jc w:val="center"/>
              <w:rPr>
                <w:rFonts w:asciiTheme="minorBidi" w:hAnsiTheme="minorBidi"/>
                <w:sz w:val="8"/>
                <w:szCs w:val="8"/>
              </w:rPr>
            </w:pPr>
          </w:p>
        </w:tc>
      </w:tr>
    </w:tbl>
    <w:p w14:paraId="6290288F" w14:textId="77777777" w:rsidR="00616FD3" w:rsidRPr="00E740B8" w:rsidRDefault="00616FD3" w:rsidP="00616FD3">
      <w:pPr>
        <w:rPr>
          <w:rFonts w:asciiTheme="minorBidi" w:hAnsiTheme="minorBidi"/>
        </w:rPr>
      </w:pPr>
    </w:p>
    <w:p w14:paraId="4F70D4E2" w14:textId="77777777" w:rsidR="00616FD3" w:rsidRPr="00E740B8" w:rsidRDefault="00616FD3" w:rsidP="00616FD3">
      <w:pPr>
        <w:rPr>
          <w:rFonts w:asciiTheme="minorBidi" w:hAnsiTheme="minorBidi"/>
          <w:b/>
        </w:rPr>
      </w:pPr>
      <w:r w:rsidRPr="001D4B80">
        <w:rPr>
          <w:rFonts w:asciiTheme="minorBidi" w:hAnsiTheme="minorBidi"/>
          <w:b/>
        </w:rPr>
        <w:t>RÉPARTITION DES AJUSTEMENTS IPSAS PAR UNION</w:t>
      </w:r>
    </w:p>
    <w:p w14:paraId="36A3C143" w14:textId="77777777" w:rsidR="00616FD3" w:rsidRPr="00E740B8" w:rsidRDefault="00616FD3" w:rsidP="00616FD3">
      <w:pPr>
        <w:rPr>
          <w:rFonts w:asciiTheme="minorBidi" w:hAnsiTheme="minorBidi"/>
          <w:color w:val="1F497D"/>
        </w:rPr>
      </w:pPr>
    </w:p>
    <w:p w14:paraId="4339F50A" w14:textId="77777777" w:rsidR="00616FD3" w:rsidRDefault="00616FD3" w:rsidP="00616FD3">
      <w:pPr>
        <w:keepNext/>
        <w:keepLines/>
        <w:numPr>
          <w:ilvl w:val="0"/>
          <w:numId w:val="50"/>
        </w:numPr>
        <w:jc w:val="both"/>
        <w:rPr>
          <w:rFonts w:asciiTheme="minorBidi" w:hAnsiTheme="minorBidi"/>
        </w:rPr>
      </w:pPr>
      <w:r w:rsidRPr="001D4B80">
        <w:rPr>
          <w:rFonts w:asciiTheme="minorBidi" w:hAnsiTheme="minorBidi"/>
        </w:rPr>
        <w:t>Les ajustements IPSAS aux dépenses sont attribués au prorata entre les unions en fonction des ratios relatifs de dépenses</w:t>
      </w:r>
      <w:r>
        <w:rPr>
          <w:rFonts w:asciiTheme="minorBidi" w:hAnsiTheme="minorBidi"/>
        </w:rPr>
        <w:t xml:space="preserve">.  </w:t>
      </w:r>
      <w:r w:rsidRPr="001D4B80">
        <w:rPr>
          <w:rFonts w:asciiTheme="minorBidi" w:hAnsiTheme="minorBidi"/>
        </w:rPr>
        <w:t>Les ajustements IPSAS incluent les prestations au personnel après la cessation de service et l</w:t>
      </w:r>
      <w:r>
        <w:rPr>
          <w:rFonts w:asciiTheme="minorBidi" w:hAnsiTheme="minorBidi"/>
        </w:rPr>
        <w:t>’</w:t>
      </w:r>
      <w:r w:rsidRPr="001D4B80">
        <w:rPr>
          <w:rFonts w:asciiTheme="minorBidi" w:hAnsiTheme="minorBidi"/>
        </w:rPr>
        <w:t>amortissement des bâtiments et de l</w:t>
      </w:r>
      <w:r>
        <w:rPr>
          <w:rFonts w:asciiTheme="minorBidi" w:hAnsiTheme="minorBidi"/>
        </w:rPr>
        <w:t>’</w:t>
      </w:r>
      <w:r w:rsidRPr="001D4B80">
        <w:rPr>
          <w:rFonts w:asciiTheme="minorBidi" w:hAnsiTheme="minorBidi"/>
        </w:rPr>
        <w:t>équipement, des logiciels et des droits de superficie.</w:t>
      </w:r>
    </w:p>
    <w:p w14:paraId="217A6856" w14:textId="77777777" w:rsidR="00616FD3" w:rsidRPr="00E740B8" w:rsidRDefault="00616FD3" w:rsidP="00616FD3">
      <w:pPr>
        <w:keepNext/>
        <w:keepLines/>
        <w:jc w:val="both"/>
        <w:rPr>
          <w:rFonts w:asciiTheme="minorBidi" w:hAnsiTheme="minorBidi"/>
        </w:rPr>
      </w:pPr>
    </w:p>
    <w:p w14:paraId="70016DB3" w14:textId="77777777" w:rsidR="00616FD3" w:rsidRPr="00E740B8" w:rsidRDefault="00616FD3" w:rsidP="00616FD3">
      <w:pPr>
        <w:jc w:val="center"/>
        <w:rPr>
          <w:b/>
          <w:sz w:val="18"/>
          <w:szCs w:val="18"/>
        </w:rPr>
      </w:pPr>
      <w:r w:rsidRPr="001D4B80">
        <w:rPr>
          <w:b/>
          <w:sz w:val="18"/>
          <w:szCs w:val="18"/>
        </w:rPr>
        <w:t>Tableau</w:t>
      </w:r>
      <w:r>
        <w:rPr>
          <w:b/>
          <w:sz w:val="18"/>
          <w:szCs w:val="18"/>
        </w:rPr>
        <w:t> </w:t>
      </w:r>
      <w:r w:rsidRPr="001D4B80">
        <w:rPr>
          <w:b/>
          <w:sz w:val="18"/>
          <w:szCs w:val="18"/>
        </w:rPr>
        <w:t>11.</w:t>
      </w:r>
      <w:r>
        <w:rPr>
          <w:b/>
          <w:sz w:val="18"/>
          <w:szCs w:val="18"/>
        </w:rPr>
        <w:t xml:space="preserve"> </w:t>
      </w:r>
      <w:r w:rsidRPr="001D4B80">
        <w:rPr>
          <w:b/>
          <w:sz w:val="18"/>
          <w:szCs w:val="18"/>
        </w:rPr>
        <w:t xml:space="preserve"> Scénario global par union</w:t>
      </w:r>
    </w:p>
    <w:p w14:paraId="01DA70A8" w14:textId="77777777" w:rsidR="00616FD3" w:rsidRPr="00E740B8" w:rsidRDefault="00616FD3" w:rsidP="00616FD3">
      <w:pPr>
        <w:keepNext/>
        <w:keepLines/>
        <w:jc w:val="center"/>
        <w:rPr>
          <w:i/>
          <w:sz w:val="18"/>
          <w:szCs w:val="18"/>
        </w:rPr>
      </w:pPr>
      <w:r w:rsidRPr="001D4B80">
        <w:rPr>
          <w:b/>
          <w:sz w:val="18"/>
          <w:szCs w:val="18"/>
        </w:rPr>
        <w:t>(</w:t>
      </w:r>
      <w:r w:rsidRPr="001D4B80">
        <w:rPr>
          <w:i/>
          <w:sz w:val="18"/>
          <w:szCs w:val="18"/>
        </w:rPr>
        <w:t>en milliers de francs suisses</w:t>
      </w:r>
      <w:r w:rsidRPr="001D4B80">
        <w:rPr>
          <w:b/>
          <w:sz w:val="18"/>
          <w:szCs w:val="18"/>
        </w:rPr>
        <w:t>)</w:t>
      </w:r>
    </w:p>
    <w:p w14:paraId="34207D7A" w14:textId="77777777" w:rsidR="00616FD3" w:rsidRPr="00E740B8" w:rsidRDefault="00616FD3" w:rsidP="00616FD3">
      <w:pPr>
        <w:rPr>
          <w:rFonts w:asciiTheme="minorBidi" w:hAnsiTheme="minorBidi"/>
          <w:bCs/>
        </w:rPr>
      </w:pPr>
    </w:p>
    <w:p w14:paraId="5D7A7DBF" w14:textId="2179419F" w:rsidR="00616FD3" w:rsidRPr="00E740B8" w:rsidRDefault="00BB3BF5" w:rsidP="00616FD3">
      <w:pPr>
        <w:rPr>
          <w:rFonts w:asciiTheme="minorBidi" w:hAnsiTheme="minorBidi"/>
          <w:bCs/>
        </w:rPr>
      </w:pPr>
      <w:r w:rsidRPr="00BB3BF5">
        <w:rPr>
          <w:noProof/>
          <w:lang w:val="en-US" w:eastAsia="en-US"/>
        </w:rPr>
        <w:drawing>
          <wp:inline distT="0" distB="0" distL="0" distR="0" wp14:anchorId="0D1E67FC" wp14:editId="79D1E1A9">
            <wp:extent cx="5760085" cy="2157956"/>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0085" cy="2157956"/>
                    </a:xfrm>
                    <a:prstGeom prst="rect">
                      <a:avLst/>
                    </a:prstGeom>
                    <a:noFill/>
                    <a:ln>
                      <a:noFill/>
                    </a:ln>
                  </pic:spPr>
                </pic:pic>
              </a:graphicData>
            </a:graphic>
          </wp:inline>
        </w:drawing>
      </w:r>
    </w:p>
    <w:p w14:paraId="3F3703B8" w14:textId="77777777" w:rsidR="00616FD3" w:rsidRPr="00E740B8" w:rsidRDefault="00616FD3" w:rsidP="00616FD3">
      <w:pPr>
        <w:spacing w:before="120"/>
        <w:rPr>
          <w:rFonts w:eastAsia="Times New Roman"/>
          <w:i/>
          <w:iCs/>
          <w:sz w:val="16"/>
          <w:szCs w:val="16"/>
          <w:lang w:eastAsia="en-US"/>
        </w:rPr>
      </w:pPr>
      <w:r w:rsidRPr="001D4B80">
        <w:rPr>
          <w:rFonts w:eastAsia="Times New Roman"/>
          <w:i/>
          <w:iCs/>
          <w:sz w:val="16"/>
          <w:szCs w:val="16"/>
          <w:lang w:eastAsia="en-US"/>
        </w:rPr>
        <w:t>*</w:t>
      </w:r>
      <w:r w:rsidRPr="001D4B80">
        <w:rPr>
          <w:rFonts w:eastAsia="Times New Roman"/>
          <w:iCs/>
          <w:sz w:val="16"/>
          <w:szCs w:val="16"/>
          <w:lang w:eastAsia="en-US"/>
        </w:rPr>
        <w:tab/>
      </w:r>
      <w:r w:rsidRPr="001D4B80">
        <w:rPr>
          <w:rFonts w:eastAsia="Times New Roman"/>
          <w:i/>
          <w:iCs/>
          <w:sz w:val="16"/>
          <w:szCs w:val="16"/>
          <w:lang w:eastAsia="en-US"/>
        </w:rPr>
        <w:t>Les niveaux visés</w:t>
      </w:r>
      <w:r w:rsidRPr="006926A4">
        <w:rPr>
          <w:rFonts w:eastAsia="Times New Roman"/>
          <w:i/>
          <w:iCs/>
          <w:sz w:val="16"/>
          <w:szCs w:val="16"/>
          <w:lang w:eastAsia="en-US"/>
        </w:rPr>
        <w:t xml:space="preserve"> des FRR</w:t>
      </w:r>
      <w:r w:rsidRPr="001D4B80">
        <w:rPr>
          <w:rFonts w:eastAsia="Times New Roman"/>
          <w:i/>
          <w:iCs/>
          <w:sz w:val="16"/>
          <w:szCs w:val="16"/>
          <w:lang w:eastAsia="en-US"/>
        </w:rPr>
        <w:t xml:space="preserve"> sont calculés en pourcentage des dépenses sur l</w:t>
      </w:r>
      <w:r>
        <w:rPr>
          <w:rFonts w:eastAsia="Times New Roman"/>
          <w:i/>
          <w:iCs/>
          <w:sz w:val="16"/>
          <w:szCs w:val="16"/>
          <w:lang w:eastAsia="en-US"/>
        </w:rPr>
        <w:t>’</w:t>
      </w:r>
      <w:r w:rsidRPr="001D4B80">
        <w:rPr>
          <w:rFonts w:eastAsia="Times New Roman"/>
          <w:i/>
          <w:iCs/>
          <w:sz w:val="16"/>
          <w:szCs w:val="16"/>
          <w:lang w:eastAsia="en-US"/>
        </w:rPr>
        <w:t>exercice biennal pour chaque union.</w:t>
      </w:r>
    </w:p>
    <w:p w14:paraId="3C9682EF" w14:textId="77777777" w:rsidR="00616FD3" w:rsidRPr="00E740B8" w:rsidRDefault="00616FD3" w:rsidP="00616FD3">
      <w:pPr>
        <w:rPr>
          <w:rFonts w:asciiTheme="minorBidi" w:hAnsiTheme="minorBidi"/>
          <w:bCs/>
        </w:rPr>
      </w:pPr>
    </w:p>
    <w:p w14:paraId="630B015E" w14:textId="77777777" w:rsidR="00616FD3" w:rsidRPr="00E740B8" w:rsidRDefault="00616FD3" w:rsidP="00B0098E">
      <w:pPr>
        <w:keepNext/>
        <w:jc w:val="center"/>
        <w:rPr>
          <w:b/>
          <w:sz w:val="18"/>
          <w:szCs w:val="18"/>
        </w:rPr>
      </w:pPr>
      <w:r w:rsidRPr="001D4B80">
        <w:rPr>
          <w:b/>
          <w:sz w:val="18"/>
          <w:szCs w:val="18"/>
        </w:rPr>
        <w:t>Tableau</w:t>
      </w:r>
      <w:r>
        <w:rPr>
          <w:b/>
          <w:sz w:val="18"/>
          <w:szCs w:val="18"/>
        </w:rPr>
        <w:t> </w:t>
      </w:r>
      <w:r w:rsidRPr="001D4B80">
        <w:rPr>
          <w:b/>
          <w:sz w:val="18"/>
          <w:szCs w:val="18"/>
        </w:rPr>
        <w:t>12</w:t>
      </w:r>
      <w:r>
        <w:rPr>
          <w:b/>
          <w:sz w:val="18"/>
          <w:szCs w:val="18"/>
        </w:rPr>
        <w:t> :</w:t>
      </w:r>
      <w:r w:rsidRPr="001D4B80">
        <w:rPr>
          <w:b/>
          <w:sz w:val="18"/>
          <w:szCs w:val="18"/>
        </w:rPr>
        <w:t xml:space="preserve"> Recettes prévisionnelles par union</w:t>
      </w:r>
    </w:p>
    <w:p w14:paraId="38406411" w14:textId="77777777" w:rsidR="00616FD3" w:rsidRPr="00E740B8" w:rsidRDefault="00616FD3" w:rsidP="00B0098E">
      <w:pPr>
        <w:keepNext/>
        <w:keepLines/>
        <w:jc w:val="center"/>
        <w:rPr>
          <w:i/>
          <w:sz w:val="18"/>
          <w:szCs w:val="18"/>
        </w:rPr>
      </w:pPr>
      <w:r w:rsidRPr="001D4B80">
        <w:rPr>
          <w:b/>
          <w:sz w:val="18"/>
          <w:szCs w:val="18"/>
        </w:rPr>
        <w:t>(</w:t>
      </w:r>
      <w:r w:rsidRPr="001D4B80">
        <w:rPr>
          <w:i/>
          <w:sz w:val="18"/>
          <w:szCs w:val="18"/>
        </w:rPr>
        <w:t>en milliers de francs suisses</w:t>
      </w:r>
      <w:r w:rsidRPr="001D4B80">
        <w:rPr>
          <w:b/>
          <w:sz w:val="18"/>
          <w:szCs w:val="18"/>
        </w:rPr>
        <w:t>)</w:t>
      </w:r>
    </w:p>
    <w:p w14:paraId="194BAFC1" w14:textId="77777777" w:rsidR="00616FD3" w:rsidRPr="00E740B8" w:rsidRDefault="00616FD3" w:rsidP="00B0098E">
      <w:pPr>
        <w:keepNext/>
        <w:rPr>
          <w:rFonts w:asciiTheme="minorBidi" w:hAnsiTheme="minorBidi"/>
          <w:bCs/>
        </w:rPr>
      </w:pPr>
    </w:p>
    <w:p w14:paraId="07A22ED9" w14:textId="28ABD637" w:rsidR="00616FD3" w:rsidRPr="00E740B8" w:rsidRDefault="00BB3BF5" w:rsidP="00616FD3">
      <w:pPr>
        <w:rPr>
          <w:rFonts w:asciiTheme="minorBidi" w:hAnsiTheme="minorBidi"/>
          <w:bCs/>
        </w:rPr>
      </w:pPr>
      <w:r w:rsidRPr="00BB3BF5">
        <w:rPr>
          <w:noProof/>
          <w:lang w:val="en-US" w:eastAsia="en-US"/>
        </w:rPr>
        <w:drawing>
          <wp:inline distT="0" distB="0" distL="0" distR="0" wp14:anchorId="692D5FE6" wp14:editId="4D82139A">
            <wp:extent cx="5760085" cy="1168381"/>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085" cy="1168381"/>
                    </a:xfrm>
                    <a:prstGeom prst="rect">
                      <a:avLst/>
                    </a:prstGeom>
                    <a:noFill/>
                    <a:ln>
                      <a:noFill/>
                    </a:ln>
                  </pic:spPr>
                </pic:pic>
              </a:graphicData>
            </a:graphic>
          </wp:inline>
        </w:drawing>
      </w:r>
    </w:p>
    <w:p w14:paraId="3B7011E6" w14:textId="77777777" w:rsidR="00616FD3" w:rsidRPr="00E740B8" w:rsidRDefault="00616FD3" w:rsidP="00616FD3">
      <w:pPr>
        <w:rPr>
          <w:rFonts w:asciiTheme="minorBidi" w:hAnsiTheme="minorBidi"/>
          <w:bCs/>
        </w:rPr>
      </w:pPr>
    </w:p>
    <w:p w14:paraId="556B867C" w14:textId="77777777" w:rsidR="00616FD3" w:rsidRPr="00E740B8" w:rsidRDefault="00616FD3" w:rsidP="00616FD3">
      <w:pPr>
        <w:rPr>
          <w:rFonts w:asciiTheme="minorBidi" w:hAnsiTheme="minorBidi"/>
        </w:rPr>
        <w:sectPr w:rsidR="00616FD3" w:rsidRPr="00E740B8" w:rsidSect="00B0098E">
          <w:endnotePr>
            <w:numFmt w:val="decimal"/>
          </w:endnotePr>
          <w:pgSz w:w="11907" w:h="16840" w:code="9"/>
          <w:pgMar w:top="624" w:right="1418" w:bottom="1418" w:left="1418" w:header="510" w:footer="1021" w:gutter="0"/>
          <w:cols w:space="720"/>
          <w:docGrid w:linePitch="299"/>
        </w:sectPr>
      </w:pPr>
    </w:p>
    <w:p w14:paraId="19132C66" w14:textId="77777777" w:rsidR="00616FD3" w:rsidRPr="00E740B8" w:rsidRDefault="00616FD3" w:rsidP="00616FD3">
      <w:pPr>
        <w:jc w:val="center"/>
        <w:rPr>
          <w:b/>
          <w:sz w:val="18"/>
          <w:szCs w:val="18"/>
        </w:rPr>
      </w:pPr>
      <w:r w:rsidRPr="001D4B80">
        <w:rPr>
          <w:b/>
          <w:sz w:val="18"/>
          <w:szCs w:val="18"/>
        </w:rPr>
        <w:lastRenderedPageBreak/>
        <w:t>Tableau</w:t>
      </w:r>
      <w:r>
        <w:rPr>
          <w:b/>
          <w:sz w:val="18"/>
          <w:szCs w:val="18"/>
        </w:rPr>
        <w:t> </w:t>
      </w:r>
      <w:r w:rsidRPr="001D4B80">
        <w:rPr>
          <w:b/>
          <w:sz w:val="18"/>
          <w:szCs w:val="18"/>
        </w:rPr>
        <w:t xml:space="preserve">13. </w:t>
      </w:r>
      <w:r>
        <w:rPr>
          <w:b/>
          <w:sz w:val="18"/>
          <w:szCs w:val="18"/>
        </w:rPr>
        <w:t xml:space="preserve"> </w:t>
      </w:r>
      <w:r w:rsidRPr="001D4B80">
        <w:rPr>
          <w:b/>
          <w:sz w:val="18"/>
          <w:szCs w:val="18"/>
        </w:rPr>
        <w:t>Budget par programme et par union</w:t>
      </w:r>
    </w:p>
    <w:p w14:paraId="0F9B075F" w14:textId="77777777" w:rsidR="00616FD3" w:rsidRPr="00E740B8" w:rsidRDefault="00616FD3" w:rsidP="00616FD3">
      <w:pPr>
        <w:keepNext/>
        <w:keepLines/>
        <w:jc w:val="center"/>
        <w:rPr>
          <w:i/>
          <w:sz w:val="18"/>
          <w:szCs w:val="18"/>
        </w:rPr>
      </w:pPr>
      <w:r w:rsidRPr="001D4B80">
        <w:rPr>
          <w:b/>
          <w:sz w:val="18"/>
          <w:szCs w:val="18"/>
        </w:rPr>
        <w:t>(</w:t>
      </w:r>
      <w:r w:rsidRPr="001D4B80">
        <w:rPr>
          <w:i/>
          <w:sz w:val="18"/>
          <w:szCs w:val="18"/>
        </w:rPr>
        <w:t>en milliers de francs suisses</w:t>
      </w:r>
      <w:r w:rsidRPr="001D4B80">
        <w:rPr>
          <w:b/>
          <w:sz w:val="18"/>
          <w:szCs w:val="18"/>
        </w:rPr>
        <w:t>)</w:t>
      </w:r>
    </w:p>
    <w:p w14:paraId="49767179" w14:textId="77777777" w:rsidR="00616FD3" w:rsidRPr="00E740B8" w:rsidRDefault="00616FD3" w:rsidP="00616FD3">
      <w:pPr>
        <w:keepNext/>
        <w:keepLines/>
        <w:jc w:val="center"/>
        <w:rPr>
          <w:i/>
          <w:sz w:val="18"/>
          <w:szCs w:val="18"/>
        </w:rPr>
      </w:pPr>
    </w:p>
    <w:p w14:paraId="5FEBFE01" w14:textId="7FB53317" w:rsidR="00616FD3" w:rsidRPr="00E740B8" w:rsidRDefault="00BB3BF5" w:rsidP="00616FD3">
      <w:pPr>
        <w:rPr>
          <w:lang w:eastAsia="en-US"/>
        </w:rPr>
      </w:pPr>
      <w:r w:rsidRPr="00BB3BF5">
        <w:rPr>
          <w:noProof/>
          <w:lang w:val="en-US" w:eastAsia="en-US"/>
        </w:rPr>
        <w:drawing>
          <wp:inline distT="0" distB="0" distL="0" distR="0" wp14:anchorId="34B8E3F5" wp14:editId="0471090F">
            <wp:extent cx="9072880" cy="5418983"/>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072880" cy="5418983"/>
                    </a:xfrm>
                    <a:prstGeom prst="rect">
                      <a:avLst/>
                    </a:prstGeom>
                    <a:noFill/>
                    <a:ln>
                      <a:noFill/>
                    </a:ln>
                  </pic:spPr>
                </pic:pic>
              </a:graphicData>
            </a:graphic>
          </wp:inline>
        </w:drawing>
      </w:r>
    </w:p>
    <w:p w14:paraId="7B7C5E67" w14:textId="77777777" w:rsidR="00616FD3" w:rsidRPr="00E740B8" w:rsidRDefault="00616FD3" w:rsidP="00616FD3">
      <w:pPr>
        <w:jc w:val="center"/>
        <w:rPr>
          <w:rFonts w:asciiTheme="minorBidi" w:hAnsiTheme="minorBidi"/>
          <w:iCs/>
          <w:caps/>
        </w:rPr>
      </w:pPr>
    </w:p>
    <w:p w14:paraId="6D3E80CA" w14:textId="77777777" w:rsidR="00616FD3" w:rsidRPr="00E740B8" w:rsidRDefault="00616FD3" w:rsidP="00616FD3">
      <w:pPr>
        <w:rPr>
          <w:rFonts w:asciiTheme="minorBidi" w:hAnsiTheme="minorBidi"/>
        </w:rPr>
        <w:sectPr w:rsidR="00616FD3" w:rsidRPr="00E740B8" w:rsidSect="00B0098E">
          <w:endnotePr>
            <w:numFmt w:val="decimal"/>
          </w:endnotePr>
          <w:pgSz w:w="16840" w:h="11907" w:orient="landscape" w:code="9"/>
          <w:pgMar w:top="624" w:right="1134" w:bottom="680" w:left="1418" w:header="510" w:footer="1021" w:gutter="0"/>
          <w:cols w:space="720"/>
          <w:docGrid w:linePitch="299"/>
        </w:sectPr>
      </w:pPr>
    </w:p>
    <w:p w14:paraId="2CA88B6A" w14:textId="06BE56DD" w:rsidR="00AA49D8" w:rsidRPr="00DC2CFC" w:rsidRDefault="00AA49D8" w:rsidP="00986700">
      <w:pPr>
        <w:pStyle w:val="Heading2"/>
      </w:pPr>
      <w:bookmarkStart w:id="91" w:name="_Toc482979518"/>
      <w:r w:rsidRPr="00DC2CFC">
        <w:lastRenderedPageBreak/>
        <w:t>ANNEXE</w:t>
      </w:r>
      <w:r>
        <w:t> </w:t>
      </w:r>
      <w:r w:rsidRPr="00DC2CFC">
        <w:t>IV</w:t>
      </w:r>
      <w:r w:rsidRPr="00DC2CFC">
        <w:tab/>
        <w:t xml:space="preserve">ÉVOLUTION À MOYEN TERME DE LA DEMANDE DE SERVICES AU TITRE DES SYSTÈMES DU PCT, DE MADRID ET DE </w:t>
      </w:r>
      <w:r>
        <w:t>LA HAYE</w:t>
      </w:r>
      <w:bookmarkEnd w:id="83"/>
      <w:bookmarkEnd w:id="84"/>
      <w:bookmarkEnd w:id="85"/>
      <w:bookmarkEnd w:id="86"/>
      <w:bookmarkEnd w:id="91"/>
    </w:p>
    <w:p w14:paraId="58F93427" w14:textId="77777777" w:rsidR="00AA49D8" w:rsidRPr="00DC2CFC" w:rsidRDefault="00AA49D8" w:rsidP="00986700">
      <w:pPr>
        <w:rPr>
          <w:rFonts w:cs="Arial"/>
        </w:rPr>
      </w:pPr>
    </w:p>
    <w:p w14:paraId="6B52A36B" w14:textId="77777777" w:rsidR="00AA49D8" w:rsidRPr="00DC2CFC" w:rsidRDefault="00AA49D8" w:rsidP="00986700">
      <w:pPr>
        <w:rPr>
          <w:rFonts w:cs="Arial"/>
        </w:rPr>
      </w:pPr>
    </w:p>
    <w:p w14:paraId="5C54253F" w14:textId="77777777" w:rsidR="00AA49D8" w:rsidRPr="00DC2CFC" w:rsidRDefault="00AA49D8" w:rsidP="00986700">
      <w:pPr>
        <w:jc w:val="both"/>
        <w:rPr>
          <w:rFonts w:cs="Arial"/>
          <w:b/>
        </w:rPr>
      </w:pPr>
      <w:r w:rsidRPr="00DC2CFC">
        <w:rPr>
          <w:rFonts w:cs="Arial"/>
          <w:b/>
        </w:rPr>
        <w:t>PCT</w:t>
      </w:r>
    </w:p>
    <w:p w14:paraId="2325D8F3" w14:textId="77777777" w:rsidR="00AA49D8" w:rsidRPr="00DC2CFC" w:rsidRDefault="00AA49D8" w:rsidP="00986700">
      <w:pPr>
        <w:jc w:val="both"/>
        <w:rPr>
          <w:rFonts w:cs="Arial"/>
          <w:b/>
        </w:rPr>
      </w:pPr>
    </w:p>
    <w:p w14:paraId="7E00ADCD" w14:textId="5DE0C68B" w:rsidR="00AA49D8" w:rsidRPr="00DC2CFC" w:rsidRDefault="00AA49D8" w:rsidP="00CF6859">
      <w:pPr>
        <w:numPr>
          <w:ilvl w:val="0"/>
          <w:numId w:val="99"/>
        </w:numPr>
        <w:jc w:val="both"/>
        <w:rPr>
          <w:rFonts w:cs="Arial"/>
        </w:rPr>
      </w:pPr>
      <w:r w:rsidRPr="00DC2CFC">
        <w:rPr>
          <w:rFonts w:cs="Arial"/>
        </w:rPr>
        <w:t>Le montant des recettes au titre</w:t>
      </w:r>
      <w:r w:rsidRPr="00977177">
        <w:rPr>
          <w:rFonts w:cs="Arial"/>
        </w:rPr>
        <w:t xml:space="preserve"> du PCT</w:t>
      </w:r>
      <w:r w:rsidRPr="00DC2CFC">
        <w:rPr>
          <w:rFonts w:cs="Arial"/>
        </w:rPr>
        <w:t xml:space="preserve"> est influencé par différents facteurs, dont la demande en faveur des services</w:t>
      </w:r>
      <w:r w:rsidRPr="00977177">
        <w:rPr>
          <w:rFonts w:cs="Arial"/>
        </w:rPr>
        <w:t xml:space="preserve"> du PCT</w:t>
      </w:r>
      <w:r w:rsidRPr="00DC2CFC">
        <w:rPr>
          <w:rFonts w:cs="Arial"/>
        </w:rPr>
        <w:t xml:space="preserve"> et la stratégie des déposants</w:t>
      </w:r>
      <w:r>
        <w:rPr>
          <w:rFonts w:cs="Arial"/>
        </w:rPr>
        <w:t xml:space="preserve">.  </w:t>
      </w:r>
      <w:r w:rsidRPr="00DC2CFC">
        <w:rPr>
          <w:rFonts w:cs="Arial"/>
        </w:rPr>
        <w:t>La demande en faveur des services</w:t>
      </w:r>
      <w:r w:rsidRPr="00977177">
        <w:rPr>
          <w:rFonts w:cs="Arial"/>
        </w:rPr>
        <w:t xml:space="preserve"> du PCT</w:t>
      </w:r>
      <w:r w:rsidRPr="00DC2CFC">
        <w:rPr>
          <w:rFonts w:cs="Arial"/>
        </w:rPr>
        <w:t xml:space="preserve"> est quant à elle influencée par un certain nombre de facteurs internes ou externes au système des brevets</w:t>
      </w:r>
      <w:r>
        <w:rPr>
          <w:rFonts w:cs="Arial"/>
        </w:rPr>
        <w:t xml:space="preserve">.  </w:t>
      </w:r>
      <w:r w:rsidRPr="00DC2CFC">
        <w:rPr>
          <w:rFonts w:cs="Arial"/>
        </w:rPr>
        <w:t>Les facteurs externes comprennent la situation de l</w:t>
      </w:r>
      <w:r>
        <w:rPr>
          <w:rFonts w:cs="Arial"/>
        </w:rPr>
        <w:t>’</w:t>
      </w:r>
      <w:r w:rsidRPr="00DC2CFC">
        <w:rPr>
          <w:rFonts w:cs="Arial"/>
        </w:rPr>
        <w:t>économie au niveau mondial et dans les pays où la demande est la plus forte et s</w:t>
      </w:r>
      <w:r>
        <w:rPr>
          <w:rFonts w:cs="Arial"/>
        </w:rPr>
        <w:t>’</w:t>
      </w:r>
      <w:r w:rsidRPr="00DC2CFC">
        <w:rPr>
          <w:rFonts w:cs="Arial"/>
        </w:rPr>
        <w:t>accroît le plus rapidement, le montant des investissements dans la recherche</w:t>
      </w:r>
      <w:r w:rsidR="00B441CA">
        <w:rPr>
          <w:rFonts w:cs="Arial"/>
        </w:rPr>
        <w:noBreakHyphen/>
      </w:r>
      <w:r w:rsidRPr="00DC2CFC">
        <w:rPr>
          <w:rFonts w:cs="Arial"/>
        </w:rPr>
        <w:t>développement, la confiance dans la technologie et les fluctuations des taux de change</w:t>
      </w:r>
      <w:r>
        <w:rPr>
          <w:rFonts w:cs="Arial"/>
        </w:rPr>
        <w:t xml:space="preserve">.  </w:t>
      </w:r>
      <w:r w:rsidRPr="00DC2CFC">
        <w:rPr>
          <w:rFonts w:cs="Arial"/>
        </w:rPr>
        <w:t>Les facteurs internes comprennent le montant des taxes</w:t>
      </w:r>
      <w:r w:rsidRPr="00977177">
        <w:rPr>
          <w:rFonts w:cs="Arial"/>
        </w:rPr>
        <w:t xml:space="preserve"> du PCT</w:t>
      </w:r>
      <w:r w:rsidRPr="00DC2CFC">
        <w:rPr>
          <w:rFonts w:cs="Arial"/>
        </w:rPr>
        <w:t xml:space="preserve"> par rapport aux autres systèmes de dépôt, l</w:t>
      </w:r>
      <w:r>
        <w:rPr>
          <w:rFonts w:cs="Arial"/>
        </w:rPr>
        <w:t>’</w:t>
      </w:r>
      <w:r w:rsidRPr="00DC2CFC">
        <w:rPr>
          <w:rFonts w:cs="Arial"/>
        </w:rPr>
        <w:t>attractivité et la valeur des services</w:t>
      </w:r>
      <w:r w:rsidRPr="00977177">
        <w:rPr>
          <w:rFonts w:cs="Arial"/>
        </w:rPr>
        <w:t xml:space="preserve"> du PCT</w:t>
      </w:r>
      <w:r w:rsidRPr="00DC2CFC">
        <w:rPr>
          <w:rFonts w:cs="Arial"/>
        </w:rPr>
        <w:t xml:space="preserve"> par rapport aux autres systèmes de dépôt, la confiance globale dans l</w:t>
      </w:r>
      <w:r>
        <w:rPr>
          <w:rFonts w:cs="Arial"/>
        </w:rPr>
        <w:t>’</w:t>
      </w:r>
      <w:r w:rsidRPr="00DC2CFC">
        <w:rPr>
          <w:rFonts w:cs="Arial"/>
        </w:rPr>
        <w:t>efficacité du système des brevets et les stratégies en matière de brevets appliquées par les entreprises.</w:t>
      </w:r>
    </w:p>
    <w:p w14:paraId="7B189545" w14:textId="77777777" w:rsidR="00AA49D8" w:rsidRPr="00DC2CFC" w:rsidRDefault="00AA49D8" w:rsidP="00986700">
      <w:pPr>
        <w:tabs>
          <w:tab w:val="num" w:pos="0"/>
        </w:tabs>
        <w:jc w:val="both"/>
        <w:rPr>
          <w:rFonts w:cs="Arial"/>
        </w:rPr>
      </w:pPr>
    </w:p>
    <w:p w14:paraId="79236562" w14:textId="77777777" w:rsidR="00AA49D8" w:rsidRPr="00DC2CFC" w:rsidRDefault="00AA49D8" w:rsidP="00CF6859">
      <w:pPr>
        <w:numPr>
          <w:ilvl w:val="0"/>
          <w:numId w:val="99"/>
        </w:numPr>
        <w:jc w:val="both"/>
        <w:rPr>
          <w:rFonts w:cs="Arial"/>
        </w:rPr>
      </w:pPr>
      <w:r w:rsidRPr="00DC2CFC">
        <w:rPr>
          <w:rFonts w:cs="Arial"/>
        </w:rPr>
        <w:t>Comment la stratégie des déposants influe sur les recettes au titre</w:t>
      </w:r>
      <w:r w:rsidRPr="00977177">
        <w:rPr>
          <w:rFonts w:cs="Arial"/>
        </w:rPr>
        <w:t xml:space="preserve"> du PCT</w:t>
      </w:r>
      <w:r>
        <w:rPr>
          <w:rFonts w:cs="Arial"/>
        </w:rPr>
        <w:t> :</w:t>
      </w:r>
    </w:p>
    <w:p w14:paraId="5DF56167" w14:textId="77777777" w:rsidR="00AA49D8" w:rsidRPr="00DC2CFC" w:rsidRDefault="00AA49D8" w:rsidP="00986700">
      <w:pPr>
        <w:pStyle w:val="BodyText"/>
        <w:tabs>
          <w:tab w:val="num" w:pos="567"/>
        </w:tabs>
        <w:spacing w:after="0"/>
        <w:jc w:val="both"/>
      </w:pPr>
    </w:p>
    <w:p w14:paraId="29A68F8D" w14:textId="77777777" w:rsidR="00AA49D8" w:rsidRPr="00DC2CFC" w:rsidRDefault="00AA49D8" w:rsidP="00986700">
      <w:pPr>
        <w:ind w:left="567"/>
      </w:pPr>
      <w:r w:rsidRPr="00DC2CFC">
        <w:t>i)</w:t>
      </w:r>
      <w:r w:rsidRPr="00DC2CFC">
        <w:tab/>
      </w:r>
      <w:r w:rsidRPr="00DC2CFC">
        <w:rPr>
          <w:u w:val="single"/>
        </w:rPr>
        <w:t>Taxe par feuille</w:t>
      </w:r>
      <w:r>
        <w:t> :</w:t>
      </w:r>
      <w:r w:rsidRPr="00DC2CFC">
        <w:t xml:space="preserve"> Le Bureau international reçoit 15</w:t>
      </w:r>
      <w:r>
        <w:t> </w:t>
      </w:r>
      <w:r w:rsidRPr="00DC2CFC">
        <w:t>francs suisses par feuille à compter de la trente</w:t>
      </w:r>
      <w:r>
        <w:t> et unième</w:t>
      </w:r>
      <w:r w:rsidRPr="00DC2CFC">
        <w:t xml:space="preserve"> figurant dans la demande;</w:t>
      </w:r>
    </w:p>
    <w:p w14:paraId="75DDD39C" w14:textId="77777777" w:rsidR="00AA49D8" w:rsidRPr="00DC2CFC" w:rsidRDefault="00AA49D8" w:rsidP="00986700">
      <w:pPr>
        <w:ind w:left="567"/>
      </w:pPr>
    </w:p>
    <w:p w14:paraId="5A0BFB23" w14:textId="77777777" w:rsidR="00AA49D8" w:rsidRPr="00DC2CFC" w:rsidRDefault="00AA49D8" w:rsidP="00986700">
      <w:pPr>
        <w:ind w:left="567"/>
      </w:pPr>
      <w:r w:rsidRPr="00DC2CFC">
        <w:t>ii)</w:t>
      </w:r>
      <w:r w:rsidRPr="00DC2CFC">
        <w:tab/>
      </w:r>
      <w:r w:rsidRPr="00DC2CFC">
        <w:rPr>
          <w:u w:val="single"/>
        </w:rPr>
        <w:t>Examen préliminaire</w:t>
      </w:r>
      <w:r w:rsidRPr="00DC2CFC">
        <w:t xml:space="preserve"> international</w:t>
      </w:r>
      <w:r>
        <w:t> :</w:t>
      </w:r>
      <w:r w:rsidRPr="00DC2CFC">
        <w:t xml:space="preserve"> Les déposants qui demandent l</w:t>
      </w:r>
      <w:r>
        <w:t>’</w:t>
      </w:r>
      <w:r w:rsidRPr="00DC2CFC">
        <w:t>examen préliminaire international prévu au chapitre</w:t>
      </w:r>
      <w:r>
        <w:t> </w:t>
      </w:r>
      <w:r w:rsidRPr="00DC2CFC">
        <w:t>II</w:t>
      </w:r>
      <w:r w:rsidRPr="00977177">
        <w:t xml:space="preserve"> du PCT</w:t>
      </w:r>
      <w:r w:rsidRPr="00DC2CFC">
        <w:t xml:space="preserve"> doivent payer une taxe additionnelle (dénommée “taxe de traitement”);</w:t>
      </w:r>
    </w:p>
    <w:p w14:paraId="18AE441C" w14:textId="77777777" w:rsidR="00AA49D8" w:rsidRPr="00DC2CFC" w:rsidRDefault="00AA49D8" w:rsidP="00986700">
      <w:pPr>
        <w:ind w:left="567"/>
      </w:pPr>
    </w:p>
    <w:p w14:paraId="7077AA34" w14:textId="77777777" w:rsidR="00AA49D8" w:rsidRPr="00DC2CFC" w:rsidRDefault="00AA49D8" w:rsidP="00986700">
      <w:pPr>
        <w:ind w:left="567"/>
      </w:pPr>
      <w:r w:rsidRPr="00DC2CFC">
        <w:t>iii)</w:t>
      </w:r>
      <w:r w:rsidRPr="00DC2CFC">
        <w:tab/>
      </w:r>
      <w:r w:rsidRPr="00DC2CFC">
        <w:rPr>
          <w:u w:val="single"/>
        </w:rPr>
        <w:t>Dépôt électronique</w:t>
      </w:r>
      <w:r>
        <w:t> :</w:t>
      </w:r>
      <w:r w:rsidRPr="00DC2CFC">
        <w:t xml:space="preserve"> Les déposants qui ont recours au dépôt électronique (en lieu et place du dépôt sur papier) bénéficient de réductions;</w:t>
      </w:r>
    </w:p>
    <w:p w14:paraId="39C98A65" w14:textId="77777777" w:rsidR="00AA49D8" w:rsidRPr="00DC2CFC" w:rsidRDefault="00AA49D8" w:rsidP="00986700">
      <w:pPr>
        <w:ind w:left="567"/>
      </w:pPr>
    </w:p>
    <w:p w14:paraId="03CF2820" w14:textId="77777777" w:rsidR="00AA49D8" w:rsidRPr="00DC2CFC" w:rsidRDefault="00AA49D8" w:rsidP="00986700">
      <w:pPr>
        <w:ind w:left="567"/>
      </w:pPr>
      <w:r w:rsidRPr="00DC2CFC">
        <w:t>iv)</w:t>
      </w:r>
      <w:r w:rsidRPr="00DC2CFC">
        <w:tab/>
      </w:r>
      <w:r w:rsidRPr="00DC2CFC">
        <w:rPr>
          <w:u w:val="single"/>
        </w:rPr>
        <w:t>Bureau international agissant en tant qu</w:t>
      </w:r>
      <w:r>
        <w:rPr>
          <w:u w:val="single"/>
        </w:rPr>
        <w:t>’</w:t>
      </w:r>
      <w:r w:rsidRPr="00DC2CFC">
        <w:rPr>
          <w:u w:val="single"/>
        </w:rPr>
        <w:t>office récepteur</w:t>
      </w:r>
      <w:r>
        <w:t> :</w:t>
      </w:r>
      <w:r w:rsidRPr="00DC2CFC">
        <w:t xml:space="preserve"> Les déposants qui choisissent de déposer leur demande auprès du Bureau international agissant en tant qu</w:t>
      </w:r>
      <w:r>
        <w:t>’</w:t>
      </w:r>
      <w:r w:rsidRPr="00DC2CFC">
        <w:t>office récepteur doivent payer une taxe spéciale (dénommée “taxe de transmission”).</w:t>
      </w:r>
    </w:p>
    <w:p w14:paraId="3D430886" w14:textId="77777777" w:rsidR="00AA49D8" w:rsidRPr="00DC2CFC" w:rsidRDefault="00AA49D8" w:rsidP="00986700">
      <w:pPr>
        <w:pStyle w:val="BodyText"/>
        <w:spacing w:after="0"/>
        <w:jc w:val="both"/>
      </w:pPr>
    </w:p>
    <w:p w14:paraId="4FAADFA9" w14:textId="5BAD548E" w:rsidR="00AA49D8" w:rsidRPr="00DC2CFC" w:rsidRDefault="00AA49D8" w:rsidP="00CF6859">
      <w:pPr>
        <w:numPr>
          <w:ilvl w:val="0"/>
          <w:numId w:val="99"/>
        </w:numPr>
        <w:jc w:val="both"/>
        <w:rPr>
          <w:rFonts w:cs="Arial"/>
        </w:rPr>
      </w:pPr>
      <w:r w:rsidRPr="00DC2CFC">
        <w:rPr>
          <w:rFonts w:cs="Arial"/>
        </w:rPr>
        <w:t>Les paragraphes ci</w:t>
      </w:r>
      <w:r w:rsidR="00B441CA">
        <w:rPr>
          <w:rFonts w:cs="Arial"/>
        </w:rPr>
        <w:noBreakHyphen/>
      </w:r>
      <w:r w:rsidRPr="00DC2CFC">
        <w:rPr>
          <w:rFonts w:cs="Arial"/>
        </w:rPr>
        <w:t>après détaillent les prévisions actuelles concernant le niveau de la demande, le nombre de demandes d</w:t>
      </w:r>
      <w:r>
        <w:rPr>
          <w:rFonts w:cs="Arial"/>
        </w:rPr>
        <w:t>’</w:t>
      </w:r>
      <w:r w:rsidRPr="00DC2CFC">
        <w:rPr>
          <w:rFonts w:cs="Arial"/>
        </w:rPr>
        <w:t>examen préliminaire international selon le chapitre</w:t>
      </w:r>
      <w:r>
        <w:rPr>
          <w:rFonts w:cs="Arial"/>
        </w:rPr>
        <w:t> </w:t>
      </w:r>
      <w:r w:rsidRPr="00DC2CFC">
        <w:rPr>
          <w:rFonts w:cs="Arial"/>
        </w:rPr>
        <w:t>II, la proportion des dépôts électroniques et l</w:t>
      </w:r>
      <w:r>
        <w:rPr>
          <w:rFonts w:cs="Arial"/>
        </w:rPr>
        <w:t>’</w:t>
      </w:r>
      <w:r w:rsidRPr="00DC2CFC">
        <w:rPr>
          <w:rFonts w:cs="Arial"/>
        </w:rPr>
        <w:t>activité du Bureau international agissant en tant qu</w:t>
      </w:r>
      <w:r>
        <w:rPr>
          <w:rFonts w:cs="Arial"/>
        </w:rPr>
        <w:t>’</w:t>
      </w:r>
      <w:r w:rsidRPr="00DC2CFC">
        <w:rPr>
          <w:rFonts w:cs="Arial"/>
        </w:rPr>
        <w:t>office récepteur</w:t>
      </w:r>
      <w:r w:rsidRPr="00DC2CFC">
        <w:rPr>
          <w:rStyle w:val="FootnoteReference"/>
          <w:rFonts w:eastAsiaTheme="majorEastAsia" w:cs="Arial"/>
        </w:rPr>
        <w:footnoteReference w:id="44"/>
      </w:r>
      <w:r w:rsidRPr="00DC2CFC">
        <w:rPr>
          <w:rFonts w:cs="Arial"/>
        </w:rPr>
        <w:t>.</w:t>
      </w:r>
    </w:p>
    <w:p w14:paraId="69532E35" w14:textId="77777777" w:rsidR="00AA49D8" w:rsidRPr="00DC2CFC" w:rsidRDefault="00AA49D8" w:rsidP="00986700">
      <w:pPr>
        <w:jc w:val="both"/>
        <w:rPr>
          <w:rFonts w:cs="Arial"/>
        </w:rPr>
      </w:pPr>
    </w:p>
    <w:p w14:paraId="3720A2F6" w14:textId="77777777" w:rsidR="00AA49D8" w:rsidRPr="00DC2CFC" w:rsidRDefault="00AA49D8" w:rsidP="00986700">
      <w:pPr>
        <w:rPr>
          <w:rFonts w:cs="Arial"/>
        </w:rPr>
      </w:pPr>
    </w:p>
    <w:p w14:paraId="7A188CEF" w14:textId="77777777" w:rsidR="00AA49D8" w:rsidRPr="00DC2CFC" w:rsidRDefault="00AA49D8" w:rsidP="00986700">
      <w:pPr>
        <w:rPr>
          <w:rFonts w:cs="Arial"/>
          <w:i/>
        </w:rPr>
      </w:pPr>
      <w:r w:rsidRPr="00DC2CFC">
        <w:rPr>
          <w:rFonts w:cs="Arial"/>
          <w:i/>
        </w:rPr>
        <w:t>Prévisions relatives aux dépôts selon</w:t>
      </w:r>
      <w:r w:rsidRPr="00977177">
        <w:rPr>
          <w:rFonts w:cs="Arial"/>
          <w:i/>
        </w:rPr>
        <w:t xml:space="preserve"> le PCT</w:t>
      </w:r>
      <w:r w:rsidRPr="00DC2CFC">
        <w:rPr>
          <w:rFonts w:cs="Arial"/>
          <w:i/>
        </w:rPr>
        <w:t xml:space="preserve"> (demande)</w:t>
      </w:r>
    </w:p>
    <w:p w14:paraId="1AE3974D" w14:textId="77777777" w:rsidR="00AA49D8" w:rsidRPr="00DC2CFC" w:rsidRDefault="00AA49D8" w:rsidP="00986700">
      <w:pPr>
        <w:rPr>
          <w:rFonts w:cs="Arial"/>
        </w:rPr>
      </w:pPr>
    </w:p>
    <w:p w14:paraId="28301CCC" w14:textId="77777777" w:rsidR="00AA49D8" w:rsidRPr="00DC2CFC" w:rsidRDefault="00AA49D8" w:rsidP="00CF6859">
      <w:pPr>
        <w:numPr>
          <w:ilvl w:val="0"/>
          <w:numId w:val="99"/>
        </w:numPr>
        <w:jc w:val="both"/>
        <w:rPr>
          <w:rFonts w:cs="Arial"/>
        </w:rPr>
      </w:pPr>
      <w:r w:rsidRPr="00DC2CFC">
        <w:rPr>
          <w:rFonts w:cs="Arial"/>
        </w:rPr>
        <w:t>Le nombre des dépôts selon</w:t>
      </w:r>
      <w:r w:rsidRPr="00977177">
        <w:rPr>
          <w:rFonts w:cs="Arial"/>
        </w:rPr>
        <w:t xml:space="preserve"> le PCT</w:t>
      </w:r>
      <w:r w:rsidRPr="00DC2CFC">
        <w:rPr>
          <w:rFonts w:cs="Arial"/>
        </w:rPr>
        <w:t xml:space="preserve"> a fortement augmenté ces dernières années</w:t>
      </w:r>
      <w:r>
        <w:rPr>
          <w:rFonts w:cs="Arial"/>
        </w:rPr>
        <w:t xml:space="preserve">.  </w:t>
      </w:r>
      <w:r w:rsidRPr="00DC2CFC">
        <w:rPr>
          <w:rFonts w:cs="Arial"/>
        </w:rPr>
        <w:t>Le diagramme</w:t>
      </w:r>
      <w:r>
        <w:rPr>
          <w:rFonts w:cs="Arial"/>
        </w:rPr>
        <w:t> </w:t>
      </w:r>
      <w:r w:rsidRPr="00DC2CFC">
        <w:rPr>
          <w:rFonts w:cs="Arial"/>
        </w:rPr>
        <w:t>1 montre le nombre prévu des demandes selon</w:t>
      </w:r>
      <w:r w:rsidRPr="00977177">
        <w:rPr>
          <w:rFonts w:cs="Arial"/>
        </w:rPr>
        <w:t xml:space="preserve"> le PCT</w:t>
      </w:r>
      <w:r w:rsidRPr="00DC2CFC">
        <w:rPr>
          <w:rFonts w:cs="Arial"/>
        </w:rPr>
        <w:t xml:space="preserve"> pour les années</w:t>
      </w:r>
      <w:r>
        <w:rPr>
          <w:rFonts w:cs="Arial"/>
        </w:rPr>
        <w:t> </w:t>
      </w:r>
      <w:r w:rsidRPr="00DC2CFC">
        <w:rPr>
          <w:rFonts w:cs="Arial"/>
        </w:rPr>
        <w:t>2016 à 2019 (sur la base des données disponibles à la fin de janvier</w:t>
      </w:r>
      <w:r>
        <w:rPr>
          <w:rFonts w:cs="Arial"/>
        </w:rPr>
        <w:t> </w:t>
      </w:r>
      <w:r w:rsidRPr="00DC2CFC">
        <w:rPr>
          <w:rFonts w:cs="Arial"/>
        </w:rPr>
        <w:t>2017).</w:t>
      </w:r>
    </w:p>
    <w:p w14:paraId="58CD7DF2" w14:textId="77777777" w:rsidR="00AA49D8" w:rsidRPr="00DC2CFC" w:rsidRDefault="00AA49D8" w:rsidP="00986700">
      <w:pPr>
        <w:rPr>
          <w:rFonts w:cs="Arial"/>
        </w:rPr>
      </w:pPr>
    </w:p>
    <w:p w14:paraId="5E65A3D3" w14:textId="77777777" w:rsidR="00AA49D8" w:rsidRPr="00DC2CFC" w:rsidRDefault="00AA49D8" w:rsidP="00986700">
      <w:pPr>
        <w:keepNext/>
        <w:jc w:val="center"/>
        <w:rPr>
          <w:rFonts w:cs="Arial"/>
          <w:sz w:val="18"/>
          <w:szCs w:val="18"/>
        </w:rPr>
      </w:pPr>
      <w:r w:rsidRPr="00DC2CFC">
        <w:rPr>
          <w:rFonts w:cs="Arial"/>
          <w:sz w:val="18"/>
          <w:szCs w:val="18"/>
        </w:rPr>
        <w:lastRenderedPageBreak/>
        <w:t>Diagramme</w:t>
      </w:r>
      <w:r>
        <w:rPr>
          <w:rFonts w:cs="Arial"/>
          <w:sz w:val="18"/>
          <w:szCs w:val="18"/>
        </w:rPr>
        <w:t> </w:t>
      </w:r>
      <w:r w:rsidRPr="00DC2CFC">
        <w:rPr>
          <w:rFonts w:cs="Arial"/>
          <w:sz w:val="18"/>
          <w:szCs w:val="18"/>
        </w:rPr>
        <w:t>1.</w:t>
      </w:r>
      <w:r>
        <w:rPr>
          <w:rFonts w:cs="Arial"/>
          <w:sz w:val="18"/>
          <w:szCs w:val="18"/>
        </w:rPr>
        <w:t xml:space="preserve"> </w:t>
      </w:r>
      <w:r w:rsidRPr="00DC2CFC">
        <w:rPr>
          <w:rFonts w:cs="Arial"/>
          <w:sz w:val="18"/>
          <w:szCs w:val="18"/>
        </w:rPr>
        <w:t xml:space="preserve"> Demandes selon</w:t>
      </w:r>
      <w:r w:rsidRPr="00977177">
        <w:rPr>
          <w:rFonts w:cs="Arial"/>
          <w:sz w:val="18"/>
          <w:szCs w:val="18"/>
        </w:rPr>
        <w:t xml:space="preserve"> le PCT</w:t>
      </w:r>
      <w:r w:rsidRPr="00DC2CFC">
        <w:rPr>
          <w:rFonts w:cs="Arial"/>
          <w:sz w:val="18"/>
          <w:szCs w:val="18"/>
        </w:rPr>
        <w:t xml:space="preserve"> de</w:t>
      </w:r>
      <w:r>
        <w:rPr>
          <w:rFonts w:cs="Arial"/>
          <w:sz w:val="18"/>
          <w:szCs w:val="18"/>
        </w:rPr>
        <w:t> </w:t>
      </w:r>
      <w:r w:rsidRPr="00DC2CFC">
        <w:rPr>
          <w:rFonts w:cs="Arial"/>
          <w:sz w:val="18"/>
          <w:szCs w:val="18"/>
        </w:rPr>
        <w:t>2014 à 2019</w:t>
      </w:r>
    </w:p>
    <w:p w14:paraId="7C4AB99A" w14:textId="77777777" w:rsidR="00AA49D8" w:rsidRDefault="00AA49D8" w:rsidP="00986700">
      <w:pPr>
        <w:keepNext/>
        <w:rPr>
          <w:rFonts w:cs="Arial"/>
        </w:rPr>
      </w:pPr>
    </w:p>
    <w:p w14:paraId="59BF54FC" w14:textId="49034224" w:rsidR="00AA49D8" w:rsidRPr="00DC2CFC" w:rsidRDefault="007103EB" w:rsidP="00986700">
      <w:pPr>
        <w:jc w:val="center"/>
        <w:rPr>
          <w:rFonts w:cs="Arial"/>
        </w:rPr>
      </w:pPr>
      <w:r w:rsidRPr="007103EB">
        <w:rPr>
          <w:noProof/>
          <w:lang w:val="en-US" w:eastAsia="en-US"/>
        </w:rPr>
        <w:drawing>
          <wp:inline distT="0" distB="0" distL="0" distR="0" wp14:anchorId="27463C11" wp14:editId="6147985C">
            <wp:extent cx="4680000" cy="2604163"/>
            <wp:effectExtent l="0" t="0" r="635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80000" cy="2604163"/>
                    </a:xfrm>
                    <a:prstGeom prst="rect">
                      <a:avLst/>
                    </a:prstGeom>
                    <a:noFill/>
                    <a:ln>
                      <a:noFill/>
                    </a:ln>
                  </pic:spPr>
                </pic:pic>
              </a:graphicData>
            </a:graphic>
          </wp:inline>
        </w:drawing>
      </w:r>
    </w:p>
    <w:p w14:paraId="1C2C341F" w14:textId="77777777" w:rsidR="00AA49D8" w:rsidRDefault="00AA49D8" w:rsidP="00986700">
      <w:pPr>
        <w:jc w:val="center"/>
        <w:rPr>
          <w:rFonts w:cs="Arial"/>
        </w:rPr>
      </w:pPr>
    </w:p>
    <w:p w14:paraId="66D8444E" w14:textId="6F6580EC" w:rsidR="00AA49D8" w:rsidRPr="00DC2CFC" w:rsidRDefault="007103EB" w:rsidP="00986700">
      <w:pPr>
        <w:jc w:val="center"/>
        <w:rPr>
          <w:rFonts w:cs="Arial"/>
        </w:rPr>
      </w:pPr>
      <w:r w:rsidRPr="007103EB">
        <w:rPr>
          <w:noProof/>
          <w:lang w:val="en-US" w:eastAsia="en-US"/>
        </w:rPr>
        <w:drawing>
          <wp:inline distT="0" distB="0" distL="0" distR="0" wp14:anchorId="142FF71C" wp14:editId="5C74B09B">
            <wp:extent cx="5212800" cy="716400"/>
            <wp:effectExtent l="0" t="0" r="698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12800" cy="716400"/>
                    </a:xfrm>
                    <a:prstGeom prst="rect">
                      <a:avLst/>
                    </a:prstGeom>
                    <a:noFill/>
                    <a:ln>
                      <a:noFill/>
                    </a:ln>
                  </pic:spPr>
                </pic:pic>
              </a:graphicData>
            </a:graphic>
          </wp:inline>
        </w:drawing>
      </w:r>
    </w:p>
    <w:p w14:paraId="11C14346" w14:textId="77777777" w:rsidR="00AA49D8" w:rsidRPr="00DC2CFC" w:rsidRDefault="00AA49D8" w:rsidP="00986700">
      <w:pPr>
        <w:rPr>
          <w:rFonts w:cs="Arial"/>
        </w:rPr>
      </w:pPr>
    </w:p>
    <w:p w14:paraId="3E3E8D3A" w14:textId="2655EED5" w:rsidR="00AA49D8" w:rsidRPr="00DC2CFC" w:rsidRDefault="00AA49D8" w:rsidP="00CF6859">
      <w:pPr>
        <w:numPr>
          <w:ilvl w:val="0"/>
          <w:numId w:val="99"/>
        </w:numPr>
        <w:tabs>
          <w:tab w:val="left" w:pos="540"/>
        </w:tabs>
        <w:jc w:val="both"/>
        <w:rPr>
          <w:rFonts w:cs="Arial"/>
        </w:rPr>
      </w:pPr>
      <w:r w:rsidRPr="00DC2CFC">
        <w:rPr>
          <w:rFonts w:cs="Arial"/>
        </w:rPr>
        <w:t>Le diagramme</w:t>
      </w:r>
      <w:r>
        <w:rPr>
          <w:rFonts w:cs="Arial"/>
        </w:rPr>
        <w:t> </w:t>
      </w:r>
      <w:r w:rsidRPr="00DC2CFC">
        <w:rPr>
          <w:rFonts w:cs="Arial"/>
        </w:rPr>
        <w:t>2 ci</w:t>
      </w:r>
      <w:r w:rsidR="00B441CA">
        <w:rPr>
          <w:rFonts w:cs="Arial"/>
        </w:rPr>
        <w:noBreakHyphen/>
      </w:r>
      <w:r w:rsidRPr="00DC2CFC">
        <w:rPr>
          <w:rFonts w:cs="Arial"/>
        </w:rPr>
        <w:t>dessous montre les prévisions relatives aux dépôts par pays d</w:t>
      </w:r>
      <w:r>
        <w:rPr>
          <w:rFonts w:cs="Arial"/>
        </w:rPr>
        <w:t>’</w:t>
      </w:r>
      <w:r w:rsidRPr="00DC2CFC">
        <w:rPr>
          <w:rFonts w:cs="Arial"/>
        </w:rPr>
        <w:t>origine.</w:t>
      </w:r>
    </w:p>
    <w:p w14:paraId="00BCB7C6" w14:textId="77777777" w:rsidR="00AA49D8" w:rsidRPr="00DC2CFC" w:rsidRDefault="00AA49D8" w:rsidP="00986700">
      <w:pPr>
        <w:rPr>
          <w:rFonts w:cs="Arial"/>
        </w:rPr>
      </w:pPr>
    </w:p>
    <w:p w14:paraId="62E2E844" w14:textId="77777777" w:rsidR="00AA49D8" w:rsidRPr="00DC2CFC" w:rsidRDefault="00AA49D8" w:rsidP="00986700">
      <w:pPr>
        <w:jc w:val="center"/>
        <w:rPr>
          <w:rFonts w:cs="Arial"/>
        </w:rPr>
      </w:pPr>
      <w:r w:rsidRPr="00DC2CFC">
        <w:rPr>
          <w:rFonts w:cs="Arial"/>
          <w:sz w:val="18"/>
          <w:szCs w:val="18"/>
        </w:rPr>
        <w:t>Diagramme</w:t>
      </w:r>
      <w:r>
        <w:rPr>
          <w:rFonts w:cs="Arial"/>
          <w:sz w:val="18"/>
          <w:szCs w:val="18"/>
        </w:rPr>
        <w:t> </w:t>
      </w:r>
      <w:r w:rsidRPr="00DC2CFC">
        <w:rPr>
          <w:rFonts w:cs="Arial"/>
          <w:sz w:val="18"/>
          <w:szCs w:val="18"/>
        </w:rPr>
        <w:t xml:space="preserve">2. </w:t>
      </w:r>
      <w:r>
        <w:rPr>
          <w:rFonts w:cs="Arial"/>
          <w:sz w:val="18"/>
          <w:szCs w:val="18"/>
        </w:rPr>
        <w:t xml:space="preserve"> </w:t>
      </w:r>
      <w:r w:rsidRPr="00DC2CFC">
        <w:rPr>
          <w:rFonts w:cs="Arial"/>
          <w:sz w:val="18"/>
          <w:szCs w:val="18"/>
        </w:rPr>
        <w:t>Dépôts selon</w:t>
      </w:r>
      <w:r w:rsidRPr="00977177">
        <w:rPr>
          <w:rFonts w:cs="Arial"/>
          <w:sz w:val="18"/>
          <w:szCs w:val="18"/>
        </w:rPr>
        <w:t xml:space="preserve"> le PCT</w:t>
      </w:r>
      <w:r w:rsidRPr="00DC2CFC">
        <w:rPr>
          <w:rFonts w:cs="Arial"/>
          <w:sz w:val="18"/>
          <w:szCs w:val="18"/>
        </w:rPr>
        <w:t xml:space="preserve"> pour quelques pays de</w:t>
      </w:r>
      <w:r>
        <w:rPr>
          <w:rFonts w:cs="Arial"/>
          <w:sz w:val="18"/>
          <w:szCs w:val="18"/>
        </w:rPr>
        <w:t> </w:t>
      </w:r>
      <w:r w:rsidRPr="00DC2CFC">
        <w:rPr>
          <w:rFonts w:cs="Arial"/>
          <w:sz w:val="18"/>
          <w:szCs w:val="18"/>
        </w:rPr>
        <w:t>2016 à 2019</w:t>
      </w:r>
    </w:p>
    <w:p w14:paraId="35F56188" w14:textId="77777777" w:rsidR="00AA49D8" w:rsidRDefault="00AA49D8" w:rsidP="00986700">
      <w:pPr>
        <w:rPr>
          <w:rFonts w:cs="Arial"/>
        </w:rPr>
      </w:pPr>
    </w:p>
    <w:p w14:paraId="21AB61C5" w14:textId="3CE18A66" w:rsidR="00AA49D8" w:rsidRPr="00DC2CFC" w:rsidRDefault="007103EB" w:rsidP="00986700">
      <w:pPr>
        <w:jc w:val="center"/>
        <w:rPr>
          <w:rFonts w:cs="Arial"/>
        </w:rPr>
      </w:pPr>
      <w:r w:rsidRPr="007103EB">
        <w:rPr>
          <w:noProof/>
          <w:lang w:val="en-US" w:eastAsia="en-US"/>
        </w:rPr>
        <w:drawing>
          <wp:inline distT="0" distB="0" distL="0" distR="0" wp14:anchorId="2E1922FC" wp14:editId="33874053">
            <wp:extent cx="2649600" cy="379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649600" cy="3798000"/>
                    </a:xfrm>
                    <a:prstGeom prst="rect">
                      <a:avLst/>
                    </a:prstGeom>
                    <a:noFill/>
                    <a:ln>
                      <a:noFill/>
                    </a:ln>
                  </pic:spPr>
                </pic:pic>
              </a:graphicData>
            </a:graphic>
          </wp:inline>
        </w:drawing>
      </w:r>
    </w:p>
    <w:p w14:paraId="46D2815B" w14:textId="77777777" w:rsidR="00AA49D8" w:rsidRPr="00DC2CFC" w:rsidRDefault="00AA49D8" w:rsidP="00986700">
      <w:pPr>
        <w:rPr>
          <w:rFonts w:cs="Arial"/>
        </w:rPr>
      </w:pPr>
    </w:p>
    <w:p w14:paraId="14B96225" w14:textId="77777777" w:rsidR="00AA49D8" w:rsidRPr="00DC2CFC" w:rsidRDefault="00AA49D8" w:rsidP="00986700">
      <w:pPr>
        <w:rPr>
          <w:rFonts w:cs="Arial"/>
        </w:rPr>
      </w:pPr>
    </w:p>
    <w:p w14:paraId="26F6D001" w14:textId="36DC7D88" w:rsidR="00AA49D8" w:rsidRPr="00DC2CFC" w:rsidRDefault="00AA49D8" w:rsidP="00CF6859">
      <w:pPr>
        <w:numPr>
          <w:ilvl w:val="0"/>
          <w:numId w:val="99"/>
        </w:numPr>
        <w:tabs>
          <w:tab w:val="left" w:pos="540"/>
        </w:tabs>
        <w:jc w:val="both"/>
        <w:rPr>
          <w:rFonts w:cs="Arial"/>
        </w:rPr>
      </w:pPr>
      <w:r w:rsidRPr="00DC2CFC">
        <w:rPr>
          <w:rFonts w:cs="Arial"/>
        </w:rPr>
        <w:t>Le nombre de demandes internationales s</w:t>
      </w:r>
      <w:r>
        <w:rPr>
          <w:rFonts w:cs="Arial"/>
        </w:rPr>
        <w:t>’</w:t>
      </w:r>
      <w:r w:rsidRPr="00DC2CFC">
        <w:rPr>
          <w:rFonts w:cs="Arial"/>
        </w:rPr>
        <w:t>inscrira vraisemblablement dans une fourchette avec certaines probabilités</w:t>
      </w:r>
      <w:r>
        <w:rPr>
          <w:rFonts w:cs="Arial"/>
        </w:rPr>
        <w:t xml:space="preserve">.  </w:t>
      </w:r>
      <w:r w:rsidRPr="00DC2CFC">
        <w:rPr>
          <w:rFonts w:cs="Arial"/>
        </w:rPr>
        <w:t>Le diagramme et le tableau ci</w:t>
      </w:r>
      <w:r w:rsidR="00B441CA">
        <w:rPr>
          <w:rFonts w:cs="Arial"/>
        </w:rPr>
        <w:noBreakHyphen/>
      </w:r>
      <w:r w:rsidRPr="00DC2CFC">
        <w:rPr>
          <w:rFonts w:cs="Arial"/>
        </w:rPr>
        <w:t>après indiquent la répartition probabiliste du nombre de dépôts.</w:t>
      </w:r>
    </w:p>
    <w:p w14:paraId="6596706E" w14:textId="77777777" w:rsidR="00AA49D8" w:rsidRPr="00DC2CFC" w:rsidRDefault="00AA49D8" w:rsidP="00986700">
      <w:pPr>
        <w:rPr>
          <w:rFonts w:cs="Arial"/>
        </w:rPr>
      </w:pPr>
    </w:p>
    <w:p w14:paraId="57642365" w14:textId="77777777" w:rsidR="00AA49D8" w:rsidRPr="00DC2CFC" w:rsidRDefault="00AA49D8" w:rsidP="00986700">
      <w:pPr>
        <w:keepNext/>
        <w:jc w:val="center"/>
        <w:rPr>
          <w:rFonts w:cs="Arial"/>
          <w:sz w:val="18"/>
          <w:szCs w:val="18"/>
        </w:rPr>
      </w:pPr>
      <w:r w:rsidRPr="00DC2CFC">
        <w:rPr>
          <w:rFonts w:cs="Arial"/>
          <w:sz w:val="18"/>
          <w:szCs w:val="18"/>
        </w:rPr>
        <w:t>Répartition probabiliste du nombre de dépôts</w:t>
      </w:r>
    </w:p>
    <w:p w14:paraId="37AEC810" w14:textId="77777777" w:rsidR="00AA49D8" w:rsidRDefault="00AA49D8" w:rsidP="00986700">
      <w:pPr>
        <w:keepNext/>
        <w:rPr>
          <w:rFonts w:cs="Arial"/>
        </w:rPr>
      </w:pPr>
    </w:p>
    <w:p w14:paraId="473DD6A5" w14:textId="77D59483" w:rsidR="00AA49D8" w:rsidRPr="00DC2CFC" w:rsidRDefault="007103EB" w:rsidP="00986700">
      <w:pPr>
        <w:jc w:val="center"/>
        <w:rPr>
          <w:rFonts w:cs="Arial"/>
        </w:rPr>
      </w:pPr>
      <w:r w:rsidRPr="007103EB">
        <w:rPr>
          <w:noProof/>
          <w:lang w:val="en-US" w:eastAsia="en-US"/>
        </w:rPr>
        <w:drawing>
          <wp:inline distT="0" distB="0" distL="0" distR="0" wp14:anchorId="293FB664" wp14:editId="7829C5A3">
            <wp:extent cx="4680000" cy="2619058"/>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80000" cy="2619058"/>
                    </a:xfrm>
                    <a:prstGeom prst="rect">
                      <a:avLst/>
                    </a:prstGeom>
                    <a:noFill/>
                    <a:ln>
                      <a:noFill/>
                    </a:ln>
                  </pic:spPr>
                </pic:pic>
              </a:graphicData>
            </a:graphic>
          </wp:inline>
        </w:drawing>
      </w:r>
    </w:p>
    <w:p w14:paraId="2A6040B3" w14:textId="77777777" w:rsidR="00AA49D8" w:rsidRPr="00DC2CFC" w:rsidRDefault="00AA49D8" w:rsidP="00986700">
      <w:pPr>
        <w:jc w:val="center"/>
        <w:rPr>
          <w:rFonts w:cs="Arial"/>
          <w:sz w:val="18"/>
          <w:szCs w:val="18"/>
        </w:rPr>
      </w:pPr>
      <w:r w:rsidRPr="00DC2CFC">
        <w:rPr>
          <w:rFonts w:cs="Arial"/>
          <w:sz w:val="18"/>
          <w:szCs w:val="18"/>
        </w:rPr>
        <w:t>Scénarios de demandes selon</w:t>
      </w:r>
      <w:r w:rsidRPr="00977177">
        <w:rPr>
          <w:rFonts w:cs="Arial"/>
          <w:sz w:val="18"/>
          <w:szCs w:val="18"/>
        </w:rPr>
        <w:t xml:space="preserve"> le PCT</w:t>
      </w:r>
    </w:p>
    <w:p w14:paraId="499ED4D0" w14:textId="77777777" w:rsidR="00AA49D8" w:rsidRDefault="00AA49D8" w:rsidP="00986700">
      <w:pPr>
        <w:rPr>
          <w:rFonts w:cs="Arial"/>
        </w:rPr>
      </w:pPr>
    </w:p>
    <w:p w14:paraId="6D571BD5" w14:textId="6D27B1E4" w:rsidR="00AA49D8" w:rsidRPr="00DC2CFC" w:rsidRDefault="007103EB" w:rsidP="00986700">
      <w:pPr>
        <w:jc w:val="center"/>
        <w:rPr>
          <w:rFonts w:cs="Arial"/>
        </w:rPr>
      </w:pPr>
      <w:r w:rsidRPr="007103EB">
        <w:rPr>
          <w:noProof/>
          <w:lang w:val="en-US" w:eastAsia="en-US"/>
        </w:rPr>
        <w:drawing>
          <wp:inline distT="0" distB="0" distL="0" distR="0" wp14:anchorId="296FBF27" wp14:editId="26E077BC">
            <wp:extent cx="2653200" cy="2833200"/>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653200" cy="2833200"/>
                    </a:xfrm>
                    <a:prstGeom prst="rect">
                      <a:avLst/>
                    </a:prstGeom>
                    <a:noFill/>
                    <a:ln>
                      <a:noFill/>
                    </a:ln>
                  </pic:spPr>
                </pic:pic>
              </a:graphicData>
            </a:graphic>
          </wp:inline>
        </w:drawing>
      </w:r>
    </w:p>
    <w:p w14:paraId="41D3A647" w14:textId="77777777" w:rsidR="00AA49D8" w:rsidRPr="00DC2CFC" w:rsidRDefault="00AA49D8" w:rsidP="00986700">
      <w:pPr>
        <w:rPr>
          <w:rFonts w:cs="Arial"/>
        </w:rPr>
      </w:pPr>
    </w:p>
    <w:p w14:paraId="6F9EBAD8" w14:textId="77777777" w:rsidR="00AA49D8" w:rsidRPr="00DC2CFC" w:rsidRDefault="00AA49D8" w:rsidP="00986700">
      <w:pPr>
        <w:rPr>
          <w:rFonts w:cs="Arial"/>
        </w:rPr>
      </w:pPr>
    </w:p>
    <w:p w14:paraId="3772F47E" w14:textId="77777777" w:rsidR="00AA49D8" w:rsidRPr="00DC2CFC" w:rsidRDefault="00AA49D8" w:rsidP="00986700">
      <w:pPr>
        <w:rPr>
          <w:rFonts w:cs="Arial"/>
          <w:i/>
        </w:rPr>
      </w:pPr>
      <w:r w:rsidRPr="00DC2CFC">
        <w:rPr>
          <w:rFonts w:cs="Arial"/>
          <w:i/>
        </w:rPr>
        <w:t>Utilisation des moyens de dépôt électronique</w:t>
      </w:r>
    </w:p>
    <w:p w14:paraId="501A618F" w14:textId="77777777" w:rsidR="00AA49D8" w:rsidRPr="00DC2CFC" w:rsidRDefault="00AA49D8" w:rsidP="00986700">
      <w:pPr>
        <w:rPr>
          <w:rFonts w:cs="Arial"/>
        </w:rPr>
      </w:pPr>
    </w:p>
    <w:p w14:paraId="1F1D9859" w14:textId="02ED3B17" w:rsidR="00AA49D8" w:rsidRPr="00DC2CFC" w:rsidRDefault="00AA49D8" w:rsidP="00CF6859">
      <w:pPr>
        <w:numPr>
          <w:ilvl w:val="0"/>
          <w:numId w:val="99"/>
        </w:numPr>
        <w:tabs>
          <w:tab w:val="left" w:pos="540"/>
        </w:tabs>
        <w:jc w:val="both"/>
        <w:rPr>
          <w:rFonts w:cs="Arial"/>
        </w:rPr>
      </w:pPr>
      <w:r w:rsidRPr="00DC2CFC">
        <w:rPr>
          <w:rFonts w:cs="Arial"/>
        </w:rPr>
        <w:t>Les estimations relatives à l</w:t>
      </w:r>
      <w:r>
        <w:rPr>
          <w:rFonts w:cs="Arial"/>
        </w:rPr>
        <w:t>’</w:t>
      </w:r>
      <w:r w:rsidRPr="00DC2CFC">
        <w:rPr>
          <w:rFonts w:cs="Arial"/>
        </w:rPr>
        <w:t>utilisation des moyens de dépôt électronique (PDF ou XML), exprimées en pourcentage du nombre total de dépôts, sont illustrées dans le diagramme</w:t>
      </w:r>
      <w:r>
        <w:rPr>
          <w:rFonts w:cs="Arial"/>
        </w:rPr>
        <w:t> </w:t>
      </w:r>
      <w:r w:rsidRPr="00DC2CFC">
        <w:rPr>
          <w:rFonts w:cs="Arial"/>
        </w:rPr>
        <w:t>3 ci</w:t>
      </w:r>
      <w:r w:rsidR="00B441CA">
        <w:rPr>
          <w:rFonts w:cs="Arial"/>
        </w:rPr>
        <w:noBreakHyphen/>
      </w:r>
      <w:r w:rsidRPr="00DC2CFC">
        <w:rPr>
          <w:rFonts w:cs="Arial"/>
        </w:rPr>
        <w:t>dessous</w:t>
      </w:r>
      <w:r>
        <w:rPr>
          <w:rFonts w:cs="Arial"/>
        </w:rPr>
        <w:t xml:space="preserve">.  </w:t>
      </w:r>
      <w:r w:rsidRPr="00DC2CFC">
        <w:rPr>
          <w:rFonts w:cs="Arial"/>
        </w:rPr>
        <w:t>Comme le montre ce diagramme, l</w:t>
      </w:r>
      <w:r>
        <w:rPr>
          <w:rFonts w:cs="Arial"/>
        </w:rPr>
        <w:t>’</w:t>
      </w:r>
      <w:r w:rsidRPr="00DC2CFC">
        <w:rPr>
          <w:rFonts w:cs="Arial"/>
        </w:rPr>
        <w:t>utilisation des moyens de dépôt électronique ne cesse d</w:t>
      </w:r>
      <w:r>
        <w:rPr>
          <w:rFonts w:cs="Arial"/>
        </w:rPr>
        <w:t>’</w:t>
      </w:r>
      <w:r w:rsidRPr="00DC2CFC">
        <w:rPr>
          <w:rFonts w:cs="Arial"/>
        </w:rPr>
        <w:t>augmenter régulièrement</w:t>
      </w:r>
      <w:r>
        <w:rPr>
          <w:rFonts w:cs="Arial"/>
        </w:rPr>
        <w:t xml:space="preserve">.  </w:t>
      </w:r>
      <w:r w:rsidRPr="00DC2CFC">
        <w:rPr>
          <w:rFonts w:cs="Arial"/>
        </w:rPr>
        <w:t>En</w:t>
      </w:r>
      <w:r>
        <w:rPr>
          <w:rFonts w:cs="Arial"/>
        </w:rPr>
        <w:t> </w:t>
      </w:r>
      <w:r w:rsidRPr="00DC2CFC">
        <w:rPr>
          <w:rFonts w:cs="Arial"/>
        </w:rPr>
        <w:t>2016, la proportion de dépôts électroniques avoisinait les 95% du total des dépôts.</w:t>
      </w:r>
    </w:p>
    <w:p w14:paraId="4D6A494D" w14:textId="77777777" w:rsidR="00AA49D8" w:rsidRPr="00DC2CFC" w:rsidRDefault="00AA49D8" w:rsidP="00986700">
      <w:pPr>
        <w:jc w:val="both"/>
        <w:rPr>
          <w:rFonts w:cs="Arial"/>
        </w:rPr>
      </w:pPr>
    </w:p>
    <w:p w14:paraId="018AE6F1" w14:textId="77777777" w:rsidR="00AA49D8" w:rsidRPr="00DC2CFC" w:rsidRDefault="00AA49D8" w:rsidP="00986700">
      <w:pPr>
        <w:keepNext/>
        <w:jc w:val="center"/>
        <w:rPr>
          <w:rFonts w:cs="Arial"/>
          <w:sz w:val="18"/>
          <w:szCs w:val="18"/>
        </w:rPr>
      </w:pPr>
      <w:r w:rsidRPr="00DC2CFC">
        <w:rPr>
          <w:rFonts w:cs="Arial"/>
          <w:sz w:val="18"/>
          <w:szCs w:val="18"/>
        </w:rPr>
        <w:lastRenderedPageBreak/>
        <w:t>Diagramme</w:t>
      </w:r>
      <w:r>
        <w:rPr>
          <w:rFonts w:cs="Arial"/>
          <w:sz w:val="18"/>
          <w:szCs w:val="18"/>
        </w:rPr>
        <w:t> </w:t>
      </w:r>
      <w:r w:rsidRPr="00DC2CFC">
        <w:rPr>
          <w:rFonts w:cs="Arial"/>
          <w:sz w:val="18"/>
          <w:szCs w:val="18"/>
        </w:rPr>
        <w:t xml:space="preserve">3. </w:t>
      </w:r>
      <w:r>
        <w:rPr>
          <w:rFonts w:cs="Arial"/>
          <w:sz w:val="18"/>
          <w:szCs w:val="18"/>
        </w:rPr>
        <w:t xml:space="preserve"> </w:t>
      </w:r>
      <w:r w:rsidRPr="00DC2CFC">
        <w:rPr>
          <w:rFonts w:cs="Arial"/>
          <w:sz w:val="18"/>
          <w:szCs w:val="18"/>
        </w:rPr>
        <w:t xml:space="preserve">Utilisation des moyens de dépôt électronique (EASY, PDF ou XML) </w:t>
      </w:r>
      <w:r w:rsidRPr="00DC2CFC">
        <w:rPr>
          <w:rFonts w:cs="Arial"/>
          <w:sz w:val="18"/>
          <w:szCs w:val="18"/>
        </w:rPr>
        <w:br/>
        <w:t>en pourcentage du nombre total de dépôts, 2016–2021</w:t>
      </w:r>
    </w:p>
    <w:p w14:paraId="48CA6878" w14:textId="77777777" w:rsidR="00AA49D8" w:rsidRDefault="00AA49D8" w:rsidP="00986700">
      <w:pPr>
        <w:keepNext/>
        <w:rPr>
          <w:rFonts w:cs="Arial"/>
        </w:rPr>
      </w:pPr>
    </w:p>
    <w:p w14:paraId="181690EC" w14:textId="35D26CC8" w:rsidR="00AA49D8" w:rsidRPr="00DC2CFC" w:rsidRDefault="007103EB" w:rsidP="00986700">
      <w:pPr>
        <w:jc w:val="center"/>
        <w:rPr>
          <w:rFonts w:cs="Arial"/>
        </w:rPr>
      </w:pPr>
      <w:r w:rsidRPr="007103EB">
        <w:rPr>
          <w:noProof/>
          <w:lang w:val="en-US" w:eastAsia="en-US"/>
        </w:rPr>
        <w:drawing>
          <wp:inline distT="0" distB="0" distL="0" distR="0" wp14:anchorId="52B8F075" wp14:editId="25EFC1ED">
            <wp:extent cx="4680000" cy="24200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680000" cy="2420050"/>
                    </a:xfrm>
                    <a:prstGeom prst="rect">
                      <a:avLst/>
                    </a:prstGeom>
                    <a:noFill/>
                    <a:ln>
                      <a:noFill/>
                    </a:ln>
                  </pic:spPr>
                </pic:pic>
              </a:graphicData>
            </a:graphic>
          </wp:inline>
        </w:drawing>
      </w:r>
    </w:p>
    <w:p w14:paraId="34C27E0F" w14:textId="77777777" w:rsidR="00AA49D8" w:rsidRDefault="00AA49D8" w:rsidP="00986700">
      <w:pPr>
        <w:rPr>
          <w:rFonts w:cs="Arial"/>
        </w:rPr>
      </w:pPr>
    </w:p>
    <w:p w14:paraId="246AD480" w14:textId="35F6390E" w:rsidR="00AA49D8" w:rsidRPr="00DC2CFC" w:rsidRDefault="007103EB" w:rsidP="00986700">
      <w:pPr>
        <w:jc w:val="center"/>
        <w:rPr>
          <w:rFonts w:cs="Arial"/>
        </w:rPr>
      </w:pPr>
      <w:r w:rsidRPr="007103EB">
        <w:rPr>
          <w:noProof/>
          <w:lang w:val="en-US" w:eastAsia="en-US"/>
        </w:rPr>
        <w:drawing>
          <wp:inline distT="0" distB="0" distL="0" distR="0" wp14:anchorId="7C7876F3" wp14:editId="41F7A321">
            <wp:extent cx="3762000" cy="579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62000" cy="579600"/>
                    </a:xfrm>
                    <a:prstGeom prst="rect">
                      <a:avLst/>
                    </a:prstGeom>
                    <a:noFill/>
                    <a:ln>
                      <a:noFill/>
                    </a:ln>
                  </pic:spPr>
                </pic:pic>
              </a:graphicData>
            </a:graphic>
          </wp:inline>
        </w:drawing>
      </w:r>
    </w:p>
    <w:p w14:paraId="3166FE2E" w14:textId="77777777" w:rsidR="00AA49D8" w:rsidRPr="00DC2CFC" w:rsidRDefault="00AA49D8" w:rsidP="00986700">
      <w:pPr>
        <w:rPr>
          <w:rFonts w:cs="Arial"/>
        </w:rPr>
      </w:pPr>
    </w:p>
    <w:p w14:paraId="5731EFB8" w14:textId="77777777" w:rsidR="00AA49D8" w:rsidRPr="00DC2CFC" w:rsidRDefault="00AA49D8" w:rsidP="00986700">
      <w:pPr>
        <w:rPr>
          <w:rFonts w:cs="Arial"/>
        </w:rPr>
      </w:pPr>
    </w:p>
    <w:p w14:paraId="31C64AD9" w14:textId="77777777" w:rsidR="00AA49D8" w:rsidRPr="00DC2CFC" w:rsidRDefault="00AA49D8" w:rsidP="00986700">
      <w:pPr>
        <w:rPr>
          <w:rFonts w:cs="Arial"/>
        </w:rPr>
      </w:pPr>
    </w:p>
    <w:p w14:paraId="1F323AFB" w14:textId="77777777" w:rsidR="00AA49D8" w:rsidRPr="00DC2CFC" w:rsidRDefault="00AA49D8" w:rsidP="00986700">
      <w:pPr>
        <w:rPr>
          <w:rFonts w:cs="Arial"/>
          <w:i/>
        </w:rPr>
      </w:pPr>
      <w:r w:rsidRPr="00DC2CFC">
        <w:rPr>
          <w:rFonts w:cs="Arial"/>
          <w:i/>
        </w:rPr>
        <w:t>Estimations relatives aux recettes</w:t>
      </w:r>
      <w:r w:rsidRPr="00977177">
        <w:rPr>
          <w:rFonts w:cs="Arial"/>
          <w:i/>
        </w:rPr>
        <w:t xml:space="preserve"> du PCT</w:t>
      </w:r>
    </w:p>
    <w:p w14:paraId="650D61FC" w14:textId="77777777" w:rsidR="00AA49D8" w:rsidRPr="00DC2CFC" w:rsidRDefault="00AA49D8" w:rsidP="00986700">
      <w:pPr>
        <w:jc w:val="both"/>
        <w:rPr>
          <w:rFonts w:cs="Arial"/>
        </w:rPr>
      </w:pPr>
    </w:p>
    <w:p w14:paraId="4D74E03B" w14:textId="49E7B1BC" w:rsidR="00AA49D8" w:rsidRDefault="00AA49D8" w:rsidP="00CF6859">
      <w:pPr>
        <w:numPr>
          <w:ilvl w:val="0"/>
          <w:numId w:val="99"/>
        </w:numPr>
        <w:tabs>
          <w:tab w:val="left" w:pos="540"/>
        </w:tabs>
        <w:jc w:val="both"/>
        <w:rPr>
          <w:rFonts w:cs="Arial"/>
        </w:rPr>
      </w:pPr>
      <w:r w:rsidRPr="00DC2CFC">
        <w:rPr>
          <w:rFonts w:cs="Arial"/>
        </w:rPr>
        <w:t>Les diagrammes</w:t>
      </w:r>
      <w:r>
        <w:rPr>
          <w:rFonts w:cs="Arial"/>
        </w:rPr>
        <w:t> </w:t>
      </w:r>
      <w:r w:rsidRPr="00DC2CFC">
        <w:rPr>
          <w:rFonts w:cs="Arial"/>
        </w:rPr>
        <w:t>4 et 5 indiquent un montant des recettes estimatif pour la période</w:t>
      </w:r>
      <w:r>
        <w:rPr>
          <w:rFonts w:cs="Arial"/>
        </w:rPr>
        <w:t> </w:t>
      </w:r>
      <w:r w:rsidRPr="00DC2CFC">
        <w:rPr>
          <w:rFonts w:cs="Arial"/>
        </w:rPr>
        <w:t>2016</w:t>
      </w:r>
      <w:r w:rsidR="00B441CA">
        <w:rPr>
          <w:rFonts w:cs="Arial"/>
        </w:rPr>
        <w:noBreakHyphen/>
      </w:r>
      <w:r w:rsidRPr="00DC2CFC">
        <w:rPr>
          <w:rFonts w:cs="Arial"/>
        </w:rPr>
        <w:t>2019, par type de recette</w:t>
      </w:r>
      <w:r>
        <w:rPr>
          <w:rFonts w:cs="Arial"/>
        </w:rPr>
        <w:t xml:space="preserve">.  </w:t>
      </w:r>
      <w:r w:rsidRPr="00DC2CFC">
        <w:rPr>
          <w:rFonts w:cs="Arial"/>
        </w:rPr>
        <w:t>Ces diagrammes sont fondés sur les prévisions relatives au nombre de dépôts (diagramme</w:t>
      </w:r>
      <w:r>
        <w:rPr>
          <w:rFonts w:cs="Arial"/>
        </w:rPr>
        <w:t> </w:t>
      </w:r>
      <w:r w:rsidRPr="00DC2CFC">
        <w:rPr>
          <w:rFonts w:cs="Arial"/>
        </w:rPr>
        <w:t>1), sur les estimations relatives au montant des taxes par feuille, au nombre de demandes d</w:t>
      </w:r>
      <w:r>
        <w:rPr>
          <w:rFonts w:cs="Arial"/>
        </w:rPr>
        <w:t>’</w:t>
      </w:r>
      <w:r w:rsidRPr="00DC2CFC">
        <w:rPr>
          <w:rFonts w:cs="Arial"/>
        </w:rPr>
        <w:t>examen préliminaire international selon le chapitre</w:t>
      </w:r>
      <w:r>
        <w:rPr>
          <w:rFonts w:cs="Arial"/>
        </w:rPr>
        <w:t> </w:t>
      </w:r>
      <w:r w:rsidRPr="00DC2CFC">
        <w:rPr>
          <w:rFonts w:cs="Arial"/>
        </w:rPr>
        <w:t>II, à la proportion des dépôts électroniques (diagramme</w:t>
      </w:r>
      <w:r>
        <w:rPr>
          <w:rFonts w:cs="Arial"/>
        </w:rPr>
        <w:t> </w:t>
      </w:r>
      <w:r w:rsidRPr="00DC2CFC">
        <w:rPr>
          <w:rFonts w:cs="Arial"/>
        </w:rPr>
        <w:t>3) et au volume projeté des dépôts effectués auprès du Bureau international agissant en tant qu</w:t>
      </w:r>
      <w:r>
        <w:rPr>
          <w:rFonts w:cs="Arial"/>
        </w:rPr>
        <w:t>’</w:t>
      </w:r>
      <w:r w:rsidRPr="00DC2CFC">
        <w:rPr>
          <w:rFonts w:cs="Arial"/>
        </w:rPr>
        <w:t>office récepteur.</w:t>
      </w:r>
    </w:p>
    <w:p w14:paraId="17CB0F8D" w14:textId="77777777" w:rsidR="00AA49D8" w:rsidRPr="00DC2CFC" w:rsidRDefault="00AA49D8" w:rsidP="00986700">
      <w:pPr>
        <w:jc w:val="both"/>
        <w:rPr>
          <w:rFonts w:cs="Arial"/>
        </w:rPr>
      </w:pPr>
    </w:p>
    <w:p w14:paraId="64205F13" w14:textId="77777777" w:rsidR="00AA49D8" w:rsidRPr="00DC2CFC" w:rsidRDefault="00AA49D8" w:rsidP="00CF6859">
      <w:pPr>
        <w:numPr>
          <w:ilvl w:val="0"/>
          <w:numId w:val="99"/>
        </w:numPr>
        <w:tabs>
          <w:tab w:val="left" w:pos="540"/>
        </w:tabs>
        <w:jc w:val="both"/>
        <w:rPr>
          <w:rFonts w:cs="Arial"/>
        </w:rPr>
      </w:pPr>
      <w:r w:rsidRPr="00DC2CFC">
        <w:rPr>
          <w:rFonts w:cs="Arial"/>
        </w:rPr>
        <w:t>Le diagramme</w:t>
      </w:r>
      <w:r>
        <w:rPr>
          <w:rFonts w:cs="Arial"/>
        </w:rPr>
        <w:t> </w:t>
      </w:r>
      <w:r w:rsidRPr="00DC2CFC">
        <w:rPr>
          <w:rFonts w:cs="Arial"/>
        </w:rPr>
        <w:t>4 indique un montant des recettes estimatif fondé sur les hypothèses suivantes</w:t>
      </w:r>
      <w:r>
        <w:rPr>
          <w:rFonts w:cs="Arial"/>
        </w:rPr>
        <w:t> :</w:t>
      </w:r>
      <w:r w:rsidRPr="00DC2CFC">
        <w:rPr>
          <w:rFonts w:cs="Arial"/>
        </w:rPr>
        <w:t xml:space="preserve"> 1) toutes les taxes sont payées au cours de l</w:t>
      </w:r>
      <w:r>
        <w:rPr>
          <w:rFonts w:cs="Arial"/>
        </w:rPr>
        <w:t>’</w:t>
      </w:r>
      <w:r w:rsidRPr="00DC2CFC">
        <w:rPr>
          <w:rFonts w:cs="Arial"/>
        </w:rPr>
        <w:t>année de dépôt et 2) toutes les taxes sont converties en francs suisses au taux de change officiel de l</w:t>
      </w:r>
      <w:r>
        <w:rPr>
          <w:rFonts w:cs="Arial"/>
        </w:rPr>
        <w:t>’</w:t>
      </w:r>
      <w:r w:rsidRPr="00DC2CFC">
        <w:rPr>
          <w:rFonts w:cs="Arial"/>
        </w:rPr>
        <w:t>OMPI</w:t>
      </w:r>
      <w:r>
        <w:rPr>
          <w:rFonts w:cs="Arial"/>
        </w:rPr>
        <w:t xml:space="preserve">.  </w:t>
      </w:r>
      <w:r w:rsidRPr="00DC2CFC">
        <w:rPr>
          <w:rFonts w:cs="Arial"/>
        </w:rPr>
        <w:t>Ces chiffres indiquent les recettes pouvant être générées par les dépôts, sans tenir compte du moment où les taxes sont payées ni des variations de taux de change</w:t>
      </w:r>
      <w:r>
        <w:rPr>
          <w:rFonts w:cs="Arial"/>
        </w:rPr>
        <w:t xml:space="preserve">.  </w:t>
      </w:r>
      <w:r w:rsidRPr="00DC2CFC">
        <w:rPr>
          <w:rFonts w:cs="Arial"/>
        </w:rPr>
        <w:t>Étant donné que, dans l</w:t>
      </w:r>
      <w:r>
        <w:rPr>
          <w:rFonts w:cs="Arial"/>
        </w:rPr>
        <w:t>’</w:t>
      </w:r>
      <w:r w:rsidRPr="00DC2CFC">
        <w:rPr>
          <w:rFonts w:cs="Arial"/>
        </w:rPr>
        <w:t>ensemble, les déposants s</w:t>
      </w:r>
      <w:r>
        <w:rPr>
          <w:rFonts w:cs="Arial"/>
        </w:rPr>
        <w:t>’</w:t>
      </w:r>
      <w:r w:rsidRPr="00DC2CFC">
        <w:rPr>
          <w:rFonts w:cs="Arial"/>
        </w:rPr>
        <w:t>acquittent du paiement des taxes à terme, ces chiffres indiquent les prévisions à long terme</w:t>
      </w:r>
      <w:r>
        <w:rPr>
          <w:rFonts w:cs="Arial"/>
        </w:rPr>
        <w:t xml:space="preserve">.  </w:t>
      </w:r>
      <w:r w:rsidRPr="00DC2CFC">
        <w:rPr>
          <w:rFonts w:cs="Arial"/>
        </w:rPr>
        <w:t>Le calcul tient compte des principaux éléments de la structure des taxes</w:t>
      </w:r>
      <w:r w:rsidRPr="00977177">
        <w:rPr>
          <w:rFonts w:cs="Arial"/>
        </w:rPr>
        <w:t xml:space="preserve"> du PCT</w:t>
      </w:r>
      <w:r>
        <w:rPr>
          <w:rFonts w:cs="Arial"/>
        </w:rPr>
        <w:t> :</w:t>
      </w:r>
      <w:r w:rsidRPr="00DC2CFC">
        <w:rPr>
          <w:rFonts w:cs="Arial"/>
        </w:rPr>
        <w:t xml:space="preserve"> retraits, réductions au titre du dépôt électronique et réduction de taxes pour les pays à faible revenu.</w:t>
      </w:r>
    </w:p>
    <w:p w14:paraId="48EC4759" w14:textId="77777777" w:rsidR="00AA49D8" w:rsidRPr="00DC2CFC" w:rsidRDefault="00AA49D8" w:rsidP="00986700">
      <w:pPr>
        <w:rPr>
          <w:rFonts w:cs="Arial"/>
        </w:rPr>
      </w:pPr>
    </w:p>
    <w:p w14:paraId="2B7A0D4E" w14:textId="77777777" w:rsidR="00AA49D8" w:rsidRPr="00DC2CFC" w:rsidRDefault="00AA49D8" w:rsidP="00986700">
      <w:pPr>
        <w:keepNext/>
        <w:jc w:val="center"/>
        <w:rPr>
          <w:rFonts w:cs="Arial"/>
        </w:rPr>
      </w:pPr>
      <w:r w:rsidRPr="00DC2CFC">
        <w:rPr>
          <w:rFonts w:cs="Arial"/>
          <w:sz w:val="18"/>
          <w:szCs w:val="18"/>
        </w:rPr>
        <w:lastRenderedPageBreak/>
        <w:t>Diagramme</w:t>
      </w:r>
      <w:r>
        <w:rPr>
          <w:rFonts w:cs="Arial"/>
          <w:sz w:val="18"/>
          <w:szCs w:val="18"/>
        </w:rPr>
        <w:t> </w:t>
      </w:r>
      <w:r w:rsidRPr="00DC2CFC">
        <w:rPr>
          <w:rFonts w:cs="Arial"/>
          <w:sz w:val="18"/>
          <w:szCs w:val="18"/>
        </w:rPr>
        <w:t xml:space="preserve">4. </w:t>
      </w:r>
      <w:r>
        <w:rPr>
          <w:rFonts w:cs="Arial"/>
          <w:sz w:val="18"/>
          <w:szCs w:val="18"/>
        </w:rPr>
        <w:t xml:space="preserve"> </w:t>
      </w:r>
      <w:r w:rsidRPr="00DC2CFC">
        <w:rPr>
          <w:rFonts w:cs="Arial"/>
          <w:sz w:val="18"/>
          <w:szCs w:val="18"/>
        </w:rPr>
        <w:t>Estimations relatives aux recettes hypothétiques</w:t>
      </w:r>
      <w:r w:rsidRPr="00977177">
        <w:rPr>
          <w:rFonts w:cs="Arial"/>
          <w:sz w:val="18"/>
          <w:szCs w:val="18"/>
        </w:rPr>
        <w:t xml:space="preserve"> du PCT</w:t>
      </w:r>
      <w:r w:rsidRPr="00DC2CFC">
        <w:rPr>
          <w:rFonts w:cs="Arial"/>
          <w:sz w:val="18"/>
          <w:szCs w:val="18"/>
        </w:rPr>
        <w:t xml:space="preserve"> jusqu</w:t>
      </w:r>
      <w:r>
        <w:rPr>
          <w:rFonts w:cs="Arial"/>
          <w:sz w:val="18"/>
          <w:szCs w:val="18"/>
        </w:rPr>
        <w:t>’</w:t>
      </w:r>
      <w:r w:rsidRPr="00DC2CFC">
        <w:rPr>
          <w:rFonts w:cs="Arial"/>
          <w:sz w:val="18"/>
          <w:szCs w:val="18"/>
        </w:rPr>
        <w:t>en</w:t>
      </w:r>
      <w:r>
        <w:rPr>
          <w:rFonts w:cs="Arial"/>
          <w:sz w:val="18"/>
          <w:szCs w:val="18"/>
        </w:rPr>
        <w:t> </w:t>
      </w:r>
      <w:r w:rsidRPr="00DC2CFC">
        <w:rPr>
          <w:rFonts w:cs="Arial"/>
          <w:sz w:val="18"/>
          <w:szCs w:val="18"/>
        </w:rPr>
        <w:t>2019</w:t>
      </w:r>
    </w:p>
    <w:p w14:paraId="045D395D" w14:textId="77777777" w:rsidR="00AA49D8" w:rsidRDefault="00AA49D8" w:rsidP="00986700">
      <w:pPr>
        <w:keepNext/>
        <w:rPr>
          <w:rFonts w:cs="Arial"/>
        </w:rPr>
      </w:pPr>
    </w:p>
    <w:p w14:paraId="076E57F7" w14:textId="3BCABC17" w:rsidR="00AA49D8" w:rsidRDefault="007103EB" w:rsidP="00986700">
      <w:pPr>
        <w:jc w:val="center"/>
        <w:rPr>
          <w:rFonts w:cs="Arial"/>
        </w:rPr>
      </w:pPr>
      <w:r w:rsidRPr="007103EB">
        <w:rPr>
          <w:noProof/>
          <w:lang w:val="en-US" w:eastAsia="en-US"/>
        </w:rPr>
        <w:drawing>
          <wp:inline distT="0" distB="0" distL="0" distR="0" wp14:anchorId="527EE1A6" wp14:editId="29DA6263">
            <wp:extent cx="4680000" cy="2538772"/>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80000" cy="2538772"/>
                    </a:xfrm>
                    <a:prstGeom prst="rect">
                      <a:avLst/>
                    </a:prstGeom>
                    <a:noFill/>
                    <a:ln>
                      <a:noFill/>
                    </a:ln>
                  </pic:spPr>
                </pic:pic>
              </a:graphicData>
            </a:graphic>
          </wp:inline>
        </w:drawing>
      </w:r>
    </w:p>
    <w:p w14:paraId="2F315488" w14:textId="765C69AB" w:rsidR="00AA49D8" w:rsidRPr="00DC2CFC" w:rsidRDefault="007103EB" w:rsidP="00986700">
      <w:pPr>
        <w:jc w:val="center"/>
        <w:rPr>
          <w:rFonts w:cs="Arial"/>
        </w:rPr>
      </w:pPr>
      <w:r w:rsidRPr="007103EB">
        <w:rPr>
          <w:noProof/>
          <w:lang w:val="en-US" w:eastAsia="en-US"/>
        </w:rPr>
        <w:drawing>
          <wp:inline distT="0" distB="0" distL="0" distR="0" wp14:anchorId="6ACD5B65" wp14:editId="04CFAE91">
            <wp:extent cx="5346000" cy="169920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346000" cy="1699200"/>
                    </a:xfrm>
                    <a:prstGeom prst="rect">
                      <a:avLst/>
                    </a:prstGeom>
                    <a:noFill/>
                    <a:ln>
                      <a:noFill/>
                    </a:ln>
                  </pic:spPr>
                </pic:pic>
              </a:graphicData>
            </a:graphic>
          </wp:inline>
        </w:drawing>
      </w:r>
    </w:p>
    <w:p w14:paraId="1284A8EB" w14:textId="77777777" w:rsidR="00AA49D8" w:rsidRDefault="00AA49D8" w:rsidP="00986700">
      <w:pPr>
        <w:jc w:val="center"/>
        <w:rPr>
          <w:rFonts w:cs="Arial"/>
        </w:rPr>
      </w:pPr>
    </w:p>
    <w:p w14:paraId="06510C1A" w14:textId="77777777" w:rsidR="00AA49D8" w:rsidRPr="00DC2CFC" w:rsidRDefault="00AA49D8" w:rsidP="00986700">
      <w:pPr>
        <w:jc w:val="center"/>
        <w:rPr>
          <w:rFonts w:cs="Arial"/>
        </w:rPr>
      </w:pPr>
    </w:p>
    <w:p w14:paraId="6E49F4EB" w14:textId="77777777" w:rsidR="00AA49D8" w:rsidRDefault="00AA49D8" w:rsidP="00986700">
      <w:pPr>
        <w:rPr>
          <w:rFonts w:cs="Arial"/>
          <w:i/>
        </w:rPr>
      </w:pPr>
      <w:r w:rsidRPr="00DC2CFC">
        <w:rPr>
          <w:rFonts w:cs="Arial"/>
          <w:i/>
        </w:rPr>
        <w:t>Incidence des retards de paiement sur les recettes</w:t>
      </w:r>
      <w:r w:rsidRPr="00977177">
        <w:rPr>
          <w:rFonts w:cs="Arial"/>
          <w:i/>
        </w:rPr>
        <w:t xml:space="preserve"> du PCT</w:t>
      </w:r>
    </w:p>
    <w:p w14:paraId="2645D368" w14:textId="77777777" w:rsidR="00AA49D8" w:rsidRPr="00DC2CFC" w:rsidRDefault="00AA49D8" w:rsidP="00986700">
      <w:pPr>
        <w:jc w:val="both"/>
        <w:rPr>
          <w:rFonts w:cs="Arial"/>
        </w:rPr>
      </w:pPr>
    </w:p>
    <w:p w14:paraId="5FCC162B" w14:textId="360399E7" w:rsidR="00AA49D8" w:rsidRPr="00DC2CFC" w:rsidRDefault="00AA49D8" w:rsidP="00CF6859">
      <w:pPr>
        <w:numPr>
          <w:ilvl w:val="0"/>
          <w:numId w:val="99"/>
        </w:numPr>
        <w:tabs>
          <w:tab w:val="left" w:pos="540"/>
        </w:tabs>
        <w:jc w:val="both"/>
        <w:rPr>
          <w:rFonts w:cs="Arial"/>
        </w:rPr>
      </w:pPr>
      <w:r w:rsidRPr="00DC2CFC">
        <w:rPr>
          <w:rFonts w:cs="Arial"/>
        </w:rPr>
        <w:t>Les estimations relatives aux recettes</w:t>
      </w:r>
      <w:r w:rsidRPr="00977177">
        <w:rPr>
          <w:rFonts w:cs="Arial"/>
        </w:rPr>
        <w:t xml:space="preserve"> du PCT</w:t>
      </w:r>
      <w:r w:rsidRPr="00DC2CFC">
        <w:rPr>
          <w:rFonts w:cs="Arial"/>
        </w:rPr>
        <w:t xml:space="preserve"> sont calculées sur la base du principe que les taxes sont payées au cours de l</w:t>
      </w:r>
      <w:r>
        <w:rPr>
          <w:rFonts w:cs="Arial"/>
        </w:rPr>
        <w:t>’</w:t>
      </w:r>
      <w:r w:rsidRPr="00DC2CFC">
        <w:rPr>
          <w:rFonts w:cs="Arial"/>
        </w:rPr>
        <w:t>année de dépôt</w:t>
      </w:r>
      <w:r>
        <w:rPr>
          <w:rFonts w:cs="Arial"/>
        </w:rPr>
        <w:t xml:space="preserve">.  </w:t>
      </w:r>
      <w:r w:rsidRPr="00DC2CFC">
        <w:rPr>
          <w:rFonts w:cs="Arial"/>
        </w:rPr>
        <w:t>Cependant, l</w:t>
      </w:r>
      <w:r>
        <w:rPr>
          <w:rFonts w:cs="Arial"/>
        </w:rPr>
        <w:t>’</w:t>
      </w:r>
      <w:r w:rsidRPr="00DC2CFC">
        <w:rPr>
          <w:rFonts w:cs="Arial"/>
        </w:rPr>
        <w:t>OMPI comptabilise les recettes</w:t>
      </w:r>
      <w:r w:rsidRPr="00977177">
        <w:rPr>
          <w:rFonts w:cs="Arial"/>
        </w:rPr>
        <w:t xml:space="preserve"> du PCT</w:t>
      </w:r>
      <w:r w:rsidRPr="00DC2CFC">
        <w:rPr>
          <w:rFonts w:cs="Arial"/>
        </w:rPr>
        <w:t xml:space="preserve"> à la date de publication des demandes selon</w:t>
      </w:r>
      <w:r w:rsidRPr="00977177">
        <w:rPr>
          <w:rFonts w:cs="Arial"/>
        </w:rPr>
        <w:t xml:space="preserve"> le PCT</w:t>
      </w:r>
      <w:r w:rsidRPr="00DC2CFC">
        <w:rPr>
          <w:rFonts w:cs="Arial"/>
        </w:rPr>
        <w:t xml:space="preserve"> conformément aux normes</w:t>
      </w:r>
      <w:r>
        <w:rPr>
          <w:rFonts w:cs="Arial"/>
        </w:rPr>
        <w:t> </w:t>
      </w:r>
      <w:r w:rsidRPr="00DC2CFC">
        <w:rPr>
          <w:rFonts w:cs="Arial"/>
        </w:rPr>
        <w:t>IPSAS</w:t>
      </w:r>
      <w:r>
        <w:rPr>
          <w:rFonts w:cs="Arial"/>
        </w:rPr>
        <w:t xml:space="preserve">.  </w:t>
      </w:r>
      <w:r w:rsidRPr="00DC2CFC">
        <w:rPr>
          <w:rFonts w:cs="Arial"/>
        </w:rPr>
        <w:t>Les prévisions corrigées en fonction des normes</w:t>
      </w:r>
      <w:r>
        <w:rPr>
          <w:rFonts w:cs="Arial"/>
        </w:rPr>
        <w:t> </w:t>
      </w:r>
      <w:r w:rsidRPr="00DC2CFC">
        <w:rPr>
          <w:rFonts w:cs="Arial"/>
        </w:rPr>
        <w:t>IPSAS relatives aux recettes</w:t>
      </w:r>
      <w:r w:rsidRPr="00977177">
        <w:rPr>
          <w:rFonts w:cs="Arial"/>
        </w:rPr>
        <w:t xml:space="preserve"> du PCT</w:t>
      </w:r>
      <w:r w:rsidRPr="00DC2CFC">
        <w:rPr>
          <w:rFonts w:cs="Arial"/>
        </w:rPr>
        <w:t xml:space="preserve"> jusqu</w:t>
      </w:r>
      <w:r>
        <w:rPr>
          <w:rFonts w:cs="Arial"/>
        </w:rPr>
        <w:t>’</w:t>
      </w:r>
      <w:r w:rsidRPr="00DC2CFC">
        <w:rPr>
          <w:rFonts w:cs="Arial"/>
        </w:rPr>
        <w:t>en</w:t>
      </w:r>
      <w:r>
        <w:rPr>
          <w:rFonts w:cs="Arial"/>
        </w:rPr>
        <w:t> </w:t>
      </w:r>
      <w:r w:rsidRPr="00DC2CFC">
        <w:rPr>
          <w:rFonts w:cs="Arial"/>
        </w:rPr>
        <w:t>2019 sont indiquées ci</w:t>
      </w:r>
      <w:r w:rsidR="00B441CA">
        <w:rPr>
          <w:rFonts w:cs="Arial"/>
        </w:rPr>
        <w:noBreakHyphen/>
      </w:r>
      <w:r w:rsidRPr="00DC2CFC">
        <w:rPr>
          <w:rFonts w:cs="Arial"/>
        </w:rPr>
        <w:t>dessous dans le diagramme</w:t>
      </w:r>
      <w:r>
        <w:rPr>
          <w:rFonts w:cs="Arial"/>
        </w:rPr>
        <w:t> </w:t>
      </w:r>
      <w:r w:rsidRPr="00DC2CFC">
        <w:rPr>
          <w:rFonts w:cs="Arial"/>
        </w:rPr>
        <w:t>5.</w:t>
      </w:r>
    </w:p>
    <w:p w14:paraId="337B6436" w14:textId="77777777" w:rsidR="00AA49D8" w:rsidRPr="00DC2CFC" w:rsidRDefault="00AA49D8" w:rsidP="00986700">
      <w:pPr>
        <w:jc w:val="both"/>
        <w:rPr>
          <w:rFonts w:cs="Arial"/>
        </w:rPr>
      </w:pPr>
    </w:p>
    <w:p w14:paraId="1FC0375F" w14:textId="77777777" w:rsidR="00AA49D8" w:rsidRPr="00DC2CFC" w:rsidRDefault="00AA49D8" w:rsidP="00986700">
      <w:pPr>
        <w:jc w:val="center"/>
        <w:rPr>
          <w:rFonts w:cs="Arial"/>
          <w:sz w:val="18"/>
          <w:szCs w:val="18"/>
        </w:rPr>
      </w:pPr>
      <w:r w:rsidRPr="00DC2CFC">
        <w:rPr>
          <w:rFonts w:cs="Arial"/>
          <w:sz w:val="18"/>
          <w:szCs w:val="18"/>
        </w:rPr>
        <w:t>Diagramme</w:t>
      </w:r>
      <w:r>
        <w:rPr>
          <w:rFonts w:cs="Arial"/>
          <w:sz w:val="18"/>
          <w:szCs w:val="18"/>
        </w:rPr>
        <w:t> </w:t>
      </w:r>
      <w:r w:rsidRPr="00DC2CFC">
        <w:rPr>
          <w:rFonts w:cs="Arial"/>
          <w:sz w:val="18"/>
          <w:szCs w:val="18"/>
        </w:rPr>
        <w:t xml:space="preserve">5. </w:t>
      </w:r>
      <w:r>
        <w:rPr>
          <w:rFonts w:cs="Arial"/>
          <w:sz w:val="18"/>
          <w:szCs w:val="18"/>
        </w:rPr>
        <w:t xml:space="preserve"> </w:t>
      </w:r>
      <w:r w:rsidRPr="00DC2CFC">
        <w:rPr>
          <w:rFonts w:cs="Arial"/>
          <w:sz w:val="18"/>
          <w:szCs w:val="18"/>
        </w:rPr>
        <w:t>Prévisions corrigées en fonction des normes</w:t>
      </w:r>
      <w:r>
        <w:rPr>
          <w:rFonts w:cs="Arial"/>
          <w:sz w:val="18"/>
          <w:szCs w:val="18"/>
        </w:rPr>
        <w:t> </w:t>
      </w:r>
      <w:r w:rsidRPr="00DC2CFC">
        <w:rPr>
          <w:rFonts w:cs="Arial"/>
          <w:sz w:val="18"/>
          <w:szCs w:val="18"/>
        </w:rPr>
        <w:t>IPSAS relatives aux recettes</w:t>
      </w:r>
      <w:r w:rsidRPr="00977177">
        <w:rPr>
          <w:rFonts w:cs="Arial"/>
          <w:sz w:val="18"/>
          <w:szCs w:val="18"/>
        </w:rPr>
        <w:t xml:space="preserve"> du PCT</w:t>
      </w:r>
      <w:r w:rsidRPr="00DC2CFC">
        <w:rPr>
          <w:rFonts w:cs="Arial"/>
          <w:sz w:val="18"/>
          <w:szCs w:val="18"/>
        </w:rPr>
        <w:t xml:space="preserve"> jusqu</w:t>
      </w:r>
      <w:r>
        <w:rPr>
          <w:rFonts w:cs="Arial"/>
          <w:sz w:val="18"/>
          <w:szCs w:val="18"/>
        </w:rPr>
        <w:t>’</w:t>
      </w:r>
      <w:r w:rsidRPr="00DC2CFC">
        <w:rPr>
          <w:rFonts w:cs="Arial"/>
          <w:sz w:val="18"/>
          <w:szCs w:val="18"/>
        </w:rPr>
        <w:t>en</w:t>
      </w:r>
      <w:r>
        <w:rPr>
          <w:rFonts w:cs="Arial"/>
          <w:sz w:val="18"/>
          <w:szCs w:val="18"/>
        </w:rPr>
        <w:t> </w:t>
      </w:r>
      <w:r w:rsidRPr="00DC2CFC">
        <w:rPr>
          <w:rFonts w:cs="Arial"/>
          <w:sz w:val="18"/>
          <w:szCs w:val="18"/>
        </w:rPr>
        <w:t>2019</w:t>
      </w:r>
    </w:p>
    <w:p w14:paraId="2C19037E" w14:textId="77777777" w:rsidR="00AA49D8" w:rsidRDefault="00AA49D8" w:rsidP="00986700">
      <w:pPr>
        <w:jc w:val="center"/>
        <w:rPr>
          <w:rFonts w:cs="Arial"/>
        </w:rPr>
      </w:pPr>
    </w:p>
    <w:p w14:paraId="56A7B34B" w14:textId="70DEC26C" w:rsidR="00AA49D8" w:rsidRPr="00DC2CFC" w:rsidRDefault="007103EB" w:rsidP="00986700">
      <w:pPr>
        <w:jc w:val="center"/>
        <w:rPr>
          <w:rFonts w:cs="Arial"/>
        </w:rPr>
      </w:pPr>
      <w:r w:rsidRPr="007103EB">
        <w:rPr>
          <w:noProof/>
          <w:lang w:val="en-US" w:eastAsia="en-US"/>
        </w:rPr>
        <w:drawing>
          <wp:inline distT="0" distB="0" distL="0" distR="0" wp14:anchorId="6AFB2904" wp14:editId="0427E54A">
            <wp:extent cx="4680000" cy="2598733"/>
            <wp:effectExtent l="0" t="0" r="635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80000" cy="2598733"/>
                    </a:xfrm>
                    <a:prstGeom prst="rect">
                      <a:avLst/>
                    </a:prstGeom>
                    <a:noFill/>
                    <a:ln>
                      <a:noFill/>
                    </a:ln>
                  </pic:spPr>
                </pic:pic>
              </a:graphicData>
            </a:graphic>
          </wp:inline>
        </w:drawing>
      </w:r>
    </w:p>
    <w:p w14:paraId="7A9618C3" w14:textId="77777777" w:rsidR="00AA49D8" w:rsidRDefault="00AA49D8" w:rsidP="00986700">
      <w:pPr>
        <w:jc w:val="center"/>
        <w:rPr>
          <w:rFonts w:cs="Arial"/>
        </w:rPr>
      </w:pPr>
    </w:p>
    <w:p w14:paraId="6B40ECD8" w14:textId="576E7AC4" w:rsidR="00AA49D8" w:rsidRPr="00DC2CFC" w:rsidRDefault="007103EB" w:rsidP="00986700">
      <w:pPr>
        <w:jc w:val="center"/>
      </w:pPr>
      <w:r w:rsidRPr="007103EB">
        <w:rPr>
          <w:noProof/>
          <w:lang w:val="en-US" w:eastAsia="en-US"/>
        </w:rPr>
        <w:lastRenderedPageBreak/>
        <w:drawing>
          <wp:inline distT="0" distB="0" distL="0" distR="0" wp14:anchorId="48073749" wp14:editId="4468A604">
            <wp:extent cx="4096800" cy="720000"/>
            <wp:effectExtent l="0" t="0" r="0" b="444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96800" cy="720000"/>
                    </a:xfrm>
                    <a:prstGeom prst="rect">
                      <a:avLst/>
                    </a:prstGeom>
                    <a:noFill/>
                    <a:ln>
                      <a:noFill/>
                    </a:ln>
                  </pic:spPr>
                </pic:pic>
              </a:graphicData>
            </a:graphic>
          </wp:inline>
        </w:drawing>
      </w:r>
    </w:p>
    <w:p w14:paraId="34CB0BFC" w14:textId="77777777" w:rsidR="00AA49D8" w:rsidRPr="00DC2CFC" w:rsidRDefault="00AA49D8" w:rsidP="00986700">
      <w:pPr>
        <w:jc w:val="center"/>
      </w:pPr>
    </w:p>
    <w:p w14:paraId="6C97A394" w14:textId="77777777" w:rsidR="00AA49D8" w:rsidRPr="00DC2CFC" w:rsidRDefault="00AA49D8" w:rsidP="00986700">
      <w:pPr>
        <w:jc w:val="center"/>
      </w:pPr>
    </w:p>
    <w:p w14:paraId="106B473A" w14:textId="77777777" w:rsidR="00AA49D8" w:rsidRPr="00DC2CFC" w:rsidRDefault="00AA49D8" w:rsidP="00986700">
      <w:pPr>
        <w:rPr>
          <w:rFonts w:cs="Arial"/>
          <w:i/>
        </w:rPr>
      </w:pPr>
      <w:r w:rsidRPr="00DC2CFC">
        <w:rPr>
          <w:rFonts w:cs="Arial"/>
          <w:i/>
        </w:rPr>
        <w:t>Ajustement en fonction des taux de change</w:t>
      </w:r>
    </w:p>
    <w:p w14:paraId="7E98231B" w14:textId="77777777" w:rsidR="00AA49D8" w:rsidRPr="00DC2CFC" w:rsidRDefault="00AA49D8" w:rsidP="00986700">
      <w:pPr>
        <w:rPr>
          <w:rFonts w:cs="Arial"/>
        </w:rPr>
      </w:pPr>
    </w:p>
    <w:p w14:paraId="2D87B500" w14:textId="3BF4A184" w:rsidR="00AA49D8" w:rsidRPr="00DC2CFC" w:rsidRDefault="00AA49D8" w:rsidP="00CF6859">
      <w:pPr>
        <w:numPr>
          <w:ilvl w:val="0"/>
          <w:numId w:val="99"/>
        </w:numPr>
        <w:tabs>
          <w:tab w:val="left" w:pos="540"/>
        </w:tabs>
        <w:jc w:val="both"/>
        <w:rPr>
          <w:rFonts w:cs="Arial"/>
        </w:rPr>
      </w:pPr>
      <w:r w:rsidRPr="00DC2CFC">
        <w:rPr>
          <w:rFonts w:cs="Arial"/>
        </w:rPr>
        <w:t>Les taxes</w:t>
      </w:r>
      <w:r w:rsidRPr="00977177">
        <w:rPr>
          <w:rFonts w:cs="Arial"/>
        </w:rPr>
        <w:t xml:space="preserve"> du PCT</w:t>
      </w:r>
      <w:r w:rsidRPr="00DC2CFC">
        <w:rPr>
          <w:rFonts w:cs="Arial"/>
        </w:rPr>
        <w:t xml:space="preserve"> sont payées en différentes monnaies</w:t>
      </w:r>
      <w:r>
        <w:rPr>
          <w:rFonts w:cs="Arial"/>
        </w:rPr>
        <w:t xml:space="preserve">.  </w:t>
      </w:r>
      <w:r w:rsidRPr="00DC2CFC">
        <w:rPr>
          <w:rFonts w:cs="Arial"/>
        </w:rPr>
        <w:t>Dans le cas de celles qui sont payées en monnaies “librement convertibles”, le montant est égal au “montant équivalent” fixé par le Bureau international alors que, dans le cas de celles payées en monnaies qui “ne sont pas librement convertibles”, les offices récepteurs les convertissent en un montant équivalent en francs suisses, en euros ou en dollars des États</w:t>
      </w:r>
      <w:r w:rsidR="00B441CA">
        <w:rPr>
          <w:rFonts w:cs="Arial"/>
        </w:rPr>
        <w:noBreakHyphen/>
      </w:r>
      <w:r w:rsidRPr="00DC2CFC">
        <w:rPr>
          <w:rFonts w:cs="Arial"/>
        </w:rPr>
        <w:t>Unis d</w:t>
      </w:r>
      <w:r>
        <w:rPr>
          <w:rFonts w:cs="Arial"/>
        </w:rPr>
        <w:t>’</w:t>
      </w:r>
      <w:r w:rsidRPr="00DC2CFC">
        <w:rPr>
          <w:rFonts w:cs="Arial"/>
        </w:rPr>
        <w:t>Amérique (règle</w:t>
      </w:r>
      <w:r>
        <w:rPr>
          <w:rFonts w:cs="Arial"/>
        </w:rPr>
        <w:t> </w:t>
      </w:r>
      <w:r w:rsidRPr="00DC2CFC">
        <w:rPr>
          <w:rFonts w:cs="Arial"/>
        </w:rPr>
        <w:t>15 du règlement d</w:t>
      </w:r>
      <w:r>
        <w:rPr>
          <w:rFonts w:cs="Arial"/>
        </w:rPr>
        <w:t>’</w:t>
      </w:r>
      <w:r w:rsidRPr="00DC2CFC">
        <w:rPr>
          <w:rFonts w:cs="Arial"/>
        </w:rPr>
        <w:t>exécution</w:t>
      </w:r>
      <w:r w:rsidRPr="00977177">
        <w:rPr>
          <w:rFonts w:cs="Arial"/>
        </w:rPr>
        <w:t xml:space="preserve"> du PCT</w:t>
      </w:r>
      <w:r w:rsidRPr="00DC2CFC">
        <w:rPr>
          <w:rFonts w:cs="Arial"/>
        </w:rPr>
        <w:t xml:space="preserve">). </w:t>
      </w:r>
      <w:r>
        <w:rPr>
          <w:rFonts w:cs="Arial"/>
        </w:rPr>
        <w:t xml:space="preserve"> </w:t>
      </w:r>
      <w:r w:rsidRPr="00DC2CFC">
        <w:rPr>
          <w:rFonts w:cs="Arial"/>
        </w:rPr>
        <w:t>L</w:t>
      </w:r>
      <w:r>
        <w:rPr>
          <w:rFonts w:cs="Arial"/>
        </w:rPr>
        <w:t>’</w:t>
      </w:r>
      <w:r w:rsidRPr="00DC2CFC">
        <w:rPr>
          <w:rFonts w:cs="Arial"/>
        </w:rPr>
        <w:t>OMPI fixe les montants équivalents selon les règles prescrites dans les directives de l</w:t>
      </w:r>
      <w:r>
        <w:rPr>
          <w:rFonts w:cs="Arial"/>
        </w:rPr>
        <w:t>’</w:t>
      </w:r>
      <w:r w:rsidRPr="00DC2CFC">
        <w:rPr>
          <w:rFonts w:cs="Arial"/>
        </w:rPr>
        <w:t>Assemblée</w:t>
      </w:r>
      <w:r w:rsidRPr="00977177">
        <w:rPr>
          <w:rFonts w:cs="Arial"/>
        </w:rPr>
        <w:t xml:space="preserve"> du PCT</w:t>
      </w:r>
      <w:r>
        <w:rPr>
          <w:rFonts w:cs="Arial"/>
        </w:rPr>
        <w:t> :</w:t>
      </w:r>
      <w:r w:rsidRPr="00DC2CFC">
        <w:rPr>
          <w:rFonts w:cs="Arial"/>
        </w:rPr>
        <w:t xml:space="preserve"> 1) les taux de change le premier lundi d</w:t>
      </w:r>
      <w:r>
        <w:rPr>
          <w:rFonts w:cs="Arial"/>
        </w:rPr>
        <w:t>’</w:t>
      </w:r>
      <w:r w:rsidRPr="00DC2CFC">
        <w:rPr>
          <w:rFonts w:cs="Arial"/>
        </w:rPr>
        <w:t>octobre sont considérés comme les nouveaux taux de change de l</w:t>
      </w:r>
      <w:r>
        <w:rPr>
          <w:rFonts w:cs="Arial"/>
        </w:rPr>
        <w:t>’</w:t>
      </w:r>
      <w:r w:rsidRPr="00DC2CFC">
        <w:rPr>
          <w:rFonts w:cs="Arial"/>
        </w:rPr>
        <w:t>OMPI pour fixer les montants équivalents pour l</w:t>
      </w:r>
      <w:r>
        <w:rPr>
          <w:rFonts w:cs="Arial"/>
        </w:rPr>
        <w:t>’</w:t>
      </w:r>
      <w:r w:rsidRPr="00DC2CFC">
        <w:rPr>
          <w:rFonts w:cs="Arial"/>
        </w:rPr>
        <w:t>année suivante;  et 2) si, pendant plus de quatre</w:t>
      </w:r>
      <w:r>
        <w:rPr>
          <w:rFonts w:cs="Arial"/>
        </w:rPr>
        <w:t> </w:t>
      </w:r>
      <w:r w:rsidRPr="00DC2CFC">
        <w:rPr>
          <w:rFonts w:cs="Arial"/>
        </w:rPr>
        <w:t>vendredis consécutifs, les taux de change varient de 5%, le Directeur général de l</w:t>
      </w:r>
      <w:r>
        <w:rPr>
          <w:rFonts w:cs="Arial"/>
        </w:rPr>
        <w:t>’</w:t>
      </w:r>
      <w:r w:rsidRPr="00DC2CFC">
        <w:rPr>
          <w:rFonts w:cs="Arial"/>
        </w:rPr>
        <w:t>OMPI doit se livrer à des consultations avec les offices afin de fixer de nouveaux montants équivalents qui entreront en vigueur deux</w:t>
      </w:r>
      <w:r>
        <w:rPr>
          <w:rFonts w:cs="Arial"/>
        </w:rPr>
        <w:t> </w:t>
      </w:r>
      <w:r w:rsidRPr="00DC2CFC">
        <w:rPr>
          <w:rFonts w:cs="Arial"/>
        </w:rPr>
        <w:t>mois après leur publication.</w:t>
      </w:r>
    </w:p>
    <w:p w14:paraId="4A3793F2" w14:textId="77777777" w:rsidR="00AA49D8" w:rsidRPr="00DC2CFC" w:rsidRDefault="00AA49D8" w:rsidP="00986700">
      <w:pPr>
        <w:rPr>
          <w:rFonts w:cs="Arial"/>
        </w:rPr>
      </w:pPr>
    </w:p>
    <w:p w14:paraId="513387AD" w14:textId="44B6CEBF" w:rsidR="00AA49D8" w:rsidRDefault="00AA49D8" w:rsidP="00CF6859">
      <w:pPr>
        <w:numPr>
          <w:ilvl w:val="0"/>
          <w:numId w:val="99"/>
        </w:numPr>
        <w:tabs>
          <w:tab w:val="left" w:pos="540"/>
        </w:tabs>
        <w:jc w:val="both"/>
        <w:rPr>
          <w:rFonts w:cs="Arial"/>
        </w:rPr>
      </w:pPr>
      <w:r w:rsidRPr="00DC2CFC">
        <w:rPr>
          <w:rFonts w:cs="Arial"/>
        </w:rPr>
        <w:t>Les déposants paient la taxe de dépôt international selon le montant équivalent en vigueur à la date de dépôt</w:t>
      </w:r>
      <w:r>
        <w:rPr>
          <w:rFonts w:cs="Arial"/>
        </w:rPr>
        <w:t xml:space="preserve">.  </w:t>
      </w:r>
      <w:r w:rsidRPr="00DC2CFC">
        <w:rPr>
          <w:rFonts w:cs="Arial"/>
        </w:rPr>
        <w:t>Toutefois, en raison de l</w:t>
      </w:r>
      <w:r>
        <w:rPr>
          <w:rFonts w:cs="Arial"/>
        </w:rPr>
        <w:t>’</w:t>
      </w:r>
      <w:r w:rsidRPr="00DC2CFC">
        <w:rPr>
          <w:rFonts w:cs="Arial"/>
        </w:rPr>
        <w:t>application tardive de ce montant, il est probable que les taux de change du marché seront différents des taux de l</w:t>
      </w:r>
      <w:r>
        <w:rPr>
          <w:rFonts w:cs="Arial"/>
        </w:rPr>
        <w:t>’</w:t>
      </w:r>
      <w:r w:rsidRPr="00DC2CFC">
        <w:rPr>
          <w:rFonts w:cs="Arial"/>
        </w:rPr>
        <w:t>OMPI au moment du paiement, ce qui aura pour résultat un gain ou une perte de recettes</w:t>
      </w:r>
      <w:r w:rsidRPr="00977177">
        <w:rPr>
          <w:rFonts w:cs="Arial"/>
        </w:rPr>
        <w:t xml:space="preserve"> du PCT</w:t>
      </w:r>
      <w:r>
        <w:rPr>
          <w:rFonts w:cs="Arial"/>
        </w:rPr>
        <w:t xml:space="preserve">.  </w:t>
      </w:r>
      <w:r w:rsidRPr="00DC2CFC">
        <w:rPr>
          <w:rFonts w:cs="Arial"/>
        </w:rPr>
        <w:t>Le diagramme ci</w:t>
      </w:r>
      <w:r w:rsidR="00B441CA">
        <w:rPr>
          <w:rFonts w:cs="Arial"/>
        </w:rPr>
        <w:noBreakHyphen/>
      </w:r>
      <w:r w:rsidRPr="00DC2CFC">
        <w:rPr>
          <w:rFonts w:cs="Arial"/>
        </w:rPr>
        <w:t>après montre la différence entre les taux de change qu</w:t>
      </w:r>
      <w:r>
        <w:rPr>
          <w:rFonts w:cs="Arial"/>
        </w:rPr>
        <w:t>’</w:t>
      </w:r>
      <w:r w:rsidRPr="00DC2CFC">
        <w:rPr>
          <w:rFonts w:cs="Arial"/>
        </w:rPr>
        <w:t>utilise l</w:t>
      </w:r>
      <w:r>
        <w:rPr>
          <w:rFonts w:cs="Arial"/>
        </w:rPr>
        <w:t>’</w:t>
      </w:r>
      <w:r w:rsidRPr="00DC2CFC">
        <w:rPr>
          <w:rFonts w:cs="Arial"/>
        </w:rPr>
        <w:t>OMPI pour fixer le “montant équivalent” et les taux de change opérationnels qu</w:t>
      </w:r>
      <w:r>
        <w:rPr>
          <w:rFonts w:cs="Arial"/>
        </w:rPr>
        <w:t>’</w:t>
      </w:r>
      <w:r w:rsidRPr="00DC2CFC">
        <w:rPr>
          <w:rFonts w:cs="Arial"/>
        </w:rPr>
        <w:t>utilise l</w:t>
      </w:r>
      <w:r>
        <w:rPr>
          <w:rFonts w:cs="Arial"/>
        </w:rPr>
        <w:t>’</w:t>
      </w:r>
      <w:r w:rsidRPr="00DC2CFC">
        <w:rPr>
          <w:rFonts w:cs="Arial"/>
        </w:rPr>
        <w:t>ONU pour les trois</w:t>
      </w:r>
      <w:r>
        <w:rPr>
          <w:rFonts w:cs="Arial"/>
        </w:rPr>
        <w:t> </w:t>
      </w:r>
      <w:r w:rsidRPr="00DC2CFC">
        <w:rPr>
          <w:rFonts w:cs="Arial"/>
        </w:rPr>
        <w:t xml:space="preserve">monnaies, </w:t>
      </w:r>
      <w:r>
        <w:rPr>
          <w:rFonts w:cs="Arial"/>
        </w:rPr>
        <w:t>à savoir</w:t>
      </w:r>
      <w:r w:rsidRPr="00DC2CFC">
        <w:rPr>
          <w:rFonts w:cs="Arial"/>
        </w:rPr>
        <w:t xml:space="preserve"> le dollar des États</w:t>
      </w:r>
      <w:r w:rsidR="00B441CA">
        <w:rPr>
          <w:rFonts w:cs="Arial"/>
        </w:rPr>
        <w:noBreakHyphen/>
      </w:r>
      <w:r w:rsidRPr="00DC2CFC">
        <w:rPr>
          <w:rFonts w:cs="Arial"/>
        </w:rPr>
        <w:t>Unis d</w:t>
      </w:r>
      <w:r>
        <w:rPr>
          <w:rFonts w:cs="Arial"/>
        </w:rPr>
        <w:t>’</w:t>
      </w:r>
      <w:r w:rsidRPr="00DC2CFC">
        <w:rPr>
          <w:rFonts w:cs="Arial"/>
        </w:rPr>
        <w:t>Amérique, l</w:t>
      </w:r>
      <w:r>
        <w:rPr>
          <w:rFonts w:cs="Arial"/>
        </w:rPr>
        <w:t>’</w:t>
      </w:r>
      <w:r w:rsidRPr="00DC2CFC">
        <w:rPr>
          <w:rFonts w:cs="Arial"/>
        </w:rPr>
        <w:t>euro et le yen japonais.</w:t>
      </w:r>
    </w:p>
    <w:p w14:paraId="40E8CCBE" w14:textId="77777777" w:rsidR="00AA49D8" w:rsidRPr="00DC2CFC" w:rsidRDefault="00AA49D8" w:rsidP="00986700">
      <w:pPr>
        <w:rPr>
          <w:rFonts w:cs="Arial"/>
        </w:rPr>
      </w:pPr>
    </w:p>
    <w:p w14:paraId="3E036725" w14:textId="4AD2CB2D" w:rsidR="00AA49D8" w:rsidRPr="00DC2CFC" w:rsidRDefault="00B441CA" w:rsidP="00986700">
      <w:pPr>
        <w:jc w:val="center"/>
        <w:rPr>
          <w:rFonts w:cs="Arial"/>
        </w:rPr>
      </w:pPr>
      <w:r w:rsidRPr="00B441CA">
        <w:rPr>
          <w:rFonts w:cs="Arial"/>
        </w:rPr>
        <w:t xml:space="preserve"> </w:t>
      </w:r>
      <w:r w:rsidRPr="00B441CA">
        <w:rPr>
          <w:noProof/>
          <w:lang w:val="en-US" w:eastAsia="en-US"/>
        </w:rPr>
        <w:drawing>
          <wp:inline distT="0" distB="0" distL="0" distR="0" wp14:anchorId="55E60B4F" wp14:editId="1BA5CE61">
            <wp:extent cx="5760085" cy="156611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60085" cy="1566115"/>
                    </a:xfrm>
                    <a:prstGeom prst="rect">
                      <a:avLst/>
                    </a:prstGeom>
                    <a:noFill/>
                    <a:ln>
                      <a:noFill/>
                    </a:ln>
                  </pic:spPr>
                </pic:pic>
              </a:graphicData>
            </a:graphic>
          </wp:inline>
        </w:drawing>
      </w:r>
    </w:p>
    <w:p w14:paraId="2398D348" w14:textId="77777777" w:rsidR="00AA49D8" w:rsidRPr="00DC2CFC" w:rsidRDefault="00AA49D8" w:rsidP="00986700">
      <w:pPr>
        <w:rPr>
          <w:rFonts w:cs="Arial"/>
        </w:rPr>
      </w:pPr>
    </w:p>
    <w:p w14:paraId="38EE26A8" w14:textId="51AF62D5" w:rsidR="00AA49D8" w:rsidRPr="00DC2CFC" w:rsidRDefault="00AA49D8" w:rsidP="00CF6859">
      <w:pPr>
        <w:numPr>
          <w:ilvl w:val="0"/>
          <w:numId w:val="99"/>
        </w:numPr>
        <w:tabs>
          <w:tab w:val="left" w:pos="540"/>
        </w:tabs>
        <w:jc w:val="both"/>
        <w:rPr>
          <w:rFonts w:cs="Arial"/>
        </w:rPr>
      </w:pPr>
      <w:r w:rsidRPr="00DC2CFC">
        <w:rPr>
          <w:rFonts w:cs="Arial"/>
        </w:rPr>
        <w:t>La différence entre le montant équivalent à la date de dépôt et le montant converti en francs suisses à la date de paiement en vertu des taux de change de l</w:t>
      </w:r>
      <w:r>
        <w:rPr>
          <w:rFonts w:cs="Arial"/>
        </w:rPr>
        <w:t>’</w:t>
      </w:r>
      <w:r w:rsidRPr="00DC2CFC">
        <w:rPr>
          <w:rFonts w:cs="Arial"/>
        </w:rPr>
        <w:t>ONU constitue un gain ou une perte de recettes</w:t>
      </w:r>
      <w:r w:rsidRPr="00977177">
        <w:rPr>
          <w:rFonts w:cs="Arial"/>
        </w:rPr>
        <w:t xml:space="preserve"> du PCT</w:t>
      </w:r>
      <w:r>
        <w:rPr>
          <w:rFonts w:cs="Arial"/>
        </w:rPr>
        <w:t xml:space="preserve">.  </w:t>
      </w:r>
      <w:r w:rsidRPr="00DC2CFC">
        <w:rPr>
          <w:rFonts w:cs="Arial"/>
        </w:rPr>
        <w:t>Le diagramme ci</w:t>
      </w:r>
      <w:r w:rsidR="00B441CA">
        <w:rPr>
          <w:rFonts w:cs="Arial"/>
        </w:rPr>
        <w:noBreakHyphen/>
      </w:r>
      <w:r w:rsidRPr="00DC2CFC">
        <w:rPr>
          <w:rFonts w:cs="Arial"/>
        </w:rPr>
        <w:t>après montre le gain ou la perte tous les mois de ces recettes.</w:t>
      </w:r>
    </w:p>
    <w:p w14:paraId="234DC909" w14:textId="77777777" w:rsidR="00AA49D8" w:rsidRPr="00DC2CFC" w:rsidRDefault="00AA49D8" w:rsidP="00986700">
      <w:pPr>
        <w:rPr>
          <w:rFonts w:cs="Arial"/>
        </w:rPr>
      </w:pPr>
    </w:p>
    <w:p w14:paraId="7A26151D" w14:textId="20A60955" w:rsidR="00AA49D8" w:rsidRPr="00DC2CFC" w:rsidRDefault="00B441CA" w:rsidP="00986700">
      <w:pPr>
        <w:rPr>
          <w:rFonts w:cs="Arial"/>
        </w:rPr>
      </w:pPr>
      <w:r w:rsidRPr="00B441CA">
        <w:rPr>
          <w:noProof/>
          <w:lang w:val="en-US" w:eastAsia="en-US"/>
        </w:rPr>
        <w:drawing>
          <wp:inline distT="0" distB="0" distL="0" distR="0" wp14:anchorId="6ED61F35" wp14:editId="2B52048E">
            <wp:extent cx="5760085" cy="1879859"/>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60085" cy="1879859"/>
                    </a:xfrm>
                    <a:prstGeom prst="rect">
                      <a:avLst/>
                    </a:prstGeom>
                    <a:noFill/>
                    <a:ln>
                      <a:noFill/>
                    </a:ln>
                  </pic:spPr>
                </pic:pic>
              </a:graphicData>
            </a:graphic>
          </wp:inline>
        </w:drawing>
      </w:r>
    </w:p>
    <w:p w14:paraId="2204F83E" w14:textId="77777777" w:rsidR="00AA49D8" w:rsidRPr="00DC2CFC" w:rsidRDefault="00AA49D8" w:rsidP="00CF6859">
      <w:pPr>
        <w:numPr>
          <w:ilvl w:val="0"/>
          <w:numId w:val="99"/>
        </w:numPr>
        <w:tabs>
          <w:tab w:val="left" w:pos="540"/>
        </w:tabs>
        <w:jc w:val="both"/>
        <w:rPr>
          <w:rFonts w:cs="Arial"/>
        </w:rPr>
      </w:pPr>
      <w:r w:rsidRPr="00DC2CFC">
        <w:rPr>
          <w:rFonts w:cs="Arial"/>
        </w:rPr>
        <w:t>Ces dernières années, l</w:t>
      </w:r>
      <w:r>
        <w:rPr>
          <w:rFonts w:cs="Arial"/>
        </w:rPr>
        <w:t>’</w:t>
      </w:r>
      <w:r w:rsidRPr="00DC2CFC">
        <w:rPr>
          <w:rFonts w:cs="Arial"/>
        </w:rPr>
        <w:t>OMPI a enregistré des gains et des pertes en raison des fluctuations de change entre le franc suisse et d</w:t>
      </w:r>
      <w:r>
        <w:rPr>
          <w:rFonts w:cs="Arial"/>
        </w:rPr>
        <w:t>’</w:t>
      </w:r>
      <w:r w:rsidRPr="00DC2CFC">
        <w:rPr>
          <w:rFonts w:cs="Arial"/>
        </w:rPr>
        <w:t>autres monnaies.  L</w:t>
      </w:r>
      <w:r>
        <w:rPr>
          <w:rFonts w:cs="Arial"/>
        </w:rPr>
        <w:t>’</w:t>
      </w:r>
      <w:r w:rsidRPr="00DC2CFC">
        <w:rPr>
          <w:rFonts w:cs="Arial"/>
        </w:rPr>
        <w:t>OMPI a par exemple réalisé un gain d</w:t>
      </w:r>
      <w:r>
        <w:rPr>
          <w:rFonts w:cs="Arial"/>
        </w:rPr>
        <w:t>’</w:t>
      </w:r>
      <w:r w:rsidRPr="00DC2CFC">
        <w:rPr>
          <w:rFonts w:cs="Arial"/>
        </w:rPr>
        <w:t>environ 5,8</w:t>
      </w:r>
      <w:r>
        <w:rPr>
          <w:rFonts w:cs="Arial"/>
        </w:rPr>
        <w:t> </w:t>
      </w:r>
      <w:r w:rsidRPr="00DC2CFC">
        <w:rPr>
          <w:rFonts w:cs="Arial"/>
        </w:rPr>
        <w:t>millions de francs suisses en</w:t>
      </w:r>
      <w:r>
        <w:rPr>
          <w:rFonts w:cs="Arial"/>
        </w:rPr>
        <w:t> </w:t>
      </w:r>
      <w:r w:rsidRPr="00DC2CFC">
        <w:rPr>
          <w:rFonts w:cs="Arial"/>
        </w:rPr>
        <w:t>2016.</w:t>
      </w:r>
    </w:p>
    <w:p w14:paraId="33B41BFF" w14:textId="77777777" w:rsidR="00AA49D8" w:rsidRPr="00DC2CFC" w:rsidRDefault="00AA49D8" w:rsidP="00986700">
      <w:pPr>
        <w:rPr>
          <w:rFonts w:cs="Arial"/>
        </w:rPr>
      </w:pPr>
    </w:p>
    <w:p w14:paraId="1FA2C554" w14:textId="5CF22A03" w:rsidR="00AA49D8" w:rsidRPr="00DC2CFC" w:rsidRDefault="00AA49D8" w:rsidP="00CF6859">
      <w:pPr>
        <w:numPr>
          <w:ilvl w:val="0"/>
          <w:numId w:val="99"/>
        </w:numPr>
        <w:tabs>
          <w:tab w:val="left" w:pos="540"/>
        </w:tabs>
        <w:jc w:val="both"/>
        <w:rPr>
          <w:rFonts w:cs="Arial"/>
        </w:rPr>
      </w:pPr>
      <w:r w:rsidRPr="00DC2CFC">
        <w:rPr>
          <w:rFonts w:cs="Arial"/>
        </w:rPr>
        <w:t>Le barème actuel des taxes</w:t>
      </w:r>
      <w:r w:rsidRPr="00977177">
        <w:rPr>
          <w:rFonts w:cs="Arial"/>
        </w:rPr>
        <w:t xml:space="preserve"> du PCT</w:t>
      </w:r>
      <w:r w:rsidRPr="00DC2CFC">
        <w:rPr>
          <w:rFonts w:cs="Arial"/>
        </w:rPr>
        <w:t xml:space="preserve"> est reproduit dans le tableau</w:t>
      </w:r>
      <w:r>
        <w:rPr>
          <w:rFonts w:cs="Arial"/>
        </w:rPr>
        <w:t> </w:t>
      </w:r>
      <w:r w:rsidRPr="00DC2CFC">
        <w:rPr>
          <w:rFonts w:cs="Arial"/>
        </w:rPr>
        <w:t>16 ci</w:t>
      </w:r>
      <w:r w:rsidR="00B441CA">
        <w:rPr>
          <w:rFonts w:cs="Arial"/>
        </w:rPr>
        <w:noBreakHyphen/>
      </w:r>
      <w:r w:rsidRPr="00DC2CFC">
        <w:rPr>
          <w:rFonts w:cs="Arial"/>
        </w:rPr>
        <w:t>dessous.</w:t>
      </w:r>
    </w:p>
    <w:p w14:paraId="4278EA21" w14:textId="77777777" w:rsidR="00AA49D8" w:rsidRPr="00DC2CFC" w:rsidRDefault="00AA49D8" w:rsidP="00986700">
      <w:pPr>
        <w:rPr>
          <w:rFonts w:cs="Arial"/>
        </w:rPr>
      </w:pPr>
    </w:p>
    <w:tbl>
      <w:tblPr>
        <w:tblW w:w="0" w:type="auto"/>
        <w:tblLook w:val="01E0" w:firstRow="1" w:lastRow="1" w:firstColumn="1" w:lastColumn="1" w:noHBand="0" w:noVBand="0"/>
      </w:tblPr>
      <w:tblGrid>
        <w:gridCol w:w="4643"/>
        <w:gridCol w:w="4644"/>
      </w:tblGrid>
      <w:tr w:rsidR="00AA49D8" w:rsidRPr="00DC2CFC" w14:paraId="6EC53A99" w14:textId="77777777" w:rsidTr="00AA49D8">
        <w:tc>
          <w:tcPr>
            <w:tcW w:w="4643" w:type="dxa"/>
            <w:shd w:val="clear" w:color="auto" w:fill="auto"/>
          </w:tcPr>
          <w:p w14:paraId="33BAB9D3" w14:textId="77777777" w:rsidR="00AA49D8" w:rsidRPr="00DC2CFC" w:rsidRDefault="00AA49D8" w:rsidP="00986700">
            <w:pPr>
              <w:jc w:val="center"/>
              <w:rPr>
                <w:rFonts w:cs="Arial"/>
                <w:i/>
                <w:iCs/>
                <w:sz w:val="18"/>
                <w:szCs w:val="18"/>
              </w:rPr>
            </w:pPr>
            <w:r w:rsidRPr="00DC2CFC">
              <w:rPr>
                <w:rFonts w:cs="Arial"/>
                <w:sz w:val="18"/>
                <w:szCs w:val="18"/>
              </w:rPr>
              <w:t>Tableau</w:t>
            </w:r>
            <w:r>
              <w:rPr>
                <w:rFonts w:cs="Arial"/>
                <w:sz w:val="18"/>
                <w:szCs w:val="18"/>
              </w:rPr>
              <w:t> </w:t>
            </w:r>
            <w:r w:rsidRPr="00DC2CFC">
              <w:rPr>
                <w:rFonts w:cs="Arial"/>
                <w:sz w:val="18"/>
                <w:szCs w:val="18"/>
              </w:rPr>
              <w:t>15.  Barème des taxes</w:t>
            </w:r>
            <w:r w:rsidRPr="00977177">
              <w:rPr>
                <w:rFonts w:cs="Arial"/>
                <w:sz w:val="18"/>
                <w:szCs w:val="18"/>
              </w:rPr>
              <w:t xml:space="preserve"> du PCT</w:t>
            </w:r>
            <w:r w:rsidRPr="00DC2CFC">
              <w:rPr>
                <w:rFonts w:cs="Arial"/>
                <w:sz w:val="18"/>
                <w:szCs w:val="18"/>
              </w:rPr>
              <w:t xml:space="preserve"> </w:t>
            </w:r>
            <w:r w:rsidRPr="00DC2CFC">
              <w:rPr>
                <w:rFonts w:cs="Arial"/>
                <w:sz w:val="18"/>
                <w:szCs w:val="18"/>
              </w:rPr>
              <w:br/>
              <w:t>(à compter du</w:t>
            </w:r>
            <w:r>
              <w:rPr>
                <w:rFonts w:cs="Arial"/>
                <w:sz w:val="18"/>
                <w:szCs w:val="18"/>
              </w:rPr>
              <w:t xml:space="preserve"> 1</w:t>
            </w:r>
            <w:r w:rsidRPr="00977177">
              <w:rPr>
                <w:rFonts w:cs="Arial"/>
                <w:sz w:val="18"/>
                <w:szCs w:val="18"/>
                <w:vertAlign w:val="superscript"/>
              </w:rPr>
              <w:t>er</w:t>
            </w:r>
            <w:r>
              <w:rPr>
                <w:rFonts w:cs="Arial"/>
                <w:sz w:val="18"/>
                <w:szCs w:val="18"/>
              </w:rPr>
              <w:t> </w:t>
            </w:r>
            <w:r w:rsidRPr="00DC2CFC">
              <w:rPr>
                <w:rFonts w:cs="Arial"/>
                <w:sz w:val="18"/>
                <w:szCs w:val="18"/>
              </w:rPr>
              <w:t>janvier</w:t>
            </w:r>
            <w:r>
              <w:rPr>
                <w:rFonts w:cs="Arial"/>
                <w:sz w:val="18"/>
                <w:szCs w:val="18"/>
              </w:rPr>
              <w:t> </w:t>
            </w:r>
            <w:r w:rsidRPr="00DC2CFC">
              <w:rPr>
                <w:rFonts w:cs="Arial"/>
                <w:sz w:val="18"/>
                <w:szCs w:val="18"/>
              </w:rPr>
              <w:t xml:space="preserve">2004) </w:t>
            </w:r>
            <w:r w:rsidRPr="00DC2CFC">
              <w:rPr>
                <w:rFonts w:cs="Arial"/>
                <w:sz w:val="18"/>
                <w:szCs w:val="18"/>
              </w:rPr>
              <w:br/>
              <w:t>(en francs suisses)</w:t>
            </w:r>
          </w:p>
          <w:p w14:paraId="1D779238" w14:textId="77777777" w:rsidR="00AA49D8" w:rsidRPr="00DC2CFC" w:rsidRDefault="00AA49D8" w:rsidP="00986700">
            <w:pPr>
              <w:jc w:val="center"/>
              <w:rPr>
                <w:rFonts w:cs="Arial"/>
              </w:rPr>
            </w:pPr>
          </w:p>
        </w:tc>
        <w:tc>
          <w:tcPr>
            <w:tcW w:w="4644" w:type="dxa"/>
            <w:shd w:val="clear" w:color="auto" w:fill="auto"/>
          </w:tcPr>
          <w:p w14:paraId="0F313B86" w14:textId="77777777" w:rsidR="00AA49D8" w:rsidRPr="00DC2CFC" w:rsidRDefault="00AA49D8" w:rsidP="00986700">
            <w:pPr>
              <w:jc w:val="center"/>
              <w:rPr>
                <w:rFonts w:cs="Arial"/>
              </w:rPr>
            </w:pPr>
            <w:r w:rsidRPr="00DC2CFC">
              <w:rPr>
                <w:rFonts w:cs="Arial"/>
                <w:sz w:val="18"/>
                <w:szCs w:val="18"/>
              </w:rPr>
              <w:t>Tableau</w:t>
            </w:r>
            <w:r>
              <w:rPr>
                <w:rFonts w:cs="Arial"/>
                <w:sz w:val="18"/>
                <w:szCs w:val="18"/>
              </w:rPr>
              <w:t> </w:t>
            </w:r>
            <w:r w:rsidRPr="00DC2CFC">
              <w:rPr>
                <w:rFonts w:cs="Arial"/>
                <w:sz w:val="18"/>
                <w:szCs w:val="18"/>
              </w:rPr>
              <w:t>16.  Barème révisé des taxes</w:t>
            </w:r>
            <w:r w:rsidRPr="00977177">
              <w:rPr>
                <w:rFonts w:cs="Arial"/>
                <w:sz w:val="18"/>
                <w:szCs w:val="18"/>
              </w:rPr>
              <w:t xml:space="preserve"> du PCT</w:t>
            </w:r>
            <w:r w:rsidRPr="00DC2CFC">
              <w:rPr>
                <w:rFonts w:cs="Arial"/>
                <w:sz w:val="18"/>
                <w:szCs w:val="18"/>
              </w:rPr>
              <w:t xml:space="preserve"> </w:t>
            </w:r>
            <w:r w:rsidRPr="00DC2CFC">
              <w:rPr>
                <w:rFonts w:cs="Arial"/>
                <w:sz w:val="18"/>
                <w:szCs w:val="18"/>
              </w:rPr>
              <w:br/>
              <w:t>(à compter du</w:t>
            </w:r>
            <w:r>
              <w:rPr>
                <w:rFonts w:cs="Arial"/>
                <w:sz w:val="18"/>
                <w:szCs w:val="18"/>
              </w:rPr>
              <w:t xml:space="preserve"> 1</w:t>
            </w:r>
            <w:r w:rsidRPr="00977177">
              <w:rPr>
                <w:rFonts w:cs="Arial"/>
                <w:sz w:val="18"/>
                <w:szCs w:val="18"/>
                <w:vertAlign w:val="superscript"/>
              </w:rPr>
              <w:t>er</w:t>
            </w:r>
            <w:r>
              <w:rPr>
                <w:rFonts w:cs="Arial"/>
                <w:sz w:val="18"/>
                <w:szCs w:val="18"/>
              </w:rPr>
              <w:t> </w:t>
            </w:r>
            <w:r w:rsidRPr="00DC2CFC">
              <w:rPr>
                <w:rFonts w:cs="Arial"/>
                <w:sz w:val="18"/>
                <w:szCs w:val="18"/>
              </w:rPr>
              <w:t>juillet</w:t>
            </w:r>
            <w:r>
              <w:rPr>
                <w:rFonts w:cs="Arial"/>
                <w:sz w:val="18"/>
                <w:szCs w:val="18"/>
              </w:rPr>
              <w:t> </w:t>
            </w:r>
            <w:r w:rsidRPr="00DC2CFC">
              <w:rPr>
                <w:rFonts w:cs="Arial"/>
                <w:sz w:val="18"/>
                <w:szCs w:val="18"/>
              </w:rPr>
              <w:t xml:space="preserve">2008) </w:t>
            </w:r>
            <w:r w:rsidRPr="00DC2CFC">
              <w:rPr>
                <w:rFonts w:cs="Arial"/>
                <w:sz w:val="18"/>
                <w:szCs w:val="18"/>
              </w:rPr>
              <w:br/>
              <w:t>(en francs suisses)</w:t>
            </w:r>
          </w:p>
        </w:tc>
      </w:tr>
      <w:tr w:rsidR="00AA49D8" w:rsidRPr="00DC2CFC" w14:paraId="00CCF8B6" w14:textId="77777777" w:rsidTr="00AA49D8">
        <w:tc>
          <w:tcPr>
            <w:tcW w:w="4643" w:type="dxa"/>
            <w:shd w:val="clear" w:color="auto" w:fill="auto"/>
          </w:tcPr>
          <w:p w14:paraId="1F660542" w14:textId="1BEEAD89" w:rsidR="00AA49D8" w:rsidRPr="00DC2CFC" w:rsidRDefault="00B441CA" w:rsidP="00986700">
            <w:pPr>
              <w:jc w:val="center"/>
              <w:rPr>
                <w:rFonts w:cs="Arial"/>
              </w:rPr>
            </w:pPr>
            <w:r>
              <w:rPr>
                <w:rFonts w:cs="Arial"/>
                <w:noProof/>
                <w:lang w:val="en-US" w:eastAsia="en-US"/>
              </w:rPr>
              <w:drawing>
                <wp:inline distT="0" distB="0" distL="0" distR="0" wp14:anchorId="6F48752C" wp14:editId="13EE3AB2">
                  <wp:extent cx="2700000" cy="1453265"/>
                  <wp:effectExtent l="0" t="0" r="571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00000" cy="1453265"/>
                          </a:xfrm>
                          <a:prstGeom prst="rect">
                            <a:avLst/>
                          </a:prstGeom>
                          <a:noFill/>
                          <a:ln>
                            <a:noFill/>
                          </a:ln>
                        </pic:spPr>
                      </pic:pic>
                    </a:graphicData>
                  </a:graphic>
                </wp:inline>
              </w:drawing>
            </w:r>
          </w:p>
        </w:tc>
        <w:tc>
          <w:tcPr>
            <w:tcW w:w="4644" w:type="dxa"/>
            <w:shd w:val="clear" w:color="auto" w:fill="auto"/>
          </w:tcPr>
          <w:p w14:paraId="27E46A41" w14:textId="5C461E60" w:rsidR="00AA49D8" w:rsidRPr="00DC2CFC" w:rsidRDefault="00B441CA" w:rsidP="00986700">
            <w:pPr>
              <w:jc w:val="center"/>
              <w:rPr>
                <w:rFonts w:cs="Arial"/>
              </w:rPr>
            </w:pPr>
            <w:r>
              <w:rPr>
                <w:rFonts w:cs="Arial"/>
                <w:noProof/>
                <w:lang w:val="en-US" w:eastAsia="en-US"/>
              </w:rPr>
              <w:drawing>
                <wp:inline distT="0" distB="0" distL="0" distR="0" wp14:anchorId="087BBECF" wp14:editId="41365420">
                  <wp:extent cx="2722880" cy="1465580"/>
                  <wp:effectExtent l="0" t="0" r="1270"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22880" cy="1465580"/>
                          </a:xfrm>
                          <a:prstGeom prst="rect">
                            <a:avLst/>
                          </a:prstGeom>
                          <a:noFill/>
                          <a:ln>
                            <a:noFill/>
                          </a:ln>
                        </pic:spPr>
                      </pic:pic>
                    </a:graphicData>
                  </a:graphic>
                </wp:inline>
              </w:drawing>
            </w:r>
          </w:p>
        </w:tc>
      </w:tr>
    </w:tbl>
    <w:p w14:paraId="526E2154" w14:textId="77777777" w:rsidR="00AA49D8" w:rsidRPr="00DC2CFC" w:rsidRDefault="00AA49D8" w:rsidP="00986700">
      <w:pPr>
        <w:rPr>
          <w:rFonts w:cs="Arial"/>
        </w:rPr>
      </w:pPr>
    </w:p>
    <w:p w14:paraId="66016ABB" w14:textId="77777777" w:rsidR="00AA49D8" w:rsidRPr="00DC2CFC" w:rsidRDefault="00AA49D8" w:rsidP="00986700">
      <w:pPr>
        <w:rPr>
          <w:rFonts w:cs="Arial"/>
        </w:rPr>
      </w:pPr>
    </w:p>
    <w:p w14:paraId="5F687DB8" w14:textId="77777777" w:rsidR="00AA49D8" w:rsidRPr="00DC2CFC" w:rsidRDefault="00AA49D8" w:rsidP="00986700">
      <w:pPr>
        <w:jc w:val="both"/>
        <w:rPr>
          <w:rFonts w:cs="Arial"/>
          <w:b/>
        </w:rPr>
      </w:pPr>
      <w:r w:rsidRPr="00DC2CFC">
        <w:rPr>
          <w:rFonts w:cs="Arial"/>
          <w:b/>
        </w:rPr>
        <w:t>Madrid</w:t>
      </w:r>
    </w:p>
    <w:p w14:paraId="46ABEA5D" w14:textId="77777777" w:rsidR="00AA49D8" w:rsidRPr="00DC2CFC" w:rsidRDefault="00AA49D8" w:rsidP="00986700">
      <w:pPr>
        <w:rPr>
          <w:rFonts w:cs="Arial"/>
          <w:b/>
        </w:rPr>
      </w:pPr>
    </w:p>
    <w:p w14:paraId="4C4AC88D" w14:textId="77777777" w:rsidR="00AA49D8" w:rsidRPr="00DC2CFC" w:rsidRDefault="00AA49D8" w:rsidP="00986700">
      <w:pPr>
        <w:rPr>
          <w:rFonts w:cs="Arial"/>
        </w:rPr>
      </w:pPr>
      <w:r w:rsidRPr="00DC2CFC">
        <w:rPr>
          <w:rFonts w:cs="Arial"/>
          <w:i/>
        </w:rPr>
        <w:t>Madrid – Prévisions relatives à la demande d</w:t>
      </w:r>
      <w:r>
        <w:rPr>
          <w:rFonts w:cs="Arial"/>
          <w:i/>
        </w:rPr>
        <w:t>’</w:t>
      </w:r>
      <w:r w:rsidRPr="00DC2CFC">
        <w:rPr>
          <w:rFonts w:cs="Arial"/>
          <w:i/>
        </w:rPr>
        <w:t>enregistrements internationaux</w:t>
      </w:r>
      <w:r w:rsidRPr="00DC2CFC">
        <w:rPr>
          <w:rFonts w:cs="Arial"/>
          <w:i/>
        </w:rPr>
        <w:br/>
      </w:r>
    </w:p>
    <w:p w14:paraId="6BFCB019" w14:textId="047A2F38" w:rsidR="00AA49D8" w:rsidRPr="00DC2CFC" w:rsidRDefault="00AA49D8" w:rsidP="00CF6859">
      <w:pPr>
        <w:numPr>
          <w:ilvl w:val="0"/>
          <w:numId w:val="99"/>
        </w:numPr>
        <w:tabs>
          <w:tab w:val="left" w:pos="540"/>
        </w:tabs>
        <w:jc w:val="both"/>
        <w:rPr>
          <w:rFonts w:cs="Arial"/>
        </w:rPr>
      </w:pPr>
      <w:r w:rsidRPr="00DC2CFC">
        <w:rPr>
          <w:rFonts w:cs="Arial"/>
        </w:rPr>
        <w:t>Le diagramme</w:t>
      </w:r>
      <w:r>
        <w:rPr>
          <w:rFonts w:cs="Arial"/>
        </w:rPr>
        <w:t> </w:t>
      </w:r>
      <w:r w:rsidRPr="00DC2CFC">
        <w:rPr>
          <w:rFonts w:cs="Arial"/>
        </w:rPr>
        <w:t>6 montre les prévisions annuelles pour la période</w:t>
      </w:r>
      <w:r>
        <w:rPr>
          <w:rFonts w:cs="Arial"/>
        </w:rPr>
        <w:t> </w:t>
      </w:r>
      <w:r w:rsidRPr="00DC2CFC">
        <w:rPr>
          <w:rFonts w:cs="Arial"/>
        </w:rPr>
        <w:t>2016</w:t>
      </w:r>
      <w:r w:rsidR="00B441CA">
        <w:rPr>
          <w:rFonts w:cs="Arial"/>
        </w:rPr>
        <w:noBreakHyphen/>
      </w:r>
      <w:r w:rsidRPr="00DC2CFC">
        <w:rPr>
          <w:rFonts w:cs="Arial"/>
        </w:rPr>
        <w:t xml:space="preserve">2020.  Les prévisions des enregistrements de Madrid reposent sur de multiples modèles, </w:t>
      </w:r>
      <w:r>
        <w:rPr>
          <w:rFonts w:cs="Arial"/>
        </w:rPr>
        <w:t>y compris</w:t>
      </w:r>
      <w:r w:rsidRPr="00DC2CFC">
        <w:rPr>
          <w:rFonts w:cs="Arial"/>
        </w:rPr>
        <w:t xml:space="preserve"> des modèles autorégressifs et des modèles économétriques</w:t>
      </w:r>
      <w:r>
        <w:rPr>
          <w:rFonts w:cs="Arial"/>
        </w:rPr>
        <w:t xml:space="preserve">.  </w:t>
      </w:r>
      <w:r w:rsidRPr="00DC2CFC">
        <w:rPr>
          <w:rFonts w:cs="Arial"/>
        </w:rPr>
        <w:t>Les modèles économétriques sont fondés sur les données réelles et les prévisions</w:t>
      </w:r>
      <w:r w:rsidRPr="00977177">
        <w:rPr>
          <w:rFonts w:cs="Arial"/>
        </w:rPr>
        <w:t xml:space="preserve"> du PIB</w:t>
      </w:r>
      <w:r w:rsidRPr="00DC2CFC">
        <w:rPr>
          <w:rFonts w:cs="Arial"/>
        </w:rPr>
        <w:t xml:space="preserve"> publiées par le Fonds monétaire international (FMI).  Les résultats de différents modèles sont ensuite combinés pour pallier les incertitudes découlant de la spécification correcte des modèles.</w:t>
      </w:r>
    </w:p>
    <w:p w14:paraId="57FC97FB" w14:textId="77777777" w:rsidR="00AA49D8" w:rsidRPr="00DC2CFC" w:rsidRDefault="00AA49D8" w:rsidP="00986700">
      <w:pPr>
        <w:rPr>
          <w:rFonts w:cs="Arial"/>
        </w:rPr>
      </w:pPr>
    </w:p>
    <w:p w14:paraId="105F5D6A" w14:textId="77777777" w:rsidR="00AA49D8" w:rsidRPr="00DC2CFC" w:rsidRDefault="00AA49D8" w:rsidP="00986700">
      <w:pPr>
        <w:jc w:val="center"/>
        <w:rPr>
          <w:rFonts w:cs="Arial"/>
          <w:sz w:val="18"/>
          <w:szCs w:val="18"/>
        </w:rPr>
      </w:pPr>
      <w:r w:rsidRPr="00DC2CFC">
        <w:rPr>
          <w:rFonts w:cs="Arial"/>
          <w:sz w:val="18"/>
          <w:szCs w:val="18"/>
        </w:rPr>
        <w:t>Diagramme</w:t>
      </w:r>
      <w:r>
        <w:rPr>
          <w:rFonts w:cs="Arial"/>
          <w:sz w:val="18"/>
          <w:szCs w:val="18"/>
        </w:rPr>
        <w:t> </w:t>
      </w:r>
      <w:r w:rsidRPr="00DC2CFC">
        <w:rPr>
          <w:rFonts w:cs="Arial"/>
          <w:sz w:val="18"/>
          <w:szCs w:val="18"/>
        </w:rPr>
        <w:t xml:space="preserve">6. </w:t>
      </w:r>
      <w:r>
        <w:rPr>
          <w:rFonts w:cs="Arial"/>
          <w:sz w:val="18"/>
          <w:szCs w:val="18"/>
        </w:rPr>
        <w:t xml:space="preserve"> </w:t>
      </w:r>
      <w:r w:rsidRPr="00DC2CFC">
        <w:rPr>
          <w:rFonts w:cs="Arial"/>
          <w:sz w:val="18"/>
          <w:szCs w:val="18"/>
        </w:rPr>
        <w:t>Demandes d</w:t>
      </w:r>
      <w:r>
        <w:rPr>
          <w:rFonts w:cs="Arial"/>
          <w:sz w:val="18"/>
          <w:szCs w:val="18"/>
        </w:rPr>
        <w:t>’</w:t>
      </w:r>
      <w:r w:rsidRPr="00DC2CFC">
        <w:rPr>
          <w:rFonts w:cs="Arial"/>
          <w:sz w:val="18"/>
          <w:szCs w:val="18"/>
        </w:rPr>
        <w:t>enregistrement international au titre du système de Madrid</w:t>
      </w:r>
    </w:p>
    <w:p w14:paraId="358F6E32" w14:textId="77777777" w:rsidR="00AA49D8" w:rsidRPr="00DC2CFC" w:rsidRDefault="00AA49D8" w:rsidP="00986700">
      <w:pPr>
        <w:rPr>
          <w:rFonts w:cs="Arial"/>
        </w:rPr>
      </w:pPr>
    </w:p>
    <w:p w14:paraId="5A8340F7" w14:textId="2A26D588" w:rsidR="00AA49D8" w:rsidRDefault="00B441CA" w:rsidP="00986700">
      <w:pPr>
        <w:jc w:val="center"/>
        <w:rPr>
          <w:rFonts w:cs="Arial"/>
        </w:rPr>
      </w:pPr>
      <w:r w:rsidRPr="00B441CA">
        <w:rPr>
          <w:noProof/>
          <w:lang w:val="en-US" w:eastAsia="en-US"/>
        </w:rPr>
        <w:drawing>
          <wp:inline distT="0" distB="0" distL="0" distR="0" wp14:anchorId="54C1AC9B" wp14:editId="413A4456">
            <wp:extent cx="4680000" cy="2702050"/>
            <wp:effectExtent l="0" t="0" r="6350" b="317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680000" cy="2702050"/>
                    </a:xfrm>
                    <a:prstGeom prst="rect">
                      <a:avLst/>
                    </a:prstGeom>
                    <a:noFill/>
                    <a:ln>
                      <a:noFill/>
                    </a:ln>
                  </pic:spPr>
                </pic:pic>
              </a:graphicData>
            </a:graphic>
          </wp:inline>
        </w:drawing>
      </w:r>
    </w:p>
    <w:p w14:paraId="735C73DA" w14:textId="77777777" w:rsidR="00B441CA" w:rsidRPr="00DC2CFC" w:rsidRDefault="00B441CA" w:rsidP="00986700">
      <w:pPr>
        <w:jc w:val="center"/>
        <w:rPr>
          <w:rFonts w:cs="Arial"/>
        </w:rPr>
      </w:pPr>
    </w:p>
    <w:p w14:paraId="78602489" w14:textId="0C312642" w:rsidR="00AA49D8" w:rsidRPr="00DC2CFC" w:rsidRDefault="00B441CA" w:rsidP="00986700">
      <w:pPr>
        <w:jc w:val="center"/>
        <w:rPr>
          <w:rFonts w:cs="Arial"/>
        </w:rPr>
      </w:pPr>
      <w:r w:rsidRPr="00B441CA">
        <w:rPr>
          <w:noProof/>
          <w:lang w:val="en-US" w:eastAsia="en-US"/>
        </w:rPr>
        <w:drawing>
          <wp:inline distT="0" distB="0" distL="0" distR="0" wp14:anchorId="1F8BA162" wp14:editId="5D849127">
            <wp:extent cx="5270400" cy="720000"/>
            <wp:effectExtent l="0" t="0" r="0" b="444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70400" cy="720000"/>
                    </a:xfrm>
                    <a:prstGeom prst="rect">
                      <a:avLst/>
                    </a:prstGeom>
                    <a:noFill/>
                    <a:ln>
                      <a:noFill/>
                    </a:ln>
                  </pic:spPr>
                </pic:pic>
              </a:graphicData>
            </a:graphic>
          </wp:inline>
        </w:drawing>
      </w:r>
    </w:p>
    <w:p w14:paraId="1B668FB0" w14:textId="77777777" w:rsidR="00AA49D8" w:rsidRPr="00DC2CFC" w:rsidRDefault="00AA49D8" w:rsidP="00986700">
      <w:pPr>
        <w:rPr>
          <w:rFonts w:cs="Arial"/>
        </w:rPr>
      </w:pPr>
    </w:p>
    <w:p w14:paraId="3139E22E" w14:textId="77777777" w:rsidR="00AA49D8" w:rsidRPr="00DC2CFC" w:rsidRDefault="00AA49D8" w:rsidP="00986700">
      <w:pPr>
        <w:rPr>
          <w:rFonts w:cs="Arial"/>
        </w:rPr>
      </w:pPr>
    </w:p>
    <w:p w14:paraId="14A6D81A" w14:textId="5CCA8CFE" w:rsidR="00AA49D8" w:rsidRPr="00DC2CFC" w:rsidRDefault="00AA49D8" w:rsidP="00CF6859">
      <w:pPr>
        <w:numPr>
          <w:ilvl w:val="0"/>
          <w:numId w:val="99"/>
        </w:numPr>
        <w:tabs>
          <w:tab w:val="left" w:pos="540"/>
        </w:tabs>
        <w:jc w:val="both"/>
        <w:rPr>
          <w:rFonts w:cs="Arial"/>
        </w:rPr>
      </w:pPr>
      <w:r w:rsidRPr="00DC2CFC">
        <w:rPr>
          <w:rFonts w:cs="Arial"/>
        </w:rPr>
        <w:t>Les demandes au titre du système de Madrid s</w:t>
      </w:r>
      <w:r>
        <w:rPr>
          <w:rFonts w:cs="Arial"/>
        </w:rPr>
        <w:t>’</w:t>
      </w:r>
      <w:r w:rsidRPr="00DC2CFC">
        <w:rPr>
          <w:rFonts w:cs="Arial"/>
        </w:rPr>
        <w:t>inscriront vraisemblablement dans une fourchette avec certaines probabilités</w:t>
      </w:r>
      <w:r>
        <w:rPr>
          <w:rFonts w:cs="Arial"/>
        </w:rPr>
        <w:t xml:space="preserve">.  </w:t>
      </w:r>
      <w:r w:rsidRPr="00DC2CFC">
        <w:rPr>
          <w:rFonts w:cs="Arial"/>
        </w:rPr>
        <w:t>Le diagramme et le tableau ci</w:t>
      </w:r>
      <w:r w:rsidR="00B441CA">
        <w:rPr>
          <w:rFonts w:cs="Arial"/>
        </w:rPr>
        <w:noBreakHyphen/>
      </w:r>
      <w:r w:rsidRPr="00DC2CFC">
        <w:rPr>
          <w:rFonts w:cs="Arial"/>
        </w:rPr>
        <w:t>après indiquent la répartition probabiliste des demandes.</w:t>
      </w:r>
    </w:p>
    <w:p w14:paraId="5FBD2BAB" w14:textId="77777777" w:rsidR="00AA49D8" w:rsidRPr="00DC2CFC" w:rsidRDefault="00AA49D8" w:rsidP="00986700">
      <w:pPr>
        <w:rPr>
          <w:rFonts w:cs="Arial"/>
        </w:rPr>
      </w:pPr>
    </w:p>
    <w:p w14:paraId="7741313C" w14:textId="77777777" w:rsidR="00AA49D8" w:rsidRPr="00DC2CFC" w:rsidRDefault="00AA49D8" w:rsidP="00986700">
      <w:pPr>
        <w:jc w:val="center"/>
        <w:rPr>
          <w:rFonts w:cs="Arial"/>
          <w:sz w:val="18"/>
          <w:szCs w:val="18"/>
        </w:rPr>
      </w:pPr>
      <w:r w:rsidRPr="00DC2CFC">
        <w:rPr>
          <w:rFonts w:cs="Arial"/>
          <w:sz w:val="18"/>
          <w:szCs w:val="18"/>
        </w:rPr>
        <w:t>Répartition probabiliste des dépôts</w:t>
      </w:r>
    </w:p>
    <w:p w14:paraId="1B0ABD24" w14:textId="77777777" w:rsidR="00AA49D8" w:rsidRPr="00DC2CFC" w:rsidRDefault="00AA49D8" w:rsidP="00986700">
      <w:pPr>
        <w:jc w:val="center"/>
        <w:rPr>
          <w:rFonts w:cs="Arial"/>
        </w:rPr>
      </w:pPr>
      <w:r w:rsidRPr="0066716A">
        <w:rPr>
          <w:noProof/>
          <w:lang w:val="en-US" w:eastAsia="en-US"/>
        </w:rPr>
        <w:drawing>
          <wp:inline distT="0" distB="0" distL="0" distR="0" wp14:anchorId="272CB4EE" wp14:editId="7925C6BB">
            <wp:extent cx="4500000" cy="2540048"/>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00000" cy="2540048"/>
                    </a:xfrm>
                    <a:prstGeom prst="rect">
                      <a:avLst/>
                    </a:prstGeom>
                    <a:noFill/>
                    <a:ln>
                      <a:noFill/>
                    </a:ln>
                  </pic:spPr>
                </pic:pic>
              </a:graphicData>
            </a:graphic>
          </wp:inline>
        </w:drawing>
      </w:r>
    </w:p>
    <w:p w14:paraId="0606C89A" w14:textId="77777777" w:rsidR="00AA49D8" w:rsidRPr="00DC2CFC" w:rsidRDefault="00AA49D8" w:rsidP="00986700">
      <w:pPr>
        <w:rPr>
          <w:rFonts w:cs="Arial"/>
        </w:rPr>
      </w:pPr>
    </w:p>
    <w:p w14:paraId="4D4A6A1A" w14:textId="77777777" w:rsidR="00AA49D8" w:rsidRPr="00DC2CFC" w:rsidRDefault="00AA49D8" w:rsidP="00986700">
      <w:pPr>
        <w:jc w:val="center"/>
        <w:rPr>
          <w:rFonts w:cs="Arial"/>
          <w:sz w:val="18"/>
          <w:szCs w:val="18"/>
        </w:rPr>
      </w:pPr>
      <w:r w:rsidRPr="00DC2CFC">
        <w:rPr>
          <w:rFonts w:cs="Arial"/>
          <w:sz w:val="18"/>
          <w:szCs w:val="18"/>
        </w:rPr>
        <w:t>Scénarios des demandes au titre du système de Madrid</w:t>
      </w:r>
    </w:p>
    <w:p w14:paraId="3AD53D17" w14:textId="77777777" w:rsidR="00AA49D8" w:rsidRPr="00DC2CFC" w:rsidRDefault="00AA49D8" w:rsidP="00986700">
      <w:pPr>
        <w:rPr>
          <w:rFonts w:cs="Arial"/>
        </w:rPr>
      </w:pPr>
    </w:p>
    <w:p w14:paraId="21956670" w14:textId="77777777" w:rsidR="00AA49D8" w:rsidRPr="00DC2CFC" w:rsidRDefault="00AA49D8" w:rsidP="00986700">
      <w:pPr>
        <w:jc w:val="center"/>
      </w:pPr>
      <w:r w:rsidRPr="0066716A">
        <w:rPr>
          <w:noProof/>
          <w:lang w:val="en-US" w:eastAsia="en-US"/>
        </w:rPr>
        <w:drawing>
          <wp:inline distT="0" distB="0" distL="0" distR="0" wp14:anchorId="3945DD95" wp14:editId="48527B50">
            <wp:extent cx="2914248" cy="3132000"/>
            <wp:effectExtent l="0" t="0" r="63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14248" cy="3132000"/>
                    </a:xfrm>
                    <a:prstGeom prst="rect">
                      <a:avLst/>
                    </a:prstGeom>
                    <a:noFill/>
                    <a:ln>
                      <a:noFill/>
                    </a:ln>
                  </pic:spPr>
                </pic:pic>
              </a:graphicData>
            </a:graphic>
          </wp:inline>
        </w:drawing>
      </w:r>
    </w:p>
    <w:p w14:paraId="7B878A4F" w14:textId="77777777" w:rsidR="00AA49D8" w:rsidRPr="00DC2CFC" w:rsidRDefault="00AA49D8" w:rsidP="00986700"/>
    <w:p w14:paraId="19D1FEAC" w14:textId="77777777" w:rsidR="00AA49D8" w:rsidRPr="00DC2CFC" w:rsidRDefault="00AA49D8" w:rsidP="00986700"/>
    <w:p w14:paraId="2823DDA2" w14:textId="77777777" w:rsidR="00AA49D8" w:rsidRPr="00DC2CFC" w:rsidRDefault="00AA49D8" w:rsidP="00986700">
      <w:pPr>
        <w:rPr>
          <w:rFonts w:cs="Arial"/>
          <w:i/>
        </w:rPr>
      </w:pPr>
      <w:r w:rsidRPr="00DC2CFC">
        <w:rPr>
          <w:rFonts w:cs="Arial"/>
          <w:i/>
        </w:rPr>
        <w:t>Madrid – Prévisions relatives à la demande de renouvellements</w:t>
      </w:r>
    </w:p>
    <w:p w14:paraId="02FA5ED4" w14:textId="77777777" w:rsidR="00AA49D8" w:rsidRPr="00DC2CFC" w:rsidRDefault="00AA49D8" w:rsidP="00986700">
      <w:pPr>
        <w:rPr>
          <w:rFonts w:cs="Arial"/>
        </w:rPr>
      </w:pPr>
    </w:p>
    <w:p w14:paraId="5A14AFB9" w14:textId="688FA014" w:rsidR="00AA49D8" w:rsidRPr="00DC2CFC" w:rsidRDefault="00AA49D8" w:rsidP="00CF6859">
      <w:pPr>
        <w:numPr>
          <w:ilvl w:val="0"/>
          <w:numId w:val="99"/>
        </w:numPr>
        <w:tabs>
          <w:tab w:val="left" w:pos="540"/>
        </w:tabs>
        <w:jc w:val="both"/>
        <w:rPr>
          <w:rFonts w:cs="Arial"/>
        </w:rPr>
      </w:pPr>
      <w:r w:rsidRPr="00DC2CFC">
        <w:rPr>
          <w:rFonts w:cs="Arial"/>
        </w:rPr>
        <w:t>Le diagramme</w:t>
      </w:r>
      <w:r>
        <w:rPr>
          <w:rFonts w:cs="Arial"/>
        </w:rPr>
        <w:t> </w:t>
      </w:r>
      <w:r w:rsidRPr="00DC2CFC">
        <w:rPr>
          <w:rFonts w:cs="Arial"/>
        </w:rPr>
        <w:t>7 montre les prévisions annuelles pour la période</w:t>
      </w:r>
      <w:r>
        <w:rPr>
          <w:rFonts w:cs="Arial"/>
        </w:rPr>
        <w:t> </w:t>
      </w:r>
      <w:r w:rsidRPr="00DC2CFC">
        <w:rPr>
          <w:rFonts w:cs="Arial"/>
        </w:rPr>
        <w:t>2017</w:t>
      </w:r>
      <w:r w:rsidR="00B441CA">
        <w:rPr>
          <w:rFonts w:cs="Arial"/>
        </w:rPr>
        <w:noBreakHyphen/>
      </w:r>
      <w:r w:rsidRPr="00DC2CFC">
        <w:rPr>
          <w:rFonts w:cs="Arial"/>
        </w:rPr>
        <w:t>2020.  Les renouvellements sont eux aussi fondés sur des modèles de régression et le modèle de transfert</w:t>
      </w:r>
      <w:r>
        <w:rPr>
          <w:rFonts w:cs="Arial"/>
        </w:rPr>
        <w:t xml:space="preserve">.  </w:t>
      </w:r>
      <w:r w:rsidRPr="00DC2CFC">
        <w:rPr>
          <w:rFonts w:cs="Arial"/>
        </w:rPr>
        <w:t>Les résultats de différents modèles sont ensuite combinés.</w:t>
      </w:r>
    </w:p>
    <w:p w14:paraId="66A63BB3" w14:textId="77777777" w:rsidR="00AA49D8" w:rsidRPr="00DC2CFC" w:rsidRDefault="00AA49D8" w:rsidP="00986700"/>
    <w:p w14:paraId="124D3DAA" w14:textId="77777777" w:rsidR="00AA49D8" w:rsidRDefault="00AA49D8" w:rsidP="00986700">
      <w:pPr>
        <w:keepNext/>
        <w:jc w:val="center"/>
        <w:rPr>
          <w:rFonts w:cs="Arial"/>
          <w:sz w:val="18"/>
          <w:szCs w:val="18"/>
        </w:rPr>
      </w:pPr>
      <w:r w:rsidRPr="00DC2CFC">
        <w:rPr>
          <w:rFonts w:cs="Arial"/>
          <w:sz w:val="18"/>
          <w:szCs w:val="18"/>
        </w:rPr>
        <w:lastRenderedPageBreak/>
        <w:t>Diagramme</w:t>
      </w:r>
      <w:r>
        <w:rPr>
          <w:rFonts w:cs="Arial"/>
          <w:sz w:val="18"/>
          <w:szCs w:val="18"/>
        </w:rPr>
        <w:t> </w:t>
      </w:r>
      <w:r w:rsidRPr="00DC2CFC">
        <w:rPr>
          <w:rFonts w:cs="Arial"/>
          <w:sz w:val="18"/>
          <w:szCs w:val="18"/>
        </w:rPr>
        <w:t xml:space="preserve">7. </w:t>
      </w:r>
      <w:r>
        <w:rPr>
          <w:rFonts w:cs="Arial"/>
          <w:sz w:val="18"/>
          <w:szCs w:val="18"/>
        </w:rPr>
        <w:t xml:space="preserve"> </w:t>
      </w:r>
      <w:r w:rsidRPr="00DC2CFC">
        <w:rPr>
          <w:rFonts w:cs="Arial"/>
          <w:sz w:val="18"/>
          <w:szCs w:val="18"/>
        </w:rPr>
        <w:t>Prévisions relatives à la demande de renouvellements au titre du système de Madrid</w:t>
      </w:r>
    </w:p>
    <w:p w14:paraId="38434AFF" w14:textId="77777777" w:rsidR="00AA49D8" w:rsidRPr="00DC2CFC" w:rsidRDefault="00AA49D8" w:rsidP="00986700">
      <w:pPr>
        <w:keepNext/>
        <w:jc w:val="center"/>
        <w:rPr>
          <w:rFonts w:cs="Arial"/>
          <w:sz w:val="18"/>
          <w:szCs w:val="18"/>
        </w:rPr>
      </w:pPr>
    </w:p>
    <w:p w14:paraId="08A0E0DF" w14:textId="77777777" w:rsidR="00AA49D8" w:rsidRPr="00DC2CFC" w:rsidRDefault="00AA49D8" w:rsidP="00986700">
      <w:pPr>
        <w:jc w:val="center"/>
        <w:rPr>
          <w:rFonts w:cs="Arial"/>
        </w:rPr>
      </w:pPr>
      <w:r w:rsidRPr="0066716A">
        <w:rPr>
          <w:noProof/>
          <w:lang w:val="en-US" w:eastAsia="en-US"/>
        </w:rPr>
        <w:drawing>
          <wp:inline distT="0" distB="0" distL="0" distR="0" wp14:anchorId="1F519244" wp14:editId="17650B41">
            <wp:extent cx="4500000" cy="2541736"/>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00000" cy="2541736"/>
                    </a:xfrm>
                    <a:prstGeom prst="rect">
                      <a:avLst/>
                    </a:prstGeom>
                    <a:noFill/>
                    <a:ln>
                      <a:noFill/>
                    </a:ln>
                  </pic:spPr>
                </pic:pic>
              </a:graphicData>
            </a:graphic>
          </wp:inline>
        </w:drawing>
      </w:r>
    </w:p>
    <w:p w14:paraId="1EDF8263" w14:textId="0BCCCB2A" w:rsidR="00AA49D8" w:rsidRPr="00DC2CFC" w:rsidRDefault="00C47D43" w:rsidP="00986700">
      <w:pPr>
        <w:jc w:val="center"/>
        <w:rPr>
          <w:rFonts w:cs="Arial"/>
        </w:rPr>
      </w:pPr>
      <w:r w:rsidRPr="00C47D43">
        <w:rPr>
          <w:noProof/>
          <w:lang w:val="en-US" w:eastAsia="en-US"/>
        </w:rPr>
        <w:drawing>
          <wp:inline distT="0" distB="0" distL="0" distR="0" wp14:anchorId="2C265082" wp14:editId="4E8E62E2">
            <wp:extent cx="5760085" cy="74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747620"/>
                    </a:xfrm>
                    <a:prstGeom prst="rect">
                      <a:avLst/>
                    </a:prstGeom>
                    <a:noFill/>
                    <a:ln>
                      <a:noFill/>
                    </a:ln>
                  </pic:spPr>
                </pic:pic>
              </a:graphicData>
            </a:graphic>
          </wp:inline>
        </w:drawing>
      </w:r>
    </w:p>
    <w:p w14:paraId="7F99CC5A" w14:textId="77777777" w:rsidR="00AA49D8" w:rsidRPr="00DC2CFC" w:rsidRDefault="00AA49D8" w:rsidP="00986700">
      <w:pPr>
        <w:rPr>
          <w:rFonts w:cs="Arial"/>
        </w:rPr>
      </w:pPr>
    </w:p>
    <w:p w14:paraId="4A41A855" w14:textId="77777777" w:rsidR="00AA49D8" w:rsidRPr="00DC2CFC" w:rsidRDefault="00AA49D8" w:rsidP="00986700">
      <w:pPr>
        <w:rPr>
          <w:rFonts w:cs="Arial"/>
        </w:rPr>
      </w:pPr>
    </w:p>
    <w:p w14:paraId="53E3A6A9" w14:textId="77777777" w:rsidR="00AA49D8" w:rsidRDefault="00AA49D8" w:rsidP="00986700">
      <w:pPr>
        <w:spacing w:after="60"/>
        <w:jc w:val="center"/>
        <w:rPr>
          <w:rFonts w:cs="Arial"/>
          <w:sz w:val="18"/>
          <w:szCs w:val="18"/>
        </w:rPr>
      </w:pPr>
      <w:r w:rsidRPr="00DC2CFC">
        <w:rPr>
          <w:rFonts w:cs="Arial"/>
          <w:sz w:val="18"/>
          <w:szCs w:val="18"/>
        </w:rPr>
        <w:t>Répartition probabiliste de la demande de renouvellements</w:t>
      </w:r>
    </w:p>
    <w:p w14:paraId="5F7D7CCE" w14:textId="77777777" w:rsidR="00AA49D8" w:rsidRPr="00DC2CFC" w:rsidRDefault="00AA49D8" w:rsidP="00986700">
      <w:pPr>
        <w:spacing w:after="60"/>
        <w:jc w:val="center"/>
        <w:rPr>
          <w:rFonts w:cs="Arial"/>
          <w:sz w:val="18"/>
          <w:szCs w:val="18"/>
        </w:rPr>
      </w:pPr>
    </w:p>
    <w:p w14:paraId="6C29DBC0" w14:textId="77777777" w:rsidR="00AA49D8" w:rsidRDefault="00AA49D8" w:rsidP="00986700">
      <w:pPr>
        <w:jc w:val="center"/>
        <w:rPr>
          <w:rFonts w:cs="Arial"/>
        </w:rPr>
      </w:pPr>
      <w:r w:rsidRPr="0066716A">
        <w:rPr>
          <w:noProof/>
          <w:lang w:val="en-US" w:eastAsia="en-US"/>
        </w:rPr>
        <w:drawing>
          <wp:inline distT="0" distB="0" distL="0" distR="0" wp14:anchorId="1CCD612D" wp14:editId="0E15AF6D">
            <wp:extent cx="4500000" cy="2540048"/>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00000" cy="2540048"/>
                    </a:xfrm>
                    <a:prstGeom prst="rect">
                      <a:avLst/>
                    </a:prstGeom>
                    <a:noFill/>
                    <a:ln>
                      <a:noFill/>
                    </a:ln>
                  </pic:spPr>
                </pic:pic>
              </a:graphicData>
            </a:graphic>
          </wp:inline>
        </w:drawing>
      </w:r>
    </w:p>
    <w:p w14:paraId="1CE04AB1" w14:textId="77777777" w:rsidR="00AA49D8" w:rsidRPr="00DC2CFC" w:rsidRDefault="00AA49D8" w:rsidP="00986700">
      <w:pPr>
        <w:jc w:val="center"/>
        <w:rPr>
          <w:rFonts w:cs="Arial"/>
        </w:rPr>
      </w:pPr>
    </w:p>
    <w:p w14:paraId="639E1807" w14:textId="77777777" w:rsidR="00AA49D8" w:rsidRDefault="00AA49D8" w:rsidP="00986700">
      <w:pPr>
        <w:keepNext/>
        <w:spacing w:after="60"/>
        <w:jc w:val="center"/>
        <w:rPr>
          <w:rFonts w:cs="Arial"/>
          <w:sz w:val="18"/>
          <w:szCs w:val="18"/>
        </w:rPr>
      </w:pPr>
      <w:r w:rsidRPr="00DC2CFC">
        <w:rPr>
          <w:rFonts w:cs="Arial"/>
          <w:sz w:val="18"/>
          <w:szCs w:val="18"/>
        </w:rPr>
        <w:lastRenderedPageBreak/>
        <w:t>Scénarios de la demande de renouvellements</w:t>
      </w:r>
    </w:p>
    <w:p w14:paraId="430CB96E" w14:textId="77777777" w:rsidR="00AA49D8" w:rsidRPr="00DC2CFC" w:rsidRDefault="00AA49D8" w:rsidP="00986700">
      <w:pPr>
        <w:keepNext/>
        <w:spacing w:after="60"/>
        <w:jc w:val="center"/>
        <w:rPr>
          <w:rFonts w:cs="Arial"/>
        </w:rPr>
      </w:pPr>
    </w:p>
    <w:p w14:paraId="5A329896" w14:textId="77777777" w:rsidR="00AA49D8" w:rsidRPr="00DC2CFC" w:rsidRDefault="00AA49D8" w:rsidP="00986700">
      <w:pPr>
        <w:jc w:val="center"/>
        <w:rPr>
          <w:rFonts w:cs="Arial"/>
        </w:rPr>
      </w:pPr>
      <w:r w:rsidRPr="0066716A">
        <w:rPr>
          <w:noProof/>
          <w:lang w:val="en-US" w:eastAsia="en-US"/>
        </w:rPr>
        <w:drawing>
          <wp:inline distT="0" distB="0" distL="0" distR="0" wp14:anchorId="70F7A549" wp14:editId="678CE6AA">
            <wp:extent cx="2926683" cy="3132000"/>
            <wp:effectExtent l="0" t="0" r="762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926683" cy="3132000"/>
                    </a:xfrm>
                    <a:prstGeom prst="rect">
                      <a:avLst/>
                    </a:prstGeom>
                    <a:noFill/>
                    <a:ln>
                      <a:noFill/>
                    </a:ln>
                  </pic:spPr>
                </pic:pic>
              </a:graphicData>
            </a:graphic>
          </wp:inline>
        </w:drawing>
      </w:r>
    </w:p>
    <w:p w14:paraId="62149459" w14:textId="77777777" w:rsidR="00AA49D8" w:rsidRPr="00DC2CFC" w:rsidRDefault="00AA49D8" w:rsidP="00986700">
      <w:pPr>
        <w:jc w:val="center"/>
        <w:rPr>
          <w:rFonts w:cs="Arial"/>
        </w:rPr>
      </w:pPr>
    </w:p>
    <w:p w14:paraId="4A8BFCB6" w14:textId="77777777" w:rsidR="00AA49D8" w:rsidRPr="00DC2CFC" w:rsidRDefault="00AA49D8" w:rsidP="00986700">
      <w:pPr>
        <w:jc w:val="center"/>
        <w:rPr>
          <w:rFonts w:cs="Arial"/>
        </w:rPr>
      </w:pPr>
    </w:p>
    <w:p w14:paraId="776ABEE9" w14:textId="77777777" w:rsidR="00AA49D8" w:rsidRPr="00DC2CFC" w:rsidRDefault="00AA49D8" w:rsidP="00986700">
      <w:pPr>
        <w:rPr>
          <w:rFonts w:cs="Arial"/>
        </w:rPr>
      </w:pPr>
      <w:r w:rsidRPr="00DC2CFC">
        <w:rPr>
          <w:rFonts w:cs="Arial"/>
          <w:i/>
        </w:rPr>
        <w:t>Estimations relatives aux recettes provenant des taxes au titre du système de Madrid</w:t>
      </w:r>
      <w:r w:rsidRPr="00DC2CFC">
        <w:rPr>
          <w:rFonts w:cs="Arial"/>
          <w:i/>
        </w:rPr>
        <w:br/>
      </w:r>
    </w:p>
    <w:p w14:paraId="552AE6F5" w14:textId="77777777" w:rsidR="00AA49D8" w:rsidRDefault="00AA49D8" w:rsidP="00CF6859">
      <w:pPr>
        <w:numPr>
          <w:ilvl w:val="0"/>
          <w:numId w:val="99"/>
        </w:numPr>
        <w:tabs>
          <w:tab w:val="left" w:pos="540"/>
        </w:tabs>
        <w:jc w:val="both"/>
        <w:rPr>
          <w:rFonts w:cs="Arial"/>
        </w:rPr>
      </w:pPr>
      <w:r w:rsidRPr="00DC2CFC">
        <w:rPr>
          <w:rFonts w:cs="Arial"/>
        </w:rPr>
        <w:t>Les recettes provenant des taxes au titre du système de Madrid sont générées par les trois</w:t>
      </w:r>
      <w:r>
        <w:rPr>
          <w:rFonts w:cs="Arial"/>
        </w:rPr>
        <w:t> </w:t>
      </w:r>
      <w:r w:rsidRPr="00DC2CFC">
        <w:rPr>
          <w:rFonts w:cs="Arial"/>
        </w:rPr>
        <w:t>catégories de services offerts par l</w:t>
      </w:r>
      <w:r>
        <w:rPr>
          <w:rFonts w:cs="Arial"/>
        </w:rPr>
        <w:t>’</w:t>
      </w:r>
      <w:r w:rsidRPr="00DC2CFC">
        <w:rPr>
          <w:rFonts w:cs="Arial"/>
        </w:rPr>
        <w:t xml:space="preserve">OMPI dans le cadre du système de Madrid, </w:t>
      </w:r>
      <w:r>
        <w:rPr>
          <w:rFonts w:cs="Arial"/>
        </w:rPr>
        <w:t>à savoir :</w:t>
      </w:r>
      <w:r w:rsidRPr="00DC2CFC">
        <w:rPr>
          <w:rFonts w:cs="Arial"/>
        </w:rPr>
        <w:t xml:space="preserve"> a)</w:t>
      </w:r>
      <w:r>
        <w:rPr>
          <w:rFonts w:cs="Arial"/>
        </w:rPr>
        <w:t> </w:t>
      </w:r>
      <w:r w:rsidRPr="00DC2CFC">
        <w:rPr>
          <w:rFonts w:cs="Arial"/>
        </w:rPr>
        <w:t>l</w:t>
      </w:r>
      <w:r>
        <w:rPr>
          <w:rFonts w:cs="Arial"/>
        </w:rPr>
        <w:t>’</w:t>
      </w:r>
      <w:r w:rsidRPr="00DC2CFC">
        <w:rPr>
          <w:rFonts w:cs="Arial"/>
        </w:rPr>
        <w:t>inscription des enregistrements internationaux;  b)</w:t>
      </w:r>
      <w:r>
        <w:rPr>
          <w:rFonts w:cs="Arial"/>
        </w:rPr>
        <w:t> </w:t>
      </w:r>
      <w:r w:rsidRPr="00DC2CFC">
        <w:rPr>
          <w:rFonts w:cs="Arial"/>
        </w:rPr>
        <w:t>l</w:t>
      </w:r>
      <w:r>
        <w:rPr>
          <w:rFonts w:cs="Arial"/>
        </w:rPr>
        <w:t>’</w:t>
      </w:r>
      <w:r w:rsidRPr="00DC2CFC">
        <w:rPr>
          <w:rFonts w:cs="Arial"/>
        </w:rPr>
        <w:t>inscription des renouvellements;  c)</w:t>
      </w:r>
      <w:r>
        <w:rPr>
          <w:rFonts w:cs="Arial"/>
        </w:rPr>
        <w:t> </w:t>
      </w:r>
      <w:r w:rsidRPr="00DC2CFC">
        <w:rPr>
          <w:rFonts w:cs="Arial"/>
        </w:rPr>
        <w:t>l</w:t>
      </w:r>
      <w:r>
        <w:rPr>
          <w:rFonts w:cs="Arial"/>
        </w:rPr>
        <w:t>’</w:t>
      </w:r>
      <w:r w:rsidRPr="00DC2CFC">
        <w:rPr>
          <w:rFonts w:cs="Arial"/>
        </w:rPr>
        <w:t>inscription des désignations postérieures;  et d)</w:t>
      </w:r>
      <w:r>
        <w:rPr>
          <w:rFonts w:cs="Arial"/>
        </w:rPr>
        <w:t> </w:t>
      </w:r>
      <w:r w:rsidRPr="00DC2CFC">
        <w:rPr>
          <w:rFonts w:cs="Arial"/>
        </w:rPr>
        <w:t>d</w:t>
      </w:r>
      <w:r>
        <w:rPr>
          <w:rFonts w:cs="Arial"/>
        </w:rPr>
        <w:t>’</w:t>
      </w:r>
      <w:r w:rsidRPr="00DC2CFC">
        <w:rPr>
          <w:rFonts w:cs="Arial"/>
        </w:rPr>
        <w:t xml:space="preserve">autres services, </w:t>
      </w:r>
      <w:r>
        <w:rPr>
          <w:rFonts w:cs="Arial"/>
        </w:rPr>
        <w:t>y compris</w:t>
      </w:r>
      <w:r w:rsidRPr="00DC2CFC">
        <w:rPr>
          <w:rFonts w:cs="Arial"/>
        </w:rPr>
        <w:t xml:space="preserve"> différentes modifications et la délivrance d</w:t>
      </w:r>
      <w:r>
        <w:rPr>
          <w:rFonts w:cs="Arial"/>
        </w:rPr>
        <w:t>’</w:t>
      </w:r>
      <w:r w:rsidRPr="00DC2CFC">
        <w:rPr>
          <w:rFonts w:cs="Arial"/>
        </w:rPr>
        <w:t>extraits</w:t>
      </w:r>
    </w:p>
    <w:p w14:paraId="69EB17A6" w14:textId="77777777" w:rsidR="00AA49D8" w:rsidRPr="00DC2CFC" w:rsidRDefault="00AA49D8" w:rsidP="00986700">
      <w:pPr>
        <w:tabs>
          <w:tab w:val="left" w:pos="540"/>
        </w:tabs>
        <w:jc w:val="both"/>
        <w:rPr>
          <w:rFonts w:cs="Arial"/>
        </w:rPr>
      </w:pPr>
    </w:p>
    <w:p w14:paraId="7AF7228D" w14:textId="07071740" w:rsidR="00AA49D8" w:rsidRPr="00DC2CFC" w:rsidRDefault="00AA49D8" w:rsidP="00CF6859">
      <w:pPr>
        <w:numPr>
          <w:ilvl w:val="0"/>
          <w:numId w:val="99"/>
        </w:numPr>
        <w:tabs>
          <w:tab w:val="left" w:pos="540"/>
        </w:tabs>
        <w:jc w:val="both"/>
        <w:rPr>
          <w:rFonts w:cs="Arial"/>
          <w:sz w:val="18"/>
          <w:szCs w:val="18"/>
        </w:rPr>
      </w:pPr>
      <w:r w:rsidRPr="00DC2CFC">
        <w:rPr>
          <w:rFonts w:cs="Arial"/>
        </w:rPr>
        <w:t>L</w:t>
      </w:r>
      <w:r>
        <w:rPr>
          <w:rFonts w:cs="Arial"/>
        </w:rPr>
        <w:t>’</w:t>
      </w:r>
      <w:r w:rsidRPr="00DC2CFC">
        <w:rPr>
          <w:rFonts w:cs="Arial"/>
        </w:rPr>
        <w:t>OMPI comptabilise les recettes provenant des taxes au titre du système de Madrid sur la base de la publication des enregistrements conformément aux normes</w:t>
      </w:r>
      <w:r>
        <w:rPr>
          <w:rFonts w:cs="Arial"/>
        </w:rPr>
        <w:t> </w:t>
      </w:r>
      <w:r w:rsidRPr="00DC2CFC">
        <w:rPr>
          <w:rFonts w:cs="Arial"/>
        </w:rPr>
        <w:t>IPSAS</w:t>
      </w:r>
      <w:r>
        <w:rPr>
          <w:rFonts w:cs="Arial"/>
        </w:rPr>
        <w:t xml:space="preserve">.  </w:t>
      </w:r>
      <w:r w:rsidRPr="00DC2CFC">
        <w:rPr>
          <w:rFonts w:cs="Arial"/>
        </w:rPr>
        <w:t>En principe, la publication a lieu environ deux</w:t>
      </w:r>
      <w:r>
        <w:rPr>
          <w:rFonts w:cs="Arial"/>
        </w:rPr>
        <w:t> </w:t>
      </w:r>
      <w:r w:rsidRPr="00DC2CFC">
        <w:rPr>
          <w:rFonts w:cs="Arial"/>
        </w:rPr>
        <w:t>semaines après l</w:t>
      </w:r>
      <w:r>
        <w:rPr>
          <w:rFonts w:cs="Arial"/>
        </w:rPr>
        <w:t>’</w:t>
      </w:r>
      <w:r w:rsidRPr="00DC2CFC">
        <w:rPr>
          <w:rFonts w:cs="Arial"/>
        </w:rPr>
        <w:t>enregistrement</w:t>
      </w:r>
      <w:r>
        <w:rPr>
          <w:rFonts w:cs="Arial"/>
        </w:rPr>
        <w:t xml:space="preserve">.  </w:t>
      </w:r>
      <w:r w:rsidRPr="00DC2CFC">
        <w:rPr>
          <w:rFonts w:cs="Arial"/>
        </w:rPr>
        <w:t>Les recettes provenant des taxes liées aux renouvellements et aux désignations postérieures sont comptabilisées à la date d</w:t>
      </w:r>
      <w:r>
        <w:rPr>
          <w:rFonts w:cs="Arial"/>
        </w:rPr>
        <w:t>’</w:t>
      </w:r>
      <w:r w:rsidRPr="00DC2CFC">
        <w:rPr>
          <w:rFonts w:cs="Arial"/>
        </w:rPr>
        <w:t>inscription de ces renouvellements et désignations postérieures</w:t>
      </w:r>
      <w:r>
        <w:rPr>
          <w:rFonts w:cs="Arial"/>
        </w:rPr>
        <w:t xml:space="preserve">.  </w:t>
      </w:r>
      <w:r w:rsidRPr="00DC2CFC">
        <w:rPr>
          <w:rFonts w:cs="Arial"/>
        </w:rPr>
        <w:t>Le diagramme</w:t>
      </w:r>
      <w:r>
        <w:rPr>
          <w:rFonts w:cs="Arial"/>
        </w:rPr>
        <w:t> </w:t>
      </w:r>
      <w:r w:rsidRPr="00DC2CFC">
        <w:rPr>
          <w:rFonts w:cs="Arial"/>
        </w:rPr>
        <w:t>8 ci</w:t>
      </w:r>
      <w:r w:rsidR="00B441CA">
        <w:rPr>
          <w:rFonts w:cs="Arial"/>
        </w:rPr>
        <w:noBreakHyphen/>
      </w:r>
      <w:r w:rsidRPr="00DC2CFC">
        <w:rPr>
          <w:rFonts w:cs="Arial"/>
        </w:rPr>
        <w:t>dessous montre les recettes estimatives ajustées en fonction des normes</w:t>
      </w:r>
      <w:r>
        <w:rPr>
          <w:rFonts w:cs="Arial"/>
        </w:rPr>
        <w:t> </w:t>
      </w:r>
      <w:r w:rsidRPr="00DC2CFC">
        <w:rPr>
          <w:rFonts w:cs="Arial"/>
        </w:rPr>
        <w:t>IPSAS provenant des taxes au titre du système de Madrid pour la période</w:t>
      </w:r>
      <w:r>
        <w:rPr>
          <w:rFonts w:cs="Arial"/>
        </w:rPr>
        <w:t> </w:t>
      </w:r>
      <w:r w:rsidRPr="00DC2CFC">
        <w:rPr>
          <w:rFonts w:cs="Arial"/>
        </w:rPr>
        <w:t>2016</w:t>
      </w:r>
      <w:r w:rsidR="00B441CA">
        <w:rPr>
          <w:rFonts w:cs="Arial"/>
        </w:rPr>
        <w:noBreakHyphen/>
      </w:r>
      <w:r w:rsidRPr="00DC2CFC">
        <w:rPr>
          <w:rFonts w:cs="Arial"/>
        </w:rPr>
        <w:t>2020 pour chacune des catégories de services précitées</w:t>
      </w:r>
      <w:r>
        <w:rPr>
          <w:rFonts w:cs="Arial"/>
        </w:rPr>
        <w:t xml:space="preserve">.  </w:t>
      </w:r>
      <w:r w:rsidRPr="00DC2CFC">
        <w:rPr>
          <w:rFonts w:cs="Arial"/>
        </w:rPr>
        <w:t>Les recettes estimatives sont fondées sur le nombre des enregistrements internationaux et des renouvellements, compte tenu des éventuels retards de traitement.</w:t>
      </w:r>
    </w:p>
    <w:p w14:paraId="75F586F6" w14:textId="77777777" w:rsidR="00AA49D8" w:rsidRPr="00DC2CFC" w:rsidRDefault="00AA49D8" w:rsidP="00986700">
      <w:pPr>
        <w:tabs>
          <w:tab w:val="left" w:pos="540"/>
        </w:tabs>
        <w:jc w:val="both"/>
        <w:rPr>
          <w:rFonts w:cs="Arial"/>
          <w:sz w:val="18"/>
          <w:szCs w:val="18"/>
        </w:rPr>
      </w:pPr>
    </w:p>
    <w:p w14:paraId="6747826D" w14:textId="77777777" w:rsidR="00AA49D8" w:rsidRPr="00DC2CFC" w:rsidRDefault="00AA49D8" w:rsidP="00986700">
      <w:pPr>
        <w:keepNext/>
        <w:tabs>
          <w:tab w:val="left" w:pos="540"/>
        </w:tabs>
        <w:jc w:val="center"/>
        <w:rPr>
          <w:rFonts w:cs="Arial"/>
          <w:sz w:val="18"/>
          <w:szCs w:val="18"/>
        </w:rPr>
      </w:pPr>
      <w:r w:rsidRPr="00DC2CFC">
        <w:rPr>
          <w:rFonts w:cs="Arial"/>
          <w:sz w:val="18"/>
          <w:szCs w:val="18"/>
        </w:rPr>
        <w:lastRenderedPageBreak/>
        <w:t>Diagramme</w:t>
      </w:r>
      <w:r>
        <w:rPr>
          <w:rFonts w:cs="Arial"/>
          <w:sz w:val="18"/>
          <w:szCs w:val="18"/>
        </w:rPr>
        <w:t> </w:t>
      </w:r>
      <w:r w:rsidRPr="00DC2CFC">
        <w:rPr>
          <w:rFonts w:cs="Arial"/>
          <w:sz w:val="18"/>
          <w:szCs w:val="18"/>
        </w:rPr>
        <w:t xml:space="preserve">8. </w:t>
      </w:r>
      <w:r>
        <w:rPr>
          <w:rFonts w:cs="Arial"/>
          <w:sz w:val="18"/>
          <w:szCs w:val="18"/>
        </w:rPr>
        <w:t xml:space="preserve"> </w:t>
      </w:r>
      <w:r w:rsidRPr="00DC2CFC">
        <w:rPr>
          <w:rFonts w:cs="Arial"/>
          <w:sz w:val="18"/>
          <w:szCs w:val="18"/>
        </w:rPr>
        <w:t>Estimations relatives aux recettes provenant des taxes au titre du système de Madrid, par provenance</w:t>
      </w:r>
    </w:p>
    <w:p w14:paraId="3D638190" w14:textId="77777777" w:rsidR="00AA49D8" w:rsidRPr="00DC2CFC" w:rsidRDefault="00AA49D8" w:rsidP="00986700">
      <w:pPr>
        <w:keepNext/>
        <w:tabs>
          <w:tab w:val="left" w:pos="540"/>
        </w:tabs>
        <w:jc w:val="center"/>
        <w:rPr>
          <w:rFonts w:cs="Arial"/>
          <w:sz w:val="18"/>
          <w:szCs w:val="18"/>
        </w:rPr>
      </w:pPr>
    </w:p>
    <w:p w14:paraId="2D6E55B8" w14:textId="77777777" w:rsidR="00AA49D8" w:rsidRPr="00DC2CFC" w:rsidRDefault="00AA49D8" w:rsidP="00986700">
      <w:pPr>
        <w:jc w:val="center"/>
        <w:rPr>
          <w:rFonts w:cs="Arial"/>
        </w:rPr>
      </w:pPr>
      <w:r w:rsidRPr="003C12BD">
        <w:rPr>
          <w:noProof/>
          <w:lang w:val="en-US" w:eastAsia="en-US"/>
        </w:rPr>
        <w:drawing>
          <wp:inline distT="0" distB="0" distL="0" distR="0" wp14:anchorId="2379FF6C" wp14:editId="1A4888C9">
            <wp:extent cx="4500000" cy="2471140"/>
            <wp:effectExtent l="0" t="0" r="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00000" cy="2471140"/>
                    </a:xfrm>
                    <a:prstGeom prst="rect">
                      <a:avLst/>
                    </a:prstGeom>
                    <a:noFill/>
                    <a:ln>
                      <a:noFill/>
                    </a:ln>
                  </pic:spPr>
                </pic:pic>
              </a:graphicData>
            </a:graphic>
          </wp:inline>
        </w:drawing>
      </w:r>
    </w:p>
    <w:p w14:paraId="7CDB369A" w14:textId="783E1268" w:rsidR="00AA49D8" w:rsidRPr="00DC2CFC" w:rsidRDefault="00C47D43" w:rsidP="00986700">
      <w:pPr>
        <w:jc w:val="center"/>
        <w:rPr>
          <w:rFonts w:cs="Arial"/>
        </w:rPr>
      </w:pPr>
      <w:r w:rsidRPr="00C47D43">
        <w:rPr>
          <w:noProof/>
          <w:lang w:val="en-US" w:eastAsia="en-US"/>
        </w:rPr>
        <w:drawing>
          <wp:inline distT="0" distB="0" distL="0" distR="0" wp14:anchorId="354F4DAE" wp14:editId="5B152511">
            <wp:extent cx="4600800" cy="128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00800" cy="1285200"/>
                    </a:xfrm>
                    <a:prstGeom prst="rect">
                      <a:avLst/>
                    </a:prstGeom>
                    <a:noFill/>
                    <a:ln>
                      <a:noFill/>
                    </a:ln>
                  </pic:spPr>
                </pic:pic>
              </a:graphicData>
            </a:graphic>
          </wp:inline>
        </w:drawing>
      </w:r>
    </w:p>
    <w:p w14:paraId="00CAAC15" w14:textId="77777777" w:rsidR="00AA49D8" w:rsidRPr="00DC2CFC" w:rsidRDefault="00AA49D8" w:rsidP="00986700">
      <w:pPr>
        <w:spacing w:after="60"/>
        <w:jc w:val="center"/>
        <w:rPr>
          <w:rFonts w:cs="Arial"/>
          <w:sz w:val="18"/>
          <w:szCs w:val="18"/>
        </w:rPr>
      </w:pPr>
    </w:p>
    <w:p w14:paraId="7A3857F3" w14:textId="77777777" w:rsidR="00AA49D8" w:rsidRPr="00DC2CFC" w:rsidRDefault="00AA49D8" w:rsidP="00986700">
      <w:pPr>
        <w:spacing w:after="60"/>
        <w:jc w:val="center"/>
        <w:rPr>
          <w:rFonts w:cs="Arial"/>
          <w:sz w:val="18"/>
          <w:szCs w:val="18"/>
        </w:rPr>
      </w:pPr>
      <w:r w:rsidRPr="00DC2CFC">
        <w:rPr>
          <w:rFonts w:cs="Arial"/>
          <w:sz w:val="18"/>
          <w:szCs w:val="18"/>
        </w:rPr>
        <w:t>Répartition probabiliste des recettes</w:t>
      </w:r>
    </w:p>
    <w:p w14:paraId="5E92F991" w14:textId="77777777" w:rsidR="00AA49D8" w:rsidRPr="00DC2CFC" w:rsidRDefault="00AA49D8" w:rsidP="00986700">
      <w:pPr>
        <w:jc w:val="center"/>
        <w:rPr>
          <w:rFonts w:cs="Arial"/>
        </w:rPr>
      </w:pPr>
    </w:p>
    <w:p w14:paraId="477D1175" w14:textId="77777777" w:rsidR="00AA49D8" w:rsidRPr="00DC2CFC" w:rsidRDefault="00AA49D8" w:rsidP="00986700">
      <w:pPr>
        <w:jc w:val="center"/>
        <w:rPr>
          <w:rFonts w:cs="Arial"/>
        </w:rPr>
      </w:pPr>
      <w:r w:rsidRPr="0066716A">
        <w:rPr>
          <w:noProof/>
          <w:lang w:val="en-US" w:eastAsia="en-US"/>
        </w:rPr>
        <w:drawing>
          <wp:inline distT="0" distB="0" distL="0" distR="0" wp14:anchorId="4648E078" wp14:editId="74D8307C">
            <wp:extent cx="4500000" cy="2523494"/>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00000" cy="2523494"/>
                    </a:xfrm>
                    <a:prstGeom prst="rect">
                      <a:avLst/>
                    </a:prstGeom>
                    <a:noFill/>
                    <a:ln>
                      <a:noFill/>
                    </a:ln>
                  </pic:spPr>
                </pic:pic>
              </a:graphicData>
            </a:graphic>
          </wp:inline>
        </w:drawing>
      </w:r>
    </w:p>
    <w:p w14:paraId="241390EB" w14:textId="77777777" w:rsidR="00AA49D8" w:rsidRPr="00DC2CFC" w:rsidRDefault="00AA49D8" w:rsidP="00986700">
      <w:pPr>
        <w:jc w:val="center"/>
        <w:rPr>
          <w:rFonts w:cs="Arial"/>
        </w:rPr>
      </w:pPr>
    </w:p>
    <w:p w14:paraId="1DAB51ED" w14:textId="77777777" w:rsidR="00AA49D8" w:rsidRDefault="00AA49D8" w:rsidP="00986700">
      <w:pPr>
        <w:keepNext/>
        <w:spacing w:after="60"/>
        <w:jc w:val="center"/>
        <w:rPr>
          <w:rFonts w:cs="Arial"/>
          <w:sz w:val="18"/>
          <w:szCs w:val="18"/>
        </w:rPr>
      </w:pPr>
      <w:r w:rsidRPr="00DC2CFC">
        <w:rPr>
          <w:rFonts w:cs="Arial"/>
          <w:sz w:val="18"/>
          <w:szCs w:val="18"/>
        </w:rPr>
        <w:lastRenderedPageBreak/>
        <w:t>Scénarios des recettes au titre du système de Madrid</w:t>
      </w:r>
    </w:p>
    <w:p w14:paraId="5072C0AC" w14:textId="77777777" w:rsidR="00AA49D8" w:rsidRPr="00DC2CFC" w:rsidRDefault="00AA49D8" w:rsidP="00986700">
      <w:pPr>
        <w:keepNext/>
        <w:spacing w:after="60"/>
        <w:jc w:val="center"/>
        <w:rPr>
          <w:rFonts w:cs="Arial"/>
        </w:rPr>
      </w:pPr>
    </w:p>
    <w:p w14:paraId="5D565C93" w14:textId="77777777" w:rsidR="00AA49D8" w:rsidRPr="00DC2CFC" w:rsidRDefault="00AA49D8" w:rsidP="00986700">
      <w:pPr>
        <w:jc w:val="center"/>
        <w:rPr>
          <w:rFonts w:cs="Arial"/>
        </w:rPr>
      </w:pPr>
      <w:r w:rsidRPr="0066716A">
        <w:rPr>
          <w:noProof/>
          <w:lang w:val="en-US" w:eastAsia="en-US"/>
        </w:rPr>
        <w:drawing>
          <wp:inline distT="0" distB="0" distL="0" distR="0" wp14:anchorId="24C8FD89" wp14:editId="4DB3273E">
            <wp:extent cx="2929287" cy="3132000"/>
            <wp:effectExtent l="0" t="0" r="444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29287" cy="3132000"/>
                    </a:xfrm>
                    <a:prstGeom prst="rect">
                      <a:avLst/>
                    </a:prstGeom>
                    <a:noFill/>
                    <a:ln>
                      <a:noFill/>
                    </a:ln>
                  </pic:spPr>
                </pic:pic>
              </a:graphicData>
            </a:graphic>
          </wp:inline>
        </w:drawing>
      </w:r>
    </w:p>
    <w:p w14:paraId="552A684A" w14:textId="77777777" w:rsidR="00AA49D8" w:rsidRPr="00DC2CFC" w:rsidRDefault="00AA49D8" w:rsidP="00986700">
      <w:pPr>
        <w:jc w:val="center"/>
        <w:rPr>
          <w:rFonts w:cs="Arial"/>
        </w:rPr>
      </w:pPr>
    </w:p>
    <w:p w14:paraId="56EFC682" w14:textId="0792EF2B" w:rsidR="00AA49D8" w:rsidRPr="00DC2CFC" w:rsidRDefault="00AA49D8" w:rsidP="00CF6859">
      <w:pPr>
        <w:numPr>
          <w:ilvl w:val="0"/>
          <w:numId w:val="99"/>
        </w:numPr>
        <w:tabs>
          <w:tab w:val="left" w:pos="540"/>
        </w:tabs>
        <w:jc w:val="both"/>
        <w:rPr>
          <w:rFonts w:cs="Arial"/>
        </w:rPr>
      </w:pPr>
      <w:r w:rsidRPr="00DC2CFC">
        <w:rPr>
          <w:rFonts w:cs="Arial"/>
        </w:rPr>
        <w:t>Le tableau ci</w:t>
      </w:r>
      <w:r w:rsidR="00B441CA">
        <w:rPr>
          <w:rFonts w:cs="Arial"/>
        </w:rPr>
        <w:noBreakHyphen/>
      </w:r>
      <w:r w:rsidRPr="00DC2CFC">
        <w:rPr>
          <w:rFonts w:cs="Arial"/>
        </w:rPr>
        <w:t>dessous donne des informations sur les nombres effectifs et attendus des enregistrements et des renouvellements pour la période</w:t>
      </w:r>
      <w:r>
        <w:rPr>
          <w:rFonts w:cs="Arial"/>
        </w:rPr>
        <w:t> </w:t>
      </w:r>
      <w:r w:rsidRPr="00DC2CFC">
        <w:rPr>
          <w:rFonts w:cs="Arial"/>
        </w:rPr>
        <w:t>2015</w:t>
      </w:r>
      <w:r w:rsidR="00B441CA">
        <w:rPr>
          <w:rFonts w:cs="Arial"/>
        </w:rPr>
        <w:noBreakHyphen/>
      </w:r>
      <w:r w:rsidRPr="00DC2CFC">
        <w:rPr>
          <w:rFonts w:cs="Arial"/>
        </w:rPr>
        <w:t>2020 et sur l</w:t>
      </w:r>
      <w:r>
        <w:rPr>
          <w:rFonts w:cs="Arial"/>
        </w:rPr>
        <w:t>’</w:t>
      </w:r>
      <w:r w:rsidRPr="00DC2CFC">
        <w:rPr>
          <w:rFonts w:cs="Arial"/>
        </w:rPr>
        <w:t>évolution effective et attendue de la taxe moyenne pendant cette période</w:t>
      </w:r>
      <w:r>
        <w:rPr>
          <w:rFonts w:cs="Arial"/>
        </w:rPr>
        <w:t xml:space="preserve">.  </w:t>
      </w:r>
      <w:r w:rsidRPr="00DC2CFC">
        <w:rPr>
          <w:rFonts w:cs="Arial"/>
        </w:rPr>
        <w:t>La taxe moyenne correspond aux recettes totales provenant des taxes au titre du système de Madrid divisées par le nombre total d</w:t>
      </w:r>
      <w:r>
        <w:rPr>
          <w:rFonts w:cs="Arial"/>
        </w:rPr>
        <w:t>’</w:t>
      </w:r>
      <w:r w:rsidRPr="00DC2CFC">
        <w:rPr>
          <w:rFonts w:cs="Arial"/>
        </w:rPr>
        <w:t>enregistrements et de renouvellements par année.</w:t>
      </w:r>
    </w:p>
    <w:p w14:paraId="479F4B15" w14:textId="77777777" w:rsidR="00AA49D8" w:rsidRPr="00DC2CFC" w:rsidRDefault="00AA49D8" w:rsidP="00986700">
      <w:pPr>
        <w:jc w:val="both"/>
        <w:rPr>
          <w:rFonts w:cs="Arial"/>
        </w:rPr>
      </w:pPr>
    </w:p>
    <w:p w14:paraId="45104703" w14:textId="57E908CC" w:rsidR="00AA49D8" w:rsidRPr="00DC2CFC" w:rsidRDefault="00AA49D8" w:rsidP="00986700">
      <w:pPr>
        <w:jc w:val="center"/>
        <w:rPr>
          <w:rFonts w:cs="Arial"/>
          <w:sz w:val="18"/>
          <w:szCs w:val="18"/>
        </w:rPr>
      </w:pPr>
      <w:r w:rsidRPr="00DC2CFC">
        <w:rPr>
          <w:rFonts w:cs="Arial"/>
          <w:sz w:val="18"/>
          <w:szCs w:val="18"/>
        </w:rPr>
        <w:t>Recettes totales et taxe moyenne au titre du système de Madrid</w:t>
      </w:r>
    </w:p>
    <w:p w14:paraId="1C810486" w14:textId="77777777" w:rsidR="00AA49D8" w:rsidRPr="00DC2CFC" w:rsidRDefault="00AA49D8" w:rsidP="00986700">
      <w:pPr>
        <w:jc w:val="center"/>
        <w:rPr>
          <w:rFonts w:cs="Arial"/>
        </w:rPr>
      </w:pPr>
    </w:p>
    <w:p w14:paraId="1C9758A1" w14:textId="1A33ECDF" w:rsidR="00AA49D8" w:rsidRPr="00DC2CFC" w:rsidRDefault="00C47D43" w:rsidP="00986700">
      <w:pPr>
        <w:jc w:val="center"/>
        <w:rPr>
          <w:rFonts w:cs="Arial"/>
        </w:rPr>
      </w:pPr>
      <w:r w:rsidRPr="00C47D43">
        <w:rPr>
          <w:noProof/>
          <w:lang w:val="en-US" w:eastAsia="en-US"/>
        </w:rPr>
        <w:drawing>
          <wp:inline distT="0" distB="0" distL="0" distR="0" wp14:anchorId="457A72FF" wp14:editId="06D17D27">
            <wp:extent cx="5760085" cy="80975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60085" cy="809750"/>
                    </a:xfrm>
                    <a:prstGeom prst="rect">
                      <a:avLst/>
                    </a:prstGeom>
                    <a:noFill/>
                    <a:ln>
                      <a:noFill/>
                    </a:ln>
                  </pic:spPr>
                </pic:pic>
              </a:graphicData>
            </a:graphic>
          </wp:inline>
        </w:drawing>
      </w:r>
    </w:p>
    <w:p w14:paraId="752FEB0E" w14:textId="77777777" w:rsidR="00AA49D8" w:rsidRPr="00DC2CFC" w:rsidRDefault="00AA49D8" w:rsidP="00986700">
      <w:pPr>
        <w:jc w:val="center"/>
        <w:rPr>
          <w:rFonts w:cs="Arial"/>
        </w:rPr>
      </w:pPr>
    </w:p>
    <w:p w14:paraId="4A597EBB" w14:textId="77777777" w:rsidR="00AA49D8" w:rsidRPr="00DC2CFC" w:rsidRDefault="00AA49D8" w:rsidP="00986700">
      <w:pPr>
        <w:jc w:val="center"/>
        <w:rPr>
          <w:rFonts w:cs="Arial"/>
        </w:rPr>
      </w:pPr>
    </w:p>
    <w:p w14:paraId="665FB581" w14:textId="77777777" w:rsidR="00AA49D8" w:rsidRPr="00DC2CFC" w:rsidRDefault="00AA49D8" w:rsidP="00986700">
      <w:pPr>
        <w:jc w:val="center"/>
        <w:rPr>
          <w:rFonts w:cs="Arial"/>
        </w:rPr>
      </w:pPr>
    </w:p>
    <w:p w14:paraId="00C31373" w14:textId="77777777" w:rsidR="00AA49D8" w:rsidRDefault="00AA49D8" w:rsidP="00986700">
      <w:pPr>
        <w:rPr>
          <w:rFonts w:cs="Arial"/>
          <w:b/>
        </w:rPr>
      </w:pPr>
      <w:r>
        <w:rPr>
          <w:rFonts w:cs="Arial"/>
          <w:b/>
        </w:rPr>
        <w:t>La Haye</w:t>
      </w:r>
    </w:p>
    <w:p w14:paraId="56CDC05F" w14:textId="77777777" w:rsidR="00AA49D8" w:rsidRPr="00DC2CFC" w:rsidRDefault="00AA49D8" w:rsidP="00986700">
      <w:pPr>
        <w:rPr>
          <w:rFonts w:cs="Arial"/>
        </w:rPr>
      </w:pPr>
    </w:p>
    <w:p w14:paraId="2E59F30D" w14:textId="77777777" w:rsidR="00AA49D8" w:rsidRPr="00DC2CFC" w:rsidRDefault="00AA49D8" w:rsidP="00986700">
      <w:pPr>
        <w:rPr>
          <w:rFonts w:cs="Arial"/>
        </w:rPr>
      </w:pPr>
      <w:r>
        <w:rPr>
          <w:rFonts w:cs="Arial"/>
          <w:i/>
        </w:rPr>
        <w:t>La Haye</w:t>
      </w:r>
      <w:r w:rsidRPr="00DC2CFC">
        <w:rPr>
          <w:rFonts w:cs="Arial"/>
          <w:i/>
        </w:rPr>
        <w:t xml:space="preserve"> – Prévisions relatives à la demande d</w:t>
      </w:r>
      <w:r>
        <w:rPr>
          <w:rFonts w:cs="Arial"/>
          <w:i/>
        </w:rPr>
        <w:t>’</w:t>
      </w:r>
      <w:r w:rsidRPr="00DC2CFC">
        <w:rPr>
          <w:rFonts w:cs="Arial"/>
          <w:i/>
        </w:rPr>
        <w:t>enregistrements internationaux</w:t>
      </w:r>
      <w:r w:rsidRPr="00DC2CFC">
        <w:rPr>
          <w:rFonts w:cs="Arial"/>
          <w:i/>
        </w:rPr>
        <w:br/>
      </w:r>
    </w:p>
    <w:p w14:paraId="4BCE064D" w14:textId="065F283E" w:rsidR="00AA49D8" w:rsidRDefault="00AA49D8" w:rsidP="00CF6859">
      <w:pPr>
        <w:numPr>
          <w:ilvl w:val="0"/>
          <w:numId w:val="99"/>
        </w:numPr>
        <w:tabs>
          <w:tab w:val="left" w:pos="540"/>
        </w:tabs>
        <w:jc w:val="both"/>
        <w:rPr>
          <w:rFonts w:cs="Arial"/>
        </w:rPr>
      </w:pPr>
      <w:r w:rsidRPr="00DC2CFC">
        <w:rPr>
          <w:rFonts w:cs="Arial"/>
        </w:rPr>
        <w:t>Le diagramme</w:t>
      </w:r>
      <w:r>
        <w:rPr>
          <w:rFonts w:cs="Arial"/>
        </w:rPr>
        <w:t> </w:t>
      </w:r>
      <w:r w:rsidRPr="00DC2CFC">
        <w:rPr>
          <w:rFonts w:cs="Arial"/>
        </w:rPr>
        <w:t>9 montre les prévisions pour la période</w:t>
      </w:r>
      <w:r>
        <w:rPr>
          <w:rFonts w:cs="Arial"/>
        </w:rPr>
        <w:t> </w:t>
      </w:r>
      <w:r w:rsidRPr="00DC2CFC">
        <w:rPr>
          <w:rFonts w:cs="Arial"/>
        </w:rPr>
        <w:t>2017</w:t>
      </w:r>
      <w:r w:rsidR="00B441CA">
        <w:rPr>
          <w:rFonts w:cs="Arial"/>
        </w:rPr>
        <w:noBreakHyphen/>
      </w:r>
      <w:r w:rsidRPr="00DC2CFC">
        <w:rPr>
          <w:rFonts w:cs="Arial"/>
        </w:rPr>
        <w:t>2020.  Les prévisions relatives à la demande d</w:t>
      </w:r>
      <w:r>
        <w:rPr>
          <w:rFonts w:cs="Arial"/>
        </w:rPr>
        <w:t>’</w:t>
      </w:r>
      <w:r w:rsidRPr="00DC2CFC">
        <w:rPr>
          <w:rFonts w:cs="Arial"/>
        </w:rPr>
        <w:t xml:space="preserve">enregistrements au titre du système de </w:t>
      </w:r>
      <w:r>
        <w:rPr>
          <w:rFonts w:cs="Arial"/>
        </w:rPr>
        <w:t>La Haye</w:t>
      </w:r>
      <w:r w:rsidRPr="00DC2CFC">
        <w:rPr>
          <w:rFonts w:cs="Arial"/>
        </w:rPr>
        <w:t xml:space="preserve"> reposent sur de multiples modèles, </w:t>
      </w:r>
      <w:r>
        <w:rPr>
          <w:rFonts w:cs="Arial"/>
        </w:rPr>
        <w:t>y compris</w:t>
      </w:r>
      <w:r w:rsidRPr="00DC2CFC">
        <w:rPr>
          <w:rFonts w:cs="Arial"/>
        </w:rPr>
        <w:t xml:space="preserve"> des modèles d</w:t>
      </w:r>
      <w:r>
        <w:rPr>
          <w:rFonts w:cs="Arial"/>
        </w:rPr>
        <w:t>’</w:t>
      </w:r>
      <w:r w:rsidRPr="00DC2CFC">
        <w:rPr>
          <w:rFonts w:cs="Arial"/>
        </w:rPr>
        <w:t>autorégression et des modèles économétriques</w:t>
      </w:r>
      <w:r>
        <w:rPr>
          <w:rFonts w:cs="Arial"/>
        </w:rPr>
        <w:t xml:space="preserve">.  </w:t>
      </w:r>
      <w:r w:rsidRPr="00DC2CFC">
        <w:rPr>
          <w:rFonts w:cs="Arial"/>
        </w:rPr>
        <w:t>Les modèles économétriques sont fondés sur les données réelles et les prévisions</w:t>
      </w:r>
      <w:r w:rsidRPr="00977177">
        <w:rPr>
          <w:rFonts w:cs="Arial"/>
        </w:rPr>
        <w:t xml:space="preserve"> du PIB</w:t>
      </w:r>
      <w:r w:rsidRPr="00DC2CFC">
        <w:rPr>
          <w:rFonts w:cs="Arial"/>
        </w:rPr>
        <w:t xml:space="preserve"> publiées par le Fonds monétaire international (FMI).  Les résultats de différents modèles sont ensuite combinés pour pallier les incertitudes découlant de la spécification correcte des modèles.</w:t>
      </w:r>
    </w:p>
    <w:p w14:paraId="39D483E0" w14:textId="77777777" w:rsidR="00AA49D8" w:rsidRPr="00DC2CFC" w:rsidRDefault="00AA49D8" w:rsidP="00986700">
      <w:pPr>
        <w:tabs>
          <w:tab w:val="left" w:pos="540"/>
        </w:tabs>
        <w:jc w:val="both"/>
        <w:rPr>
          <w:rFonts w:cs="Arial"/>
        </w:rPr>
      </w:pPr>
    </w:p>
    <w:p w14:paraId="28D4024A" w14:textId="77777777" w:rsidR="00AA49D8" w:rsidRDefault="00AA49D8" w:rsidP="00986700">
      <w:pPr>
        <w:keepNext/>
        <w:jc w:val="center"/>
        <w:rPr>
          <w:rFonts w:cs="Arial"/>
          <w:sz w:val="18"/>
          <w:szCs w:val="18"/>
        </w:rPr>
      </w:pPr>
      <w:r w:rsidRPr="00DC2CFC">
        <w:rPr>
          <w:rFonts w:cs="Arial"/>
          <w:sz w:val="18"/>
          <w:szCs w:val="18"/>
        </w:rPr>
        <w:lastRenderedPageBreak/>
        <w:t>Diagramme</w:t>
      </w:r>
      <w:r>
        <w:rPr>
          <w:rFonts w:cs="Arial"/>
          <w:sz w:val="18"/>
          <w:szCs w:val="18"/>
        </w:rPr>
        <w:t> </w:t>
      </w:r>
      <w:r w:rsidRPr="00DC2CFC">
        <w:rPr>
          <w:rFonts w:cs="Arial"/>
          <w:sz w:val="18"/>
          <w:szCs w:val="18"/>
        </w:rPr>
        <w:t xml:space="preserve">9. </w:t>
      </w:r>
      <w:r>
        <w:rPr>
          <w:rFonts w:cs="Arial"/>
          <w:sz w:val="18"/>
          <w:szCs w:val="18"/>
        </w:rPr>
        <w:t xml:space="preserve"> </w:t>
      </w:r>
      <w:r w:rsidRPr="00DC2CFC">
        <w:rPr>
          <w:rFonts w:cs="Arial"/>
          <w:sz w:val="18"/>
          <w:szCs w:val="18"/>
        </w:rPr>
        <w:t xml:space="preserve">Dépôts au titre du système de </w:t>
      </w:r>
      <w:r>
        <w:rPr>
          <w:rFonts w:cs="Arial"/>
          <w:sz w:val="18"/>
          <w:szCs w:val="18"/>
        </w:rPr>
        <w:t>La Haye</w:t>
      </w:r>
    </w:p>
    <w:p w14:paraId="6868A985" w14:textId="77777777" w:rsidR="00AA49D8" w:rsidRPr="00DC2CFC" w:rsidRDefault="00AA49D8" w:rsidP="00986700">
      <w:pPr>
        <w:keepNext/>
        <w:jc w:val="center"/>
        <w:rPr>
          <w:rFonts w:cs="Arial"/>
          <w:sz w:val="18"/>
          <w:szCs w:val="18"/>
        </w:rPr>
      </w:pPr>
    </w:p>
    <w:p w14:paraId="123C4EF4" w14:textId="77777777" w:rsidR="00AA49D8" w:rsidRPr="00DC2CFC" w:rsidRDefault="00AA49D8" w:rsidP="00986700">
      <w:pPr>
        <w:tabs>
          <w:tab w:val="left" w:pos="540"/>
        </w:tabs>
        <w:jc w:val="center"/>
        <w:rPr>
          <w:rFonts w:cs="Arial"/>
        </w:rPr>
      </w:pPr>
      <w:r w:rsidRPr="009560BE">
        <w:rPr>
          <w:noProof/>
          <w:lang w:val="en-US" w:eastAsia="en-US"/>
        </w:rPr>
        <w:drawing>
          <wp:inline distT="0" distB="0" distL="0" distR="0" wp14:anchorId="26D7B105" wp14:editId="3BAEC5C3">
            <wp:extent cx="4500000" cy="2481667"/>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00000" cy="2481667"/>
                    </a:xfrm>
                    <a:prstGeom prst="rect">
                      <a:avLst/>
                    </a:prstGeom>
                    <a:noFill/>
                    <a:ln>
                      <a:noFill/>
                    </a:ln>
                  </pic:spPr>
                </pic:pic>
              </a:graphicData>
            </a:graphic>
          </wp:inline>
        </w:drawing>
      </w:r>
    </w:p>
    <w:p w14:paraId="2EAD8EE1" w14:textId="77777777" w:rsidR="00AA49D8" w:rsidRPr="00DC2CFC" w:rsidRDefault="00AA49D8" w:rsidP="00986700">
      <w:pPr>
        <w:jc w:val="center"/>
        <w:rPr>
          <w:rFonts w:cs="Arial"/>
        </w:rPr>
      </w:pPr>
    </w:p>
    <w:p w14:paraId="534F15F8" w14:textId="3C4DD163" w:rsidR="00AA49D8" w:rsidRPr="00DC2CFC" w:rsidRDefault="00C47D43" w:rsidP="00986700">
      <w:pPr>
        <w:jc w:val="center"/>
        <w:rPr>
          <w:rFonts w:cs="Arial"/>
        </w:rPr>
      </w:pPr>
      <w:r w:rsidRPr="00C47D43">
        <w:rPr>
          <w:noProof/>
          <w:lang w:val="en-US" w:eastAsia="en-US"/>
        </w:rPr>
        <w:drawing>
          <wp:inline distT="0" distB="0" distL="0" distR="0" wp14:anchorId="5785DCD5" wp14:editId="7CCD0007">
            <wp:extent cx="5353200" cy="720000"/>
            <wp:effectExtent l="0" t="0" r="0" b="444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53200" cy="720000"/>
                    </a:xfrm>
                    <a:prstGeom prst="rect">
                      <a:avLst/>
                    </a:prstGeom>
                    <a:noFill/>
                    <a:ln>
                      <a:noFill/>
                    </a:ln>
                  </pic:spPr>
                </pic:pic>
              </a:graphicData>
            </a:graphic>
          </wp:inline>
        </w:drawing>
      </w:r>
    </w:p>
    <w:p w14:paraId="1C0AA8D5" w14:textId="77777777" w:rsidR="00AA49D8" w:rsidRPr="00DC2CFC" w:rsidRDefault="00AA49D8" w:rsidP="00986700">
      <w:pPr>
        <w:jc w:val="center"/>
        <w:rPr>
          <w:rFonts w:cs="Arial"/>
        </w:rPr>
      </w:pPr>
    </w:p>
    <w:p w14:paraId="5FFBAFC5" w14:textId="77777777" w:rsidR="00AA49D8" w:rsidRPr="00DC2CFC" w:rsidRDefault="00AA49D8" w:rsidP="00986700">
      <w:pPr>
        <w:jc w:val="center"/>
        <w:rPr>
          <w:rFonts w:cs="Arial"/>
        </w:rPr>
      </w:pPr>
    </w:p>
    <w:p w14:paraId="559301D7" w14:textId="77777777" w:rsidR="00AA49D8" w:rsidRPr="00DC2CFC" w:rsidRDefault="00AA49D8" w:rsidP="00986700">
      <w:pPr>
        <w:jc w:val="center"/>
        <w:rPr>
          <w:rFonts w:cs="Arial"/>
          <w:sz w:val="18"/>
          <w:szCs w:val="18"/>
        </w:rPr>
      </w:pPr>
      <w:r w:rsidRPr="00DC2CFC">
        <w:rPr>
          <w:rFonts w:cs="Arial"/>
          <w:sz w:val="18"/>
          <w:szCs w:val="18"/>
        </w:rPr>
        <w:t>Répartition probabiliste des demandes d</w:t>
      </w:r>
      <w:r>
        <w:rPr>
          <w:rFonts w:cs="Arial"/>
          <w:sz w:val="18"/>
          <w:szCs w:val="18"/>
        </w:rPr>
        <w:t>’</w:t>
      </w:r>
      <w:r w:rsidRPr="00DC2CFC">
        <w:rPr>
          <w:rFonts w:cs="Arial"/>
          <w:sz w:val="18"/>
          <w:szCs w:val="18"/>
        </w:rPr>
        <w:t>enregistrement</w:t>
      </w:r>
    </w:p>
    <w:p w14:paraId="03BA76D1" w14:textId="77777777" w:rsidR="00AA49D8" w:rsidRPr="00DC2CFC" w:rsidRDefault="00AA49D8" w:rsidP="00986700">
      <w:pPr>
        <w:jc w:val="center"/>
        <w:rPr>
          <w:rFonts w:cs="Arial"/>
        </w:rPr>
      </w:pPr>
      <w:r w:rsidRPr="00472C8F">
        <w:rPr>
          <w:noProof/>
          <w:lang w:val="en-US" w:eastAsia="en-US"/>
        </w:rPr>
        <w:drawing>
          <wp:inline distT="0" distB="0" distL="0" distR="0" wp14:anchorId="796573DD" wp14:editId="441AE2DD">
            <wp:extent cx="5478780" cy="303212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478780" cy="3032125"/>
                    </a:xfrm>
                    <a:prstGeom prst="rect">
                      <a:avLst/>
                    </a:prstGeom>
                    <a:noFill/>
                    <a:ln>
                      <a:noFill/>
                    </a:ln>
                  </pic:spPr>
                </pic:pic>
              </a:graphicData>
            </a:graphic>
          </wp:inline>
        </w:drawing>
      </w:r>
    </w:p>
    <w:p w14:paraId="236CDE02" w14:textId="77777777" w:rsidR="00AA49D8" w:rsidRPr="00DC2CFC" w:rsidRDefault="00AA49D8" w:rsidP="00986700"/>
    <w:p w14:paraId="228DC167" w14:textId="77777777" w:rsidR="00AA49D8" w:rsidRDefault="00AA49D8" w:rsidP="00986700">
      <w:pPr>
        <w:keepNext/>
        <w:spacing w:after="120"/>
        <w:jc w:val="center"/>
        <w:rPr>
          <w:rFonts w:cs="Arial"/>
          <w:sz w:val="18"/>
          <w:szCs w:val="18"/>
        </w:rPr>
      </w:pPr>
      <w:r w:rsidRPr="00DC2CFC">
        <w:rPr>
          <w:rFonts w:cs="Arial"/>
          <w:sz w:val="18"/>
          <w:szCs w:val="18"/>
        </w:rPr>
        <w:lastRenderedPageBreak/>
        <w:t xml:space="preserve">Scénarios des enregistrements au titre du système de </w:t>
      </w:r>
      <w:r>
        <w:rPr>
          <w:rFonts w:cs="Arial"/>
          <w:sz w:val="18"/>
          <w:szCs w:val="18"/>
        </w:rPr>
        <w:t>La Haye</w:t>
      </w:r>
    </w:p>
    <w:p w14:paraId="33415B9E" w14:textId="77777777" w:rsidR="00AA49D8" w:rsidRPr="00DC2CFC" w:rsidRDefault="00AA49D8" w:rsidP="00986700">
      <w:pPr>
        <w:keepNext/>
        <w:spacing w:after="120"/>
        <w:jc w:val="center"/>
        <w:rPr>
          <w:rFonts w:cs="Arial"/>
          <w:sz w:val="18"/>
          <w:szCs w:val="18"/>
        </w:rPr>
      </w:pPr>
    </w:p>
    <w:p w14:paraId="6D649603" w14:textId="77777777" w:rsidR="00AA49D8" w:rsidRPr="00DC2CFC" w:rsidRDefault="00AA49D8" w:rsidP="00986700">
      <w:pPr>
        <w:jc w:val="center"/>
      </w:pPr>
      <w:r w:rsidRPr="00472C8F">
        <w:rPr>
          <w:noProof/>
          <w:lang w:val="en-US" w:eastAsia="en-US"/>
        </w:rPr>
        <w:drawing>
          <wp:inline distT="0" distB="0" distL="0" distR="0" wp14:anchorId="567E229B" wp14:editId="40028AD8">
            <wp:extent cx="3055620" cy="33058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55620" cy="3305810"/>
                    </a:xfrm>
                    <a:prstGeom prst="rect">
                      <a:avLst/>
                    </a:prstGeom>
                    <a:noFill/>
                    <a:ln>
                      <a:noFill/>
                    </a:ln>
                  </pic:spPr>
                </pic:pic>
              </a:graphicData>
            </a:graphic>
          </wp:inline>
        </w:drawing>
      </w:r>
    </w:p>
    <w:p w14:paraId="46DBD438" w14:textId="77777777" w:rsidR="00AA49D8" w:rsidRPr="00DC2CFC" w:rsidRDefault="00AA49D8" w:rsidP="00986700">
      <w:pPr>
        <w:jc w:val="center"/>
      </w:pPr>
    </w:p>
    <w:p w14:paraId="7A694E2B" w14:textId="77777777" w:rsidR="00AA49D8" w:rsidRPr="00DC2CFC" w:rsidRDefault="00AA49D8" w:rsidP="00986700">
      <w:pPr>
        <w:rPr>
          <w:rFonts w:cs="Arial"/>
        </w:rPr>
      </w:pPr>
      <w:r>
        <w:rPr>
          <w:rFonts w:cs="Arial"/>
          <w:i/>
        </w:rPr>
        <w:t>La Haye</w:t>
      </w:r>
      <w:r w:rsidRPr="00DC2CFC">
        <w:rPr>
          <w:rFonts w:cs="Arial"/>
          <w:i/>
        </w:rPr>
        <w:t xml:space="preserve"> – Prévisions relatives à la demande de renouvellements</w:t>
      </w:r>
      <w:r w:rsidRPr="00DC2CFC">
        <w:rPr>
          <w:rFonts w:cs="Arial"/>
          <w:i/>
        </w:rPr>
        <w:br/>
      </w:r>
    </w:p>
    <w:p w14:paraId="34E8C20E" w14:textId="77777777" w:rsidR="00AA49D8" w:rsidRPr="00DC2CFC" w:rsidRDefault="00AA49D8" w:rsidP="00CF6859">
      <w:pPr>
        <w:numPr>
          <w:ilvl w:val="0"/>
          <w:numId w:val="99"/>
        </w:numPr>
        <w:tabs>
          <w:tab w:val="left" w:pos="540"/>
        </w:tabs>
        <w:jc w:val="both"/>
        <w:rPr>
          <w:rFonts w:cs="Arial"/>
        </w:rPr>
      </w:pPr>
      <w:r w:rsidRPr="00DC2CFC">
        <w:rPr>
          <w:rFonts w:cs="Arial"/>
        </w:rPr>
        <w:t>Différents modèles de régression sont utilisés pour prévoir les renouvellements des enregistrements</w:t>
      </w:r>
      <w:r>
        <w:rPr>
          <w:rFonts w:cs="Arial"/>
        </w:rPr>
        <w:t xml:space="preserve">.  </w:t>
      </w:r>
      <w:r w:rsidRPr="00DC2CFC">
        <w:rPr>
          <w:rFonts w:cs="Arial"/>
        </w:rPr>
        <w:t>Outre les modèles d</w:t>
      </w:r>
      <w:r>
        <w:rPr>
          <w:rFonts w:cs="Arial"/>
        </w:rPr>
        <w:t>’</w:t>
      </w:r>
      <w:r w:rsidRPr="00DC2CFC">
        <w:rPr>
          <w:rFonts w:cs="Arial"/>
        </w:rPr>
        <w:t>autorégression, on utilise le lien entre les renouvellements et les enregistrements avec des décalages de cinq</w:t>
      </w:r>
      <w:r>
        <w:rPr>
          <w:rFonts w:cs="Arial"/>
        </w:rPr>
        <w:t> </w:t>
      </w:r>
      <w:r w:rsidRPr="00DC2CFC">
        <w:rPr>
          <w:rFonts w:cs="Arial"/>
        </w:rPr>
        <w:t>ans ainsi que les renouvellements antérieurs avec des décalages de cinq</w:t>
      </w:r>
      <w:r>
        <w:rPr>
          <w:rFonts w:cs="Arial"/>
        </w:rPr>
        <w:t> </w:t>
      </w:r>
      <w:r w:rsidRPr="00DC2CFC">
        <w:rPr>
          <w:rFonts w:cs="Arial"/>
        </w:rPr>
        <w:t>ans puisque les enregistrements et les renouvellements il y a cinq</w:t>
      </w:r>
      <w:r>
        <w:rPr>
          <w:rFonts w:cs="Arial"/>
        </w:rPr>
        <w:t> </w:t>
      </w:r>
      <w:r w:rsidRPr="00DC2CFC">
        <w:rPr>
          <w:rFonts w:cs="Arial"/>
        </w:rPr>
        <w:t>ans devraient contribuer au total des renouvellements durant l</w:t>
      </w:r>
      <w:r>
        <w:rPr>
          <w:rFonts w:cs="Arial"/>
        </w:rPr>
        <w:t>’</w:t>
      </w:r>
      <w:r w:rsidRPr="00DC2CFC">
        <w:rPr>
          <w:rFonts w:cs="Arial"/>
        </w:rPr>
        <w:t>année en cours.</w:t>
      </w:r>
    </w:p>
    <w:p w14:paraId="60696548" w14:textId="77777777" w:rsidR="00AA49D8" w:rsidRPr="00DC2CFC" w:rsidRDefault="00AA49D8" w:rsidP="00986700">
      <w:pPr>
        <w:tabs>
          <w:tab w:val="left" w:pos="540"/>
        </w:tabs>
        <w:jc w:val="both"/>
        <w:rPr>
          <w:rFonts w:cs="Arial"/>
        </w:rPr>
      </w:pPr>
    </w:p>
    <w:p w14:paraId="465F5EF6" w14:textId="77777777" w:rsidR="00AA49D8" w:rsidRPr="00DC2CFC" w:rsidRDefault="00AA49D8" w:rsidP="00986700">
      <w:pPr>
        <w:tabs>
          <w:tab w:val="left" w:pos="540"/>
        </w:tabs>
        <w:spacing w:after="60"/>
        <w:jc w:val="center"/>
        <w:rPr>
          <w:rFonts w:cs="Arial"/>
        </w:rPr>
      </w:pPr>
      <w:r w:rsidRPr="00DC2CFC">
        <w:rPr>
          <w:rFonts w:cs="Arial"/>
          <w:sz w:val="18"/>
          <w:szCs w:val="18"/>
        </w:rPr>
        <w:t>Diagramme</w:t>
      </w:r>
      <w:r>
        <w:rPr>
          <w:rFonts w:cs="Arial"/>
          <w:sz w:val="18"/>
          <w:szCs w:val="18"/>
        </w:rPr>
        <w:t> </w:t>
      </w:r>
      <w:r w:rsidRPr="00DC2CFC">
        <w:rPr>
          <w:rFonts w:cs="Arial"/>
          <w:sz w:val="18"/>
          <w:szCs w:val="18"/>
        </w:rPr>
        <w:t>10.</w:t>
      </w:r>
      <w:r>
        <w:rPr>
          <w:rFonts w:cs="Arial"/>
          <w:sz w:val="18"/>
          <w:szCs w:val="18"/>
        </w:rPr>
        <w:t xml:space="preserve"> </w:t>
      </w:r>
      <w:r w:rsidRPr="00DC2CFC">
        <w:rPr>
          <w:rFonts w:cs="Arial"/>
          <w:sz w:val="18"/>
          <w:szCs w:val="18"/>
        </w:rPr>
        <w:t xml:space="preserve"> Prévisions relatives à la demande de renouvellements au titre du système de </w:t>
      </w:r>
      <w:r>
        <w:rPr>
          <w:rFonts w:cs="Arial"/>
          <w:sz w:val="18"/>
          <w:szCs w:val="18"/>
        </w:rPr>
        <w:t>La Haye</w:t>
      </w:r>
    </w:p>
    <w:p w14:paraId="53CADB1B" w14:textId="77777777" w:rsidR="00AA49D8" w:rsidRPr="00DC2CFC" w:rsidRDefault="00AA49D8" w:rsidP="00986700">
      <w:pPr>
        <w:jc w:val="center"/>
        <w:rPr>
          <w:rFonts w:cs="Arial"/>
        </w:rPr>
      </w:pPr>
    </w:p>
    <w:p w14:paraId="28448F8C" w14:textId="77777777" w:rsidR="00AA49D8" w:rsidRPr="00DC2CFC" w:rsidRDefault="00AA49D8" w:rsidP="00986700">
      <w:pPr>
        <w:jc w:val="center"/>
        <w:rPr>
          <w:rFonts w:cs="Arial"/>
        </w:rPr>
      </w:pPr>
      <w:r w:rsidRPr="00472C8F">
        <w:rPr>
          <w:noProof/>
          <w:lang w:val="en-US" w:eastAsia="en-US"/>
        </w:rPr>
        <w:drawing>
          <wp:inline distT="0" distB="0" distL="0" distR="0" wp14:anchorId="3C9567F2" wp14:editId="4AC182D5">
            <wp:extent cx="5040000" cy="2779462"/>
            <wp:effectExtent l="0" t="0" r="825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40000" cy="2779462"/>
                    </a:xfrm>
                    <a:prstGeom prst="rect">
                      <a:avLst/>
                    </a:prstGeom>
                    <a:noFill/>
                    <a:ln>
                      <a:noFill/>
                    </a:ln>
                  </pic:spPr>
                </pic:pic>
              </a:graphicData>
            </a:graphic>
          </wp:inline>
        </w:drawing>
      </w:r>
    </w:p>
    <w:p w14:paraId="6943C78C" w14:textId="4229586B" w:rsidR="00AA49D8" w:rsidRPr="00DC2CFC" w:rsidRDefault="00C47D43" w:rsidP="00986700">
      <w:pPr>
        <w:jc w:val="center"/>
        <w:rPr>
          <w:rFonts w:cs="Arial"/>
        </w:rPr>
      </w:pPr>
      <w:r w:rsidRPr="00C47D43">
        <w:rPr>
          <w:noProof/>
          <w:lang w:val="en-US" w:eastAsia="en-US"/>
        </w:rPr>
        <w:drawing>
          <wp:inline distT="0" distB="0" distL="0" distR="0" wp14:anchorId="7DF972A6" wp14:editId="64BE0E25">
            <wp:extent cx="5680800" cy="720000"/>
            <wp:effectExtent l="0" t="0" r="0" b="444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80800" cy="720000"/>
                    </a:xfrm>
                    <a:prstGeom prst="rect">
                      <a:avLst/>
                    </a:prstGeom>
                    <a:noFill/>
                    <a:ln>
                      <a:noFill/>
                    </a:ln>
                  </pic:spPr>
                </pic:pic>
              </a:graphicData>
            </a:graphic>
          </wp:inline>
        </w:drawing>
      </w:r>
    </w:p>
    <w:p w14:paraId="684B2FF5" w14:textId="77777777" w:rsidR="00AA49D8" w:rsidRPr="00DC2CFC" w:rsidRDefault="00AA49D8" w:rsidP="00986700">
      <w:pPr>
        <w:jc w:val="center"/>
        <w:rPr>
          <w:rFonts w:cs="Arial"/>
        </w:rPr>
      </w:pPr>
    </w:p>
    <w:p w14:paraId="277BABA3" w14:textId="77777777" w:rsidR="00AA49D8" w:rsidRDefault="00AA49D8" w:rsidP="00986700">
      <w:pPr>
        <w:spacing w:after="120"/>
        <w:jc w:val="center"/>
        <w:rPr>
          <w:rFonts w:cs="Arial"/>
          <w:sz w:val="18"/>
          <w:szCs w:val="18"/>
        </w:rPr>
      </w:pPr>
      <w:r w:rsidRPr="00DC2CFC">
        <w:rPr>
          <w:rFonts w:cs="Arial"/>
          <w:sz w:val="18"/>
          <w:szCs w:val="18"/>
        </w:rPr>
        <w:lastRenderedPageBreak/>
        <w:t>Répartition probabiliste des renouvellements</w:t>
      </w:r>
    </w:p>
    <w:p w14:paraId="4E7459B1" w14:textId="77777777" w:rsidR="00AA49D8" w:rsidRPr="00DC2CFC" w:rsidRDefault="00AA49D8" w:rsidP="00986700">
      <w:pPr>
        <w:spacing w:after="120"/>
        <w:jc w:val="center"/>
        <w:rPr>
          <w:rFonts w:cs="Arial"/>
          <w:sz w:val="18"/>
          <w:szCs w:val="18"/>
        </w:rPr>
      </w:pPr>
    </w:p>
    <w:p w14:paraId="60A1AE18" w14:textId="77777777" w:rsidR="00AA49D8" w:rsidRPr="00DC2CFC" w:rsidRDefault="00AA49D8" w:rsidP="00986700">
      <w:pPr>
        <w:jc w:val="center"/>
        <w:rPr>
          <w:rFonts w:cs="Arial"/>
        </w:rPr>
      </w:pPr>
      <w:r w:rsidRPr="00A85FA4">
        <w:rPr>
          <w:noProof/>
          <w:lang w:val="en-US" w:eastAsia="en-US"/>
        </w:rPr>
        <w:drawing>
          <wp:inline distT="0" distB="0" distL="0" distR="0" wp14:anchorId="3D51EF5A" wp14:editId="0B58251E">
            <wp:extent cx="5004000" cy="2769367"/>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004000" cy="2769367"/>
                    </a:xfrm>
                    <a:prstGeom prst="rect">
                      <a:avLst/>
                    </a:prstGeom>
                    <a:noFill/>
                    <a:ln>
                      <a:noFill/>
                    </a:ln>
                  </pic:spPr>
                </pic:pic>
              </a:graphicData>
            </a:graphic>
          </wp:inline>
        </w:drawing>
      </w:r>
    </w:p>
    <w:p w14:paraId="35A0C3E8" w14:textId="77777777" w:rsidR="00AA49D8" w:rsidRPr="00DC2CFC" w:rsidRDefault="00AA49D8" w:rsidP="00986700"/>
    <w:p w14:paraId="7388786A" w14:textId="77777777" w:rsidR="00AA49D8" w:rsidRDefault="00AA49D8" w:rsidP="00986700">
      <w:pPr>
        <w:spacing w:after="120"/>
        <w:jc w:val="center"/>
        <w:rPr>
          <w:rFonts w:cs="Arial"/>
          <w:sz w:val="18"/>
          <w:szCs w:val="18"/>
        </w:rPr>
      </w:pPr>
      <w:r w:rsidRPr="00DC2CFC">
        <w:rPr>
          <w:rFonts w:cs="Arial"/>
          <w:sz w:val="18"/>
          <w:szCs w:val="18"/>
        </w:rPr>
        <w:t xml:space="preserve">Scénarios des renouvellements au titre du système de </w:t>
      </w:r>
      <w:r>
        <w:rPr>
          <w:rFonts w:cs="Arial"/>
          <w:sz w:val="18"/>
          <w:szCs w:val="18"/>
        </w:rPr>
        <w:t>La Haye</w:t>
      </w:r>
    </w:p>
    <w:p w14:paraId="5580723E" w14:textId="77777777" w:rsidR="00AA49D8" w:rsidRPr="00DC2CFC" w:rsidRDefault="00AA49D8" w:rsidP="00986700">
      <w:pPr>
        <w:spacing w:after="120"/>
        <w:jc w:val="center"/>
        <w:rPr>
          <w:rFonts w:cs="Arial"/>
          <w:sz w:val="18"/>
          <w:szCs w:val="18"/>
        </w:rPr>
      </w:pPr>
    </w:p>
    <w:p w14:paraId="3BAB9867" w14:textId="77777777" w:rsidR="00AA49D8" w:rsidRPr="00DC2CFC" w:rsidRDefault="00AA49D8" w:rsidP="00986700">
      <w:pPr>
        <w:jc w:val="center"/>
      </w:pPr>
      <w:r w:rsidRPr="00A85FA4">
        <w:rPr>
          <w:noProof/>
          <w:lang w:val="en-US" w:eastAsia="en-US"/>
        </w:rPr>
        <w:drawing>
          <wp:inline distT="0" distB="0" distL="0" distR="0" wp14:anchorId="4F94A612" wp14:editId="14B3E6E5">
            <wp:extent cx="3055620" cy="32823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55620" cy="3282315"/>
                    </a:xfrm>
                    <a:prstGeom prst="rect">
                      <a:avLst/>
                    </a:prstGeom>
                    <a:noFill/>
                    <a:ln>
                      <a:noFill/>
                    </a:ln>
                  </pic:spPr>
                </pic:pic>
              </a:graphicData>
            </a:graphic>
          </wp:inline>
        </w:drawing>
      </w:r>
    </w:p>
    <w:p w14:paraId="41028621" w14:textId="77777777" w:rsidR="00AA49D8" w:rsidRPr="00DC2CFC" w:rsidRDefault="00AA49D8" w:rsidP="00986700">
      <w:pPr>
        <w:jc w:val="center"/>
      </w:pPr>
    </w:p>
    <w:p w14:paraId="18E06A3F" w14:textId="77777777" w:rsidR="00AA49D8" w:rsidRPr="00DC2CFC" w:rsidRDefault="00AA49D8" w:rsidP="00986700">
      <w:pPr>
        <w:jc w:val="center"/>
      </w:pPr>
    </w:p>
    <w:p w14:paraId="7458A696" w14:textId="77777777" w:rsidR="00AA49D8" w:rsidRPr="00DC2CFC" w:rsidRDefault="00AA49D8" w:rsidP="00986700">
      <w:pPr>
        <w:jc w:val="center"/>
      </w:pPr>
    </w:p>
    <w:p w14:paraId="07FBAF13" w14:textId="77777777" w:rsidR="00AA49D8" w:rsidRPr="00DC2CFC" w:rsidRDefault="00AA49D8" w:rsidP="00986700">
      <w:pPr>
        <w:jc w:val="center"/>
      </w:pPr>
    </w:p>
    <w:p w14:paraId="5D7812A4" w14:textId="77777777" w:rsidR="00AA49D8" w:rsidRPr="00DC2CFC" w:rsidRDefault="00AA49D8" w:rsidP="00986700">
      <w:pPr>
        <w:jc w:val="center"/>
      </w:pPr>
    </w:p>
    <w:p w14:paraId="626FF3E5" w14:textId="77777777" w:rsidR="00AA49D8" w:rsidRPr="00DC2CFC" w:rsidRDefault="00AA49D8" w:rsidP="00986700">
      <w:pPr>
        <w:rPr>
          <w:rFonts w:cs="Arial"/>
        </w:rPr>
      </w:pPr>
      <w:r w:rsidRPr="00DC2CFC">
        <w:rPr>
          <w:rFonts w:cs="Arial"/>
          <w:i/>
        </w:rPr>
        <w:t xml:space="preserve">Estimations relatives aux recettes au titre du système de </w:t>
      </w:r>
      <w:r>
        <w:rPr>
          <w:rFonts w:cs="Arial"/>
          <w:i/>
        </w:rPr>
        <w:t>La Haye</w:t>
      </w:r>
      <w:r w:rsidRPr="00DC2CFC">
        <w:rPr>
          <w:rFonts w:cs="Arial"/>
          <w:i/>
        </w:rPr>
        <w:br/>
      </w:r>
    </w:p>
    <w:p w14:paraId="7BEC7B9E" w14:textId="77777777" w:rsidR="00AA49D8" w:rsidRPr="00DC2CFC" w:rsidRDefault="00AA49D8" w:rsidP="00CF6859">
      <w:pPr>
        <w:numPr>
          <w:ilvl w:val="0"/>
          <w:numId w:val="99"/>
        </w:numPr>
        <w:tabs>
          <w:tab w:val="left" w:pos="540"/>
        </w:tabs>
        <w:jc w:val="both"/>
        <w:rPr>
          <w:rFonts w:cs="Arial"/>
        </w:rPr>
      </w:pPr>
      <w:r w:rsidRPr="00DC2CFC">
        <w:rPr>
          <w:rFonts w:cs="Arial"/>
        </w:rPr>
        <w:t xml:space="preserve">Les recettes générées par le système de </w:t>
      </w:r>
      <w:r>
        <w:rPr>
          <w:rFonts w:cs="Arial"/>
        </w:rPr>
        <w:t>La Haye</w:t>
      </w:r>
      <w:r w:rsidRPr="00DC2CFC">
        <w:rPr>
          <w:rFonts w:cs="Arial"/>
        </w:rPr>
        <w:t xml:space="preserve"> sont calculées sur la base du barème des taxes en vigueur dont les principaux éléments sont la taxe de base et les taxes de renouvellement</w:t>
      </w:r>
      <w:r>
        <w:rPr>
          <w:rFonts w:cs="Arial"/>
        </w:rPr>
        <w:t xml:space="preserve">.  </w:t>
      </w:r>
      <w:r w:rsidRPr="00DC2CFC">
        <w:rPr>
          <w:rFonts w:cs="Arial"/>
        </w:rPr>
        <w:t>Ces deux</w:t>
      </w:r>
      <w:r>
        <w:rPr>
          <w:rFonts w:cs="Arial"/>
        </w:rPr>
        <w:t> </w:t>
      </w:r>
      <w:r w:rsidRPr="00DC2CFC">
        <w:rPr>
          <w:rFonts w:cs="Arial"/>
        </w:rPr>
        <w:t>éléments couvrent 90% environ des recettes</w:t>
      </w:r>
      <w:r>
        <w:rPr>
          <w:rFonts w:cs="Arial"/>
        </w:rPr>
        <w:t xml:space="preserve">.  </w:t>
      </w:r>
      <w:r w:rsidRPr="00DC2CFC">
        <w:rPr>
          <w:rFonts w:cs="Arial"/>
        </w:rPr>
        <w:t>Les autres taxes sont regroupées et appelées “Autres”.</w:t>
      </w:r>
    </w:p>
    <w:p w14:paraId="3A4F5E06" w14:textId="77777777" w:rsidR="00AA49D8" w:rsidRPr="00DC2CFC" w:rsidRDefault="00AA49D8" w:rsidP="00986700">
      <w:pPr>
        <w:rPr>
          <w:rFonts w:cs="Arial"/>
        </w:rPr>
      </w:pPr>
    </w:p>
    <w:p w14:paraId="11D6EF2A" w14:textId="77777777" w:rsidR="00AA49D8" w:rsidRPr="00DC2CFC" w:rsidRDefault="00AA49D8" w:rsidP="00986700">
      <w:pPr>
        <w:keepNext/>
        <w:jc w:val="center"/>
        <w:rPr>
          <w:rFonts w:cs="Arial"/>
        </w:rPr>
      </w:pPr>
      <w:r w:rsidRPr="00DC2CFC">
        <w:rPr>
          <w:rFonts w:cs="Arial"/>
        </w:rPr>
        <w:lastRenderedPageBreak/>
        <w:t>Diagramme</w:t>
      </w:r>
      <w:r>
        <w:rPr>
          <w:rFonts w:cs="Arial"/>
        </w:rPr>
        <w:t> </w:t>
      </w:r>
      <w:r w:rsidRPr="00DC2CFC">
        <w:rPr>
          <w:rFonts w:cs="Arial"/>
        </w:rPr>
        <w:t xml:space="preserve">11. </w:t>
      </w:r>
      <w:r>
        <w:rPr>
          <w:rFonts w:cs="Arial"/>
        </w:rPr>
        <w:t xml:space="preserve"> </w:t>
      </w:r>
      <w:r w:rsidRPr="00DC2CFC">
        <w:rPr>
          <w:rFonts w:cs="Arial"/>
        </w:rPr>
        <w:t xml:space="preserve">Estimations relatives aux recettes provenant des taxes au titre du système de </w:t>
      </w:r>
      <w:r>
        <w:rPr>
          <w:rFonts w:cs="Arial"/>
        </w:rPr>
        <w:t>La Haye</w:t>
      </w:r>
      <w:r w:rsidRPr="00DC2CFC">
        <w:rPr>
          <w:rFonts w:cs="Arial"/>
        </w:rPr>
        <w:t>, par provenance</w:t>
      </w:r>
    </w:p>
    <w:p w14:paraId="7DA1CFB5" w14:textId="77777777" w:rsidR="00AA49D8" w:rsidRPr="00DC2CFC" w:rsidRDefault="00AA49D8" w:rsidP="00986700">
      <w:pPr>
        <w:keepNext/>
        <w:rPr>
          <w:rFonts w:cs="Arial"/>
        </w:rPr>
      </w:pPr>
    </w:p>
    <w:p w14:paraId="43AA4E76" w14:textId="77777777" w:rsidR="00AA49D8" w:rsidRPr="00DC2CFC" w:rsidRDefault="00AA49D8" w:rsidP="00986700">
      <w:pPr>
        <w:jc w:val="center"/>
        <w:rPr>
          <w:rFonts w:cs="Arial"/>
        </w:rPr>
      </w:pPr>
      <w:r w:rsidRPr="00A85FA4">
        <w:rPr>
          <w:noProof/>
          <w:lang w:val="en-US" w:eastAsia="en-US"/>
        </w:rPr>
        <w:drawing>
          <wp:inline distT="0" distB="0" distL="0" distR="0" wp14:anchorId="54AD9750" wp14:editId="2292B3C7">
            <wp:extent cx="5040000" cy="2779459"/>
            <wp:effectExtent l="0" t="0" r="825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40000" cy="2779459"/>
                    </a:xfrm>
                    <a:prstGeom prst="rect">
                      <a:avLst/>
                    </a:prstGeom>
                    <a:noFill/>
                    <a:ln>
                      <a:noFill/>
                    </a:ln>
                  </pic:spPr>
                </pic:pic>
              </a:graphicData>
            </a:graphic>
          </wp:inline>
        </w:drawing>
      </w:r>
    </w:p>
    <w:p w14:paraId="7790DA82" w14:textId="77777777" w:rsidR="00AA49D8" w:rsidRPr="00DC2CFC" w:rsidRDefault="00AA49D8" w:rsidP="00986700">
      <w:pPr>
        <w:jc w:val="center"/>
        <w:rPr>
          <w:rFonts w:cs="Arial"/>
        </w:rPr>
      </w:pPr>
    </w:p>
    <w:p w14:paraId="0B1B9EAC" w14:textId="68DCFA45" w:rsidR="00AA49D8" w:rsidRPr="00DC2CFC" w:rsidRDefault="00C47D43" w:rsidP="00986700">
      <w:pPr>
        <w:jc w:val="center"/>
        <w:rPr>
          <w:rFonts w:cs="Arial"/>
        </w:rPr>
      </w:pPr>
      <w:r w:rsidRPr="00C47D43">
        <w:rPr>
          <w:noProof/>
          <w:lang w:val="en-US" w:eastAsia="en-US"/>
        </w:rPr>
        <w:drawing>
          <wp:inline distT="0" distB="0" distL="0" distR="0" wp14:anchorId="28ACAB09" wp14:editId="007A1C9C">
            <wp:extent cx="4438800" cy="1134000"/>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438800" cy="1134000"/>
                    </a:xfrm>
                    <a:prstGeom prst="rect">
                      <a:avLst/>
                    </a:prstGeom>
                    <a:noFill/>
                    <a:ln>
                      <a:noFill/>
                    </a:ln>
                  </pic:spPr>
                </pic:pic>
              </a:graphicData>
            </a:graphic>
          </wp:inline>
        </w:drawing>
      </w:r>
    </w:p>
    <w:p w14:paraId="3DA2E01C" w14:textId="77777777" w:rsidR="00AA49D8" w:rsidRPr="00DC2CFC" w:rsidRDefault="00AA49D8" w:rsidP="00986700">
      <w:pPr>
        <w:jc w:val="center"/>
        <w:rPr>
          <w:rFonts w:cs="Arial"/>
        </w:rPr>
      </w:pPr>
    </w:p>
    <w:p w14:paraId="2C7C71C8" w14:textId="77777777" w:rsidR="00AA49D8" w:rsidRPr="00DC2CFC" w:rsidRDefault="00AA49D8" w:rsidP="00986700">
      <w:pPr>
        <w:jc w:val="center"/>
        <w:rPr>
          <w:rFonts w:cs="Arial"/>
        </w:rPr>
      </w:pPr>
    </w:p>
    <w:p w14:paraId="3D25D6CE" w14:textId="77777777" w:rsidR="00AA49D8" w:rsidRPr="00DC2CFC" w:rsidRDefault="00AA49D8" w:rsidP="00986700">
      <w:pPr>
        <w:spacing w:after="120"/>
        <w:jc w:val="center"/>
        <w:rPr>
          <w:rFonts w:cs="Arial"/>
        </w:rPr>
      </w:pPr>
      <w:r w:rsidRPr="00DC2CFC">
        <w:rPr>
          <w:rFonts w:cs="Arial"/>
          <w:sz w:val="18"/>
          <w:szCs w:val="18"/>
        </w:rPr>
        <w:t>Répartition probabiliste des recettes</w:t>
      </w:r>
    </w:p>
    <w:p w14:paraId="6FAE6BCF" w14:textId="77777777" w:rsidR="00AA49D8" w:rsidRPr="00DC2CFC" w:rsidRDefault="00AA49D8" w:rsidP="00986700">
      <w:pPr>
        <w:jc w:val="center"/>
        <w:rPr>
          <w:rFonts w:cs="Arial"/>
        </w:rPr>
      </w:pPr>
      <w:r w:rsidRPr="00A85FA4">
        <w:rPr>
          <w:noProof/>
          <w:lang w:val="en-US" w:eastAsia="en-US"/>
        </w:rPr>
        <w:drawing>
          <wp:inline distT="0" distB="0" distL="0" distR="0" wp14:anchorId="65E0022E" wp14:editId="5DC08583">
            <wp:extent cx="5040000" cy="2777380"/>
            <wp:effectExtent l="0" t="0" r="825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040000" cy="2777380"/>
                    </a:xfrm>
                    <a:prstGeom prst="rect">
                      <a:avLst/>
                    </a:prstGeom>
                    <a:noFill/>
                    <a:ln>
                      <a:noFill/>
                    </a:ln>
                  </pic:spPr>
                </pic:pic>
              </a:graphicData>
            </a:graphic>
          </wp:inline>
        </w:drawing>
      </w:r>
    </w:p>
    <w:p w14:paraId="116ACF46" w14:textId="77777777" w:rsidR="00AA49D8" w:rsidRDefault="00AA49D8" w:rsidP="00986700">
      <w:pPr>
        <w:keepNext/>
        <w:spacing w:after="120"/>
        <w:jc w:val="center"/>
        <w:rPr>
          <w:rFonts w:cs="Arial"/>
          <w:sz w:val="18"/>
          <w:szCs w:val="18"/>
        </w:rPr>
      </w:pPr>
      <w:r w:rsidRPr="00DC2CFC">
        <w:rPr>
          <w:rFonts w:cs="Arial"/>
          <w:sz w:val="18"/>
          <w:szCs w:val="18"/>
        </w:rPr>
        <w:lastRenderedPageBreak/>
        <w:t xml:space="preserve">Scénarios des recettes au titre du système de </w:t>
      </w:r>
      <w:r>
        <w:rPr>
          <w:rFonts w:cs="Arial"/>
          <w:sz w:val="18"/>
          <w:szCs w:val="18"/>
        </w:rPr>
        <w:t>La Haye</w:t>
      </w:r>
    </w:p>
    <w:p w14:paraId="499E79A2" w14:textId="77777777" w:rsidR="00AA49D8" w:rsidRPr="00DC2CFC" w:rsidRDefault="00AA49D8" w:rsidP="00986700">
      <w:pPr>
        <w:keepNext/>
        <w:spacing w:after="120"/>
        <w:jc w:val="center"/>
        <w:rPr>
          <w:rFonts w:cs="Arial"/>
        </w:rPr>
      </w:pPr>
    </w:p>
    <w:p w14:paraId="5FAD2772" w14:textId="77777777" w:rsidR="00AA49D8" w:rsidRPr="00DC2CFC" w:rsidRDefault="00AA49D8" w:rsidP="00986700">
      <w:pPr>
        <w:jc w:val="center"/>
      </w:pPr>
      <w:r w:rsidRPr="00A85FA4">
        <w:rPr>
          <w:noProof/>
          <w:lang w:val="en-US" w:eastAsia="en-US"/>
        </w:rPr>
        <w:drawing>
          <wp:inline distT="0" distB="0" distL="0" distR="0" wp14:anchorId="3DCED486" wp14:editId="42BBDBAA">
            <wp:extent cx="3055620" cy="32823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55620" cy="3282315"/>
                    </a:xfrm>
                    <a:prstGeom prst="rect">
                      <a:avLst/>
                    </a:prstGeom>
                    <a:noFill/>
                    <a:ln>
                      <a:noFill/>
                    </a:ln>
                  </pic:spPr>
                </pic:pic>
              </a:graphicData>
            </a:graphic>
          </wp:inline>
        </w:drawing>
      </w:r>
    </w:p>
    <w:p w14:paraId="10CF3A53" w14:textId="77777777" w:rsidR="00AA49D8" w:rsidRPr="00DC2CFC" w:rsidRDefault="00AA49D8" w:rsidP="00986700">
      <w:pPr>
        <w:jc w:val="center"/>
      </w:pPr>
    </w:p>
    <w:p w14:paraId="78FD49EE" w14:textId="08C3F23A" w:rsidR="00AA49D8" w:rsidRDefault="00AA49D8" w:rsidP="00CF6859">
      <w:pPr>
        <w:numPr>
          <w:ilvl w:val="0"/>
          <w:numId w:val="99"/>
        </w:numPr>
        <w:tabs>
          <w:tab w:val="left" w:pos="540"/>
        </w:tabs>
        <w:jc w:val="both"/>
        <w:rPr>
          <w:rFonts w:cs="Arial"/>
        </w:rPr>
      </w:pPr>
      <w:r w:rsidRPr="00DC2CFC">
        <w:rPr>
          <w:rFonts w:cs="Arial"/>
        </w:rPr>
        <w:t>Les recettes estimatives pour la période</w:t>
      </w:r>
      <w:r>
        <w:rPr>
          <w:rFonts w:cs="Arial"/>
        </w:rPr>
        <w:t> </w:t>
      </w:r>
      <w:r w:rsidRPr="00DC2CFC">
        <w:rPr>
          <w:rFonts w:cs="Arial"/>
        </w:rPr>
        <w:t>2017</w:t>
      </w:r>
      <w:r w:rsidR="00B441CA">
        <w:rPr>
          <w:rFonts w:cs="Arial"/>
        </w:rPr>
        <w:noBreakHyphen/>
      </w:r>
      <w:r w:rsidRPr="00DC2CFC">
        <w:rPr>
          <w:rFonts w:cs="Arial"/>
        </w:rPr>
        <w:t>2020 (voir le tableau ci</w:t>
      </w:r>
      <w:r w:rsidR="00B441CA">
        <w:rPr>
          <w:rFonts w:cs="Arial"/>
        </w:rPr>
        <w:noBreakHyphen/>
      </w:r>
      <w:r w:rsidRPr="00DC2CFC">
        <w:rPr>
          <w:rFonts w:cs="Arial"/>
        </w:rPr>
        <w:t>dessous) sont fondées sur le nombre des enregistrements internationaux et des renouvellements qui devraient être inscrits</w:t>
      </w:r>
      <w:r>
        <w:rPr>
          <w:rFonts w:cs="Arial"/>
        </w:rPr>
        <w:t xml:space="preserve">.  </w:t>
      </w:r>
      <w:r w:rsidRPr="00DC2CFC">
        <w:rPr>
          <w:rFonts w:cs="Arial"/>
        </w:rPr>
        <w:t>Il convient de noter que les recettes estimatives données ci</w:t>
      </w:r>
      <w:r w:rsidR="00B441CA">
        <w:rPr>
          <w:rFonts w:cs="Arial"/>
        </w:rPr>
        <w:noBreakHyphen/>
      </w:r>
      <w:r w:rsidRPr="00DC2CFC">
        <w:rPr>
          <w:rFonts w:cs="Arial"/>
        </w:rPr>
        <w:t>dessous reposent sur l</w:t>
      </w:r>
      <w:r>
        <w:rPr>
          <w:rFonts w:cs="Arial"/>
        </w:rPr>
        <w:t>’</w:t>
      </w:r>
      <w:r w:rsidRPr="00DC2CFC">
        <w:rPr>
          <w:rFonts w:cs="Arial"/>
        </w:rPr>
        <w:t xml:space="preserve">hypothèse que ne sera apporté dans les années à venir aucun changement au barème des taxes à payer au Bureau international en vertu du système de </w:t>
      </w:r>
      <w:r>
        <w:rPr>
          <w:rFonts w:cs="Arial"/>
        </w:rPr>
        <w:t>La Haye.</w:t>
      </w:r>
    </w:p>
    <w:p w14:paraId="280A301D" w14:textId="77777777" w:rsidR="00AA49D8" w:rsidRPr="00DC2CFC" w:rsidRDefault="00AA49D8" w:rsidP="00986700">
      <w:pPr>
        <w:tabs>
          <w:tab w:val="left" w:pos="540"/>
        </w:tabs>
        <w:jc w:val="both"/>
        <w:rPr>
          <w:rFonts w:cs="Arial"/>
        </w:rPr>
      </w:pPr>
    </w:p>
    <w:p w14:paraId="29E49DBB" w14:textId="77777777" w:rsidR="00AA49D8" w:rsidRPr="00DC2CFC" w:rsidRDefault="00AA49D8" w:rsidP="00986700">
      <w:pPr>
        <w:rPr>
          <w:rFonts w:cs="Arial"/>
        </w:rPr>
      </w:pPr>
    </w:p>
    <w:p w14:paraId="4283D691" w14:textId="2FE66540" w:rsidR="00AA49D8" w:rsidRPr="00DC2CFC" w:rsidRDefault="00AA49D8" w:rsidP="00986700">
      <w:pPr>
        <w:jc w:val="center"/>
        <w:rPr>
          <w:rFonts w:cs="Arial"/>
        </w:rPr>
      </w:pPr>
      <w:r w:rsidRPr="00DC2CFC">
        <w:rPr>
          <w:rFonts w:cs="Arial"/>
        </w:rPr>
        <w:t xml:space="preserve">Recettes totales provenant des taxes et taxe moyenne au titre du système de </w:t>
      </w:r>
      <w:r>
        <w:rPr>
          <w:rFonts w:cs="Arial"/>
        </w:rPr>
        <w:t>La Haye</w:t>
      </w:r>
    </w:p>
    <w:p w14:paraId="56CB4507" w14:textId="77777777" w:rsidR="00AA49D8" w:rsidRPr="00DC2CFC" w:rsidRDefault="00AA49D8" w:rsidP="00986700">
      <w:pPr>
        <w:jc w:val="center"/>
        <w:rPr>
          <w:rFonts w:cs="Arial"/>
        </w:rPr>
      </w:pPr>
    </w:p>
    <w:p w14:paraId="4F23FAE7" w14:textId="4610E0E2" w:rsidR="00AA49D8" w:rsidRDefault="004B0F54" w:rsidP="00986700">
      <w:pPr>
        <w:jc w:val="center"/>
        <w:rPr>
          <w:rFonts w:cs="Arial"/>
        </w:rPr>
      </w:pPr>
      <w:r w:rsidRPr="004B0F54">
        <w:rPr>
          <w:noProof/>
          <w:lang w:val="en-US" w:eastAsia="en-US"/>
        </w:rPr>
        <w:drawing>
          <wp:inline distT="0" distB="0" distL="0" distR="0" wp14:anchorId="6111F45F" wp14:editId="585F1414">
            <wp:extent cx="5760085" cy="785559"/>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085" cy="785559"/>
                    </a:xfrm>
                    <a:prstGeom prst="rect">
                      <a:avLst/>
                    </a:prstGeom>
                    <a:noFill/>
                    <a:ln>
                      <a:noFill/>
                    </a:ln>
                  </pic:spPr>
                </pic:pic>
              </a:graphicData>
            </a:graphic>
          </wp:inline>
        </w:drawing>
      </w:r>
    </w:p>
    <w:p w14:paraId="34C7229D" w14:textId="77777777" w:rsidR="00CF6859" w:rsidRDefault="00CF6859" w:rsidP="00986700">
      <w:pPr>
        <w:jc w:val="center"/>
        <w:rPr>
          <w:rFonts w:cs="Arial"/>
        </w:rPr>
      </w:pPr>
    </w:p>
    <w:p w14:paraId="5687BD1F" w14:textId="69BBACB3" w:rsidR="00CF6859" w:rsidRPr="00CF6859" w:rsidRDefault="00CF6859" w:rsidP="00CF6859">
      <w:pPr>
        <w:rPr>
          <w:sz w:val="16"/>
        </w:rPr>
      </w:pPr>
      <w:r w:rsidRPr="00CF6859">
        <w:rPr>
          <w:sz w:val="16"/>
        </w:rPr>
        <w:t>Note : les estimations de recettes pour La Haye sont avant ajustements IPSAS.</w:t>
      </w:r>
    </w:p>
    <w:p w14:paraId="325D5632" w14:textId="77777777" w:rsidR="00AA49D8" w:rsidRPr="00DC2CFC" w:rsidRDefault="00AA49D8" w:rsidP="00986700">
      <w:pPr>
        <w:jc w:val="center"/>
        <w:rPr>
          <w:rFonts w:cs="Arial"/>
        </w:rPr>
      </w:pPr>
    </w:p>
    <w:p w14:paraId="41C093AE" w14:textId="77777777" w:rsidR="00AA49D8" w:rsidRPr="00DC2CFC" w:rsidRDefault="00AA49D8" w:rsidP="00986700">
      <w:pPr>
        <w:jc w:val="center"/>
        <w:rPr>
          <w:rFonts w:cs="Arial"/>
        </w:rPr>
      </w:pPr>
    </w:p>
    <w:p w14:paraId="13EE5A0C" w14:textId="43C8504F" w:rsidR="00C06401" w:rsidRDefault="00C06401" w:rsidP="00986700">
      <w:r>
        <w:br w:type="page"/>
      </w:r>
    </w:p>
    <w:p w14:paraId="76BDC2B5" w14:textId="0B9D7442" w:rsidR="00AA49D8" w:rsidRPr="00DC2CFC" w:rsidRDefault="00C06401" w:rsidP="00986700">
      <w:pPr>
        <w:pStyle w:val="Heading2"/>
      </w:pPr>
      <w:bookmarkStart w:id="92" w:name="_Toc482979519"/>
      <w:r w:rsidRPr="00C06401">
        <w:lastRenderedPageBreak/>
        <w:t xml:space="preserve">Annexe </w:t>
      </w:r>
      <w:r>
        <w:t>V</w:t>
      </w:r>
      <w:r>
        <w:tab/>
      </w:r>
      <w:r w:rsidRPr="00C06401">
        <w:t>Ressources au titre de fonds fiduciaires potentiellement disponibles aux fins d’activités de</w:t>
      </w:r>
      <w:r w:rsidR="00DD4E5E">
        <w:t> </w:t>
      </w:r>
      <w:r w:rsidRPr="00C06401">
        <w:t>programme</w:t>
      </w:r>
      <w:bookmarkEnd w:id="92"/>
    </w:p>
    <w:p w14:paraId="3A013E0D" w14:textId="77777777" w:rsidR="00AA49D8" w:rsidRDefault="00AA49D8" w:rsidP="00986700"/>
    <w:p w14:paraId="24A2A58E" w14:textId="77777777" w:rsidR="00C06401" w:rsidRDefault="00C06401" w:rsidP="00986700"/>
    <w:p w14:paraId="3DBB8FA6" w14:textId="149C394E" w:rsidR="00C06401" w:rsidRPr="00C06401" w:rsidRDefault="00C06401" w:rsidP="00986700">
      <w:pPr>
        <w:jc w:val="center"/>
        <w:rPr>
          <w:b/>
        </w:rPr>
      </w:pPr>
      <w:r w:rsidRPr="00C06401">
        <w:rPr>
          <w:b/>
        </w:rPr>
        <w:t xml:space="preserve">Tableau 14.  Fonds fiduciaires potentiellement disponibles </w:t>
      </w:r>
      <w:r>
        <w:rPr>
          <w:b/>
        </w:rPr>
        <w:br/>
      </w:r>
      <w:r w:rsidRPr="00C06401">
        <w:rPr>
          <w:b/>
        </w:rPr>
        <w:t>aux fins d’activités de programme en 2018-2019</w:t>
      </w:r>
      <w:r w:rsidRPr="00C06401">
        <w:rPr>
          <w:b/>
          <w:vertAlign w:val="superscript"/>
        </w:rPr>
        <w:t>1</w:t>
      </w:r>
    </w:p>
    <w:p w14:paraId="7D3E563F" w14:textId="4FB28CA1" w:rsidR="00C06401" w:rsidRPr="00C06401" w:rsidRDefault="00C06401" w:rsidP="00986700">
      <w:pPr>
        <w:jc w:val="center"/>
        <w:rPr>
          <w:i/>
        </w:rPr>
      </w:pPr>
      <w:r w:rsidRPr="00C06401">
        <w:rPr>
          <w:i/>
        </w:rPr>
        <w:t>(en milliers de francs suisses)</w:t>
      </w:r>
    </w:p>
    <w:p w14:paraId="0FC9C998" w14:textId="77777777" w:rsidR="00C06401" w:rsidRDefault="00C06401" w:rsidP="00986700">
      <w:pPr>
        <w:rPr>
          <w:lang w:eastAsia="en-US"/>
        </w:rPr>
      </w:pPr>
    </w:p>
    <w:p w14:paraId="4B477C2C" w14:textId="5753E51F" w:rsidR="00C06401" w:rsidRDefault="00C06401" w:rsidP="00986700">
      <w:pPr>
        <w:rPr>
          <w:lang w:eastAsia="en-US"/>
        </w:rPr>
      </w:pPr>
      <w:r w:rsidRPr="00C06401">
        <w:rPr>
          <w:noProof/>
          <w:lang w:val="en-US" w:eastAsia="en-US"/>
        </w:rPr>
        <w:drawing>
          <wp:inline distT="0" distB="0" distL="0" distR="0" wp14:anchorId="786F498D" wp14:editId="25FB0B80">
            <wp:extent cx="5760085" cy="28781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60085" cy="2878198"/>
                    </a:xfrm>
                    <a:prstGeom prst="rect">
                      <a:avLst/>
                    </a:prstGeom>
                    <a:noFill/>
                    <a:ln>
                      <a:noFill/>
                    </a:ln>
                  </pic:spPr>
                </pic:pic>
              </a:graphicData>
            </a:graphic>
          </wp:inline>
        </w:drawing>
      </w:r>
    </w:p>
    <w:p w14:paraId="1073876B" w14:textId="77777777" w:rsidR="00C06401" w:rsidRDefault="00C06401" w:rsidP="00986700">
      <w:pPr>
        <w:rPr>
          <w:lang w:eastAsia="en-US"/>
        </w:rPr>
      </w:pPr>
    </w:p>
    <w:p w14:paraId="4F178A37" w14:textId="4263C853" w:rsidR="00C06401" w:rsidRDefault="00C06401" w:rsidP="00986700">
      <w:pPr>
        <w:rPr>
          <w:i/>
          <w:sz w:val="16"/>
          <w:lang w:eastAsia="en-US"/>
        </w:rPr>
      </w:pPr>
      <w:r w:rsidRPr="00C06401">
        <w:rPr>
          <w:i/>
          <w:sz w:val="16"/>
          <w:vertAlign w:val="superscript"/>
          <w:lang w:eastAsia="en-US"/>
        </w:rPr>
        <w:t>1</w:t>
      </w:r>
      <w:r w:rsidRPr="00C06401">
        <w:rPr>
          <w:i/>
          <w:sz w:val="16"/>
          <w:lang w:eastAsia="en-US"/>
        </w:rPr>
        <w:t xml:space="preserve"> </w:t>
      </w:r>
      <w:r>
        <w:rPr>
          <w:i/>
          <w:sz w:val="16"/>
          <w:lang w:eastAsia="en-US"/>
        </w:rPr>
        <w:tab/>
      </w:r>
      <w:r w:rsidRPr="00C06401">
        <w:rPr>
          <w:i/>
          <w:sz w:val="16"/>
          <w:lang w:eastAsia="en-US"/>
        </w:rPr>
        <w:t>Ces chiffres ne comprennent pas les ajustements pour taux d’intérêt et taux de change.  Ces fonds financent en général des activités qui portent sur une période excédant un exercice biennal ou qui sont à cheval sur deux exercices.</w:t>
      </w:r>
    </w:p>
    <w:p w14:paraId="148787A0" w14:textId="77777777" w:rsidR="00C06401" w:rsidRPr="00C06401" w:rsidRDefault="00C06401" w:rsidP="00986700">
      <w:pPr>
        <w:rPr>
          <w:i/>
          <w:sz w:val="16"/>
          <w:lang w:eastAsia="en-US"/>
        </w:rPr>
      </w:pPr>
    </w:p>
    <w:p w14:paraId="551E45A8" w14:textId="0908FF7B" w:rsidR="00C06401" w:rsidRDefault="00C06401" w:rsidP="00986700">
      <w:pPr>
        <w:rPr>
          <w:i/>
          <w:sz w:val="16"/>
          <w:lang w:eastAsia="en-US"/>
        </w:rPr>
      </w:pPr>
      <w:r w:rsidRPr="00C06401">
        <w:rPr>
          <w:i/>
          <w:sz w:val="16"/>
          <w:vertAlign w:val="superscript"/>
          <w:lang w:eastAsia="en-US"/>
        </w:rPr>
        <w:t>2</w:t>
      </w:r>
      <w:r w:rsidRPr="00C06401">
        <w:rPr>
          <w:i/>
          <w:sz w:val="16"/>
          <w:lang w:eastAsia="en-US"/>
        </w:rPr>
        <w:t xml:space="preserve"> </w:t>
      </w:r>
      <w:r>
        <w:rPr>
          <w:i/>
          <w:sz w:val="16"/>
          <w:lang w:eastAsia="en-US"/>
        </w:rPr>
        <w:tab/>
      </w:r>
      <w:r w:rsidRPr="00C06401">
        <w:rPr>
          <w:i/>
          <w:sz w:val="16"/>
          <w:lang w:eastAsia="en-US"/>
        </w:rPr>
        <w:t>Les chiffres figurant dans cette colonne sont purement indicatifs et sont basés sur les tendances précédentes.  Elle ne représente pas les engagements des États membres sauf lorsque l’accord de fonds fiduciaire prévoit un tel engagement.</w:t>
      </w:r>
    </w:p>
    <w:p w14:paraId="2E6ACA0F" w14:textId="77777777" w:rsidR="00C06401" w:rsidRPr="00C06401" w:rsidRDefault="00C06401" w:rsidP="00986700">
      <w:pPr>
        <w:rPr>
          <w:i/>
          <w:sz w:val="16"/>
          <w:lang w:eastAsia="en-US"/>
        </w:rPr>
      </w:pPr>
    </w:p>
    <w:p w14:paraId="2AF503D2" w14:textId="46B487E6" w:rsidR="00AA4946" w:rsidRDefault="00C06401" w:rsidP="00986700">
      <w:pPr>
        <w:rPr>
          <w:i/>
          <w:sz w:val="16"/>
          <w:lang w:eastAsia="en-US"/>
        </w:rPr>
      </w:pPr>
      <w:r w:rsidRPr="00C06401">
        <w:rPr>
          <w:i/>
          <w:sz w:val="16"/>
          <w:vertAlign w:val="superscript"/>
          <w:lang w:eastAsia="en-US"/>
        </w:rPr>
        <w:t>3</w:t>
      </w:r>
      <w:r w:rsidRPr="00C06401">
        <w:rPr>
          <w:i/>
          <w:sz w:val="16"/>
          <w:lang w:eastAsia="en-US"/>
        </w:rPr>
        <w:t xml:space="preserve"> </w:t>
      </w:r>
      <w:r>
        <w:rPr>
          <w:i/>
          <w:sz w:val="16"/>
          <w:lang w:eastAsia="en-US"/>
        </w:rPr>
        <w:tab/>
      </w:r>
      <w:r w:rsidRPr="00C06401">
        <w:rPr>
          <w:i/>
          <w:sz w:val="16"/>
          <w:lang w:eastAsia="en-US"/>
        </w:rPr>
        <w:t>Les contributions annuelles peuvent varier.</w:t>
      </w:r>
    </w:p>
    <w:p w14:paraId="16CE55A7" w14:textId="77777777" w:rsidR="00AA4946" w:rsidRDefault="00AA4946">
      <w:pPr>
        <w:rPr>
          <w:i/>
          <w:sz w:val="16"/>
          <w:lang w:eastAsia="en-US"/>
        </w:rPr>
      </w:pPr>
      <w:r>
        <w:rPr>
          <w:i/>
          <w:sz w:val="16"/>
          <w:lang w:eastAsia="en-US"/>
        </w:rPr>
        <w:br w:type="page"/>
      </w:r>
    </w:p>
    <w:p w14:paraId="7D086917" w14:textId="0D5562A1" w:rsidR="00C06401" w:rsidRDefault="00AA4946" w:rsidP="00AA4946">
      <w:pPr>
        <w:pStyle w:val="Heading2"/>
        <w:rPr>
          <w:lang w:eastAsia="en-US"/>
        </w:rPr>
      </w:pPr>
      <w:bookmarkStart w:id="93" w:name="_Toc482979520"/>
      <w:r>
        <w:rPr>
          <w:lang w:eastAsia="en-US"/>
        </w:rPr>
        <w:lastRenderedPageBreak/>
        <w:t>Annexe VI</w:t>
      </w:r>
      <w:r>
        <w:rPr>
          <w:lang w:eastAsia="en-US"/>
        </w:rPr>
        <w:tab/>
      </w:r>
      <w:r w:rsidRPr="00AA4946">
        <w:rPr>
          <w:lang w:eastAsia="en-US"/>
        </w:rPr>
        <w:t>Incidences de l’adoption des normes IPSAS sur les pratiques budgétaires</w:t>
      </w:r>
      <w:bookmarkEnd w:id="93"/>
    </w:p>
    <w:p w14:paraId="3B994D08" w14:textId="77777777" w:rsidR="00AA4946" w:rsidRPr="00A32AF4" w:rsidRDefault="00AA4946" w:rsidP="00AA4946">
      <w:pPr>
        <w:autoSpaceDE w:val="0"/>
        <w:autoSpaceDN w:val="0"/>
        <w:adjustRightInd w:val="0"/>
        <w:rPr>
          <w:rFonts w:cs="Arial"/>
        </w:rPr>
      </w:pPr>
    </w:p>
    <w:p w14:paraId="032CF9B0" w14:textId="77777777" w:rsidR="00AA4946" w:rsidRPr="00A32AF4" w:rsidRDefault="00AA4946" w:rsidP="00616FD3">
      <w:pPr>
        <w:numPr>
          <w:ilvl w:val="0"/>
          <w:numId w:val="96"/>
        </w:numPr>
        <w:jc w:val="both"/>
        <w:rPr>
          <w:rFonts w:cs="Arial"/>
        </w:rPr>
      </w:pPr>
      <w:r w:rsidRPr="00A32AF4">
        <w:rPr>
          <w:rFonts w:cs="Arial"/>
        </w:rPr>
        <w:t>À la quarante</w:t>
      </w:r>
      <w:r w:rsidRPr="00A32AF4">
        <w:rPr>
          <w:rFonts w:cs="Arial"/>
        </w:rPr>
        <w:noBreakHyphen/>
        <w:t>troisième session des assemblées, tenue du 24 septembre au 3 octobre 2007, les États membres ont approuvé le principe de l’adoption par l’OMPI des normes IPSAS en 2010 (voir les documents A/43/5 et A/43/16).</w:t>
      </w:r>
      <w:r w:rsidRPr="00A32AF4">
        <w:t xml:space="preserve">  </w:t>
      </w:r>
      <w:r w:rsidRPr="00A32AF4">
        <w:rPr>
          <w:rFonts w:cs="Arial"/>
        </w:rPr>
        <w:t>Cette décision s’inscrivait dans le cadre d’une initiative prise au niveau du système par l’Assemblée générale des Nations Unies (A/RES/60/283(IV)I) en vue de remplacer les normes comptables du système des Nations Unies (normes UNSAS) par les normes IPSAS, qui sont reconnues au niveau international.</w:t>
      </w:r>
      <w:r w:rsidRPr="00A32AF4">
        <w:t xml:space="preserve">  </w:t>
      </w:r>
      <w:r w:rsidRPr="00A32AF4">
        <w:rPr>
          <w:rFonts w:cs="Arial"/>
        </w:rPr>
        <w:t>Par conséquent, depuis 2010, les états financiers de l’OMPI sont établis selon les normes IPSAS.</w:t>
      </w:r>
    </w:p>
    <w:p w14:paraId="6F7376E1" w14:textId="77777777" w:rsidR="00AA4946" w:rsidRPr="00A32AF4" w:rsidRDefault="00AA4946" w:rsidP="00AA4946">
      <w:pPr>
        <w:ind w:left="1"/>
        <w:jc w:val="both"/>
        <w:rPr>
          <w:rFonts w:cs="Arial"/>
        </w:rPr>
      </w:pPr>
    </w:p>
    <w:p w14:paraId="3BA47A72" w14:textId="77777777" w:rsidR="00AA4946" w:rsidRPr="00A32AF4" w:rsidRDefault="00AA4946" w:rsidP="00616FD3">
      <w:pPr>
        <w:numPr>
          <w:ilvl w:val="0"/>
          <w:numId w:val="96"/>
        </w:numPr>
        <w:jc w:val="both"/>
        <w:rPr>
          <w:rFonts w:cs="Arial"/>
        </w:rPr>
      </w:pPr>
      <w:r w:rsidRPr="00A32AF4">
        <w:rPr>
          <w:rFonts w:cs="Arial"/>
        </w:rPr>
        <w:t>Le budget de l’OMPI continue d’être adopté par les assemblées pour une période de deux ans.</w:t>
      </w:r>
      <w:r w:rsidRPr="00A32AF4">
        <w:t xml:space="preserve">  </w:t>
      </w:r>
      <w:r w:rsidRPr="00A32AF4">
        <w:rPr>
          <w:rFonts w:cs="Arial"/>
        </w:rPr>
        <w:t>Selon les normes IPSAS, l’Organisation doit présenter des états financiers chaque année.</w:t>
      </w:r>
      <w:r w:rsidRPr="00A32AF4">
        <w:t xml:space="preserve">  </w:t>
      </w:r>
      <w:r w:rsidRPr="00A32AF4">
        <w:rPr>
          <w:rFonts w:cs="Arial"/>
        </w:rPr>
        <w:t>À cette fin, les chiffres relatifs au budget annuel sont fournis pour les recettes et pour les dépenses.</w:t>
      </w:r>
    </w:p>
    <w:p w14:paraId="21926851" w14:textId="77777777" w:rsidR="00AA4946" w:rsidRDefault="00AA4946" w:rsidP="00AA4946">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866"/>
      </w:tblGrid>
      <w:tr w:rsidR="00724C5C" w14:paraId="00475072" w14:textId="77777777" w:rsidTr="00724C5C">
        <w:tc>
          <w:tcPr>
            <w:tcW w:w="4605" w:type="dxa"/>
          </w:tcPr>
          <w:p w14:paraId="632601F5" w14:textId="2ED84260" w:rsidR="00724C5C" w:rsidRDefault="00415A3B" w:rsidP="00AA4946">
            <w:r>
              <w:rPr>
                <w:noProof/>
                <w:lang w:val="en-US"/>
              </w:rPr>
              <w:drawing>
                <wp:inline distT="0" distB="0" distL="0" distR="0" wp14:anchorId="52DA668E" wp14:editId="11C1B7D4">
                  <wp:extent cx="2517246" cy="378000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517246" cy="3780000"/>
                          </a:xfrm>
                          <a:prstGeom prst="rect">
                            <a:avLst/>
                          </a:prstGeom>
                          <a:noFill/>
                          <a:ln>
                            <a:noFill/>
                          </a:ln>
                        </pic:spPr>
                      </pic:pic>
                    </a:graphicData>
                  </a:graphic>
                </wp:inline>
              </w:drawing>
            </w:r>
          </w:p>
        </w:tc>
        <w:tc>
          <w:tcPr>
            <w:tcW w:w="4606" w:type="dxa"/>
          </w:tcPr>
          <w:p w14:paraId="4425FC28" w14:textId="3362F97A" w:rsidR="00724C5C" w:rsidRDefault="00415A3B" w:rsidP="00AA4946">
            <w:r>
              <w:rPr>
                <w:noProof/>
                <w:lang w:val="en-US"/>
              </w:rPr>
              <w:drawing>
                <wp:inline distT="0" distB="0" distL="0" distR="0" wp14:anchorId="1159591F" wp14:editId="2960E12B">
                  <wp:extent cx="2947119" cy="3780000"/>
                  <wp:effectExtent l="0" t="0" r="571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47119" cy="3780000"/>
                          </a:xfrm>
                          <a:prstGeom prst="rect">
                            <a:avLst/>
                          </a:prstGeom>
                          <a:noFill/>
                          <a:ln>
                            <a:noFill/>
                          </a:ln>
                        </pic:spPr>
                      </pic:pic>
                    </a:graphicData>
                  </a:graphic>
                </wp:inline>
              </w:drawing>
            </w:r>
          </w:p>
        </w:tc>
      </w:tr>
    </w:tbl>
    <w:p w14:paraId="2CE8FC06" w14:textId="77777777" w:rsidR="00724C5C" w:rsidRDefault="00724C5C" w:rsidP="00AA4946">
      <w:pPr>
        <w:rPr>
          <w:lang w:eastAsia="en-US"/>
        </w:rPr>
        <w:sectPr w:rsidR="00724C5C" w:rsidSect="0060494B">
          <w:pgSz w:w="11907" w:h="16839" w:code="9"/>
          <w:pgMar w:top="567" w:right="1418" w:bottom="1418" w:left="1418" w:header="510" w:footer="1021" w:gutter="0"/>
          <w:cols w:space="720"/>
          <w:docGrid w:linePitch="299"/>
        </w:sectPr>
      </w:pPr>
    </w:p>
    <w:p w14:paraId="08B8BB14" w14:textId="5F5A90B7" w:rsidR="00AA4946" w:rsidRDefault="00724C5C" w:rsidP="003A4446">
      <w:pPr>
        <w:pStyle w:val="Heading2"/>
        <w:rPr>
          <w:lang w:eastAsia="en-US"/>
        </w:rPr>
      </w:pPr>
      <w:bookmarkStart w:id="94" w:name="_Toc482979521"/>
      <w:r>
        <w:rPr>
          <w:lang w:eastAsia="en-US"/>
        </w:rPr>
        <w:lastRenderedPageBreak/>
        <w:t>Annexe VII</w:t>
      </w:r>
      <w:r>
        <w:rPr>
          <w:lang w:eastAsia="en-US"/>
        </w:rPr>
        <w:tab/>
      </w:r>
      <w:r w:rsidR="003A4446" w:rsidRPr="003A4446">
        <w:rPr>
          <w:lang w:eastAsia="en-US"/>
        </w:rPr>
        <w:t>Budget 201</w:t>
      </w:r>
      <w:r w:rsidR="003A4446">
        <w:rPr>
          <w:lang w:eastAsia="en-US"/>
        </w:rPr>
        <w:t>8</w:t>
      </w:r>
      <w:r w:rsidR="003A4446" w:rsidRPr="003A4446">
        <w:rPr>
          <w:lang w:eastAsia="en-US"/>
        </w:rPr>
        <w:t>-201</w:t>
      </w:r>
      <w:r w:rsidR="003A4446">
        <w:rPr>
          <w:lang w:eastAsia="en-US"/>
        </w:rPr>
        <w:t>9</w:t>
      </w:r>
      <w:r w:rsidR="003A4446" w:rsidRPr="003A4446">
        <w:rPr>
          <w:lang w:eastAsia="en-US"/>
        </w:rPr>
        <w:t xml:space="preserve"> par résultat escompté et par programme</w:t>
      </w:r>
      <w:bookmarkEnd w:id="94"/>
    </w:p>
    <w:p w14:paraId="290F7AA7" w14:textId="77777777" w:rsidR="00724C5C" w:rsidRDefault="00724C5C" w:rsidP="00AA4946">
      <w:pPr>
        <w:rPr>
          <w:lang w:eastAsia="en-US"/>
        </w:rPr>
      </w:pPr>
    </w:p>
    <w:p w14:paraId="471959DF" w14:textId="6ACBA3E7" w:rsidR="00724C5C" w:rsidRDefault="00F0432F" w:rsidP="00AA4946">
      <w:pPr>
        <w:rPr>
          <w:lang w:eastAsia="en-US"/>
        </w:rPr>
      </w:pPr>
      <w:r w:rsidRPr="00F0432F">
        <w:rPr>
          <w:noProof/>
          <w:lang w:val="en-US" w:eastAsia="en-US"/>
        </w:rPr>
        <w:drawing>
          <wp:inline distT="0" distB="0" distL="0" distR="0" wp14:anchorId="75456BBB" wp14:editId="0D9A7BBF">
            <wp:extent cx="9432290" cy="5307496"/>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432290" cy="5307496"/>
                    </a:xfrm>
                    <a:prstGeom prst="rect">
                      <a:avLst/>
                    </a:prstGeom>
                    <a:noFill/>
                    <a:ln>
                      <a:noFill/>
                    </a:ln>
                  </pic:spPr>
                </pic:pic>
              </a:graphicData>
            </a:graphic>
          </wp:inline>
        </w:drawing>
      </w:r>
    </w:p>
    <w:p w14:paraId="7A89F98B" w14:textId="437F0E35" w:rsidR="00F0432F" w:rsidRDefault="00F0432F" w:rsidP="00AA4946">
      <w:pPr>
        <w:rPr>
          <w:lang w:eastAsia="en-US"/>
        </w:rPr>
      </w:pPr>
      <w:r w:rsidRPr="00F0432F">
        <w:rPr>
          <w:noProof/>
          <w:lang w:val="en-US" w:eastAsia="en-US"/>
        </w:rPr>
        <w:lastRenderedPageBreak/>
        <w:drawing>
          <wp:inline distT="0" distB="0" distL="0" distR="0" wp14:anchorId="0F787D12" wp14:editId="778B772F">
            <wp:extent cx="9432290" cy="505156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9432290" cy="5051564"/>
                    </a:xfrm>
                    <a:prstGeom prst="rect">
                      <a:avLst/>
                    </a:prstGeom>
                    <a:noFill/>
                    <a:ln>
                      <a:noFill/>
                    </a:ln>
                  </pic:spPr>
                </pic:pic>
              </a:graphicData>
            </a:graphic>
          </wp:inline>
        </w:drawing>
      </w:r>
    </w:p>
    <w:p w14:paraId="5647F971" w14:textId="77777777" w:rsidR="00724C5C" w:rsidRDefault="00724C5C" w:rsidP="00AA4946">
      <w:pPr>
        <w:rPr>
          <w:lang w:eastAsia="en-US"/>
        </w:rPr>
        <w:sectPr w:rsidR="00724C5C" w:rsidSect="00724C5C">
          <w:pgSz w:w="16839" w:h="11907" w:orient="landscape" w:code="9"/>
          <w:pgMar w:top="1418" w:right="567" w:bottom="1418" w:left="1418" w:header="510" w:footer="1021" w:gutter="0"/>
          <w:cols w:space="720"/>
          <w:docGrid w:linePitch="299"/>
        </w:sectPr>
      </w:pPr>
    </w:p>
    <w:p w14:paraId="31EDA4F7" w14:textId="19EE0B30" w:rsidR="00AA4946" w:rsidRPr="00AA4946" w:rsidRDefault="00724C5C" w:rsidP="006C5FEE">
      <w:pPr>
        <w:pStyle w:val="Heading2"/>
        <w:rPr>
          <w:lang w:eastAsia="en-US"/>
        </w:rPr>
      </w:pPr>
      <w:bookmarkStart w:id="95" w:name="_Toc482979522"/>
      <w:r>
        <w:rPr>
          <w:lang w:eastAsia="en-US"/>
        </w:rPr>
        <w:lastRenderedPageBreak/>
        <w:t>Annexe VIII</w:t>
      </w:r>
      <w:r>
        <w:rPr>
          <w:lang w:eastAsia="en-US"/>
        </w:rPr>
        <w:tab/>
      </w:r>
      <w:r w:rsidR="006C5FEE" w:rsidRPr="006C5FEE">
        <w:rPr>
          <w:lang w:eastAsia="en-US"/>
        </w:rPr>
        <w:t>Budget 201</w:t>
      </w:r>
      <w:r w:rsidR="006C5FEE">
        <w:rPr>
          <w:lang w:eastAsia="en-US"/>
        </w:rPr>
        <w:t>8-2019</w:t>
      </w:r>
      <w:r w:rsidR="006C5FEE" w:rsidRPr="006C5FEE">
        <w:rPr>
          <w:lang w:eastAsia="en-US"/>
        </w:rPr>
        <w:t xml:space="preserve"> par résultat escompté</w:t>
      </w:r>
      <w:bookmarkEnd w:id="95"/>
    </w:p>
    <w:p w14:paraId="3A41102C" w14:textId="797BCBE6" w:rsidR="00DD4E5E" w:rsidRDefault="00DD4E5E" w:rsidP="00986700">
      <w:pPr>
        <w:rPr>
          <w:lang w:eastAsia="en-US"/>
        </w:rPr>
      </w:pPr>
    </w:p>
    <w:tbl>
      <w:tblPr>
        <w:tblW w:w="5101" w:type="pct"/>
        <w:tblCellMar>
          <w:top w:w="57" w:type="dxa"/>
          <w:bottom w:w="57" w:type="dxa"/>
        </w:tblCellMar>
        <w:tblLook w:val="04A0" w:firstRow="1" w:lastRow="0" w:firstColumn="1" w:lastColumn="0" w:noHBand="0" w:noVBand="1"/>
      </w:tblPr>
      <w:tblGrid>
        <w:gridCol w:w="592"/>
        <w:gridCol w:w="4620"/>
        <w:gridCol w:w="1421"/>
        <w:gridCol w:w="1421"/>
        <w:gridCol w:w="1421"/>
      </w:tblGrid>
      <w:tr w:rsidR="006C5FEE" w:rsidRPr="006C5FEE" w14:paraId="61A4AA6F" w14:textId="77777777" w:rsidTr="00AC3B37">
        <w:trPr>
          <w:cantSplit/>
          <w:trHeight w:val="737"/>
          <w:tblHeader/>
        </w:trPr>
        <w:tc>
          <w:tcPr>
            <w:tcW w:w="5211" w:type="dxa"/>
            <w:gridSpan w:val="2"/>
            <w:tcBorders>
              <w:top w:val="nil"/>
              <w:left w:val="nil"/>
              <w:bottom w:val="nil"/>
              <w:right w:val="single" w:sz="4" w:space="0" w:color="FFFFFF"/>
            </w:tcBorders>
            <w:shd w:val="clear" w:color="000000" w:fill="C5D9F1"/>
            <w:noWrap/>
            <w:tcMar>
              <w:top w:w="0" w:type="dxa"/>
              <w:bottom w:w="0" w:type="dxa"/>
            </w:tcMar>
            <w:vAlign w:val="center"/>
            <w:hideMark/>
          </w:tcPr>
          <w:p w14:paraId="6079E170" w14:textId="77777777" w:rsidR="006C5FEE" w:rsidRPr="006C5FEE" w:rsidRDefault="006C5FEE" w:rsidP="006C5FEE">
            <w:pPr>
              <w:jc w:val="center"/>
              <w:rPr>
                <w:rFonts w:eastAsia="Times New Roman" w:cs="Arial"/>
                <w:sz w:val="16"/>
                <w:szCs w:val="16"/>
                <w:lang w:eastAsia="fr-FR"/>
              </w:rPr>
            </w:pPr>
            <w:r w:rsidRPr="006C5FEE">
              <w:rPr>
                <w:rFonts w:eastAsia="Times New Roman" w:cs="Arial"/>
                <w:sz w:val="16"/>
                <w:szCs w:val="16"/>
                <w:lang w:eastAsia="fr-FR"/>
              </w:rPr>
              <w:t>Numéro et description du résultat escompté</w:t>
            </w:r>
          </w:p>
        </w:tc>
        <w:tc>
          <w:tcPr>
            <w:tcW w:w="1421" w:type="dxa"/>
            <w:tcBorders>
              <w:top w:val="nil"/>
              <w:left w:val="nil"/>
              <w:bottom w:val="nil"/>
              <w:right w:val="single" w:sz="4" w:space="0" w:color="FFFFFF"/>
            </w:tcBorders>
            <w:shd w:val="clear" w:color="000000" w:fill="C5D9F1"/>
            <w:tcMar>
              <w:top w:w="0" w:type="dxa"/>
              <w:bottom w:w="0" w:type="dxa"/>
            </w:tcMar>
            <w:vAlign w:val="center"/>
            <w:hideMark/>
          </w:tcPr>
          <w:p w14:paraId="3ECA7A93" w14:textId="77777777" w:rsidR="006C5FEE" w:rsidRPr="006C5FEE" w:rsidRDefault="006C5FEE" w:rsidP="006C5FEE">
            <w:pPr>
              <w:jc w:val="center"/>
              <w:rPr>
                <w:rFonts w:eastAsia="Times New Roman" w:cs="Arial"/>
                <w:sz w:val="16"/>
                <w:szCs w:val="16"/>
                <w:lang w:eastAsia="fr-FR"/>
              </w:rPr>
            </w:pPr>
            <w:r w:rsidRPr="006C5FEE">
              <w:rPr>
                <w:rFonts w:eastAsia="Times New Roman" w:cs="Arial"/>
                <w:sz w:val="16"/>
                <w:szCs w:val="16"/>
                <w:lang w:eastAsia="fr-FR"/>
              </w:rPr>
              <w:t>Budget 2016-2017 approuvé</w:t>
            </w:r>
          </w:p>
        </w:tc>
        <w:tc>
          <w:tcPr>
            <w:tcW w:w="1421" w:type="dxa"/>
            <w:tcBorders>
              <w:top w:val="nil"/>
              <w:left w:val="nil"/>
              <w:bottom w:val="nil"/>
              <w:right w:val="single" w:sz="4" w:space="0" w:color="FFFFFF"/>
            </w:tcBorders>
            <w:shd w:val="clear" w:color="000000" w:fill="C5D9F1"/>
            <w:tcMar>
              <w:top w:w="0" w:type="dxa"/>
              <w:bottom w:w="0" w:type="dxa"/>
            </w:tcMar>
            <w:vAlign w:val="center"/>
            <w:hideMark/>
          </w:tcPr>
          <w:p w14:paraId="78CD4106" w14:textId="77777777" w:rsidR="006C5FEE" w:rsidRPr="006C5FEE" w:rsidRDefault="006C5FEE" w:rsidP="006C5FEE">
            <w:pPr>
              <w:jc w:val="center"/>
              <w:rPr>
                <w:rFonts w:eastAsia="Times New Roman" w:cs="Arial"/>
                <w:sz w:val="16"/>
                <w:szCs w:val="16"/>
                <w:lang w:eastAsia="fr-FR"/>
              </w:rPr>
            </w:pPr>
            <w:r w:rsidRPr="006C5FEE">
              <w:rPr>
                <w:rFonts w:eastAsia="Times New Roman" w:cs="Arial"/>
                <w:sz w:val="16"/>
                <w:szCs w:val="16"/>
                <w:lang w:eastAsia="fr-FR"/>
              </w:rPr>
              <w:t>Budget 2016-2017 après virements</w:t>
            </w:r>
          </w:p>
        </w:tc>
        <w:tc>
          <w:tcPr>
            <w:tcW w:w="1421" w:type="dxa"/>
            <w:tcBorders>
              <w:top w:val="nil"/>
              <w:left w:val="nil"/>
              <w:bottom w:val="nil"/>
              <w:right w:val="nil"/>
            </w:tcBorders>
            <w:shd w:val="clear" w:color="000000" w:fill="C5D9F1"/>
            <w:tcMar>
              <w:top w:w="0" w:type="dxa"/>
              <w:bottom w:w="0" w:type="dxa"/>
            </w:tcMar>
            <w:vAlign w:val="center"/>
            <w:hideMark/>
          </w:tcPr>
          <w:p w14:paraId="75448B65" w14:textId="77777777" w:rsidR="006C5FEE" w:rsidRPr="006C5FEE" w:rsidRDefault="006C5FEE" w:rsidP="006C5FEE">
            <w:pPr>
              <w:jc w:val="center"/>
              <w:rPr>
                <w:rFonts w:eastAsia="Times New Roman" w:cs="Arial"/>
                <w:sz w:val="16"/>
                <w:szCs w:val="16"/>
                <w:lang w:eastAsia="fr-FR"/>
              </w:rPr>
            </w:pPr>
            <w:r w:rsidRPr="006C5FEE">
              <w:rPr>
                <w:rFonts w:eastAsia="Times New Roman" w:cs="Arial"/>
                <w:sz w:val="16"/>
                <w:szCs w:val="16"/>
                <w:lang w:eastAsia="fr-FR"/>
              </w:rPr>
              <w:t>Budget 2018-2019 proposé</w:t>
            </w:r>
          </w:p>
        </w:tc>
      </w:tr>
      <w:tr w:rsidR="006C5FEE" w:rsidRPr="006C5FEE" w14:paraId="280DBC20" w14:textId="77777777" w:rsidTr="00AC3B37">
        <w:trPr>
          <w:cantSplit/>
        </w:trPr>
        <w:tc>
          <w:tcPr>
            <w:tcW w:w="591" w:type="dxa"/>
            <w:tcBorders>
              <w:top w:val="nil"/>
              <w:left w:val="nil"/>
              <w:bottom w:val="nil"/>
              <w:right w:val="nil"/>
            </w:tcBorders>
            <w:shd w:val="clear" w:color="auto" w:fill="auto"/>
            <w:vAlign w:val="center"/>
            <w:hideMark/>
          </w:tcPr>
          <w:p w14:paraId="052B5133"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I.1</w:t>
            </w:r>
          </w:p>
        </w:tc>
        <w:tc>
          <w:tcPr>
            <w:tcW w:w="4620" w:type="dxa"/>
            <w:tcBorders>
              <w:top w:val="nil"/>
              <w:left w:val="nil"/>
              <w:bottom w:val="nil"/>
              <w:right w:val="nil"/>
            </w:tcBorders>
            <w:shd w:val="clear" w:color="auto" w:fill="auto"/>
            <w:vAlign w:val="center"/>
            <w:hideMark/>
          </w:tcPr>
          <w:p w14:paraId="69D6C214"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Renforcement de la coopération entre les États membres en ce qui concerne l’élaboration de cadres normatifs internationaux équilibrés dans le domaine de la propriété intellectuelle</w:t>
            </w:r>
          </w:p>
        </w:tc>
        <w:tc>
          <w:tcPr>
            <w:tcW w:w="1421" w:type="dxa"/>
            <w:tcBorders>
              <w:top w:val="nil"/>
              <w:left w:val="nil"/>
              <w:bottom w:val="nil"/>
              <w:right w:val="nil"/>
            </w:tcBorders>
            <w:shd w:val="clear" w:color="auto" w:fill="auto"/>
            <w:vAlign w:val="center"/>
            <w:hideMark/>
          </w:tcPr>
          <w:p w14:paraId="6EE06E14" w14:textId="5530D06B"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13 976 </w:t>
            </w:r>
          </w:p>
        </w:tc>
        <w:tc>
          <w:tcPr>
            <w:tcW w:w="1421" w:type="dxa"/>
            <w:tcBorders>
              <w:top w:val="nil"/>
              <w:left w:val="nil"/>
              <w:bottom w:val="nil"/>
              <w:right w:val="nil"/>
            </w:tcBorders>
            <w:shd w:val="clear" w:color="auto" w:fill="auto"/>
            <w:vAlign w:val="center"/>
            <w:hideMark/>
          </w:tcPr>
          <w:p w14:paraId="32EBD5ED" w14:textId="106521B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14 902 </w:t>
            </w:r>
          </w:p>
        </w:tc>
        <w:tc>
          <w:tcPr>
            <w:tcW w:w="1421" w:type="dxa"/>
            <w:tcBorders>
              <w:top w:val="nil"/>
              <w:left w:val="nil"/>
              <w:bottom w:val="nil"/>
              <w:right w:val="nil"/>
            </w:tcBorders>
            <w:shd w:val="clear" w:color="auto" w:fill="auto"/>
            <w:vAlign w:val="center"/>
            <w:hideMark/>
          </w:tcPr>
          <w:p w14:paraId="1C7AA4B7" w14:textId="2B5E686B"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13 167 </w:t>
            </w:r>
          </w:p>
        </w:tc>
      </w:tr>
      <w:tr w:rsidR="006C5FEE" w:rsidRPr="006C5FEE" w14:paraId="597F7C02" w14:textId="77777777" w:rsidTr="00AC3B37">
        <w:trPr>
          <w:cantSplit/>
        </w:trPr>
        <w:tc>
          <w:tcPr>
            <w:tcW w:w="591" w:type="dxa"/>
            <w:tcBorders>
              <w:top w:val="nil"/>
              <w:left w:val="nil"/>
              <w:bottom w:val="nil"/>
              <w:right w:val="nil"/>
            </w:tcBorders>
            <w:shd w:val="clear" w:color="auto" w:fill="auto"/>
            <w:vAlign w:val="center"/>
            <w:hideMark/>
          </w:tcPr>
          <w:p w14:paraId="31F6E195"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I.2</w:t>
            </w:r>
          </w:p>
        </w:tc>
        <w:tc>
          <w:tcPr>
            <w:tcW w:w="4620" w:type="dxa"/>
            <w:tcBorders>
              <w:top w:val="nil"/>
              <w:left w:val="nil"/>
              <w:bottom w:val="nil"/>
              <w:right w:val="nil"/>
            </w:tcBorders>
            <w:shd w:val="clear" w:color="auto" w:fill="auto"/>
            <w:vAlign w:val="center"/>
            <w:hideMark/>
          </w:tcPr>
          <w:p w14:paraId="6738CF5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Cadres législatifs, réglementaires et politiques adaptés et équilibrés en matière de propriété intellectuelle</w:t>
            </w:r>
          </w:p>
        </w:tc>
        <w:tc>
          <w:tcPr>
            <w:tcW w:w="1421" w:type="dxa"/>
            <w:tcBorders>
              <w:top w:val="nil"/>
              <w:left w:val="nil"/>
              <w:bottom w:val="nil"/>
              <w:right w:val="nil"/>
            </w:tcBorders>
            <w:shd w:val="clear" w:color="auto" w:fill="auto"/>
            <w:vAlign w:val="center"/>
            <w:hideMark/>
          </w:tcPr>
          <w:p w14:paraId="09764D7E" w14:textId="0FF2D6A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9 748 </w:t>
            </w:r>
          </w:p>
        </w:tc>
        <w:tc>
          <w:tcPr>
            <w:tcW w:w="1421" w:type="dxa"/>
            <w:tcBorders>
              <w:top w:val="nil"/>
              <w:left w:val="nil"/>
              <w:bottom w:val="nil"/>
              <w:right w:val="nil"/>
            </w:tcBorders>
            <w:shd w:val="clear" w:color="auto" w:fill="auto"/>
            <w:vAlign w:val="center"/>
            <w:hideMark/>
          </w:tcPr>
          <w:p w14:paraId="1A877FF1" w14:textId="72205F3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7 906 </w:t>
            </w:r>
          </w:p>
        </w:tc>
        <w:tc>
          <w:tcPr>
            <w:tcW w:w="1421" w:type="dxa"/>
            <w:tcBorders>
              <w:top w:val="nil"/>
              <w:left w:val="nil"/>
              <w:bottom w:val="nil"/>
              <w:right w:val="nil"/>
            </w:tcBorders>
            <w:shd w:val="clear" w:color="auto" w:fill="auto"/>
            <w:vAlign w:val="center"/>
            <w:hideMark/>
          </w:tcPr>
          <w:p w14:paraId="5B43F79F" w14:textId="5FD88F2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8 915 </w:t>
            </w:r>
          </w:p>
        </w:tc>
      </w:tr>
      <w:tr w:rsidR="006C5FEE" w:rsidRPr="006C5FEE" w14:paraId="0441C75E" w14:textId="77777777" w:rsidTr="00AC3B37">
        <w:trPr>
          <w:cantSplit/>
        </w:trPr>
        <w:tc>
          <w:tcPr>
            <w:tcW w:w="591" w:type="dxa"/>
            <w:tcBorders>
              <w:top w:val="nil"/>
              <w:left w:val="nil"/>
              <w:bottom w:val="nil"/>
              <w:right w:val="nil"/>
            </w:tcBorders>
            <w:shd w:val="clear" w:color="auto" w:fill="auto"/>
            <w:vAlign w:val="center"/>
            <w:hideMark/>
          </w:tcPr>
          <w:p w14:paraId="0AC52C20"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I.3</w:t>
            </w:r>
          </w:p>
        </w:tc>
        <w:tc>
          <w:tcPr>
            <w:tcW w:w="4620" w:type="dxa"/>
            <w:tcBorders>
              <w:top w:val="nil"/>
              <w:left w:val="nil"/>
              <w:bottom w:val="nil"/>
              <w:right w:val="nil"/>
            </w:tcBorders>
            <w:shd w:val="clear" w:color="auto" w:fill="auto"/>
            <w:vAlign w:val="center"/>
            <w:hideMark/>
          </w:tcPr>
          <w:p w14:paraId="493A817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Sécurité accrue en ce qui concerne la protection des emblèmes d’États et des noms et emblèmes d’organisations Internationales Intergouvernementales</w:t>
            </w:r>
          </w:p>
        </w:tc>
        <w:tc>
          <w:tcPr>
            <w:tcW w:w="1421" w:type="dxa"/>
            <w:tcBorders>
              <w:top w:val="nil"/>
              <w:left w:val="nil"/>
              <w:bottom w:val="nil"/>
              <w:right w:val="nil"/>
            </w:tcBorders>
            <w:shd w:val="clear" w:color="auto" w:fill="auto"/>
            <w:vAlign w:val="center"/>
            <w:hideMark/>
          </w:tcPr>
          <w:p w14:paraId="6485BB1F" w14:textId="5DD9D68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544 </w:t>
            </w:r>
          </w:p>
        </w:tc>
        <w:tc>
          <w:tcPr>
            <w:tcW w:w="1421" w:type="dxa"/>
            <w:tcBorders>
              <w:top w:val="nil"/>
              <w:left w:val="nil"/>
              <w:bottom w:val="nil"/>
              <w:right w:val="nil"/>
            </w:tcBorders>
            <w:shd w:val="clear" w:color="auto" w:fill="auto"/>
            <w:vAlign w:val="center"/>
            <w:hideMark/>
          </w:tcPr>
          <w:p w14:paraId="79688EFE" w14:textId="7A8373E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560 </w:t>
            </w:r>
          </w:p>
        </w:tc>
        <w:tc>
          <w:tcPr>
            <w:tcW w:w="1421" w:type="dxa"/>
            <w:tcBorders>
              <w:top w:val="nil"/>
              <w:left w:val="nil"/>
              <w:bottom w:val="nil"/>
              <w:right w:val="nil"/>
            </w:tcBorders>
            <w:shd w:val="clear" w:color="auto" w:fill="auto"/>
            <w:vAlign w:val="center"/>
            <w:hideMark/>
          </w:tcPr>
          <w:p w14:paraId="3B429458" w14:textId="11F80962"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511 </w:t>
            </w:r>
          </w:p>
        </w:tc>
      </w:tr>
      <w:tr w:rsidR="006C5FEE" w:rsidRPr="006C5FEE" w14:paraId="150AC42E" w14:textId="77777777" w:rsidTr="00AC3B37">
        <w:trPr>
          <w:cantSplit/>
        </w:trPr>
        <w:tc>
          <w:tcPr>
            <w:tcW w:w="591" w:type="dxa"/>
            <w:tcBorders>
              <w:top w:val="nil"/>
              <w:left w:val="nil"/>
              <w:bottom w:val="nil"/>
              <w:right w:val="nil"/>
            </w:tcBorders>
            <w:shd w:val="clear" w:color="auto" w:fill="auto"/>
            <w:vAlign w:val="center"/>
            <w:hideMark/>
          </w:tcPr>
          <w:p w14:paraId="6A8A1AFE"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I.4</w:t>
            </w:r>
          </w:p>
        </w:tc>
        <w:tc>
          <w:tcPr>
            <w:tcW w:w="4620" w:type="dxa"/>
            <w:tcBorders>
              <w:top w:val="nil"/>
              <w:left w:val="nil"/>
              <w:bottom w:val="nil"/>
              <w:right w:val="nil"/>
            </w:tcBorders>
            <w:shd w:val="clear" w:color="auto" w:fill="auto"/>
            <w:vAlign w:val="center"/>
            <w:hideMark/>
          </w:tcPr>
          <w:p w14:paraId="4F3A64CE"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Intérêt croissant pour l’OMPI en tant qu’instance d’analyse des questions relatives à la protection internationale des brevets, modèles d’utilité, schémas de configuration (topographies) de circuits intégrés et informations confidentielles</w:t>
            </w:r>
          </w:p>
        </w:tc>
        <w:tc>
          <w:tcPr>
            <w:tcW w:w="1421" w:type="dxa"/>
            <w:tcBorders>
              <w:top w:val="nil"/>
              <w:left w:val="nil"/>
              <w:bottom w:val="nil"/>
              <w:right w:val="nil"/>
            </w:tcBorders>
            <w:shd w:val="clear" w:color="auto" w:fill="auto"/>
            <w:vAlign w:val="center"/>
            <w:hideMark/>
          </w:tcPr>
          <w:p w14:paraId="0E3A0735" w14:textId="5CEBFB9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494 </w:t>
            </w:r>
          </w:p>
        </w:tc>
        <w:tc>
          <w:tcPr>
            <w:tcW w:w="1421" w:type="dxa"/>
            <w:tcBorders>
              <w:top w:val="nil"/>
              <w:left w:val="nil"/>
              <w:bottom w:val="nil"/>
              <w:right w:val="nil"/>
            </w:tcBorders>
            <w:shd w:val="clear" w:color="auto" w:fill="auto"/>
            <w:vAlign w:val="center"/>
            <w:hideMark/>
          </w:tcPr>
          <w:p w14:paraId="633343F5" w14:textId="3D6E81A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368 </w:t>
            </w:r>
          </w:p>
        </w:tc>
        <w:tc>
          <w:tcPr>
            <w:tcW w:w="1421" w:type="dxa"/>
            <w:tcBorders>
              <w:top w:val="nil"/>
              <w:left w:val="nil"/>
              <w:bottom w:val="nil"/>
              <w:right w:val="nil"/>
            </w:tcBorders>
            <w:shd w:val="clear" w:color="auto" w:fill="auto"/>
            <w:vAlign w:val="center"/>
            <w:hideMark/>
          </w:tcPr>
          <w:p w14:paraId="40C307B0" w14:textId="1C222E8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312 </w:t>
            </w:r>
          </w:p>
        </w:tc>
      </w:tr>
      <w:tr w:rsidR="006C5FEE" w:rsidRPr="006C5FEE" w14:paraId="707EEE71" w14:textId="77777777" w:rsidTr="00AC3B37">
        <w:trPr>
          <w:cantSplit/>
        </w:trPr>
        <w:tc>
          <w:tcPr>
            <w:tcW w:w="591" w:type="dxa"/>
            <w:tcBorders>
              <w:top w:val="nil"/>
              <w:left w:val="nil"/>
              <w:bottom w:val="nil"/>
              <w:right w:val="nil"/>
            </w:tcBorders>
            <w:shd w:val="clear" w:color="auto" w:fill="auto"/>
            <w:vAlign w:val="center"/>
            <w:hideMark/>
          </w:tcPr>
          <w:p w14:paraId="5914D900"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II.1</w:t>
            </w:r>
          </w:p>
        </w:tc>
        <w:tc>
          <w:tcPr>
            <w:tcW w:w="4620" w:type="dxa"/>
            <w:tcBorders>
              <w:top w:val="nil"/>
              <w:left w:val="nil"/>
              <w:bottom w:val="nil"/>
              <w:right w:val="nil"/>
            </w:tcBorders>
            <w:shd w:val="clear" w:color="auto" w:fill="auto"/>
            <w:vAlign w:val="center"/>
            <w:hideMark/>
          </w:tcPr>
          <w:p w14:paraId="0FD5A8FF"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du système du PCT pour le dépôt des demandes internationales de brevet</w:t>
            </w:r>
          </w:p>
        </w:tc>
        <w:tc>
          <w:tcPr>
            <w:tcW w:w="1421" w:type="dxa"/>
            <w:tcBorders>
              <w:top w:val="nil"/>
              <w:left w:val="nil"/>
              <w:bottom w:val="nil"/>
              <w:right w:val="nil"/>
            </w:tcBorders>
            <w:shd w:val="clear" w:color="auto" w:fill="auto"/>
            <w:vAlign w:val="center"/>
            <w:hideMark/>
          </w:tcPr>
          <w:p w14:paraId="12C109DE" w14:textId="0E2B99DE"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29 156 </w:t>
            </w:r>
          </w:p>
        </w:tc>
        <w:tc>
          <w:tcPr>
            <w:tcW w:w="1421" w:type="dxa"/>
            <w:tcBorders>
              <w:top w:val="nil"/>
              <w:left w:val="nil"/>
              <w:bottom w:val="nil"/>
              <w:right w:val="nil"/>
            </w:tcBorders>
            <w:shd w:val="clear" w:color="auto" w:fill="auto"/>
            <w:vAlign w:val="center"/>
            <w:hideMark/>
          </w:tcPr>
          <w:p w14:paraId="12A44B37" w14:textId="48E5C885"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28 274 </w:t>
            </w:r>
          </w:p>
        </w:tc>
        <w:tc>
          <w:tcPr>
            <w:tcW w:w="1421" w:type="dxa"/>
            <w:tcBorders>
              <w:top w:val="nil"/>
              <w:left w:val="nil"/>
              <w:bottom w:val="nil"/>
              <w:right w:val="nil"/>
            </w:tcBorders>
            <w:shd w:val="clear" w:color="auto" w:fill="auto"/>
            <w:vAlign w:val="center"/>
            <w:hideMark/>
          </w:tcPr>
          <w:p w14:paraId="43E62DFC" w14:textId="63295F9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30 302 </w:t>
            </w:r>
          </w:p>
        </w:tc>
      </w:tr>
      <w:tr w:rsidR="006C5FEE" w:rsidRPr="006C5FEE" w14:paraId="3F40F78B" w14:textId="77777777" w:rsidTr="00AC3B37">
        <w:trPr>
          <w:cantSplit/>
        </w:trPr>
        <w:tc>
          <w:tcPr>
            <w:tcW w:w="591" w:type="dxa"/>
            <w:tcBorders>
              <w:top w:val="nil"/>
              <w:left w:val="nil"/>
              <w:bottom w:val="nil"/>
              <w:right w:val="nil"/>
            </w:tcBorders>
            <w:shd w:val="clear" w:color="auto" w:fill="auto"/>
            <w:vAlign w:val="center"/>
            <w:hideMark/>
          </w:tcPr>
          <w:p w14:paraId="508E535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II.2</w:t>
            </w:r>
          </w:p>
        </w:tc>
        <w:tc>
          <w:tcPr>
            <w:tcW w:w="4620" w:type="dxa"/>
            <w:tcBorders>
              <w:top w:val="nil"/>
              <w:left w:val="nil"/>
              <w:bottom w:val="nil"/>
              <w:right w:val="nil"/>
            </w:tcBorders>
            <w:shd w:val="clear" w:color="auto" w:fill="auto"/>
            <w:vAlign w:val="center"/>
            <w:hideMark/>
          </w:tcPr>
          <w:p w14:paraId="7F203F3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la productivité et de la qualité de service des opérations du PCT</w:t>
            </w:r>
          </w:p>
        </w:tc>
        <w:tc>
          <w:tcPr>
            <w:tcW w:w="1421" w:type="dxa"/>
            <w:tcBorders>
              <w:top w:val="nil"/>
              <w:left w:val="nil"/>
              <w:bottom w:val="nil"/>
              <w:right w:val="nil"/>
            </w:tcBorders>
            <w:shd w:val="clear" w:color="auto" w:fill="auto"/>
            <w:vAlign w:val="center"/>
            <w:hideMark/>
          </w:tcPr>
          <w:p w14:paraId="13252E0B" w14:textId="5EF279F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181 080 </w:t>
            </w:r>
          </w:p>
        </w:tc>
        <w:tc>
          <w:tcPr>
            <w:tcW w:w="1421" w:type="dxa"/>
            <w:tcBorders>
              <w:top w:val="nil"/>
              <w:left w:val="nil"/>
              <w:bottom w:val="nil"/>
              <w:right w:val="nil"/>
            </w:tcBorders>
            <w:shd w:val="clear" w:color="auto" w:fill="auto"/>
            <w:vAlign w:val="center"/>
            <w:hideMark/>
          </w:tcPr>
          <w:p w14:paraId="14641D69" w14:textId="173D7AE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177 330 </w:t>
            </w:r>
          </w:p>
        </w:tc>
        <w:tc>
          <w:tcPr>
            <w:tcW w:w="1421" w:type="dxa"/>
            <w:tcBorders>
              <w:top w:val="nil"/>
              <w:left w:val="nil"/>
              <w:bottom w:val="nil"/>
              <w:right w:val="nil"/>
            </w:tcBorders>
            <w:shd w:val="clear" w:color="auto" w:fill="auto"/>
            <w:vAlign w:val="center"/>
            <w:hideMark/>
          </w:tcPr>
          <w:p w14:paraId="5FC90E93" w14:textId="304140B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185 277 </w:t>
            </w:r>
          </w:p>
        </w:tc>
      </w:tr>
      <w:tr w:rsidR="006C5FEE" w:rsidRPr="006C5FEE" w14:paraId="69968DEA" w14:textId="77777777" w:rsidTr="00AC3B37">
        <w:trPr>
          <w:cantSplit/>
        </w:trPr>
        <w:tc>
          <w:tcPr>
            <w:tcW w:w="591" w:type="dxa"/>
            <w:tcBorders>
              <w:top w:val="nil"/>
              <w:left w:val="nil"/>
              <w:bottom w:val="nil"/>
              <w:right w:val="nil"/>
            </w:tcBorders>
            <w:shd w:val="clear" w:color="auto" w:fill="auto"/>
            <w:vAlign w:val="center"/>
            <w:hideMark/>
          </w:tcPr>
          <w:p w14:paraId="3A6556AE"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II.3</w:t>
            </w:r>
          </w:p>
        </w:tc>
        <w:tc>
          <w:tcPr>
            <w:tcW w:w="4620" w:type="dxa"/>
            <w:tcBorders>
              <w:top w:val="nil"/>
              <w:left w:val="nil"/>
              <w:bottom w:val="nil"/>
              <w:right w:val="nil"/>
            </w:tcBorders>
            <w:shd w:val="clear" w:color="auto" w:fill="auto"/>
            <w:vAlign w:val="center"/>
            <w:hideMark/>
          </w:tcPr>
          <w:p w14:paraId="5CBB1A1D"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du système de La Haye, notamment par les pays en développement et les PMA</w:t>
            </w:r>
          </w:p>
        </w:tc>
        <w:tc>
          <w:tcPr>
            <w:tcW w:w="1421" w:type="dxa"/>
            <w:tcBorders>
              <w:top w:val="nil"/>
              <w:left w:val="nil"/>
              <w:bottom w:val="nil"/>
              <w:right w:val="nil"/>
            </w:tcBorders>
            <w:shd w:val="clear" w:color="auto" w:fill="auto"/>
            <w:vAlign w:val="center"/>
            <w:hideMark/>
          </w:tcPr>
          <w:p w14:paraId="10E5C0A0" w14:textId="2CA0D40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6 617 </w:t>
            </w:r>
          </w:p>
        </w:tc>
        <w:tc>
          <w:tcPr>
            <w:tcW w:w="1421" w:type="dxa"/>
            <w:tcBorders>
              <w:top w:val="nil"/>
              <w:left w:val="nil"/>
              <w:bottom w:val="nil"/>
              <w:right w:val="nil"/>
            </w:tcBorders>
            <w:shd w:val="clear" w:color="auto" w:fill="auto"/>
            <w:vAlign w:val="center"/>
            <w:hideMark/>
          </w:tcPr>
          <w:p w14:paraId="591B77CA" w14:textId="30F2B76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6 928 </w:t>
            </w:r>
          </w:p>
        </w:tc>
        <w:tc>
          <w:tcPr>
            <w:tcW w:w="1421" w:type="dxa"/>
            <w:tcBorders>
              <w:top w:val="nil"/>
              <w:left w:val="nil"/>
              <w:bottom w:val="nil"/>
              <w:right w:val="nil"/>
            </w:tcBorders>
            <w:shd w:val="clear" w:color="auto" w:fill="auto"/>
            <w:vAlign w:val="center"/>
            <w:hideMark/>
          </w:tcPr>
          <w:p w14:paraId="0DCF6D08" w14:textId="525BF20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7 125 </w:t>
            </w:r>
          </w:p>
        </w:tc>
      </w:tr>
      <w:tr w:rsidR="006C5FEE" w:rsidRPr="006C5FEE" w14:paraId="4EA8B6C8" w14:textId="77777777" w:rsidTr="00AC3B37">
        <w:trPr>
          <w:cantSplit/>
        </w:trPr>
        <w:tc>
          <w:tcPr>
            <w:tcW w:w="591" w:type="dxa"/>
            <w:tcBorders>
              <w:top w:val="nil"/>
              <w:left w:val="nil"/>
              <w:bottom w:val="nil"/>
              <w:right w:val="nil"/>
            </w:tcBorders>
            <w:shd w:val="clear" w:color="auto" w:fill="auto"/>
            <w:vAlign w:val="center"/>
            <w:hideMark/>
          </w:tcPr>
          <w:p w14:paraId="4FCF4B2F"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II.4</w:t>
            </w:r>
          </w:p>
        </w:tc>
        <w:tc>
          <w:tcPr>
            <w:tcW w:w="4620" w:type="dxa"/>
            <w:tcBorders>
              <w:top w:val="nil"/>
              <w:left w:val="nil"/>
              <w:bottom w:val="nil"/>
              <w:right w:val="nil"/>
            </w:tcBorders>
            <w:shd w:val="clear" w:color="auto" w:fill="auto"/>
            <w:vAlign w:val="center"/>
            <w:hideMark/>
          </w:tcPr>
          <w:p w14:paraId="5E84299B"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la productivité et de la qualité de service des opérations de La Haye</w:t>
            </w:r>
          </w:p>
        </w:tc>
        <w:tc>
          <w:tcPr>
            <w:tcW w:w="1421" w:type="dxa"/>
            <w:tcBorders>
              <w:top w:val="nil"/>
              <w:left w:val="nil"/>
              <w:bottom w:val="nil"/>
              <w:right w:val="nil"/>
            </w:tcBorders>
            <w:shd w:val="clear" w:color="auto" w:fill="auto"/>
            <w:vAlign w:val="center"/>
            <w:hideMark/>
          </w:tcPr>
          <w:p w14:paraId="0F3D0FDB" w14:textId="6A73DB3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2 234 </w:t>
            </w:r>
          </w:p>
        </w:tc>
        <w:tc>
          <w:tcPr>
            <w:tcW w:w="1421" w:type="dxa"/>
            <w:tcBorders>
              <w:top w:val="nil"/>
              <w:left w:val="nil"/>
              <w:bottom w:val="nil"/>
              <w:right w:val="nil"/>
            </w:tcBorders>
            <w:shd w:val="clear" w:color="auto" w:fill="auto"/>
            <w:vAlign w:val="center"/>
            <w:hideMark/>
          </w:tcPr>
          <w:p w14:paraId="3495F14B" w14:textId="79ADA82A"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3 506 </w:t>
            </w:r>
          </w:p>
        </w:tc>
        <w:tc>
          <w:tcPr>
            <w:tcW w:w="1421" w:type="dxa"/>
            <w:tcBorders>
              <w:top w:val="nil"/>
              <w:left w:val="nil"/>
              <w:bottom w:val="nil"/>
              <w:right w:val="nil"/>
            </w:tcBorders>
            <w:shd w:val="clear" w:color="auto" w:fill="auto"/>
            <w:vAlign w:val="center"/>
            <w:hideMark/>
          </w:tcPr>
          <w:p w14:paraId="77568E94" w14:textId="2C61296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5 744 </w:t>
            </w:r>
          </w:p>
        </w:tc>
      </w:tr>
      <w:tr w:rsidR="006C5FEE" w:rsidRPr="006C5FEE" w14:paraId="01C83D15" w14:textId="77777777" w:rsidTr="00AC3B37">
        <w:trPr>
          <w:cantSplit/>
        </w:trPr>
        <w:tc>
          <w:tcPr>
            <w:tcW w:w="591" w:type="dxa"/>
            <w:tcBorders>
              <w:top w:val="nil"/>
              <w:left w:val="nil"/>
              <w:bottom w:val="nil"/>
              <w:right w:val="nil"/>
            </w:tcBorders>
            <w:shd w:val="clear" w:color="auto" w:fill="auto"/>
            <w:vAlign w:val="center"/>
            <w:hideMark/>
          </w:tcPr>
          <w:p w14:paraId="3978E99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II.5</w:t>
            </w:r>
          </w:p>
        </w:tc>
        <w:tc>
          <w:tcPr>
            <w:tcW w:w="4620" w:type="dxa"/>
            <w:tcBorders>
              <w:top w:val="nil"/>
              <w:left w:val="nil"/>
              <w:bottom w:val="nil"/>
              <w:right w:val="nil"/>
            </w:tcBorders>
            <w:shd w:val="clear" w:color="auto" w:fill="auto"/>
            <w:vAlign w:val="center"/>
            <w:hideMark/>
          </w:tcPr>
          <w:p w14:paraId="6EA695B4"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du système de Madrid, notamment par les pays en développement et les PMA</w:t>
            </w:r>
          </w:p>
        </w:tc>
        <w:tc>
          <w:tcPr>
            <w:tcW w:w="1421" w:type="dxa"/>
            <w:tcBorders>
              <w:top w:val="nil"/>
              <w:left w:val="nil"/>
              <w:bottom w:val="nil"/>
              <w:right w:val="nil"/>
            </w:tcBorders>
            <w:shd w:val="clear" w:color="auto" w:fill="auto"/>
            <w:vAlign w:val="center"/>
            <w:hideMark/>
          </w:tcPr>
          <w:p w14:paraId="07CA15A7" w14:textId="417AB52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17 069 </w:t>
            </w:r>
          </w:p>
        </w:tc>
        <w:tc>
          <w:tcPr>
            <w:tcW w:w="1421" w:type="dxa"/>
            <w:tcBorders>
              <w:top w:val="nil"/>
              <w:left w:val="nil"/>
              <w:bottom w:val="nil"/>
              <w:right w:val="nil"/>
            </w:tcBorders>
            <w:shd w:val="clear" w:color="auto" w:fill="auto"/>
            <w:vAlign w:val="center"/>
            <w:hideMark/>
          </w:tcPr>
          <w:p w14:paraId="6EAD5380" w14:textId="1CCC2532"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17 408 </w:t>
            </w:r>
          </w:p>
        </w:tc>
        <w:tc>
          <w:tcPr>
            <w:tcW w:w="1421" w:type="dxa"/>
            <w:tcBorders>
              <w:top w:val="nil"/>
              <w:left w:val="nil"/>
              <w:bottom w:val="nil"/>
              <w:right w:val="nil"/>
            </w:tcBorders>
            <w:shd w:val="clear" w:color="auto" w:fill="auto"/>
            <w:vAlign w:val="center"/>
            <w:hideMark/>
          </w:tcPr>
          <w:p w14:paraId="0A69394F" w14:textId="3B30B71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14 196 </w:t>
            </w:r>
          </w:p>
        </w:tc>
      </w:tr>
      <w:tr w:rsidR="006C5FEE" w:rsidRPr="006C5FEE" w14:paraId="3855ED91" w14:textId="77777777" w:rsidTr="00AC3B37">
        <w:trPr>
          <w:cantSplit/>
        </w:trPr>
        <w:tc>
          <w:tcPr>
            <w:tcW w:w="591" w:type="dxa"/>
            <w:tcBorders>
              <w:top w:val="nil"/>
              <w:left w:val="nil"/>
              <w:bottom w:val="nil"/>
              <w:right w:val="nil"/>
            </w:tcBorders>
            <w:shd w:val="clear" w:color="auto" w:fill="auto"/>
            <w:vAlign w:val="center"/>
            <w:hideMark/>
          </w:tcPr>
          <w:p w14:paraId="79DBF6A3"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II.6</w:t>
            </w:r>
          </w:p>
        </w:tc>
        <w:tc>
          <w:tcPr>
            <w:tcW w:w="4620" w:type="dxa"/>
            <w:tcBorders>
              <w:top w:val="nil"/>
              <w:left w:val="nil"/>
              <w:bottom w:val="nil"/>
              <w:right w:val="nil"/>
            </w:tcBorders>
            <w:shd w:val="clear" w:color="auto" w:fill="auto"/>
            <w:vAlign w:val="center"/>
            <w:hideMark/>
          </w:tcPr>
          <w:p w14:paraId="0691CB46"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la productivité et de la qualité de service des opérations du système de Madrid</w:t>
            </w:r>
          </w:p>
        </w:tc>
        <w:tc>
          <w:tcPr>
            <w:tcW w:w="1421" w:type="dxa"/>
            <w:tcBorders>
              <w:top w:val="nil"/>
              <w:left w:val="nil"/>
              <w:bottom w:val="nil"/>
              <w:right w:val="nil"/>
            </w:tcBorders>
            <w:shd w:val="clear" w:color="auto" w:fill="auto"/>
            <w:vAlign w:val="center"/>
            <w:hideMark/>
          </w:tcPr>
          <w:p w14:paraId="222FF0CF" w14:textId="4D9D639A"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42 253 </w:t>
            </w:r>
          </w:p>
        </w:tc>
        <w:tc>
          <w:tcPr>
            <w:tcW w:w="1421" w:type="dxa"/>
            <w:tcBorders>
              <w:top w:val="nil"/>
              <w:left w:val="nil"/>
              <w:bottom w:val="nil"/>
              <w:right w:val="nil"/>
            </w:tcBorders>
            <w:shd w:val="clear" w:color="auto" w:fill="auto"/>
            <w:vAlign w:val="center"/>
            <w:hideMark/>
          </w:tcPr>
          <w:p w14:paraId="2435E767" w14:textId="398B33DA"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41 736 </w:t>
            </w:r>
          </w:p>
        </w:tc>
        <w:tc>
          <w:tcPr>
            <w:tcW w:w="1421" w:type="dxa"/>
            <w:tcBorders>
              <w:top w:val="nil"/>
              <w:left w:val="nil"/>
              <w:bottom w:val="nil"/>
              <w:right w:val="nil"/>
            </w:tcBorders>
            <w:shd w:val="clear" w:color="auto" w:fill="auto"/>
            <w:vAlign w:val="center"/>
            <w:hideMark/>
          </w:tcPr>
          <w:p w14:paraId="42FB28B8" w14:textId="0280128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46 296 </w:t>
            </w:r>
          </w:p>
        </w:tc>
      </w:tr>
      <w:tr w:rsidR="006C5FEE" w:rsidRPr="006C5FEE" w14:paraId="693DCEA9" w14:textId="77777777" w:rsidTr="00AC3B37">
        <w:trPr>
          <w:cantSplit/>
        </w:trPr>
        <w:tc>
          <w:tcPr>
            <w:tcW w:w="591" w:type="dxa"/>
            <w:tcBorders>
              <w:top w:val="nil"/>
              <w:left w:val="nil"/>
              <w:bottom w:val="nil"/>
              <w:right w:val="nil"/>
            </w:tcBorders>
            <w:shd w:val="clear" w:color="auto" w:fill="auto"/>
            <w:vAlign w:val="center"/>
            <w:hideMark/>
          </w:tcPr>
          <w:p w14:paraId="53879B8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II.7</w:t>
            </w:r>
          </w:p>
        </w:tc>
        <w:tc>
          <w:tcPr>
            <w:tcW w:w="4620" w:type="dxa"/>
            <w:tcBorders>
              <w:top w:val="nil"/>
              <w:left w:val="nil"/>
              <w:bottom w:val="nil"/>
              <w:right w:val="nil"/>
            </w:tcBorders>
            <w:shd w:val="clear" w:color="auto" w:fill="auto"/>
            <w:vAlign w:val="center"/>
            <w:hideMark/>
          </w:tcPr>
          <w:p w14:paraId="146691AB"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De plus en plus de litiges internationaux ou nationaux de propriété intellectuelle sont évités ou réglés par la médiation, l’arbitrage et d’autres modes extrajudiciaires de règlement des litiges de l’OMPI</w:t>
            </w:r>
          </w:p>
        </w:tc>
        <w:tc>
          <w:tcPr>
            <w:tcW w:w="1421" w:type="dxa"/>
            <w:tcBorders>
              <w:top w:val="nil"/>
              <w:left w:val="nil"/>
              <w:bottom w:val="nil"/>
              <w:right w:val="nil"/>
            </w:tcBorders>
            <w:shd w:val="clear" w:color="auto" w:fill="auto"/>
            <w:vAlign w:val="center"/>
            <w:hideMark/>
          </w:tcPr>
          <w:p w14:paraId="3DEEF7C1" w14:textId="161955A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4 802 </w:t>
            </w:r>
          </w:p>
        </w:tc>
        <w:tc>
          <w:tcPr>
            <w:tcW w:w="1421" w:type="dxa"/>
            <w:tcBorders>
              <w:top w:val="nil"/>
              <w:left w:val="nil"/>
              <w:bottom w:val="nil"/>
              <w:right w:val="nil"/>
            </w:tcBorders>
            <w:shd w:val="clear" w:color="auto" w:fill="auto"/>
            <w:vAlign w:val="center"/>
            <w:hideMark/>
          </w:tcPr>
          <w:p w14:paraId="13A38E84" w14:textId="64F703C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4 491 </w:t>
            </w:r>
          </w:p>
        </w:tc>
        <w:tc>
          <w:tcPr>
            <w:tcW w:w="1421" w:type="dxa"/>
            <w:tcBorders>
              <w:top w:val="nil"/>
              <w:left w:val="nil"/>
              <w:bottom w:val="nil"/>
              <w:right w:val="nil"/>
            </w:tcBorders>
            <w:shd w:val="clear" w:color="auto" w:fill="auto"/>
            <w:vAlign w:val="center"/>
            <w:hideMark/>
          </w:tcPr>
          <w:p w14:paraId="049F2AE9" w14:textId="267DF7A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5 238 </w:t>
            </w:r>
          </w:p>
        </w:tc>
      </w:tr>
      <w:tr w:rsidR="006C5FEE" w:rsidRPr="006C5FEE" w14:paraId="15A033B9" w14:textId="77777777" w:rsidTr="00AC3B37">
        <w:trPr>
          <w:cantSplit/>
        </w:trPr>
        <w:tc>
          <w:tcPr>
            <w:tcW w:w="591" w:type="dxa"/>
            <w:tcBorders>
              <w:top w:val="nil"/>
              <w:left w:val="nil"/>
              <w:bottom w:val="nil"/>
              <w:right w:val="nil"/>
            </w:tcBorders>
            <w:shd w:val="clear" w:color="auto" w:fill="auto"/>
            <w:vAlign w:val="center"/>
            <w:hideMark/>
          </w:tcPr>
          <w:p w14:paraId="032E1512"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II.8</w:t>
            </w:r>
          </w:p>
        </w:tc>
        <w:tc>
          <w:tcPr>
            <w:tcW w:w="4620" w:type="dxa"/>
            <w:tcBorders>
              <w:top w:val="nil"/>
              <w:left w:val="nil"/>
              <w:bottom w:val="nil"/>
              <w:right w:val="nil"/>
            </w:tcBorders>
            <w:shd w:val="clear" w:color="auto" w:fill="auto"/>
            <w:vAlign w:val="center"/>
            <w:hideMark/>
          </w:tcPr>
          <w:p w14:paraId="19EB07B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Protection effective de la propriété intellectuelle dans les gTLD et les ccTLD</w:t>
            </w:r>
          </w:p>
        </w:tc>
        <w:tc>
          <w:tcPr>
            <w:tcW w:w="1421" w:type="dxa"/>
            <w:tcBorders>
              <w:top w:val="nil"/>
              <w:left w:val="nil"/>
              <w:bottom w:val="nil"/>
              <w:right w:val="nil"/>
            </w:tcBorders>
            <w:shd w:val="clear" w:color="auto" w:fill="auto"/>
            <w:vAlign w:val="center"/>
            <w:hideMark/>
          </w:tcPr>
          <w:p w14:paraId="6892D4F6" w14:textId="7359315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6 899 </w:t>
            </w:r>
          </w:p>
        </w:tc>
        <w:tc>
          <w:tcPr>
            <w:tcW w:w="1421" w:type="dxa"/>
            <w:tcBorders>
              <w:top w:val="nil"/>
              <w:left w:val="nil"/>
              <w:bottom w:val="nil"/>
              <w:right w:val="nil"/>
            </w:tcBorders>
            <w:shd w:val="clear" w:color="auto" w:fill="auto"/>
            <w:vAlign w:val="center"/>
            <w:hideMark/>
          </w:tcPr>
          <w:p w14:paraId="6400D308" w14:textId="3FC722C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7 199 </w:t>
            </w:r>
          </w:p>
        </w:tc>
        <w:tc>
          <w:tcPr>
            <w:tcW w:w="1421" w:type="dxa"/>
            <w:tcBorders>
              <w:top w:val="nil"/>
              <w:left w:val="nil"/>
              <w:bottom w:val="nil"/>
              <w:right w:val="nil"/>
            </w:tcBorders>
            <w:shd w:val="clear" w:color="auto" w:fill="auto"/>
            <w:vAlign w:val="center"/>
            <w:hideMark/>
          </w:tcPr>
          <w:p w14:paraId="0EACC8CE" w14:textId="4991E9E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7 110 </w:t>
            </w:r>
          </w:p>
        </w:tc>
      </w:tr>
      <w:tr w:rsidR="006C5FEE" w:rsidRPr="006C5FEE" w14:paraId="3447AC78" w14:textId="77777777" w:rsidTr="00AC3B37">
        <w:trPr>
          <w:cantSplit/>
        </w:trPr>
        <w:tc>
          <w:tcPr>
            <w:tcW w:w="591" w:type="dxa"/>
            <w:tcBorders>
              <w:top w:val="nil"/>
              <w:left w:val="nil"/>
              <w:bottom w:val="nil"/>
              <w:right w:val="nil"/>
            </w:tcBorders>
            <w:shd w:val="clear" w:color="auto" w:fill="auto"/>
            <w:vAlign w:val="center"/>
            <w:hideMark/>
          </w:tcPr>
          <w:p w14:paraId="3DECEC1E"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II.9</w:t>
            </w:r>
          </w:p>
        </w:tc>
        <w:tc>
          <w:tcPr>
            <w:tcW w:w="4620" w:type="dxa"/>
            <w:tcBorders>
              <w:top w:val="nil"/>
              <w:left w:val="nil"/>
              <w:bottom w:val="nil"/>
              <w:right w:val="nil"/>
            </w:tcBorders>
            <w:shd w:val="clear" w:color="auto" w:fill="auto"/>
            <w:vAlign w:val="center"/>
            <w:hideMark/>
          </w:tcPr>
          <w:p w14:paraId="452AFF4F"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du système de Lisbonne, notamment par les pays en développement et les PMA</w:t>
            </w:r>
          </w:p>
        </w:tc>
        <w:tc>
          <w:tcPr>
            <w:tcW w:w="1421" w:type="dxa"/>
            <w:tcBorders>
              <w:top w:val="nil"/>
              <w:left w:val="nil"/>
              <w:bottom w:val="nil"/>
              <w:right w:val="nil"/>
            </w:tcBorders>
            <w:shd w:val="clear" w:color="auto" w:fill="auto"/>
            <w:vAlign w:val="center"/>
            <w:hideMark/>
          </w:tcPr>
          <w:p w14:paraId="1D914D52" w14:textId="6E150EA1"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896 </w:t>
            </w:r>
          </w:p>
        </w:tc>
        <w:tc>
          <w:tcPr>
            <w:tcW w:w="1421" w:type="dxa"/>
            <w:tcBorders>
              <w:top w:val="nil"/>
              <w:left w:val="nil"/>
              <w:bottom w:val="nil"/>
              <w:right w:val="nil"/>
            </w:tcBorders>
            <w:shd w:val="clear" w:color="auto" w:fill="auto"/>
            <w:vAlign w:val="center"/>
            <w:hideMark/>
          </w:tcPr>
          <w:p w14:paraId="6A501189" w14:textId="558E51C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1 125 </w:t>
            </w:r>
          </w:p>
        </w:tc>
        <w:tc>
          <w:tcPr>
            <w:tcW w:w="1421" w:type="dxa"/>
            <w:tcBorders>
              <w:top w:val="nil"/>
              <w:left w:val="nil"/>
              <w:bottom w:val="nil"/>
              <w:right w:val="nil"/>
            </w:tcBorders>
            <w:shd w:val="clear" w:color="auto" w:fill="auto"/>
            <w:vAlign w:val="center"/>
            <w:hideMark/>
          </w:tcPr>
          <w:p w14:paraId="1CBDB14E" w14:textId="55E66EF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703 </w:t>
            </w:r>
          </w:p>
        </w:tc>
      </w:tr>
      <w:tr w:rsidR="006C5FEE" w:rsidRPr="006C5FEE" w14:paraId="3FD8C39A" w14:textId="77777777" w:rsidTr="00AC3B37">
        <w:trPr>
          <w:cantSplit/>
        </w:trPr>
        <w:tc>
          <w:tcPr>
            <w:tcW w:w="591" w:type="dxa"/>
            <w:tcBorders>
              <w:top w:val="nil"/>
              <w:left w:val="nil"/>
              <w:bottom w:val="nil"/>
              <w:right w:val="nil"/>
            </w:tcBorders>
            <w:shd w:val="clear" w:color="auto" w:fill="auto"/>
            <w:vAlign w:val="center"/>
            <w:hideMark/>
          </w:tcPr>
          <w:p w14:paraId="3CB034B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II.10</w:t>
            </w:r>
          </w:p>
        </w:tc>
        <w:tc>
          <w:tcPr>
            <w:tcW w:w="4620" w:type="dxa"/>
            <w:tcBorders>
              <w:top w:val="nil"/>
              <w:left w:val="nil"/>
              <w:bottom w:val="nil"/>
              <w:right w:val="nil"/>
            </w:tcBorders>
            <w:shd w:val="clear" w:color="auto" w:fill="auto"/>
            <w:vAlign w:val="center"/>
            <w:hideMark/>
          </w:tcPr>
          <w:p w14:paraId="4EE3F287"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la productivité et de la qualité de service des opérations du système de Lisbonne</w:t>
            </w:r>
          </w:p>
        </w:tc>
        <w:tc>
          <w:tcPr>
            <w:tcW w:w="1421" w:type="dxa"/>
            <w:tcBorders>
              <w:top w:val="nil"/>
              <w:left w:val="nil"/>
              <w:bottom w:val="nil"/>
              <w:right w:val="nil"/>
            </w:tcBorders>
            <w:shd w:val="clear" w:color="auto" w:fill="auto"/>
            <w:vAlign w:val="center"/>
            <w:hideMark/>
          </w:tcPr>
          <w:p w14:paraId="19DC03E8" w14:textId="4ED337A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648 </w:t>
            </w:r>
          </w:p>
        </w:tc>
        <w:tc>
          <w:tcPr>
            <w:tcW w:w="1421" w:type="dxa"/>
            <w:tcBorders>
              <w:top w:val="nil"/>
              <w:left w:val="nil"/>
              <w:bottom w:val="nil"/>
              <w:right w:val="nil"/>
            </w:tcBorders>
            <w:shd w:val="clear" w:color="auto" w:fill="auto"/>
            <w:vAlign w:val="center"/>
            <w:hideMark/>
          </w:tcPr>
          <w:p w14:paraId="288E8D1C" w14:textId="570ECE8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588 </w:t>
            </w:r>
          </w:p>
        </w:tc>
        <w:tc>
          <w:tcPr>
            <w:tcW w:w="1421" w:type="dxa"/>
            <w:tcBorders>
              <w:top w:val="nil"/>
              <w:left w:val="nil"/>
              <w:bottom w:val="nil"/>
              <w:right w:val="nil"/>
            </w:tcBorders>
            <w:shd w:val="clear" w:color="auto" w:fill="auto"/>
            <w:vAlign w:val="center"/>
            <w:hideMark/>
          </w:tcPr>
          <w:p w14:paraId="7FC83CFD" w14:textId="28FF96E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644 </w:t>
            </w:r>
          </w:p>
        </w:tc>
      </w:tr>
      <w:tr w:rsidR="006C5FEE" w:rsidRPr="006C5FEE" w14:paraId="764929AD" w14:textId="77777777" w:rsidTr="00AC3B37">
        <w:trPr>
          <w:cantSplit/>
        </w:trPr>
        <w:tc>
          <w:tcPr>
            <w:tcW w:w="591" w:type="dxa"/>
            <w:tcBorders>
              <w:top w:val="nil"/>
              <w:left w:val="nil"/>
              <w:bottom w:val="nil"/>
              <w:right w:val="nil"/>
            </w:tcBorders>
            <w:shd w:val="clear" w:color="auto" w:fill="auto"/>
            <w:vAlign w:val="center"/>
            <w:hideMark/>
          </w:tcPr>
          <w:p w14:paraId="79D4B100"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III.1</w:t>
            </w:r>
          </w:p>
        </w:tc>
        <w:tc>
          <w:tcPr>
            <w:tcW w:w="4620" w:type="dxa"/>
            <w:tcBorders>
              <w:top w:val="nil"/>
              <w:left w:val="nil"/>
              <w:bottom w:val="nil"/>
              <w:right w:val="nil"/>
            </w:tcBorders>
            <w:shd w:val="clear" w:color="auto" w:fill="auto"/>
            <w:vAlign w:val="center"/>
            <w:hideMark/>
          </w:tcPr>
          <w:p w14:paraId="6F9746D5"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Stratégies et plans nationaux en matière de propriété intellectuelle conformes aux objectifs de développement nationaux</w:t>
            </w:r>
          </w:p>
        </w:tc>
        <w:tc>
          <w:tcPr>
            <w:tcW w:w="1421" w:type="dxa"/>
            <w:tcBorders>
              <w:top w:val="nil"/>
              <w:left w:val="nil"/>
              <w:bottom w:val="nil"/>
              <w:right w:val="nil"/>
            </w:tcBorders>
            <w:shd w:val="clear" w:color="auto" w:fill="auto"/>
            <w:vAlign w:val="center"/>
            <w:hideMark/>
          </w:tcPr>
          <w:p w14:paraId="1985408F" w14:textId="0D91FBF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10 957 </w:t>
            </w:r>
          </w:p>
        </w:tc>
        <w:tc>
          <w:tcPr>
            <w:tcW w:w="1421" w:type="dxa"/>
            <w:tcBorders>
              <w:top w:val="nil"/>
              <w:left w:val="nil"/>
              <w:bottom w:val="nil"/>
              <w:right w:val="nil"/>
            </w:tcBorders>
            <w:shd w:val="clear" w:color="auto" w:fill="auto"/>
            <w:vAlign w:val="center"/>
            <w:hideMark/>
          </w:tcPr>
          <w:p w14:paraId="280A6613" w14:textId="03EC1DA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11 677 </w:t>
            </w:r>
          </w:p>
        </w:tc>
        <w:tc>
          <w:tcPr>
            <w:tcW w:w="1421" w:type="dxa"/>
            <w:tcBorders>
              <w:top w:val="nil"/>
              <w:left w:val="nil"/>
              <w:bottom w:val="nil"/>
              <w:right w:val="nil"/>
            </w:tcBorders>
            <w:shd w:val="clear" w:color="auto" w:fill="auto"/>
            <w:vAlign w:val="center"/>
            <w:hideMark/>
          </w:tcPr>
          <w:p w14:paraId="31FA9C41" w14:textId="6331018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10 312 </w:t>
            </w:r>
          </w:p>
        </w:tc>
      </w:tr>
      <w:tr w:rsidR="006C5FEE" w:rsidRPr="006C5FEE" w14:paraId="5A76F9A4" w14:textId="77777777" w:rsidTr="00AC3B37">
        <w:trPr>
          <w:cantSplit/>
        </w:trPr>
        <w:tc>
          <w:tcPr>
            <w:tcW w:w="591" w:type="dxa"/>
            <w:tcBorders>
              <w:top w:val="nil"/>
              <w:left w:val="nil"/>
              <w:bottom w:val="nil"/>
              <w:right w:val="nil"/>
            </w:tcBorders>
            <w:shd w:val="clear" w:color="auto" w:fill="auto"/>
            <w:vAlign w:val="center"/>
            <w:hideMark/>
          </w:tcPr>
          <w:p w14:paraId="6FD0B74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III.2</w:t>
            </w:r>
          </w:p>
        </w:tc>
        <w:tc>
          <w:tcPr>
            <w:tcW w:w="4620" w:type="dxa"/>
            <w:tcBorders>
              <w:top w:val="nil"/>
              <w:left w:val="nil"/>
              <w:bottom w:val="nil"/>
              <w:right w:val="nil"/>
            </w:tcBorders>
            <w:shd w:val="clear" w:color="auto" w:fill="auto"/>
            <w:vAlign w:val="center"/>
            <w:hideMark/>
          </w:tcPr>
          <w:p w14:paraId="3514DC9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Mise en valeur des ressources humaines pour répondre aux besoins variés en matière d’utilisation efficace de la propriété intellectuelle au service du développement dans les pays en développement, les PMA et les économies en transition</w:t>
            </w:r>
          </w:p>
        </w:tc>
        <w:tc>
          <w:tcPr>
            <w:tcW w:w="1421" w:type="dxa"/>
            <w:tcBorders>
              <w:top w:val="nil"/>
              <w:left w:val="nil"/>
              <w:bottom w:val="nil"/>
              <w:right w:val="nil"/>
            </w:tcBorders>
            <w:shd w:val="clear" w:color="auto" w:fill="auto"/>
            <w:vAlign w:val="center"/>
            <w:hideMark/>
          </w:tcPr>
          <w:p w14:paraId="7C5E6730" w14:textId="5EF293C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39 734 </w:t>
            </w:r>
          </w:p>
        </w:tc>
        <w:tc>
          <w:tcPr>
            <w:tcW w:w="1421" w:type="dxa"/>
            <w:tcBorders>
              <w:top w:val="nil"/>
              <w:left w:val="nil"/>
              <w:bottom w:val="nil"/>
              <w:right w:val="nil"/>
            </w:tcBorders>
            <w:shd w:val="clear" w:color="auto" w:fill="auto"/>
            <w:vAlign w:val="center"/>
            <w:hideMark/>
          </w:tcPr>
          <w:p w14:paraId="4CA98556" w14:textId="172F0E12"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40 199 </w:t>
            </w:r>
          </w:p>
        </w:tc>
        <w:tc>
          <w:tcPr>
            <w:tcW w:w="1421" w:type="dxa"/>
            <w:tcBorders>
              <w:top w:val="nil"/>
              <w:left w:val="nil"/>
              <w:bottom w:val="nil"/>
              <w:right w:val="nil"/>
            </w:tcBorders>
            <w:shd w:val="clear" w:color="auto" w:fill="auto"/>
            <w:vAlign w:val="center"/>
            <w:hideMark/>
          </w:tcPr>
          <w:p w14:paraId="1E6D1979" w14:textId="4C61CE6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33 712 </w:t>
            </w:r>
          </w:p>
        </w:tc>
      </w:tr>
      <w:tr w:rsidR="006C5FEE" w:rsidRPr="006C5FEE" w14:paraId="79097C70" w14:textId="77777777" w:rsidTr="00AC3B37">
        <w:trPr>
          <w:cantSplit/>
        </w:trPr>
        <w:tc>
          <w:tcPr>
            <w:tcW w:w="591" w:type="dxa"/>
            <w:tcBorders>
              <w:top w:val="nil"/>
              <w:left w:val="nil"/>
              <w:bottom w:val="nil"/>
              <w:right w:val="nil"/>
            </w:tcBorders>
            <w:shd w:val="clear" w:color="auto" w:fill="auto"/>
            <w:vAlign w:val="center"/>
            <w:hideMark/>
          </w:tcPr>
          <w:p w14:paraId="2153FBBF"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III.3</w:t>
            </w:r>
          </w:p>
        </w:tc>
        <w:tc>
          <w:tcPr>
            <w:tcW w:w="4620" w:type="dxa"/>
            <w:tcBorders>
              <w:top w:val="nil"/>
              <w:left w:val="nil"/>
              <w:bottom w:val="nil"/>
              <w:right w:val="nil"/>
            </w:tcBorders>
            <w:shd w:val="clear" w:color="auto" w:fill="auto"/>
            <w:vAlign w:val="center"/>
            <w:hideMark/>
          </w:tcPr>
          <w:p w14:paraId="2DED88D5"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Intégration des recommandations du Plan d’action pour le développement dans les activités de l’OMPI</w:t>
            </w:r>
          </w:p>
        </w:tc>
        <w:tc>
          <w:tcPr>
            <w:tcW w:w="1421" w:type="dxa"/>
            <w:tcBorders>
              <w:top w:val="nil"/>
              <w:left w:val="nil"/>
              <w:bottom w:val="nil"/>
              <w:right w:val="nil"/>
            </w:tcBorders>
            <w:shd w:val="clear" w:color="auto" w:fill="auto"/>
            <w:vAlign w:val="center"/>
            <w:hideMark/>
          </w:tcPr>
          <w:p w14:paraId="0CA720EF" w14:textId="4FE5556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3 885 </w:t>
            </w:r>
          </w:p>
        </w:tc>
        <w:tc>
          <w:tcPr>
            <w:tcW w:w="1421" w:type="dxa"/>
            <w:tcBorders>
              <w:top w:val="nil"/>
              <w:left w:val="nil"/>
              <w:bottom w:val="nil"/>
              <w:right w:val="nil"/>
            </w:tcBorders>
            <w:shd w:val="clear" w:color="auto" w:fill="auto"/>
            <w:vAlign w:val="center"/>
            <w:hideMark/>
          </w:tcPr>
          <w:p w14:paraId="02A7243B" w14:textId="2C0A3D2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3 788 </w:t>
            </w:r>
          </w:p>
        </w:tc>
        <w:tc>
          <w:tcPr>
            <w:tcW w:w="1421" w:type="dxa"/>
            <w:tcBorders>
              <w:top w:val="nil"/>
              <w:left w:val="nil"/>
              <w:bottom w:val="nil"/>
              <w:right w:val="nil"/>
            </w:tcBorders>
            <w:shd w:val="clear" w:color="auto" w:fill="auto"/>
            <w:vAlign w:val="center"/>
            <w:hideMark/>
          </w:tcPr>
          <w:p w14:paraId="61258FC6" w14:textId="7DC80E6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3 680 </w:t>
            </w:r>
          </w:p>
        </w:tc>
      </w:tr>
      <w:tr w:rsidR="006C5FEE" w:rsidRPr="006C5FEE" w14:paraId="3D66A16C" w14:textId="77777777" w:rsidTr="00AC3B37">
        <w:trPr>
          <w:cantSplit/>
        </w:trPr>
        <w:tc>
          <w:tcPr>
            <w:tcW w:w="591" w:type="dxa"/>
            <w:tcBorders>
              <w:top w:val="nil"/>
              <w:left w:val="nil"/>
              <w:bottom w:val="nil"/>
              <w:right w:val="nil"/>
            </w:tcBorders>
            <w:shd w:val="clear" w:color="auto" w:fill="auto"/>
            <w:vAlign w:val="center"/>
            <w:hideMark/>
          </w:tcPr>
          <w:p w14:paraId="7BF7DFE7"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III.4</w:t>
            </w:r>
          </w:p>
        </w:tc>
        <w:tc>
          <w:tcPr>
            <w:tcW w:w="4620" w:type="dxa"/>
            <w:tcBorders>
              <w:top w:val="nil"/>
              <w:left w:val="nil"/>
              <w:bottom w:val="nil"/>
              <w:right w:val="nil"/>
            </w:tcBorders>
            <w:shd w:val="clear" w:color="auto" w:fill="auto"/>
            <w:vAlign w:val="center"/>
            <w:hideMark/>
          </w:tcPr>
          <w:p w14:paraId="6F558D7D"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Accords de coopération avec les institutions des pays en développement, des PMA et des pays en transition renforcés et adaptés à leurs besoins</w:t>
            </w:r>
          </w:p>
        </w:tc>
        <w:tc>
          <w:tcPr>
            <w:tcW w:w="1421" w:type="dxa"/>
            <w:tcBorders>
              <w:top w:val="nil"/>
              <w:left w:val="nil"/>
              <w:bottom w:val="nil"/>
              <w:right w:val="nil"/>
            </w:tcBorders>
            <w:shd w:val="clear" w:color="auto" w:fill="auto"/>
            <w:vAlign w:val="center"/>
            <w:hideMark/>
          </w:tcPr>
          <w:p w14:paraId="4021D5E4" w14:textId="1FD8571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6 273 </w:t>
            </w:r>
          </w:p>
        </w:tc>
        <w:tc>
          <w:tcPr>
            <w:tcW w:w="1421" w:type="dxa"/>
            <w:tcBorders>
              <w:top w:val="nil"/>
              <w:left w:val="nil"/>
              <w:bottom w:val="nil"/>
              <w:right w:val="nil"/>
            </w:tcBorders>
            <w:shd w:val="clear" w:color="auto" w:fill="auto"/>
            <w:vAlign w:val="center"/>
            <w:hideMark/>
          </w:tcPr>
          <w:p w14:paraId="6D1771CE" w14:textId="4990B12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7 367 </w:t>
            </w:r>
          </w:p>
        </w:tc>
        <w:tc>
          <w:tcPr>
            <w:tcW w:w="1421" w:type="dxa"/>
            <w:tcBorders>
              <w:top w:val="nil"/>
              <w:left w:val="nil"/>
              <w:bottom w:val="nil"/>
              <w:right w:val="nil"/>
            </w:tcBorders>
            <w:shd w:val="clear" w:color="auto" w:fill="auto"/>
            <w:vAlign w:val="center"/>
            <w:hideMark/>
          </w:tcPr>
          <w:p w14:paraId="3775CDD8" w14:textId="577FA3F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10 179 </w:t>
            </w:r>
          </w:p>
        </w:tc>
      </w:tr>
      <w:tr w:rsidR="006C5FEE" w:rsidRPr="006C5FEE" w14:paraId="3FC66837" w14:textId="77777777" w:rsidTr="00AC3B37">
        <w:trPr>
          <w:cantSplit/>
        </w:trPr>
        <w:tc>
          <w:tcPr>
            <w:tcW w:w="591" w:type="dxa"/>
            <w:tcBorders>
              <w:top w:val="nil"/>
              <w:left w:val="nil"/>
              <w:bottom w:val="nil"/>
              <w:right w:val="nil"/>
            </w:tcBorders>
            <w:shd w:val="clear" w:color="auto" w:fill="auto"/>
            <w:vAlign w:val="center"/>
            <w:hideMark/>
          </w:tcPr>
          <w:p w14:paraId="254B90C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III.6</w:t>
            </w:r>
          </w:p>
        </w:tc>
        <w:tc>
          <w:tcPr>
            <w:tcW w:w="4620" w:type="dxa"/>
            <w:tcBorders>
              <w:top w:val="nil"/>
              <w:left w:val="nil"/>
              <w:bottom w:val="nil"/>
              <w:right w:val="nil"/>
            </w:tcBorders>
            <w:shd w:val="clear" w:color="auto" w:fill="auto"/>
            <w:vAlign w:val="center"/>
            <w:hideMark/>
          </w:tcPr>
          <w:p w14:paraId="5EFE6614"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Renforcement des capacités d’utilisation de la propriété intellectuelle au service de l’innovation dans les PME, les universités et les instituts de recherche</w:t>
            </w:r>
          </w:p>
        </w:tc>
        <w:tc>
          <w:tcPr>
            <w:tcW w:w="1421" w:type="dxa"/>
            <w:tcBorders>
              <w:top w:val="nil"/>
              <w:left w:val="nil"/>
              <w:bottom w:val="nil"/>
              <w:right w:val="nil"/>
            </w:tcBorders>
            <w:shd w:val="clear" w:color="auto" w:fill="auto"/>
            <w:vAlign w:val="center"/>
            <w:hideMark/>
          </w:tcPr>
          <w:p w14:paraId="609EFF28" w14:textId="4EE891F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3 125 </w:t>
            </w:r>
          </w:p>
        </w:tc>
        <w:tc>
          <w:tcPr>
            <w:tcW w:w="1421" w:type="dxa"/>
            <w:tcBorders>
              <w:top w:val="nil"/>
              <w:left w:val="nil"/>
              <w:bottom w:val="nil"/>
              <w:right w:val="nil"/>
            </w:tcBorders>
            <w:shd w:val="clear" w:color="auto" w:fill="auto"/>
            <w:vAlign w:val="center"/>
            <w:hideMark/>
          </w:tcPr>
          <w:p w14:paraId="4EAF7EF7" w14:textId="4B355D91"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3 100 </w:t>
            </w:r>
          </w:p>
        </w:tc>
        <w:tc>
          <w:tcPr>
            <w:tcW w:w="1421" w:type="dxa"/>
            <w:tcBorders>
              <w:top w:val="nil"/>
              <w:left w:val="nil"/>
              <w:bottom w:val="nil"/>
              <w:right w:val="nil"/>
            </w:tcBorders>
            <w:shd w:val="clear" w:color="auto" w:fill="auto"/>
            <w:vAlign w:val="center"/>
            <w:hideMark/>
          </w:tcPr>
          <w:p w14:paraId="3DA6B6FA" w14:textId="60905742"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7 011 </w:t>
            </w:r>
          </w:p>
        </w:tc>
      </w:tr>
      <w:tr w:rsidR="006C5FEE" w:rsidRPr="006C5FEE" w14:paraId="70F19977" w14:textId="77777777" w:rsidTr="00AC3B37">
        <w:trPr>
          <w:cantSplit/>
        </w:trPr>
        <w:tc>
          <w:tcPr>
            <w:tcW w:w="591" w:type="dxa"/>
            <w:tcBorders>
              <w:top w:val="nil"/>
              <w:left w:val="nil"/>
              <w:bottom w:val="nil"/>
              <w:right w:val="nil"/>
            </w:tcBorders>
            <w:shd w:val="clear" w:color="auto" w:fill="auto"/>
            <w:vAlign w:val="center"/>
            <w:hideMark/>
          </w:tcPr>
          <w:p w14:paraId="3998E630"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IV.1</w:t>
            </w:r>
          </w:p>
        </w:tc>
        <w:tc>
          <w:tcPr>
            <w:tcW w:w="4620" w:type="dxa"/>
            <w:tcBorders>
              <w:top w:val="nil"/>
              <w:left w:val="nil"/>
              <w:bottom w:val="nil"/>
              <w:right w:val="nil"/>
            </w:tcBorders>
            <w:shd w:val="clear" w:color="auto" w:fill="auto"/>
            <w:vAlign w:val="center"/>
            <w:hideMark/>
          </w:tcPr>
          <w:p w14:paraId="39C3A1F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Système actualisé et mondialement accepté des classifications internationales et des normes de l</w:t>
            </w:r>
            <w:r w:rsidRPr="006C5FEE">
              <w:rPr>
                <w:rFonts w:eastAsia="Times New Roman" w:cs="Arial"/>
                <w:sz w:val="16"/>
                <w:szCs w:val="16"/>
                <w:rtl/>
                <w:lang w:eastAsia="fr-FR"/>
              </w:rPr>
              <w:t>‏</w:t>
            </w:r>
            <w:r w:rsidRPr="006C5FEE">
              <w:rPr>
                <w:rFonts w:eastAsia="Times New Roman" w:cs="Arial"/>
                <w:sz w:val="16"/>
                <w:szCs w:val="16"/>
                <w:lang w:eastAsia="fr-FR"/>
              </w:rPr>
              <w:t>’</w:t>
            </w:r>
            <w:r w:rsidRPr="006C5FEE">
              <w:rPr>
                <w:rFonts w:eastAsia="Times New Roman" w:cs="Arial"/>
                <w:sz w:val="16"/>
                <w:szCs w:val="16"/>
                <w:rtl/>
                <w:cs/>
                <w:lang w:eastAsia="fr-FR"/>
              </w:rPr>
              <w:t>‎OMPI pour faciliter l‏’</w:t>
            </w:r>
            <w:r w:rsidRPr="006C5FEE">
              <w:rPr>
                <w:rFonts w:eastAsia="Times New Roman" w:cs="Arial"/>
                <w:sz w:val="16"/>
                <w:szCs w:val="16"/>
                <w:cs/>
                <w:lang w:eastAsia="fr-FR"/>
              </w:rPr>
              <w:t>‎</w:t>
            </w:r>
            <w:r w:rsidRPr="006C5FEE">
              <w:rPr>
                <w:rFonts w:eastAsia="Times New Roman" w:cs="Arial"/>
                <w:sz w:val="16"/>
                <w:szCs w:val="16"/>
                <w:rtl/>
                <w:cs/>
                <w:lang w:eastAsia="fr-FR"/>
              </w:rPr>
              <w:t>accès des parties prenantes du monde entier à l‏’‎</w:t>
            </w:r>
            <w:r w:rsidRPr="006C5FEE">
              <w:rPr>
                <w:rFonts w:eastAsia="Times New Roman" w:cs="Arial"/>
                <w:sz w:val="16"/>
                <w:szCs w:val="16"/>
                <w:lang w:eastAsia="fr-FR"/>
              </w:rPr>
              <w:t>information en matière de propriété intellectuelle, ainsi que son utilisation et sa diffusion</w:t>
            </w:r>
          </w:p>
        </w:tc>
        <w:tc>
          <w:tcPr>
            <w:tcW w:w="1421" w:type="dxa"/>
            <w:tcBorders>
              <w:top w:val="nil"/>
              <w:left w:val="nil"/>
              <w:bottom w:val="nil"/>
              <w:right w:val="nil"/>
            </w:tcBorders>
            <w:shd w:val="clear" w:color="auto" w:fill="auto"/>
            <w:vAlign w:val="center"/>
            <w:hideMark/>
          </w:tcPr>
          <w:p w14:paraId="21297B77" w14:textId="5953688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7 070 </w:t>
            </w:r>
          </w:p>
        </w:tc>
        <w:tc>
          <w:tcPr>
            <w:tcW w:w="1421" w:type="dxa"/>
            <w:tcBorders>
              <w:top w:val="nil"/>
              <w:left w:val="nil"/>
              <w:bottom w:val="nil"/>
              <w:right w:val="nil"/>
            </w:tcBorders>
            <w:shd w:val="clear" w:color="auto" w:fill="auto"/>
            <w:vAlign w:val="center"/>
            <w:hideMark/>
          </w:tcPr>
          <w:p w14:paraId="4F724BF0" w14:textId="6FDDEF9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7 250 </w:t>
            </w:r>
          </w:p>
        </w:tc>
        <w:tc>
          <w:tcPr>
            <w:tcW w:w="1421" w:type="dxa"/>
            <w:tcBorders>
              <w:top w:val="nil"/>
              <w:left w:val="nil"/>
              <w:bottom w:val="nil"/>
              <w:right w:val="nil"/>
            </w:tcBorders>
            <w:shd w:val="clear" w:color="auto" w:fill="auto"/>
            <w:vAlign w:val="center"/>
            <w:hideMark/>
          </w:tcPr>
          <w:p w14:paraId="6ED80981" w14:textId="1C705AD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7 215 </w:t>
            </w:r>
          </w:p>
        </w:tc>
      </w:tr>
      <w:tr w:rsidR="006C5FEE" w:rsidRPr="006C5FEE" w14:paraId="111B4D27" w14:textId="77777777" w:rsidTr="00AC3B37">
        <w:trPr>
          <w:cantSplit/>
        </w:trPr>
        <w:tc>
          <w:tcPr>
            <w:tcW w:w="591" w:type="dxa"/>
            <w:tcBorders>
              <w:top w:val="nil"/>
              <w:left w:val="nil"/>
              <w:bottom w:val="nil"/>
              <w:right w:val="nil"/>
            </w:tcBorders>
            <w:shd w:val="clear" w:color="auto" w:fill="auto"/>
            <w:vAlign w:val="center"/>
            <w:hideMark/>
          </w:tcPr>
          <w:p w14:paraId="7F9950F4"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lastRenderedPageBreak/>
              <w:t>IV.2</w:t>
            </w:r>
          </w:p>
        </w:tc>
        <w:tc>
          <w:tcPr>
            <w:tcW w:w="4620" w:type="dxa"/>
            <w:tcBorders>
              <w:top w:val="nil"/>
              <w:left w:val="nil"/>
              <w:bottom w:val="nil"/>
              <w:right w:val="nil"/>
            </w:tcBorders>
            <w:shd w:val="clear" w:color="auto" w:fill="auto"/>
            <w:vAlign w:val="center"/>
            <w:hideMark/>
          </w:tcPr>
          <w:p w14:paraId="37C3A20B"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421" w:type="dxa"/>
            <w:tcBorders>
              <w:top w:val="nil"/>
              <w:left w:val="nil"/>
              <w:bottom w:val="nil"/>
              <w:right w:val="nil"/>
            </w:tcBorders>
            <w:shd w:val="clear" w:color="auto" w:fill="auto"/>
            <w:vAlign w:val="center"/>
            <w:hideMark/>
          </w:tcPr>
          <w:p w14:paraId="672C4E25" w14:textId="723BC22E"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22 539 </w:t>
            </w:r>
          </w:p>
        </w:tc>
        <w:tc>
          <w:tcPr>
            <w:tcW w:w="1421" w:type="dxa"/>
            <w:tcBorders>
              <w:top w:val="nil"/>
              <w:left w:val="nil"/>
              <w:bottom w:val="nil"/>
              <w:right w:val="nil"/>
            </w:tcBorders>
            <w:shd w:val="clear" w:color="auto" w:fill="auto"/>
            <w:vAlign w:val="center"/>
            <w:hideMark/>
          </w:tcPr>
          <w:p w14:paraId="29BECC97" w14:textId="155862D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22 133 </w:t>
            </w:r>
          </w:p>
        </w:tc>
        <w:tc>
          <w:tcPr>
            <w:tcW w:w="1421" w:type="dxa"/>
            <w:tcBorders>
              <w:top w:val="nil"/>
              <w:left w:val="nil"/>
              <w:bottom w:val="nil"/>
              <w:right w:val="nil"/>
            </w:tcBorders>
            <w:shd w:val="clear" w:color="auto" w:fill="auto"/>
            <w:vAlign w:val="center"/>
            <w:hideMark/>
          </w:tcPr>
          <w:p w14:paraId="17BB8CF5" w14:textId="02119811"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18 726 </w:t>
            </w:r>
          </w:p>
        </w:tc>
      </w:tr>
      <w:tr w:rsidR="006C5FEE" w:rsidRPr="006C5FEE" w14:paraId="6CDEA814" w14:textId="77777777" w:rsidTr="00AC3B37">
        <w:trPr>
          <w:cantSplit/>
        </w:trPr>
        <w:tc>
          <w:tcPr>
            <w:tcW w:w="591" w:type="dxa"/>
            <w:tcBorders>
              <w:top w:val="nil"/>
              <w:left w:val="nil"/>
              <w:bottom w:val="nil"/>
              <w:right w:val="nil"/>
            </w:tcBorders>
            <w:shd w:val="clear" w:color="auto" w:fill="auto"/>
            <w:vAlign w:val="center"/>
            <w:hideMark/>
          </w:tcPr>
          <w:p w14:paraId="5F6B82D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IV.3</w:t>
            </w:r>
          </w:p>
        </w:tc>
        <w:tc>
          <w:tcPr>
            <w:tcW w:w="4620" w:type="dxa"/>
            <w:tcBorders>
              <w:top w:val="nil"/>
              <w:left w:val="nil"/>
              <w:bottom w:val="nil"/>
              <w:right w:val="nil"/>
            </w:tcBorders>
            <w:shd w:val="clear" w:color="auto" w:fill="auto"/>
            <w:vAlign w:val="center"/>
            <w:hideMark/>
          </w:tcPr>
          <w:p w14:paraId="3A8782B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Élargissement de la portée géographique du contenu et de l’utilisation des bases de données mondiales de l’OMPI en matière de propriété intellectuelle</w:t>
            </w:r>
          </w:p>
        </w:tc>
        <w:tc>
          <w:tcPr>
            <w:tcW w:w="1421" w:type="dxa"/>
            <w:tcBorders>
              <w:top w:val="nil"/>
              <w:left w:val="nil"/>
              <w:bottom w:val="nil"/>
              <w:right w:val="nil"/>
            </w:tcBorders>
            <w:shd w:val="clear" w:color="auto" w:fill="auto"/>
            <w:vAlign w:val="center"/>
            <w:hideMark/>
          </w:tcPr>
          <w:p w14:paraId="7BAE960C" w14:textId="303E3B71"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1 956 </w:t>
            </w:r>
          </w:p>
        </w:tc>
        <w:tc>
          <w:tcPr>
            <w:tcW w:w="1421" w:type="dxa"/>
            <w:tcBorders>
              <w:top w:val="nil"/>
              <w:left w:val="nil"/>
              <w:bottom w:val="nil"/>
              <w:right w:val="nil"/>
            </w:tcBorders>
            <w:shd w:val="clear" w:color="auto" w:fill="auto"/>
            <w:vAlign w:val="center"/>
            <w:hideMark/>
          </w:tcPr>
          <w:p w14:paraId="73BF35F4" w14:textId="5E7B3CF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2 196 </w:t>
            </w:r>
          </w:p>
        </w:tc>
        <w:tc>
          <w:tcPr>
            <w:tcW w:w="1421" w:type="dxa"/>
            <w:tcBorders>
              <w:top w:val="nil"/>
              <w:left w:val="nil"/>
              <w:bottom w:val="nil"/>
              <w:right w:val="nil"/>
            </w:tcBorders>
            <w:shd w:val="clear" w:color="auto" w:fill="auto"/>
            <w:vAlign w:val="center"/>
            <w:hideMark/>
          </w:tcPr>
          <w:p w14:paraId="0985CB8D" w14:textId="1D59B81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2 476 </w:t>
            </w:r>
          </w:p>
        </w:tc>
      </w:tr>
      <w:tr w:rsidR="006C5FEE" w:rsidRPr="006C5FEE" w14:paraId="4B9EEE9C" w14:textId="77777777" w:rsidTr="00AC3B37">
        <w:trPr>
          <w:cantSplit/>
        </w:trPr>
        <w:tc>
          <w:tcPr>
            <w:tcW w:w="591" w:type="dxa"/>
            <w:tcBorders>
              <w:top w:val="nil"/>
              <w:left w:val="nil"/>
              <w:bottom w:val="nil"/>
              <w:right w:val="nil"/>
            </w:tcBorders>
            <w:shd w:val="clear" w:color="auto" w:fill="auto"/>
            <w:vAlign w:val="center"/>
            <w:hideMark/>
          </w:tcPr>
          <w:p w14:paraId="34E2E886"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IV.4</w:t>
            </w:r>
          </w:p>
        </w:tc>
        <w:tc>
          <w:tcPr>
            <w:tcW w:w="4620" w:type="dxa"/>
            <w:tcBorders>
              <w:top w:val="nil"/>
              <w:left w:val="nil"/>
              <w:bottom w:val="nil"/>
              <w:right w:val="nil"/>
            </w:tcBorders>
            <w:shd w:val="clear" w:color="auto" w:fill="auto"/>
            <w:vAlign w:val="center"/>
            <w:hideMark/>
          </w:tcPr>
          <w:p w14:paraId="7FFF2DA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l’infrastructure technique et du savoir permettant aux offices de propriété intellectuelle et aux autres institutions de propriété intellectuelle de fournir des services améliorés (moins chers, plus rapides, de meilleure qualité) à leurs parties prenantes et d’obtenir de meilleurs résultat en matière d’administration de la propriété intellectuelle</w:t>
            </w:r>
          </w:p>
        </w:tc>
        <w:tc>
          <w:tcPr>
            <w:tcW w:w="1421" w:type="dxa"/>
            <w:tcBorders>
              <w:top w:val="nil"/>
              <w:left w:val="nil"/>
              <w:bottom w:val="nil"/>
              <w:right w:val="nil"/>
            </w:tcBorders>
            <w:shd w:val="clear" w:color="auto" w:fill="auto"/>
            <w:vAlign w:val="center"/>
            <w:hideMark/>
          </w:tcPr>
          <w:p w14:paraId="7B882D3F" w14:textId="4943992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15 409 </w:t>
            </w:r>
          </w:p>
        </w:tc>
        <w:tc>
          <w:tcPr>
            <w:tcW w:w="1421" w:type="dxa"/>
            <w:tcBorders>
              <w:top w:val="nil"/>
              <w:left w:val="nil"/>
              <w:bottom w:val="nil"/>
              <w:right w:val="nil"/>
            </w:tcBorders>
            <w:shd w:val="clear" w:color="auto" w:fill="auto"/>
            <w:vAlign w:val="center"/>
            <w:hideMark/>
          </w:tcPr>
          <w:p w14:paraId="323CBD34" w14:textId="06C75D4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15 179 </w:t>
            </w:r>
          </w:p>
        </w:tc>
        <w:tc>
          <w:tcPr>
            <w:tcW w:w="1421" w:type="dxa"/>
            <w:tcBorders>
              <w:top w:val="nil"/>
              <w:left w:val="nil"/>
              <w:bottom w:val="nil"/>
              <w:right w:val="nil"/>
            </w:tcBorders>
            <w:shd w:val="clear" w:color="auto" w:fill="auto"/>
            <w:vAlign w:val="center"/>
            <w:hideMark/>
          </w:tcPr>
          <w:p w14:paraId="5F333C58" w14:textId="03D1A785"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17 434 </w:t>
            </w:r>
          </w:p>
        </w:tc>
      </w:tr>
      <w:tr w:rsidR="006C5FEE" w:rsidRPr="006C5FEE" w14:paraId="486D8C96" w14:textId="77777777" w:rsidTr="00AC3B37">
        <w:trPr>
          <w:cantSplit/>
        </w:trPr>
        <w:tc>
          <w:tcPr>
            <w:tcW w:w="591" w:type="dxa"/>
            <w:tcBorders>
              <w:top w:val="nil"/>
              <w:left w:val="nil"/>
              <w:bottom w:val="nil"/>
              <w:right w:val="nil"/>
            </w:tcBorders>
            <w:shd w:val="clear" w:color="auto" w:fill="auto"/>
            <w:vAlign w:val="center"/>
            <w:hideMark/>
          </w:tcPr>
          <w:p w14:paraId="2B34AD1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V.1</w:t>
            </w:r>
          </w:p>
        </w:tc>
        <w:tc>
          <w:tcPr>
            <w:tcW w:w="4620" w:type="dxa"/>
            <w:tcBorders>
              <w:top w:val="nil"/>
              <w:left w:val="nil"/>
              <w:bottom w:val="nil"/>
              <w:right w:val="nil"/>
            </w:tcBorders>
            <w:shd w:val="clear" w:color="auto" w:fill="auto"/>
            <w:vAlign w:val="center"/>
            <w:hideMark/>
          </w:tcPr>
          <w:p w14:paraId="1EE02937"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de l’information statistique de l’OMPI en matière de propriété intellectuelle</w:t>
            </w:r>
          </w:p>
        </w:tc>
        <w:tc>
          <w:tcPr>
            <w:tcW w:w="1421" w:type="dxa"/>
            <w:tcBorders>
              <w:top w:val="nil"/>
              <w:left w:val="nil"/>
              <w:bottom w:val="nil"/>
              <w:right w:val="nil"/>
            </w:tcBorders>
            <w:shd w:val="clear" w:color="auto" w:fill="auto"/>
            <w:vAlign w:val="center"/>
            <w:hideMark/>
          </w:tcPr>
          <w:p w14:paraId="1899D3C3" w14:textId="38DF6EB5"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2 677 </w:t>
            </w:r>
          </w:p>
        </w:tc>
        <w:tc>
          <w:tcPr>
            <w:tcW w:w="1421" w:type="dxa"/>
            <w:tcBorders>
              <w:top w:val="nil"/>
              <w:left w:val="nil"/>
              <w:bottom w:val="nil"/>
              <w:right w:val="nil"/>
            </w:tcBorders>
            <w:shd w:val="clear" w:color="auto" w:fill="auto"/>
            <w:vAlign w:val="center"/>
            <w:hideMark/>
          </w:tcPr>
          <w:p w14:paraId="605D9CD4" w14:textId="6EA6E37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2 447 </w:t>
            </w:r>
          </w:p>
        </w:tc>
        <w:tc>
          <w:tcPr>
            <w:tcW w:w="1421" w:type="dxa"/>
            <w:tcBorders>
              <w:top w:val="nil"/>
              <w:left w:val="nil"/>
              <w:bottom w:val="nil"/>
              <w:right w:val="nil"/>
            </w:tcBorders>
            <w:shd w:val="clear" w:color="auto" w:fill="auto"/>
            <w:vAlign w:val="center"/>
            <w:hideMark/>
          </w:tcPr>
          <w:p w14:paraId="02566BAD" w14:textId="15F8C10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2 659 </w:t>
            </w:r>
          </w:p>
        </w:tc>
      </w:tr>
      <w:tr w:rsidR="006C5FEE" w:rsidRPr="006C5FEE" w14:paraId="0C54E8EC" w14:textId="77777777" w:rsidTr="00AC3B37">
        <w:trPr>
          <w:cantSplit/>
        </w:trPr>
        <w:tc>
          <w:tcPr>
            <w:tcW w:w="591" w:type="dxa"/>
            <w:tcBorders>
              <w:top w:val="nil"/>
              <w:left w:val="nil"/>
              <w:bottom w:val="nil"/>
              <w:right w:val="nil"/>
            </w:tcBorders>
            <w:shd w:val="clear" w:color="auto" w:fill="auto"/>
            <w:vAlign w:val="center"/>
            <w:hideMark/>
          </w:tcPr>
          <w:p w14:paraId="2DB72DF0"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V.2</w:t>
            </w:r>
          </w:p>
        </w:tc>
        <w:tc>
          <w:tcPr>
            <w:tcW w:w="4620" w:type="dxa"/>
            <w:tcBorders>
              <w:top w:val="nil"/>
              <w:left w:val="nil"/>
              <w:bottom w:val="nil"/>
              <w:right w:val="nil"/>
            </w:tcBorders>
            <w:shd w:val="clear" w:color="auto" w:fill="auto"/>
            <w:vAlign w:val="center"/>
            <w:hideMark/>
          </w:tcPr>
          <w:p w14:paraId="676A19B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Utilisation plus large et plus efficace des analyses économiques de l’OMPI aux fins de l’élaboration des politiques</w:t>
            </w:r>
          </w:p>
        </w:tc>
        <w:tc>
          <w:tcPr>
            <w:tcW w:w="1421" w:type="dxa"/>
            <w:tcBorders>
              <w:top w:val="nil"/>
              <w:left w:val="nil"/>
              <w:bottom w:val="nil"/>
              <w:right w:val="nil"/>
            </w:tcBorders>
            <w:shd w:val="clear" w:color="auto" w:fill="auto"/>
            <w:vAlign w:val="center"/>
            <w:hideMark/>
          </w:tcPr>
          <w:p w14:paraId="6C687C68" w14:textId="1370C0D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3 395 </w:t>
            </w:r>
          </w:p>
        </w:tc>
        <w:tc>
          <w:tcPr>
            <w:tcW w:w="1421" w:type="dxa"/>
            <w:tcBorders>
              <w:top w:val="nil"/>
              <w:left w:val="nil"/>
              <w:bottom w:val="nil"/>
              <w:right w:val="nil"/>
            </w:tcBorders>
            <w:shd w:val="clear" w:color="auto" w:fill="auto"/>
            <w:vAlign w:val="center"/>
            <w:hideMark/>
          </w:tcPr>
          <w:p w14:paraId="7F798B34" w14:textId="67A2E0EE"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3 874 </w:t>
            </w:r>
          </w:p>
        </w:tc>
        <w:tc>
          <w:tcPr>
            <w:tcW w:w="1421" w:type="dxa"/>
            <w:tcBorders>
              <w:top w:val="nil"/>
              <w:left w:val="nil"/>
              <w:bottom w:val="nil"/>
              <w:right w:val="nil"/>
            </w:tcBorders>
            <w:shd w:val="clear" w:color="auto" w:fill="auto"/>
            <w:vAlign w:val="center"/>
            <w:hideMark/>
          </w:tcPr>
          <w:p w14:paraId="74DE399B" w14:textId="0311B52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4 259 </w:t>
            </w:r>
          </w:p>
        </w:tc>
      </w:tr>
      <w:tr w:rsidR="006C5FEE" w:rsidRPr="006C5FEE" w14:paraId="2F0C115B" w14:textId="77777777" w:rsidTr="00AC3B37">
        <w:trPr>
          <w:cantSplit/>
        </w:trPr>
        <w:tc>
          <w:tcPr>
            <w:tcW w:w="591" w:type="dxa"/>
            <w:tcBorders>
              <w:top w:val="nil"/>
              <w:left w:val="nil"/>
              <w:bottom w:val="nil"/>
              <w:right w:val="nil"/>
            </w:tcBorders>
            <w:shd w:val="clear" w:color="auto" w:fill="auto"/>
            <w:vAlign w:val="center"/>
            <w:hideMark/>
          </w:tcPr>
          <w:p w14:paraId="307851B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VI.1</w:t>
            </w:r>
          </w:p>
        </w:tc>
        <w:tc>
          <w:tcPr>
            <w:tcW w:w="4620" w:type="dxa"/>
            <w:tcBorders>
              <w:top w:val="nil"/>
              <w:left w:val="nil"/>
              <w:bottom w:val="nil"/>
              <w:right w:val="nil"/>
            </w:tcBorders>
            <w:shd w:val="clear" w:color="auto" w:fill="auto"/>
            <w:vAlign w:val="center"/>
            <w:hideMark/>
          </w:tcPr>
          <w:p w14:paraId="12E3CB3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Progrès du dialogue international entre les États Membres de l’OMPI et les parties prenantes internationales concernées sur la promotion du respect de la propriété intellectuelle, compte tenu de la recommandation n° 45 du Plan d’action de l’OMPI pour le développement</w:t>
            </w:r>
          </w:p>
        </w:tc>
        <w:tc>
          <w:tcPr>
            <w:tcW w:w="1421" w:type="dxa"/>
            <w:tcBorders>
              <w:top w:val="nil"/>
              <w:left w:val="nil"/>
              <w:bottom w:val="nil"/>
              <w:right w:val="nil"/>
            </w:tcBorders>
            <w:shd w:val="clear" w:color="auto" w:fill="auto"/>
            <w:vAlign w:val="center"/>
            <w:hideMark/>
          </w:tcPr>
          <w:p w14:paraId="47F81935" w14:textId="386964B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756 </w:t>
            </w:r>
          </w:p>
        </w:tc>
        <w:tc>
          <w:tcPr>
            <w:tcW w:w="1421" w:type="dxa"/>
            <w:tcBorders>
              <w:top w:val="nil"/>
              <w:left w:val="nil"/>
              <w:bottom w:val="nil"/>
              <w:right w:val="nil"/>
            </w:tcBorders>
            <w:shd w:val="clear" w:color="auto" w:fill="auto"/>
            <w:vAlign w:val="center"/>
            <w:hideMark/>
          </w:tcPr>
          <w:p w14:paraId="13EBD562" w14:textId="6E9BE8B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1 197 </w:t>
            </w:r>
          </w:p>
        </w:tc>
        <w:tc>
          <w:tcPr>
            <w:tcW w:w="1421" w:type="dxa"/>
            <w:tcBorders>
              <w:top w:val="nil"/>
              <w:left w:val="nil"/>
              <w:bottom w:val="nil"/>
              <w:right w:val="nil"/>
            </w:tcBorders>
            <w:shd w:val="clear" w:color="auto" w:fill="auto"/>
            <w:vAlign w:val="center"/>
            <w:hideMark/>
          </w:tcPr>
          <w:p w14:paraId="5965BCE2" w14:textId="595F9F4A"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2 080 </w:t>
            </w:r>
          </w:p>
        </w:tc>
      </w:tr>
      <w:tr w:rsidR="006C5FEE" w:rsidRPr="006C5FEE" w14:paraId="2EEA966E" w14:textId="77777777" w:rsidTr="00AC3B37">
        <w:trPr>
          <w:cantSplit/>
        </w:trPr>
        <w:tc>
          <w:tcPr>
            <w:tcW w:w="591" w:type="dxa"/>
            <w:tcBorders>
              <w:top w:val="nil"/>
              <w:left w:val="nil"/>
              <w:bottom w:val="nil"/>
              <w:right w:val="nil"/>
            </w:tcBorders>
            <w:shd w:val="clear" w:color="auto" w:fill="auto"/>
            <w:vAlign w:val="center"/>
            <w:hideMark/>
          </w:tcPr>
          <w:p w14:paraId="7D028F12"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VI.2</w:t>
            </w:r>
          </w:p>
        </w:tc>
        <w:tc>
          <w:tcPr>
            <w:tcW w:w="4620" w:type="dxa"/>
            <w:tcBorders>
              <w:top w:val="nil"/>
              <w:left w:val="nil"/>
              <w:bottom w:val="nil"/>
              <w:right w:val="nil"/>
            </w:tcBorders>
            <w:shd w:val="clear" w:color="auto" w:fill="auto"/>
            <w:vAlign w:val="center"/>
            <w:hideMark/>
          </w:tcPr>
          <w:p w14:paraId="66379C86"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Coopération et coordination systématiques, efficaces et transparentes entre les activités de l’OMPI et des organisations nationales et internationales dans le domaine de la promotion du respect de la propriété intellectuelle</w:t>
            </w:r>
          </w:p>
        </w:tc>
        <w:tc>
          <w:tcPr>
            <w:tcW w:w="1421" w:type="dxa"/>
            <w:tcBorders>
              <w:top w:val="nil"/>
              <w:left w:val="nil"/>
              <w:bottom w:val="nil"/>
              <w:right w:val="nil"/>
            </w:tcBorders>
            <w:shd w:val="clear" w:color="auto" w:fill="auto"/>
            <w:vAlign w:val="center"/>
            <w:hideMark/>
          </w:tcPr>
          <w:p w14:paraId="7E7CAB99" w14:textId="6E3BC80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1 308 </w:t>
            </w:r>
          </w:p>
        </w:tc>
        <w:tc>
          <w:tcPr>
            <w:tcW w:w="1421" w:type="dxa"/>
            <w:tcBorders>
              <w:top w:val="nil"/>
              <w:left w:val="nil"/>
              <w:bottom w:val="nil"/>
              <w:right w:val="nil"/>
            </w:tcBorders>
            <w:shd w:val="clear" w:color="auto" w:fill="auto"/>
            <w:vAlign w:val="center"/>
            <w:hideMark/>
          </w:tcPr>
          <w:p w14:paraId="0FD01481" w14:textId="06750DF5"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1 494 </w:t>
            </w:r>
          </w:p>
        </w:tc>
        <w:tc>
          <w:tcPr>
            <w:tcW w:w="1421" w:type="dxa"/>
            <w:tcBorders>
              <w:top w:val="nil"/>
              <w:left w:val="nil"/>
              <w:bottom w:val="nil"/>
              <w:right w:val="nil"/>
            </w:tcBorders>
            <w:shd w:val="clear" w:color="auto" w:fill="auto"/>
            <w:vAlign w:val="center"/>
            <w:hideMark/>
          </w:tcPr>
          <w:p w14:paraId="3CAF5F5F" w14:textId="4AF87DF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941 </w:t>
            </w:r>
          </w:p>
        </w:tc>
      </w:tr>
      <w:tr w:rsidR="006C5FEE" w:rsidRPr="006C5FEE" w14:paraId="00EDDC04" w14:textId="77777777" w:rsidTr="00AC3B37">
        <w:trPr>
          <w:cantSplit/>
        </w:trPr>
        <w:tc>
          <w:tcPr>
            <w:tcW w:w="591" w:type="dxa"/>
            <w:tcBorders>
              <w:top w:val="nil"/>
              <w:left w:val="nil"/>
              <w:bottom w:val="nil"/>
              <w:right w:val="nil"/>
            </w:tcBorders>
            <w:shd w:val="clear" w:color="auto" w:fill="auto"/>
            <w:vAlign w:val="center"/>
            <w:hideMark/>
          </w:tcPr>
          <w:p w14:paraId="7899C86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VII.1</w:t>
            </w:r>
          </w:p>
        </w:tc>
        <w:tc>
          <w:tcPr>
            <w:tcW w:w="4620" w:type="dxa"/>
            <w:tcBorders>
              <w:top w:val="nil"/>
              <w:left w:val="nil"/>
              <w:bottom w:val="nil"/>
              <w:right w:val="nil"/>
            </w:tcBorders>
            <w:shd w:val="clear" w:color="auto" w:fill="auto"/>
            <w:vAlign w:val="center"/>
            <w:hideMark/>
          </w:tcPr>
          <w:p w14:paraId="3EAA44CD"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Plateformes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1421" w:type="dxa"/>
            <w:tcBorders>
              <w:top w:val="nil"/>
              <w:left w:val="nil"/>
              <w:bottom w:val="nil"/>
              <w:right w:val="nil"/>
            </w:tcBorders>
            <w:shd w:val="clear" w:color="auto" w:fill="auto"/>
            <w:vAlign w:val="center"/>
            <w:hideMark/>
          </w:tcPr>
          <w:p w14:paraId="251E5274" w14:textId="53A5350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3 950 </w:t>
            </w:r>
          </w:p>
        </w:tc>
        <w:tc>
          <w:tcPr>
            <w:tcW w:w="1421" w:type="dxa"/>
            <w:tcBorders>
              <w:top w:val="nil"/>
              <w:left w:val="nil"/>
              <w:bottom w:val="nil"/>
              <w:right w:val="nil"/>
            </w:tcBorders>
            <w:shd w:val="clear" w:color="auto" w:fill="auto"/>
            <w:vAlign w:val="center"/>
            <w:hideMark/>
          </w:tcPr>
          <w:p w14:paraId="174DE7C9" w14:textId="03EF991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4 815 </w:t>
            </w:r>
          </w:p>
        </w:tc>
        <w:tc>
          <w:tcPr>
            <w:tcW w:w="1421" w:type="dxa"/>
            <w:tcBorders>
              <w:top w:val="nil"/>
              <w:left w:val="nil"/>
              <w:bottom w:val="nil"/>
              <w:right w:val="nil"/>
            </w:tcBorders>
            <w:shd w:val="clear" w:color="auto" w:fill="auto"/>
            <w:vAlign w:val="center"/>
            <w:hideMark/>
          </w:tcPr>
          <w:p w14:paraId="22C1D3FA" w14:textId="446EB8F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6 968 </w:t>
            </w:r>
          </w:p>
        </w:tc>
      </w:tr>
      <w:tr w:rsidR="006C5FEE" w:rsidRPr="006C5FEE" w14:paraId="02C97DC8" w14:textId="77777777" w:rsidTr="00AC3B37">
        <w:trPr>
          <w:cantSplit/>
        </w:trPr>
        <w:tc>
          <w:tcPr>
            <w:tcW w:w="591" w:type="dxa"/>
            <w:tcBorders>
              <w:top w:val="nil"/>
              <w:left w:val="nil"/>
              <w:bottom w:val="nil"/>
              <w:right w:val="nil"/>
            </w:tcBorders>
            <w:shd w:val="clear" w:color="auto" w:fill="auto"/>
            <w:vAlign w:val="center"/>
            <w:hideMark/>
          </w:tcPr>
          <w:p w14:paraId="401E2FC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VIII.1</w:t>
            </w:r>
          </w:p>
        </w:tc>
        <w:tc>
          <w:tcPr>
            <w:tcW w:w="4620" w:type="dxa"/>
            <w:tcBorders>
              <w:top w:val="nil"/>
              <w:left w:val="nil"/>
              <w:bottom w:val="nil"/>
              <w:right w:val="nil"/>
            </w:tcBorders>
            <w:shd w:val="clear" w:color="auto" w:fill="auto"/>
            <w:vAlign w:val="center"/>
            <w:hideMark/>
          </w:tcPr>
          <w:p w14:paraId="611C23E9"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Communication plus efficace avec un public large et varié concernant la propriété intellectuelle et le rôle de l’OMPI</w:t>
            </w:r>
          </w:p>
        </w:tc>
        <w:tc>
          <w:tcPr>
            <w:tcW w:w="1421" w:type="dxa"/>
            <w:tcBorders>
              <w:top w:val="nil"/>
              <w:left w:val="nil"/>
              <w:bottom w:val="nil"/>
              <w:right w:val="nil"/>
            </w:tcBorders>
            <w:shd w:val="clear" w:color="auto" w:fill="auto"/>
            <w:vAlign w:val="center"/>
            <w:hideMark/>
          </w:tcPr>
          <w:p w14:paraId="0F9A8A8C" w14:textId="405BD68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12 033 </w:t>
            </w:r>
          </w:p>
        </w:tc>
        <w:tc>
          <w:tcPr>
            <w:tcW w:w="1421" w:type="dxa"/>
            <w:tcBorders>
              <w:top w:val="nil"/>
              <w:left w:val="nil"/>
              <w:bottom w:val="nil"/>
              <w:right w:val="nil"/>
            </w:tcBorders>
            <w:shd w:val="clear" w:color="auto" w:fill="auto"/>
            <w:vAlign w:val="center"/>
            <w:hideMark/>
          </w:tcPr>
          <w:p w14:paraId="36C1DBBA" w14:textId="1298A45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12 965 </w:t>
            </w:r>
          </w:p>
        </w:tc>
        <w:tc>
          <w:tcPr>
            <w:tcW w:w="1421" w:type="dxa"/>
            <w:tcBorders>
              <w:top w:val="nil"/>
              <w:left w:val="nil"/>
              <w:bottom w:val="nil"/>
              <w:right w:val="nil"/>
            </w:tcBorders>
            <w:shd w:val="clear" w:color="auto" w:fill="auto"/>
            <w:vAlign w:val="center"/>
            <w:hideMark/>
          </w:tcPr>
          <w:p w14:paraId="46173142" w14:textId="10808C8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12 406 </w:t>
            </w:r>
          </w:p>
        </w:tc>
      </w:tr>
      <w:tr w:rsidR="006C5FEE" w:rsidRPr="006C5FEE" w14:paraId="58E0CBFD" w14:textId="77777777" w:rsidTr="00AC3B37">
        <w:trPr>
          <w:cantSplit/>
        </w:trPr>
        <w:tc>
          <w:tcPr>
            <w:tcW w:w="591" w:type="dxa"/>
            <w:tcBorders>
              <w:top w:val="nil"/>
              <w:left w:val="nil"/>
              <w:bottom w:val="nil"/>
              <w:right w:val="nil"/>
            </w:tcBorders>
            <w:shd w:val="clear" w:color="auto" w:fill="auto"/>
            <w:vAlign w:val="center"/>
            <w:hideMark/>
          </w:tcPr>
          <w:p w14:paraId="06EB1C1B"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VIII.2</w:t>
            </w:r>
          </w:p>
        </w:tc>
        <w:tc>
          <w:tcPr>
            <w:tcW w:w="4620" w:type="dxa"/>
            <w:tcBorders>
              <w:top w:val="nil"/>
              <w:left w:val="nil"/>
              <w:bottom w:val="nil"/>
              <w:right w:val="nil"/>
            </w:tcBorders>
            <w:shd w:val="clear" w:color="auto" w:fill="auto"/>
            <w:vAlign w:val="center"/>
            <w:hideMark/>
          </w:tcPr>
          <w:p w14:paraId="04A1DF0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Amélioration de l’orientation vers les services et de la réactivité à la demande</w:t>
            </w:r>
          </w:p>
        </w:tc>
        <w:tc>
          <w:tcPr>
            <w:tcW w:w="1421" w:type="dxa"/>
            <w:tcBorders>
              <w:top w:val="nil"/>
              <w:left w:val="nil"/>
              <w:bottom w:val="nil"/>
              <w:right w:val="nil"/>
            </w:tcBorders>
            <w:shd w:val="clear" w:color="auto" w:fill="auto"/>
            <w:vAlign w:val="center"/>
            <w:hideMark/>
          </w:tcPr>
          <w:p w14:paraId="50F4CD65" w14:textId="19D101DE"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6 219 </w:t>
            </w:r>
          </w:p>
        </w:tc>
        <w:tc>
          <w:tcPr>
            <w:tcW w:w="1421" w:type="dxa"/>
            <w:tcBorders>
              <w:top w:val="nil"/>
              <w:left w:val="nil"/>
              <w:bottom w:val="nil"/>
              <w:right w:val="nil"/>
            </w:tcBorders>
            <w:shd w:val="clear" w:color="auto" w:fill="auto"/>
            <w:vAlign w:val="center"/>
            <w:hideMark/>
          </w:tcPr>
          <w:p w14:paraId="5A78746F" w14:textId="0241547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6 138 </w:t>
            </w:r>
          </w:p>
        </w:tc>
        <w:tc>
          <w:tcPr>
            <w:tcW w:w="1421" w:type="dxa"/>
            <w:tcBorders>
              <w:top w:val="nil"/>
              <w:left w:val="nil"/>
              <w:bottom w:val="nil"/>
              <w:right w:val="nil"/>
            </w:tcBorders>
            <w:shd w:val="clear" w:color="auto" w:fill="auto"/>
            <w:vAlign w:val="center"/>
            <w:hideMark/>
          </w:tcPr>
          <w:p w14:paraId="5A17A9FA" w14:textId="66BADFD4"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7 128 </w:t>
            </w:r>
          </w:p>
        </w:tc>
      </w:tr>
      <w:tr w:rsidR="006C5FEE" w:rsidRPr="006C5FEE" w14:paraId="4052C3C7" w14:textId="77777777" w:rsidTr="00AC3B37">
        <w:trPr>
          <w:cantSplit/>
        </w:trPr>
        <w:tc>
          <w:tcPr>
            <w:tcW w:w="591" w:type="dxa"/>
            <w:tcBorders>
              <w:top w:val="nil"/>
              <w:left w:val="nil"/>
              <w:bottom w:val="nil"/>
              <w:right w:val="nil"/>
            </w:tcBorders>
            <w:shd w:val="clear" w:color="auto" w:fill="auto"/>
            <w:vAlign w:val="center"/>
            <w:hideMark/>
          </w:tcPr>
          <w:p w14:paraId="42FE7F87"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VIII.3</w:t>
            </w:r>
          </w:p>
        </w:tc>
        <w:tc>
          <w:tcPr>
            <w:tcW w:w="4620" w:type="dxa"/>
            <w:tcBorders>
              <w:top w:val="nil"/>
              <w:left w:val="nil"/>
              <w:bottom w:val="nil"/>
              <w:right w:val="nil"/>
            </w:tcBorders>
            <w:shd w:val="clear" w:color="auto" w:fill="auto"/>
            <w:vAlign w:val="center"/>
            <w:hideMark/>
          </w:tcPr>
          <w:p w14:paraId="386F36F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Engagement réel auprès des États membres</w:t>
            </w:r>
          </w:p>
        </w:tc>
        <w:tc>
          <w:tcPr>
            <w:tcW w:w="1421" w:type="dxa"/>
            <w:tcBorders>
              <w:top w:val="nil"/>
              <w:left w:val="nil"/>
              <w:bottom w:val="nil"/>
              <w:right w:val="nil"/>
            </w:tcBorders>
            <w:shd w:val="clear" w:color="auto" w:fill="auto"/>
            <w:vAlign w:val="center"/>
            <w:hideMark/>
          </w:tcPr>
          <w:p w14:paraId="1D9D2C54" w14:textId="1F519F7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7 099 </w:t>
            </w:r>
          </w:p>
        </w:tc>
        <w:tc>
          <w:tcPr>
            <w:tcW w:w="1421" w:type="dxa"/>
            <w:tcBorders>
              <w:top w:val="nil"/>
              <w:left w:val="nil"/>
              <w:bottom w:val="nil"/>
              <w:right w:val="nil"/>
            </w:tcBorders>
            <w:shd w:val="clear" w:color="auto" w:fill="auto"/>
            <w:vAlign w:val="center"/>
            <w:hideMark/>
          </w:tcPr>
          <w:p w14:paraId="31BA50A2" w14:textId="195F49F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7 040 </w:t>
            </w:r>
          </w:p>
        </w:tc>
        <w:tc>
          <w:tcPr>
            <w:tcW w:w="1421" w:type="dxa"/>
            <w:tcBorders>
              <w:top w:val="nil"/>
              <w:left w:val="nil"/>
              <w:bottom w:val="nil"/>
              <w:right w:val="nil"/>
            </w:tcBorders>
            <w:shd w:val="clear" w:color="auto" w:fill="auto"/>
            <w:vAlign w:val="center"/>
            <w:hideMark/>
          </w:tcPr>
          <w:p w14:paraId="53B42095" w14:textId="2A29AAC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7 342 </w:t>
            </w:r>
          </w:p>
        </w:tc>
      </w:tr>
      <w:tr w:rsidR="006C5FEE" w:rsidRPr="006C5FEE" w14:paraId="7A177053" w14:textId="77777777" w:rsidTr="00AC3B37">
        <w:trPr>
          <w:cantSplit/>
        </w:trPr>
        <w:tc>
          <w:tcPr>
            <w:tcW w:w="591" w:type="dxa"/>
            <w:tcBorders>
              <w:top w:val="nil"/>
              <w:left w:val="nil"/>
              <w:bottom w:val="nil"/>
              <w:right w:val="nil"/>
            </w:tcBorders>
            <w:shd w:val="clear" w:color="auto" w:fill="auto"/>
            <w:vAlign w:val="center"/>
            <w:hideMark/>
          </w:tcPr>
          <w:p w14:paraId="422D865B"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VIII.4</w:t>
            </w:r>
          </w:p>
        </w:tc>
        <w:tc>
          <w:tcPr>
            <w:tcW w:w="4620" w:type="dxa"/>
            <w:tcBorders>
              <w:top w:val="nil"/>
              <w:left w:val="nil"/>
              <w:bottom w:val="nil"/>
              <w:right w:val="nil"/>
            </w:tcBorders>
            <w:shd w:val="clear" w:color="auto" w:fill="auto"/>
            <w:vAlign w:val="center"/>
            <w:hideMark/>
          </w:tcPr>
          <w:p w14:paraId="67881B76"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Échanges ouverts, transparents et dynamiques avec les parties prenantes non gouvernementales</w:t>
            </w:r>
          </w:p>
        </w:tc>
        <w:tc>
          <w:tcPr>
            <w:tcW w:w="1421" w:type="dxa"/>
            <w:tcBorders>
              <w:top w:val="nil"/>
              <w:left w:val="nil"/>
              <w:bottom w:val="nil"/>
              <w:right w:val="nil"/>
            </w:tcBorders>
            <w:shd w:val="clear" w:color="auto" w:fill="auto"/>
            <w:vAlign w:val="center"/>
            <w:hideMark/>
          </w:tcPr>
          <w:p w14:paraId="6B9265DE" w14:textId="77A62A6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1 128 </w:t>
            </w:r>
          </w:p>
        </w:tc>
        <w:tc>
          <w:tcPr>
            <w:tcW w:w="1421" w:type="dxa"/>
            <w:tcBorders>
              <w:top w:val="nil"/>
              <w:left w:val="nil"/>
              <w:bottom w:val="nil"/>
              <w:right w:val="nil"/>
            </w:tcBorders>
            <w:shd w:val="clear" w:color="auto" w:fill="auto"/>
            <w:vAlign w:val="center"/>
            <w:hideMark/>
          </w:tcPr>
          <w:p w14:paraId="6A5AD3FB" w14:textId="0B47713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580 </w:t>
            </w:r>
          </w:p>
        </w:tc>
        <w:tc>
          <w:tcPr>
            <w:tcW w:w="1421" w:type="dxa"/>
            <w:tcBorders>
              <w:top w:val="nil"/>
              <w:left w:val="nil"/>
              <w:bottom w:val="nil"/>
              <w:right w:val="nil"/>
            </w:tcBorders>
            <w:shd w:val="clear" w:color="auto" w:fill="auto"/>
            <w:vAlign w:val="center"/>
            <w:hideMark/>
          </w:tcPr>
          <w:p w14:paraId="39833866" w14:textId="7EAAF06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 786 </w:t>
            </w:r>
          </w:p>
        </w:tc>
      </w:tr>
      <w:tr w:rsidR="006C5FEE" w:rsidRPr="006C5FEE" w14:paraId="2EB6D44B" w14:textId="77777777" w:rsidTr="00AC3B37">
        <w:trPr>
          <w:cantSplit/>
        </w:trPr>
        <w:tc>
          <w:tcPr>
            <w:tcW w:w="591" w:type="dxa"/>
            <w:tcBorders>
              <w:top w:val="nil"/>
              <w:left w:val="nil"/>
              <w:bottom w:val="nil"/>
              <w:right w:val="nil"/>
            </w:tcBorders>
            <w:shd w:val="clear" w:color="auto" w:fill="auto"/>
            <w:vAlign w:val="center"/>
            <w:hideMark/>
          </w:tcPr>
          <w:p w14:paraId="703D2718"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VIII.5</w:t>
            </w:r>
          </w:p>
        </w:tc>
        <w:tc>
          <w:tcPr>
            <w:tcW w:w="4620" w:type="dxa"/>
            <w:tcBorders>
              <w:top w:val="nil"/>
              <w:left w:val="nil"/>
              <w:bottom w:val="nil"/>
              <w:right w:val="nil"/>
            </w:tcBorders>
            <w:shd w:val="clear" w:color="auto" w:fill="auto"/>
            <w:vAlign w:val="center"/>
            <w:hideMark/>
          </w:tcPr>
          <w:p w14:paraId="7511C92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L’OMPI collabore efficacement avec d’autres processus et instances de négociation de l’ONU et d’autres organisations intergouvernementales</w:t>
            </w:r>
          </w:p>
        </w:tc>
        <w:tc>
          <w:tcPr>
            <w:tcW w:w="1421" w:type="dxa"/>
            <w:tcBorders>
              <w:top w:val="nil"/>
              <w:left w:val="nil"/>
              <w:bottom w:val="nil"/>
              <w:right w:val="nil"/>
            </w:tcBorders>
            <w:shd w:val="clear" w:color="auto" w:fill="auto"/>
            <w:vAlign w:val="center"/>
            <w:hideMark/>
          </w:tcPr>
          <w:p w14:paraId="465F3D6E" w14:textId="3CB593C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6 196 </w:t>
            </w:r>
          </w:p>
        </w:tc>
        <w:tc>
          <w:tcPr>
            <w:tcW w:w="1421" w:type="dxa"/>
            <w:tcBorders>
              <w:top w:val="nil"/>
              <w:left w:val="nil"/>
              <w:bottom w:val="nil"/>
              <w:right w:val="nil"/>
            </w:tcBorders>
            <w:shd w:val="clear" w:color="auto" w:fill="auto"/>
            <w:vAlign w:val="center"/>
            <w:hideMark/>
          </w:tcPr>
          <w:p w14:paraId="4EC47176" w14:textId="1CF3E5F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6 189 </w:t>
            </w:r>
          </w:p>
        </w:tc>
        <w:tc>
          <w:tcPr>
            <w:tcW w:w="1421" w:type="dxa"/>
            <w:tcBorders>
              <w:top w:val="nil"/>
              <w:left w:val="nil"/>
              <w:bottom w:val="nil"/>
              <w:right w:val="nil"/>
            </w:tcBorders>
            <w:shd w:val="clear" w:color="auto" w:fill="auto"/>
            <w:vAlign w:val="center"/>
            <w:hideMark/>
          </w:tcPr>
          <w:p w14:paraId="6141A72A" w14:textId="1B8930D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6 357 </w:t>
            </w:r>
          </w:p>
        </w:tc>
      </w:tr>
      <w:tr w:rsidR="006C5FEE" w:rsidRPr="006C5FEE" w14:paraId="3A4B9335" w14:textId="77777777" w:rsidTr="00AC3B37">
        <w:trPr>
          <w:cantSplit/>
        </w:trPr>
        <w:tc>
          <w:tcPr>
            <w:tcW w:w="591" w:type="dxa"/>
            <w:tcBorders>
              <w:top w:val="nil"/>
              <w:left w:val="nil"/>
              <w:bottom w:val="nil"/>
              <w:right w:val="nil"/>
            </w:tcBorders>
            <w:shd w:val="clear" w:color="auto" w:fill="auto"/>
            <w:vAlign w:val="center"/>
            <w:hideMark/>
          </w:tcPr>
          <w:p w14:paraId="36FB1983"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IX.1</w:t>
            </w:r>
          </w:p>
        </w:tc>
        <w:tc>
          <w:tcPr>
            <w:tcW w:w="4620" w:type="dxa"/>
            <w:tcBorders>
              <w:top w:val="nil"/>
              <w:left w:val="nil"/>
              <w:bottom w:val="nil"/>
              <w:right w:val="nil"/>
            </w:tcBorders>
            <w:shd w:val="clear" w:color="auto" w:fill="auto"/>
            <w:vAlign w:val="center"/>
            <w:hideMark/>
          </w:tcPr>
          <w:p w14:paraId="5A0E8F61"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Services d’appui efficaces, efficients, de qualité et tournés vers la clientèle, à l’intention à la fois des clients internes et des parties prenantes externes</w:t>
            </w:r>
          </w:p>
        </w:tc>
        <w:tc>
          <w:tcPr>
            <w:tcW w:w="1421" w:type="dxa"/>
            <w:tcBorders>
              <w:top w:val="nil"/>
              <w:left w:val="nil"/>
              <w:bottom w:val="nil"/>
              <w:right w:val="nil"/>
            </w:tcBorders>
            <w:shd w:val="clear" w:color="auto" w:fill="auto"/>
            <w:vAlign w:val="center"/>
            <w:hideMark/>
          </w:tcPr>
          <w:p w14:paraId="7B9F5F71" w14:textId="53CAA51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165 356 </w:t>
            </w:r>
          </w:p>
        </w:tc>
        <w:tc>
          <w:tcPr>
            <w:tcW w:w="1421" w:type="dxa"/>
            <w:tcBorders>
              <w:top w:val="nil"/>
              <w:left w:val="nil"/>
              <w:bottom w:val="nil"/>
              <w:right w:val="nil"/>
            </w:tcBorders>
            <w:shd w:val="clear" w:color="auto" w:fill="auto"/>
            <w:vAlign w:val="center"/>
            <w:hideMark/>
          </w:tcPr>
          <w:p w14:paraId="2C1D5EC6" w14:textId="202CA4E6"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168 997 </w:t>
            </w:r>
          </w:p>
        </w:tc>
        <w:tc>
          <w:tcPr>
            <w:tcW w:w="1421" w:type="dxa"/>
            <w:tcBorders>
              <w:top w:val="nil"/>
              <w:left w:val="nil"/>
              <w:bottom w:val="nil"/>
              <w:right w:val="nil"/>
            </w:tcBorders>
            <w:shd w:val="clear" w:color="auto" w:fill="auto"/>
            <w:vAlign w:val="center"/>
            <w:hideMark/>
          </w:tcPr>
          <w:p w14:paraId="7DC99AFB" w14:textId="792389CF"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162 673 </w:t>
            </w:r>
          </w:p>
        </w:tc>
      </w:tr>
      <w:tr w:rsidR="006C5FEE" w:rsidRPr="006C5FEE" w14:paraId="5E152BCC" w14:textId="77777777" w:rsidTr="00AC3B37">
        <w:trPr>
          <w:cantSplit/>
        </w:trPr>
        <w:tc>
          <w:tcPr>
            <w:tcW w:w="591" w:type="dxa"/>
            <w:tcBorders>
              <w:top w:val="nil"/>
              <w:left w:val="nil"/>
              <w:bottom w:val="nil"/>
              <w:right w:val="nil"/>
            </w:tcBorders>
            <w:shd w:val="clear" w:color="auto" w:fill="auto"/>
            <w:vAlign w:val="center"/>
            <w:hideMark/>
          </w:tcPr>
          <w:p w14:paraId="005B340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IX.2</w:t>
            </w:r>
          </w:p>
        </w:tc>
        <w:tc>
          <w:tcPr>
            <w:tcW w:w="4620" w:type="dxa"/>
            <w:tcBorders>
              <w:top w:val="nil"/>
              <w:left w:val="nil"/>
              <w:bottom w:val="nil"/>
              <w:right w:val="nil"/>
            </w:tcBorders>
            <w:shd w:val="clear" w:color="auto" w:fill="auto"/>
            <w:vAlign w:val="center"/>
            <w:hideMark/>
          </w:tcPr>
          <w:p w14:paraId="45E85107"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Un Secrétariat réactif, efficace et doté de ressources humaines bien gérées et compétentes, à même d’obtenir des résultats concrets</w:t>
            </w:r>
          </w:p>
        </w:tc>
        <w:tc>
          <w:tcPr>
            <w:tcW w:w="1421" w:type="dxa"/>
            <w:tcBorders>
              <w:top w:val="nil"/>
              <w:left w:val="nil"/>
              <w:bottom w:val="nil"/>
              <w:right w:val="nil"/>
            </w:tcBorders>
            <w:shd w:val="clear" w:color="auto" w:fill="auto"/>
            <w:vAlign w:val="center"/>
            <w:hideMark/>
          </w:tcPr>
          <w:p w14:paraId="7C795ADF" w14:textId="44BA31B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35 257 </w:t>
            </w:r>
          </w:p>
        </w:tc>
        <w:tc>
          <w:tcPr>
            <w:tcW w:w="1421" w:type="dxa"/>
            <w:tcBorders>
              <w:top w:val="nil"/>
              <w:left w:val="nil"/>
              <w:bottom w:val="nil"/>
              <w:right w:val="nil"/>
            </w:tcBorders>
            <w:shd w:val="clear" w:color="auto" w:fill="auto"/>
            <w:vAlign w:val="center"/>
            <w:hideMark/>
          </w:tcPr>
          <w:p w14:paraId="56A029BA" w14:textId="01974675"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36 142 </w:t>
            </w:r>
          </w:p>
        </w:tc>
        <w:tc>
          <w:tcPr>
            <w:tcW w:w="1421" w:type="dxa"/>
            <w:tcBorders>
              <w:top w:val="nil"/>
              <w:left w:val="nil"/>
              <w:bottom w:val="nil"/>
              <w:right w:val="nil"/>
            </w:tcBorders>
            <w:shd w:val="clear" w:color="auto" w:fill="auto"/>
            <w:vAlign w:val="center"/>
            <w:hideMark/>
          </w:tcPr>
          <w:p w14:paraId="596DA30E" w14:textId="775F29F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37 208 </w:t>
            </w:r>
          </w:p>
        </w:tc>
      </w:tr>
      <w:tr w:rsidR="006C5FEE" w:rsidRPr="006C5FEE" w14:paraId="3A8EEC8D" w14:textId="77777777" w:rsidTr="00AC3B37">
        <w:trPr>
          <w:cantSplit/>
        </w:trPr>
        <w:tc>
          <w:tcPr>
            <w:tcW w:w="591" w:type="dxa"/>
            <w:tcBorders>
              <w:top w:val="nil"/>
              <w:left w:val="nil"/>
              <w:bottom w:val="nil"/>
              <w:right w:val="nil"/>
            </w:tcBorders>
            <w:shd w:val="clear" w:color="auto" w:fill="auto"/>
            <w:vAlign w:val="center"/>
            <w:hideMark/>
          </w:tcPr>
          <w:p w14:paraId="6D3E1789"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IX.3</w:t>
            </w:r>
          </w:p>
        </w:tc>
        <w:tc>
          <w:tcPr>
            <w:tcW w:w="4620" w:type="dxa"/>
            <w:tcBorders>
              <w:top w:val="nil"/>
              <w:left w:val="nil"/>
              <w:bottom w:val="nil"/>
              <w:right w:val="nil"/>
            </w:tcBorders>
            <w:shd w:val="clear" w:color="auto" w:fill="auto"/>
            <w:vAlign w:val="center"/>
            <w:hideMark/>
          </w:tcPr>
          <w:p w14:paraId="0219C83A"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Un environnement de travail stimulant étayé par un cadre réglementaire efficace et des voies appropriées pour répondre aux préoccupations du personnel</w:t>
            </w:r>
          </w:p>
        </w:tc>
        <w:tc>
          <w:tcPr>
            <w:tcW w:w="1421" w:type="dxa"/>
            <w:tcBorders>
              <w:top w:val="nil"/>
              <w:left w:val="nil"/>
              <w:bottom w:val="nil"/>
              <w:right w:val="nil"/>
            </w:tcBorders>
            <w:shd w:val="clear" w:color="auto" w:fill="auto"/>
            <w:vAlign w:val="center"/>
            <w:hideMark/>
          </w:tcPr>
          <w:p w14:paraId="32230A4D" w14:textId="6BBEC5D9"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2 540 </w:t>
            </w:r>
          </w:p>
        </w:tc>
        <w:tc>
          <w:tcPr>
            <w:tcW w:w="1421" w:type="dxa"/>
            <w:tcBorders>
              <w:top w:val="nil"/>
              <w:left w:val="nil"/>
              <w:bottom w:val="nil"/>
              <w:right w:val="nil"/>
            </w:tcBorders>
            <w:shd w:val="clear" w:color="auto" w:fill="auto"/>
            <w:vAlign w:val="center"/>
            <w:hideMark/>
          </w:tcPr>
          <w:p w14:paraId="054EEC6B" w14:textId="10B8FBD0"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3 097 </w:t>
            </w:r>
          </w:p>
        </w:tc>
        <w:tc>
          <w:tcPr>
            <w:tcW w:w="1421" w:type="dxa"/>
            <w:tcBorders>
              <w:top w:val="nil"/>
              <w:left w:val="nil"/>
              <w:bottom w:val="nil"/>
              <w:right w:val="nil"/>
            </w:tcBorders>
            <w:shd w:val="clear" w:color="auto" w:fill="auto"/>
            <w:vAlign w:val="center"/>
            <w:hideMark/>
          </w:tcPr>
          <w:p w14:paraId="3FD07114" w14:textId="636AC501"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2 107 </w:t>
            </w:r>
          </w:p>
        </w:tc>
      </w:tr>
      <w:tr w:rsidR="006C5FEE" w:rsidRPr="006C5FEE" w14:paraId="67BCFE2A" w14:textId="77777777" w:rsidTr="00AC3B37">
        <w:trPr>
          <w:cantSplit/>
        </w:trPr>
        <w:tc>
          <w:tcPr>
            <w:tcW w:w="591" w:type="dxa"/>
            <w:tcBorders>
              <w:top w:val="nil"/>
              <w:left w:val="nil"/>
              <w:bottom w:val="nil"/>
              <w:right w:val="nil"/>
            </w:tcBorders>
            <w:shd w:val="clear" w:color="auto" w:fill="auto"/>
            <w:vAlign w:val="center"/>
            <w:hideMark/>
          </w:tcPr>
          <w:p w14:paraId="1815A05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IX.4</w:t>
            </w:r>
          </w:p>
        </w:tc>
        <w:tc>
          <w:tcPr>
            <w:tcW w:w="4620" w:type="dxa"/>
            <w:tcBorders>
              <w:top w:val="nil"/>
              <w:left w:val="nil"/>
              <w:bottom w:val="nil"/>
              <w:right w:val="nil"/>
            </w:tcBorders>
            <w:shd w:val="clear" w:color="auto" w:fill="auto"/>
            <w:vAlign w:val="center"/>
            <w:hideMark/>
          </w:tcPr>
          <w:p w14:paraId="10B5B9AC"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Une organisation écologiquement et socialement responsable assurant la sûreté et la sécurité du personnel, des délégués, des visiteurs, de l’information et des biens</w:t>
            </w:r>
          </w:p>
        </w:tc>
        <w:tc>
          <w:tcPr>
            <w:tcW w:w="1421" w:type="dxa"/>
            <w:tcBorders>
              <w:top w:val="nil"/>
              <w:left w:val="nil"/>
              <w:bottom w:val="nil"/>
              <w:right w:val="nil"/>
            </w:tcBorders>
            <w:shd w:val="clear" w:color="auto" w:fill="auto"/>
            <w:vAlign w:val="center"/>
            <w:hideMark/>
          </w:tcPr>
          <w:p w14:paraId="26A0C391" w14:textId="6381ABDE"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18 403 </w:t>
            </w:r>
          </w:p>
        </w:tc>
        <w:tc>
          <w:tcPr>
            <w:tcW w:w="1421" w:type="dxa"/>
            <w:tcBorders>
              <w:top w:val="nil"/>
              <w:left w:val="nil"/>
              <w:bottom w:val="nil"/>
              <w:right w:val="nil"/>
            </w:tcBorders>
            <w:shd w:val="clear" w:color="auto" w:fill="auto"/>
            <w:vAlign w:val="center"/>
            <w:hideMark/>
          </w:tcPr>
          <w:p w14:paraId="007B617B" w14:textId="6E707D87"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18 385 </w:t>
            </w:r>
          </w:p>
        </w:tc>
        <w:tc>
          <w:tcPr>
            <w:tcW w:w="1421" w:type="dxa"/>
            <w:tcBorders>
              <w:top w:val="nil"/>
              <w:left w:val="nil"/>
              <w:bottom w:val="nil"/>
              <w:right w:val="nil"/>
            </w:tcBorders>
            <w:shd w:val="clear" w:color="auto" w:fill="auto"/>
            <w:vAlign w:val="center"/>
            <w:hideMark/>
          </w:tcPr>
          <w:p w14:paraId="185749F5" w14:textId="239FFE6C"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21 890 </w:t>
            </w:r>
          </w:p>
        </w:tc>
      </w:tr>
      <w:tr w:rsidR="006C5FEE" w:rsidRPr="006C5FEE" w14:paraId="6746035A" w14:textId="77777777" w:rsidTr="00AC3B37">
        <w:trPr>
          <w:cantSplit/>
          <w:trHeight w:val="765"/>
        </w:trPr>
        <w:tc>
          <w:tcPr>
            <w:tcW w:w="591" w:type="dxa"/>
            <w:tcBorders>
              <w:top w:val="nil"/>
              <w:left w:val="nil"/>
              <w:bottom w:val="nil"/>
              <w:right w:val="nil"/>
            </w:tcBorders>
            <w:shd w:val="clear" w:color="auto" w:fill="auto"/>
            <w:vAlign w:val="center"/>
            <w:hideMark/>
          </w:tcPr>
          <w:p w14:paraId="586F8582"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IX.5</w:t>
            </w:r>
          </w:p>
        </w:tc>
        <w:tc>
          <w:tcPr>
            <w:tcW w:w="4620" w:type="dxa"/>
            <w:tcBorders>
              <w:top w:val="nil"/>
              <w:left w:val="nil"/>
              <w:bottom w:val="nil"/>
              <w:right w:val="nil"/>
            </w:tcBorders>
            <w:shd w:val="clear" w:color="auto" w:fill="auto"/>
            <w:vAlign w:val="center"/>
            <w:hideMark/>
          </w:tcPr>
          <w:p w14:paraId="4961B234"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1421" w:type="dxa"/>
            <w:tcBorders>
              <w:top w:val="nil"/>
              <w:left w:val="nil"/>
              <w:bottom w:val="nil"/>
              <w:right w:val="nil"/>
            </w:tcBorders>
            <w:shd w:val="clear" w:color="auto" w:fill="auto"/>
            <w:vAlign w:val="center"/>
            <w:hideMark/>
          </w:tcPr>
          <w:p w14:paraId="43FE56E6" w14:textId="23A11648"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7 035 </w:t>
            </w:r>
          </w:p>
        </w:tc>
        <w:tc>
          <w:tcPr>
            <w:tcW w:w="1421" w:type="dxa"/>
            <w:tcBorders>
              <w:top w:val="nil"/>
              <w:left w:val="nil"/>
              <w:bottom w:val="nil"/>
              <w:right w:val="nil"/>
            </w:tcBorders>
            <w:shd w:val="clear" w:color="auto" w:fill="auto"/>
            <w:vAlign w:val="center"/>
            <w:hideMark/>
          </w:tcPr>
          <w:p w14:paraId="0F587F83" w14:textId="75E0991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7 043 </w:t>
            </w:r>
          </w:p>
        </w:tc>
        <w:tc>
          <w:tcPr>
            <w:tcW w:w="1421" w:type="dxa"/>
            <w:tcBorders>
              <w:top w:val="nil"/>
              <w:left w:val="nil"/>
              <w:bottom w:val="nil"/>
              <w:right w:val="nil"/>
            </w:tcBorders>
            <w:shd w:val="clear" w:color="auto" w:fill="auto"/>
            <w:vAlign w:val="center"/>
            <w:hideMark/>
          </w:tcPr>
          <w:p w14:paraId="512082C8" w14:textId="1214AC7B"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7 411 </w:t>
            </w:r>
          </w:p>
        </w:tc>
      </w:tr>
      <w:tr w:rsidR="006C5FEE" w:rsidRPr="006C5FEE" w14:paraId="35E8DDCE" w14:textId="77777777" w:rsidTr="00AC3B37">
        <w:trPr>
          <w:cantSplit/>
        </w:trPr>
        <w:tc>
          <w:tcPr>
            <w:tcW w:w="591" w:type="dxa"/>
            <w:tcBorders>
              <w:top w:val="nil"/>
              <w:left w:val="nil"/>
              <w:bottom w:val="nil"/>
              <w:right w:val="nil"/>
            </w:tcBorders>
            <w:shd w:val="clear" w:color="auto" w:fill="auto"/>
            <w:vAlign w:val="center"/>
            <w:hideMark/>
          </w:tcPr>
          <w:p w14:paraId="03FB8597" w14:textId="77777777" w:rsidR="006C5FEE" w:rsidRPr="006C5FEE" w:rsidRDefault="006C5FEE" w:rsidP="006C5FEE">
            <w:pPr>
              <w:rPr>
                <w:rFonts w:eastAsia="Times New Roman" w:cs="Arial"/>
                <w:sz w:val="16"/>
                <w:szCs w:val="16"/>
                <w:lang w:eastAsia="fr-FR"/>
              </w:rPr>
            </w:pPr>
          </w:p>
        </w:tc>
        <w:tc>
          <w:tcPr>
            <w:tcW w:w="4620" w:type="dxa"/>
            <w:tcBorders>
              <w:top w:val="nil"/>
              <w:left w:val="nil"/>
              <w:bottom w:val="nil"/>
              <w:right w:val="nil"/>
            </w:tcBorders>
            <w:shd w:val="clear" w:color="auto" w:fill="auto"/>
            <w:vAlign w:val="center"/>
            <w:hideMark/>
          </w:tcPr>
          <w:p w14:paraId="6340A8ED" w14:textId="77777777" w:rsidR="006C5FEE" w:rsidRPr="006C5FEE" w:rsidRDefault="006C5FEE" w:rsidP="006C5FEE">
            <w:pPr>
              <w:rPr>
                <w:rFonts w:eastAsia="Times New Roman" w:cs="Arial"/>
                <w:sz w:val="16"/>
                <w:szCs w:val="16"/>
                <w:lang w:eastAsia="fr-FR"/>
              </w:rPr>
            </w:pPr>
            <w:r w:rsidRPr="006C5FEE">
              <w:rPr>
                <w:rFonts w:eastAsia="Times New Roman" w:cs="Arial"/>
                <w:sz w:val="16"/>
                <w:szCs w:val="16"/>
                <w:lang w:eastAsia="fr-FR"/>
              </w:rPr>
              <w:t>Non affecté</w:t>
            </w:r>
          </w:p>
        </w:tc>
        <w:tc>
          <w:tcPr>
            <w:tcW w:w="1421" w:type="dxa"/>
            <w:tcBorders>
              <w:top w:val="nil"/>
              <w:left w:val="nil"/>
              <w:bottom w:val="nil"/>
              <w:right w:val="nil"/>
            </w:tcBorders>
            <w:shd w:val="clear" w:color="auto" w:fill="auto"/>
            <w:vAlign w:val="center"/>
            <w:hideMark/>
          </w:tcPr>
          <w:p w14:paraId="429D7958" w14:textId="445D74B3"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6 319 </w:t>
            </w:r>
          </w:p>
        </w:tc>
        <w:tc>
          <w:tcPr>
            <w:tcW w:w="1421" w:type="dxa"/>
            <w:tcBorders>
              <w:top w:val="nil"/>
              <w:left w:val="nil"/>
              <w:bottom w:val="nil"/>
              <w:right w:val="nil"/>
            </w:tcBorders>
            <w:shd w:val="clear" w:color="auto" w:fill="auto"/>
            <w:vAlign w:val="center"/>
            <w:hideMark/>
          </w:tcPr>
          <w:p w14:paraId="2E44F85E" w14:textId="5052C82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1 420 </w:t>
            </w:r>
          </w:p>
        </w:tc>
        <w:tc>
          <w:tcPr>
            <w:tcW w:w="1421" w:type="dxa"/>
            <w:tcBorders>
              <w:top w:val="nil"/>
              <w:left w:val="nil"/>
              <w:bottom w:val="nil"/>
              <w:right w:val="nil"/>
            </w:tcBorders>
            <w:shd w:val="clear" w:color="auto" w:fill="auto"/>
            <w:vAlign w:val="center"/>
            <w:hideMark/>
          </w:tcPr>
          <w:p w14:paraId="26F8E7FF" w14:textId="3E299A7D" w:rsidR="006C5FEE" w:rsidRPr="006C5FEE" w:rsidRDefault="006C5FEE" w:rsidP="006C5FEE">
            <w:pPr>
              <w:jc w:val="right"/>
              <w:rPr>
                <w:rFonts w:eastAsia="Times New Roman" w:cs="Arial"/>
                <w:sz w:val="16"/>
                <w:szCs w:val="16"/>
                <w:lang w:eastAsia="fr-FR"/>
              </w:rPr>
            </w:pPr>
            <w:r w:rsidRPr="006C5FEE">
              <w:rPr>
                <w:rFonts w:eastAsia="Times New Roman" w:cs="Arial"/>
                <w:sz w:val="16"/>
                <w:szCs w:val="16"/>
                <w:lang w:eastAsia="fr-FR"/>
              </w:rPr>
              <w:t xml:space="preserve">7 357 </w:t>
            </w:r>
          </w:p>
        </w:tc>
      </w:tr>
      <w:tr w:rsidR="006C5FEE" w:rsidRPr="006C5FEE" w14:paraId="362F79FF" w14:textId="77777777" w:rsidTr="00AC3B37">
        <w:trPr>
          <w:cantSplit/>
        </w:trPr>
        <w:tc>
          <w:tcPr>
            <w:tcW w:w="591" w:type="dxa"/>
            <w:tcBorders>
              <w:top w:val="nil"/>
              <w:left w:val="nil"/>
              <w:bottom w:val="nil"/>
              <w:right w:val="nil"/>
            </w:tcBorders>
            <w:shd w:val="clear" w:color="000000" w:fill="C5D9F1"/>
            <w:noWrap/>
            <w:vAlign w:val="bottom"/>
            <w:hideMark/>
          </w:tcPr>
          <w:p w14:paraId="4191FC35" w14:textId="77777777" w:rsidR="006C5FEE" w:rsidRPr="006C5FEE" w:rsidRDefault="006C5FEE" w:rsidP="006C5FEE">
            <w:pPr>
              <w:rPr>
                <w:rFonts w:eastAsia="Times New Roman" w:cs="Arial"/>
                <w:b/>
                <w:bCs/>
                <w:sz w:val="16"/>
                <w:szCs w:val="16"/>
                <w:lang w:eastAsia="fr-FR"/>
              </w:rPr>
            </w:pPr>
            <w:r w:rsidRPr="006C5FEE">
              <w:rPr>
                <w:rFonts w:eastAsia="Times New Roman" w:cs="Arial"/>
                <w:b/>
                <w:bCs/>
                <w:sz w:val="16"/>
                <w:szCs w:val="16"/>
                <w:lang w:eastAsia="fr-FR"/>
              </w:rPr>
              <w:t> </w:t>
            </w:r>
          </w:p>
        </w:tc>
        <w:tc>
          <w:tcPr>
            <w:tcW w:w="4620" w:type="dxa"/>
            <w:tcBorders>
              <w:top w:val="nil"/>
              <w:left w:val="nil"/>
              <w:bottom w:val="nil"/>
              <w:right w:val="single" w:sz="4" w:space="0" w:color="FFFFFF"/>
            </w:tcBorders>
            <w:shd w:val="clear" w:color="000000" w:fill="C5D9F1"/>
            <w:noWrap/>
            <w:vAlign w:val="bottom"/>
            <w:hideMark/>
          </w:tcPr>
          <w:p w14:paraId="188544F7" w14:textId="77777777" w:rsidR="006C5FEE" w:rsidRPr="006C5FEE" w:rsidRDefault="006C5FEE" w:rsidP="006C5FEE">
            <w:pPr>
              <w:rPr>
                <w:rFonts w:eastAsia="Times New Roman" w:cs="Arial"/>
                <w:b/>
                <w:bCs/>
                <w:sz w:val="16"/>
                <w:szCs w:val="16"/>
                <w:lang w:eastAsia="fr-FR"/>
              </w:rPr>
            </w:pPr>
            <w:r w:rsidRPr="006C5FEE">
              <w:rPr>
                <w:rFonts w:eastAsia="Times New Roman" w:cs="Arial"/>
                <w:b/>
                <w:bCs/>
                <w:sz w:val="16"/>
                <w:szCs w:val="16"/>
                <w:lang w:eastAsia="fr-FR"/>
              </w:rPr>
              <w:t> </w:t>
            </w:r>
          </w:p>
        </w:tc>
        <w:tc>
          <w:tcPr>
            <w:tcW w:w="1421" w:type="dxa"/>
            <w:tcBorders>
              <w:top w:val="nil"/>
              <w:left w:val="nil"/>
              <w:bottom w:val="nil"/>
              <w:right w:val="single" w:sz="4" w:space="0" w:color="FFFFFF"/>
            </w:tcBorders>
            <w:shd w:val="clear" w:color="000000" w:fill="C5D9F1"/>
            <w:noWrap/>
            <w:vAlign w:val="bottom"/>
            <w:hideMark/>
          </w:tcPr>
          <w:p w14:paraId="4BB364B0" w14:textId="12D63553" w:rsidR="006C5FEE" w:rsidRPr="006C5FEE" w:rsidRDefault="006C5FEE" w:rsidP="006C5FEE">
            <w:pPr>
              <w:jc w:val="right"/>
              <w:rPr>
                <w:rFonts w:eastAsia="Times New Roman" w:cs="Arial"/>
                <w:b/>
                <w:bCs/>
                <w:sz w:val="16"/>
                <w:szCs w:val="16"/>
                <w:lang w:eastAsia="fr-FR"/>
              </w:rPr>
            </w:pPr>
            <w:r w:rsidRPr="006C5FEE">
              <w:rPr>
                <w:rFonts w:eastAsia="Times New Roman" w:cs="Arial"/>
                <w:b/>
                <w:bCs/>
                <w:sz w:val="16"/>
                <w:szCs w:val="16"/>
                <w:lang w:eastAsia="fr-FR"/>
              </w:rPr>
              <w:t xml:space="preserve">707 036 </w:t>
            </w:r>
          </w:p>
        </w:tc>
        <w:tc>
          <w:tcPr>
            <w:tcW w:w="1421" w:type="dxa"/>
            <w:tcBorders>
              <w:top w:val="nil"/>
              <w:left w:val="nil"/>
              <w:bottom w:val="nil"/>
              <w:right w:val="single" w:sz="4" w:space="0" w:color="FFFFFF"/>
            </w:tcBorders>
            <w:shd w:val="clear" w:color="000000" w:fill="C5D9F1"/>
            <w:noWrap/>
            <w:vAlign w:val="bottom"/>
            <w:hideMark/>
          </w:tcPr>
          <w:p w14:paraId="3C2A8D2D" w14:textId="3EC875DD" w:rsidR="006C5FEE" w:rsidRPr="006C5FEE" w:rsidRDefault="006C5FEE" w:rsidP="006C5FEE">
            <w:pPr>
              <w:jc w:val="right"/>
              <w:rPr>
                <w:rFonts w:eastAsia="Times New Roman" w:cs="Arial"/>
                <w:b/>
                <w:bCs/>
                <w:sz w:val="16"/>
                <w:szCs w:val="16"/>
                <w:lang w:eastAsia="fr-FR"/>
              </w:rPr>
            </w:pPr>
            <w:r w:rsidRPr="006C5FEE">
              <w:rPr>
                <w:rFonts w:eastAsia="Times New Roman" w:cs="Arial"/>
                <w:b/>
                <w:bCs/>
                <w:sz w:val="16"/>
                <w:szCs w:val="16"/>
                <w:lang w:eastAsia="fr-FR"/>
              </w:rPr>
              <w:t xml:space="preserve">707 036 </w:t>
            </w:r>
          </w:p>
        </w:tc>
        <w:tc>
          <w:tcPr>
            <w:tcW w:w="1421" w:type="dxa"/>
            <w:tcBorders>
              <w:top w:val="nil"/>
              <w:left w:val="nil"/>
              <w:bottom w:val="nil"/>
              <w:right w:val="nil"/>
            </w:tcBorders>
            <w:shd w:val="clear" w:color="000000" w:fill="C5D9F1"/>
            <w:noWrap/>
            <w:vAlign w:val="bottom"/>
            <w:hideMark/>
          </w:tcPr>
          <w:p w14:paraId="4776DE00" w14:textId="5D1882E7" w:rsidR="006C5FEE" w:rsidRPr="006C5FEE" w:rsidRDefault="006C5FEE" w:rsidP="006C5FEE">
            <w:pPr>
              <w:jc w:val="right"/>
              <w:rPr>
                <w:rFonts w:eastAsia="Times New Roman" w:cs="Arial"/>
                <w:b/>
                <w:bCs/>
                <w:sz w:val="16"/>
                <w:szCs w:val="16"/>
                <w:lang w:eastAsia="fr-FR"/>
              </w:rPr>
            </w:pPr>
            <w:r w:rsidRPr="006C5FEE">
              <w:rPr>
                <w:rFonts w:eastAsia="Times New Roman" w:cs="Arial"/>
                <w:b/>
                <w:bCs/>
                <w:sz w:val="16"/>
                <w:szCs w:val="16"/>
                <w:lang w:eastAsia="fr-FR"/>
              </w:rPr>
              <w:t xml:space="preserve">725 857 </w:t>
            </w:r>
          </w:p>
        </w:tc>
      </w:tr>
    </w:tbl>
    <w:p w14:paraId="42F86FA1" w14:textId="77777777" w:rsidR="00DD4E5E" w:rsidRDefault="00DD4E5E" w:rsidP="00986700">
      <w:pPr>
        <w:rPr>
          <w:lang w:eastAsia="en-US"/>
        </w:rPr>
        <w:sectPr w:rsidR="00DD4E5E" w:rsidSect="0060494B">
          <w:pgSz w:w="11907" w:h="16839" w:code="9"/>
          <w:pgMar w:top="567" w:right="1418" w:bottom="1418" w:left="1418" w:header="510" w:footer="1021" w:gutter="0"/>
          <w:cols w:space="720"/>
          <w:docGrid w:linePitch="299"/>
        </w:sectPr>
      </w:pPr>
    </w:p>
    <w:p w14:paraId="33E6C1D6" w14:textId="2A6BF4C0" w:rsidR="00DD4E5E" w:rsidRDefault="00DD4E5E" w:rsidP="00986700">
      <w:pPr>
        <w:pStyle w:val="Heading2"/>
        <w:rPr>
          <w:lang w:eastAsia="en-US"/>
        </w:rPr>
      </w:pPr>
      <w:bookmarkStart w:id="96" w:name="_Toc482979523"/>
      <w:r>
        <w:rPr>
          <w:lang w:eastAsia="en-US"/>
        </w:rPr>
        <w:lastRenderedPageBreak/>
        <w:t>Annexe IX</w:t>
      </w:r>
      <w:r>
        <w:rPr>
          <w:lang w:eastAsia="en-US"/>
        </w:rPr>
        <w:tab/>
      </w:r>
      <w:r w:rsidR="001E2323">
        <w:rPr>
          <w:lang w:eastAsia="en-US"/>
        </w:rPr>
        <w:t>Contribution de l’OMPI aux objectifs de développement durable</w:t>
      </w:r>
      <w:bookmarkEnd w:id="96"/>
    </w:p>
    <w:p w14:paraId="36A6FE77" w14:textId="77777777" w:rsidR="00DD4E5E" w:rsidRDefault="00DD4E5E" w:rsidP="00986700">
      <w:pPr>
        <w:rPr>
          <w:lang w:eastAsia="en-US"/>
        </w:rPr>
      </w:pPr>
    </w:p>
    <w:p w14:paraId="1CA50A94" w14:textId="4B6F2FA7" w:rsidR="00DD4E5E" w:rsidRDefault="001E2323" w:rsidP="00986700">
      <w:pPr>
        <w:jc w:val="center"/>
        <w:rPr>
          <w:lang w:eastAsia="en-US"/>
        </w:rPr>
      </w:pPr>
      <w:r w:rsidRPr="001E2323">
        <w:rPr>
          <w:noProof/>
          <w:lang w:val="en-US" w:eastAsia="en-US"/>
        </w:rPr>
        <w:drawing>
          <wp:inline distT="0" distB="0" distL="0" distR="0" wp14:anchorId="6D40EFCF" wp14:editId="7FC78C37">
            <wp:extent cx="7596000" cy="543564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596000" cy="5435649"/>
                    </a:xfrm>
                    <a:prstGeom prst="rect">
                      <a:avLst/>
                    </a:prstGeom>
                    <a:noFill/>
                    <a:ln>
                      <a:noFill/>
                    </a:ln>
                  </pic:spPr>
                </pic:pic>
              </a:graphicData>
            </a:graphic>
          </wp:inline>
        </w:drawing>
      </w:r>
      <w:r w:rsidR="00DD4E5E">
        <w:rPr>
          <w:lang w:eastAsia="en-US"/>
        </w:rPr>
        <w:br w:type="page"/>
      </w:r>
    </w:p>
    <w:p w14:paraId="46A114D2" w14:textId="4974B087" w:rsidR="00D21BE2" w:rsidRDefault="00DD4E5E" w:rsidP="00986700">
      <w:pPr>
        <w:pStyle w:val="Heading2"/>
        <w:rPr>
          <w:lang w:eastAsia="en-US"/>
        </w:rPr>
      </w:pPr>
      <w:bookmarkStart w:id="97" w:name="_Toc482979524"/>
      <w:r>
        <w:rPr>
          <w:lang w:eastAsia="en-US"/>
        </w:rPr>
        <w:lastRenderedPageBreak/>
        <w:t>Annexe X</w:t>
      </w:r>
      <w:r>
        <w:rPr>
          <w:lang w:eastAsia="en-US"/>
        </w:rPr>
        <w:tab/>
        <w:t>Organigramme de l’OMPI</w:t>
      </w:r>
      <w:bookmarkEnd w:id="97"/>
    </w:p>
    <w:p w14:paraId="06ED82B1" w14:textId="77777777" w:rsidR="00DD4E5E" w:rsidRPr="00DD4E5E" w:rsidRDefault="00DD4E5E" w:rsidP="00986700">
      <w:pPr>
        <w:rPr>
          <w:lang w:eastAsia="en-US"/>
        </w:rPr>
      </w:pPr>
    </w:p>
    <w:p w14:paraId="029399F3" w14:textId="6F24A4AB" w:rsidR="00DD4E5E" w:rsidRDefault="00DD4E5E" w:rsidP="00986700">
      <w:pPr>
        <w:rPr>
          <w:lang w:eastAsia="en-US"/>
        </w:rPr>
      </w:pPr>
      <w:r>
        <w:object w:dxaOrig="20498" w:dyaOrig="12419" w14:anchorId="66592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95pt;height:427pt" o:ole="">
            <v:imagedata r:id="rId267" o:title=""/>
          </v:shape>
          <o:OLEObject Type="Embed" ProgID="Visio.Drawing.11" ShapeID="_x0000_i1025" DrawAspect="Content" ObjectID="_1556965877" r:id="rId268"/>
        </w:object>
      </w:r>
    </w:p>
    <w:p w14:paraId="67AEB1C5" w14:textId="77777777" w:rsidR="00DD4E5E" w:rsidRDefault="00DD4E5E" w:rsidP="00986700">
      <w:pPr>
        <w:pStyle w:val="Heading1"/>
        <w:rPr>
          <w:rFonts w:hint="eastAsia"/>
        </w:rPr>
        <w:sectPr w:rsidR="00DD4E5E" w:rsidSect="00DD4E5E">
          <w:pgSz w:w="16839" w:h="11907" w:orient="landscape" w:code="9"/>
          <w:pgMar w:top="1418" w:right="567" w:bottom="1418" w:left="1418" w:header="510" w:footer="1021" w:gutter="0"/>
          <w:cols w:space="720"/>
          <w:docGrid w:linePitch="299"/>
        </w:sectPr>
      </w:pPr>
    </w:p>
    <w:p w14:paraId="472F179C" w14:textId="4230DD83" w:rsidR="00871D8A" w:rsidRDefault="00D21BE2" w:rsidP="00986700">
      <w:pPr>
        <w:pStyle w:val="Heading1"/>
        <w:rPr>
          <w:rFonts w:hint="eastAsia"/>
        </w:rPr>
      </w:pPr>
      <w:bookmarkStart w:id="98" w:name="_Toc482979525"/>
      <w:r>
        <w:lastRenderedPageBreak/>
        <w:t>IV.</w:t>
      </w:r>
      <w:r>
        <w:tab/>
        <w:t>Appendices</w:t>
      </w:r>
      <w:bookmarkEnd w:id="98"/>
    </w:p>
    <w:p w14:paraId="1E7443A4" w14:textId="77777777" w:rsidR="00D21BE2" w:rsidRDefault="00D21BE2" w:rsidP="00986700">
      <w:pPr>
        <w:rPr>
          <w:lang w:eastAsia="en-US"/>
        </w:rPr>
      </w:pPr>
    </w:p>
    <w:p w14:paraId="3E4D54F4" w14:textId="77777777" w:rsidR="00D21BE2" w:rsidRDefault="00D21BE2" w:rsidP="00986700">
      <w:pPr>
        <w:rPr>
          <w:lang w:eastAsia="en-US"/>
        </w:rPr>
      </w:pPr>
    </w:p>
    <w:p w14:paraId="51D348B7" w14:textId="04460912" w:rsidR="00D21BE2" w:rsidRPr="00487813" w:rsidRDefault="00D21BE2" w:rsidP="00986700">
      <w:pPr>
        <w:pStyle w:val="Heading2"/>
        <w:tabs>
          <w:tab w:val="left" w:pos="6"/>
        </w:tabs>
        <w:ind w:left="0" w:firstLine="0"/>
      </w:pPr>
      <w:bookmarkStart w:id="99" w:name="_Toc293334851"/>
      <w:bookmarkStart w:id="100" w:name="_Toc298920433"/>
      <w:bookmarkStart w:id="101" w:name="_Toc310950813"/>
      <w:bookmarkStart w:id="102" w:name="_Toc356567799"/>
      <w:bookmarkStart w:id="103" w:name="_Toc367350625"/>
      <w:bookmarkStart w:id="104" w:name="_Toc482979526"/>
      <w:r w:rsidRPr="00487813">
        <w:t>APPENDI</w:t>
      </w:r>
      <w:r>
        <w:t>CE A</w:t>
      </w:r>
      <w:r>
        <w:br/>
      </w:r>
      <w:r>
        <w:tab/>
        <w:t>CONTRIBUTIONS DES ÉTATS MEMBRES</w:t>
      </w:r>
      <w:bookmarkEnd w:id="99"/>
      <w:bookmarkEnd w:id="100"/>
      <w:bookmarkEnd w:id="101"/>
      <w:bookmarkEnd w:id="102"/>
      <w:bookmarkEnd w:id="103"/>
      <w:bookmarkEnd w:id="104"/>
    </w:p>
    <w:p w14:paraId="319973F1" w14:textId="77777777" w:rsidR="00D21BE2" w:rsidRPr="00487813" w:rsidRDefault="00D21BE2" w:rsidP="00986700">
      <w:pPr>
        <w:rPr>
          <w:rFonts w:cs="Arial"/>
        </w:rPr>
      </w:pPr>
      <w:r w:rsidRPr="00487813">
        <w:rPr>
          <w:rFonts w:cs="Arial"/>
        </w:rPr>
        <w:t>(</w:t>
      </w:r>
      <w:r>
        <w:rPr>
          <w:rFonts w:cs="Arial"/>
        </w:rPr>
        <w:t>en francs suisses</w:t>
      </w:r>
      <w:r w:rsidRPr="00487813">
        <w:rPr>
          <w:rFonts w:cs="Arial"/>
        </w:rPr>
        <w:t>)</w:t>
      </w:r>
    </w:p>
    <w:p w14:paraId="6701A7C2" w14:textId="77777777" w:rsidR="00D21BE2" w:rsidRPr="00487813" w:rsidRDefault="00D21BE2" w:rsidP="00986700">
      <w:pPr>
        <w:pStyle w:val="NormalArial"/>
      </w:pPr>
    </w:p>
    <w:p w14:paraId="458DBB0E" w14:textId="77777777" w:rsidR="00D21BE2" w:rsidRPr="00487813" w:rsidRDefault="00D21BE2" w:rsidP="00986700">
      <w:pPr>
        <w:pStyle w:val="NormalArial"/>
      </w:pPr>
    </w:p>
    <w:tbl>
      <w:tblPr>
        <w:tblW w:w="9720" w:type="dxa"/>
        <w:tblInd w:w="-190" w:type="dxa"/>
        <w:tblLayout w:type="fixed"/>
        <w:tblCellMar>
          <w:left w:w="30" w:type="dxa"/>
          <w:right w:w="30" w:type="dxa"/>
        </w:tblCellMar>
        <w:tblLook w:val="0000" w:firstRow="0" w:lastRow="0" w:firstColumn="0" w:lastColumn="0" w:noHBand="0" w:noVBand="0"/>
      </w:tblPr>
      <w:tblGrid>
        <w:gridCol w:w="3010"/>
        <w:gridCol w:w="1430"/>
        <w:gridCol w:w="1210"/>
        <w:gridCol w:w="1320"/>
        <w:gridCol w:w="1430"/>
        <w:gridCol w:w="1320"/>
      </w:tblGrid>
      <w:tr w:rsidR="00D21BE2" w:rsidRPr="00487813" w14:paraId="5EA28D7E" w14:textId="77777777" w:rsidTr="00DD4E5E">
        <w:trPr>
          <w:trHeight w:val="200"/>
          <w:tblHeader/>
        </w:trPr>
        <w:tc>
          <w:tcPr>
            <w:tcW w:w="3010" w:type="dxa"/>
            <w:shd w:val="pct15" w:color="auto" w:fill="FFFFFF"/>
          </w:tcPr>
          <w:p w14:paraId="694DF268" w14:textId="77777777" w:rsidR="00D21BE2" w:rsidRPr="00487813" w:rsidRDefault="00D21BE2" w:rsidP="00986700">
            <w:pPr>
              <w:spacing w:before="60"/>
              <w:jc w:val="center"/>
              <w:rPr>
                <w:rFonts w:cs="Arial"/>
                <w:b/>
                <w:snapToGrid w:val="0"/>
                <w:sz w:val="18"/>
                <w:szCs w:val="18"/>
              </w:rPr>
            </w:pPr>
            <w:r>
              <w:rPr>
                <w:rFonts w:cs="Arial"/>
                <w:b/>
                <w:snapToGrid w:val="0"/>
                <w:sz w:val="18"/>
                <w:szCs w:val="18"/>
              </w:rPr>
              <w:t>États membres d’une ou de plusieurs</w:t>
            </w:r>
          </w:p>
        </w:tc>
        <w:tc>
          <w:tcPr>
            <w:tcW w:w="1430" w:type="dxa"/>
            <w:vMerge w:val="restart"/>
            <w:shd w:val="pct15" w:color="auto" w:fill="FFFFFF"/>
            <w:vAlign w:val="center"/>
          </w:tcPr>
          <w:p w14:paraId="6E597651" w14:textId="77777777" w:rsidR="00D21BE2" w:rsidRPr="00C57A32" w:rsidRDefault="00D21BE2" w:rsidP="00986700">
            <w:pPr>
              <w:spacing w:before="60"/>
              <w:jc w:val="center"/>
              <w:rPr>
                <w:rFonts w:cs="Arial"/>
                <w:b/>
                <w:snapToGrid w:val="0"/>
                <w:sz w:val="18"/>
                <w:szCs w:val="18"/>
              </w:rPr>
            </w:pPr>
            <w:r w:rsidRPr="00C57A32">
              <w:rPr>
                <w:rFonts w:cs="Arial"/>
                <w:b/>
                <w:snapToGrid w:val="0"/>
                <w:sz w:val="18"/>
                <w:szCs w:val="18"/>
              </w:rPr>
              <w:t>Classe de contribution</w:t>
            </w:r>
          </w:p>
        </w:tc>
        <w:tc>
          <w:tcPr>
            <w:tcW w:w="1210" w:type="dxa"/>
            <w:vMerge w:val="restart"/>
            <w:shd w:val="pct15" w:color="auto" w:fill="FFFFFF"/>
            <w:vAlign w:val="center"/>
          </w:tcPr>
          <w:p w14:paraId="651FB9E9" w14:textId="77777777" w:rsidR="00D21BE2" w:rsidRPr="00487813" w:rsidRDefault="00D21BE2" w:rsidP="00986700">
            <w:pPr>
              <w:spacing w:before="60"/>
              <w:jc w:val="center"/>
              <w:rPr>
                <w:rFonts w:cs="Arial"/>
                <w:b/>
                <w:snapToGrid w:val="0"/>
                <w:sz w:val="18"/>
                <w:szCs w:val="18"/>
              </w:rPr>
            </w:pPr>
            <w:r>
              <w:rPr>
                <w:rFonts w:cs="Arial"/>
                <w:b/>
                <w:snapToGrid w:val="0"/>
                <w:sz w:val="18"/>
                <w:szCs w:val="18"/>
              </w:rPr>
              <w:t>Unités de contribution</w:t>
            </w:r>
          </w:p>
          <w:p w14:paraId="0D2C1150"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2018</w:t>
            </w:r>
            <w:r>
              <w:rPr>
                <w:rFonts w:cs="Arial"/>
                <w:b/>
                <w:snapToGrid w:val="0"/>
                <w:sz w:val="18"/>
                <w:szCs w:val="18"/>
              </w:rPr>
              <w:t>-20</w:t>
            </w:r>
            <w:r w:rsidRPr="00487813">
              <w:rPr>
                <w:rFonts w:cs="Arial"/>
                <w:b/>
                <w:snapToGrid w:val="0"/>
                <w:sz w:val="18"/>
                <w:szCs w:val="18"/>
              </w:rPr>
              <w:t>19</w:t>
            </w:r>
          </w:p>
        </w:tc>
        <w:tc>
          <w:tcPr>
            <w:tcW w:w="1320" w:type="dxa"/>
            <w:vMerge w:val="restart"/>
            <w:shd w:val="pct15" w:color="auto" w:fill="FFFFFF"/>
            <w:vAlign w:val="center"/>
          </w:tcPr>
          <w:p w14:paraId="6EA0F297"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Contribution</w:t>
            </w:r>
            <w:r w:rsidRPr="00487813">
              <w:rPr>
                <w:rFonts w:cs="Arial"/>
                <w:b/>
                <w:snapToGrid w:val="0"/>
                <w:sz w:val="18"/>
                <w:szCs w:val="18"/>
                <w:vertAlign w:val="superscript"/>
              </w:rPr>
              <w:t>1</w:t>
            </w:r>
          </w:p>
          <w:p w14:paraId="2F878477"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2018</w:t>
            </w:r>
          </w:p>
        </w:tc>
        <w:tc>
          <w:tcPr>
            <w:tcW w:w="1430" w:type="dxa"/>
            <w:vMerge w:val="restart"/>
            <w:shd w:val="pct15" w:color="auto" w:fill="FFFFFF"/>
            <w:vAlign w:val="center"/>
          </w:tcPr>
          <w:p w14:paraId="7CF19B93"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Contribution</w:t>
            </w:r>
            <w:r w:rsidRPr="00487813">
              <w:rPr>
                <w:rFonts w:cs="Arial"/>
                <w:b/>
                <w:snapToGrid w:val="0"/>
                <w:sz w:val="18"/>
                <w:szCs w:val="18"/>
                <w:vertAlign w:val="superscript"/>
              </w:rPr>
              <w:t>1</w:t>
            </w:r>
          </w:p>
          <w:p w14:paraId="5BEA4824"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2019</w:t>
            </w:r>
          </w:p>
        </w:tc>
        <w:tc>
          <w:tcPr>
            <w:tcW w:w="1320" w:type="dxa"/>
            <w:vMerge w:val="restart"/>
            <w:shd w:val="pct15" w:color="auto" w:fill="FFFFFF"/>
            <w:vAlign w:val="center"/>
          </w:tcPr>
          <w:p w14:paraId="45DE82F1"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Contributions</w:t>
            </w:r>
          </w:p>
          <w:p w14:paraId="045226AE" w14:textId="77777777" w:rsidR="00D21BE2" w:rsidRPr="00487813" w:rsidRDefault="00D21BE2" w:rsidP="00986700">
            <w:pPr>
              <w:spacing w:before="60"/>
              <w:jc w:val="center"/>
              <w:rPr>
                <w:rFonts w:cs="Arial"/>
                <w:b/>
                <w:snapToGrid w:val="0"/>
                <w:sz w:val="18"/>
                <w:szCs w:val="18"/>
              </w:rPr>
            </w:pPr>
            <w:r w:rsidRPr="00487813">
              <w:rPr>
                <w:rFonts w:cs="Arial"/>
                <w:b/>
                <w:snapToGrid w:val="0"/>
                <w:sz w:val="18"/>
                <w:szCs w:val="18"/>
              </w:rPr>
              <w:t>2018</w:t>
            </w:r>
            <w:r>
              <w:rPr>
                <w:rFonts w:cs="Arial"/>
                <w:b/>
                <w:snapToGrid w:val="0"/>
                <w:sz w:val="18"/>
                <w:szCs w:val="18"/>
              </w:rPr>
              <w:t>-20</w:t>
            </w:r>
            <w:r w:rsidRPr="00487813">
              <w:rPr>
                <w:rFonts w:cs="Arial"/>
                <w:b/>
                <w:snapToGrid w:val="0"/>
                <w:sz w:val="18"/>
                <w:szCs w:val="18"/>
              </w:rPr>
              <w:t>19</w:t>
            </w:r>
          </w:p>
        </w:tc>
      </w:tr>
      <w:tr w:rsidR="00D21BE2" w:rsidRPr="00F87A70" w14:paraId="2B47D74D" w14:textId="77777777" w:rsidTr="00DD4E5E">
        <w:trPr>
          <w:trHeight w:val="200"/>
          <w:tblHeader/>
        </w:trPr>
        <w:tc>
          <w:tcPr>
            <w:tcW w:w="3010" w:type="dxa"/>
            <w:shd w:val="pct15" w:color="auto" w:fill="FFFFFF"/>
          </w:tcPr>
          <w:p w14:paraId="1D1B0207" w14:textId="77777777" w:rsidR="00D21BE2" w:rsidRPr="00D21BE2" w:rsidRDefault="00D21BE2" w:rsidP="00986700">
            <w:pPr>
              <w:pStyle w:val="Heading6"/>
              <w:tabs>
                <w:tab w:val="num" w:pos="0"/>
              </w:tabs>
              <w:ind w:left="-46" w:firstLine="46"/>
              <w:jc w:val="center"/>
              <w:rPr>
                <w:rFonts w:ascii="Arial" w:hAnsi="Arial" w:cs="Arial"/>
                <w:color w:val="auto"/>
                <w:sz w:val="17"/>
                <w:szCs w:val="17"/>
              </w:rPr>
            </w:pPr>
            <w:r w:rsidRPr="00D21BE2">
              <w:rPr>
                <w:rFonts w:ascii="Arial" w:hAnsi="Arial" w:cs="Arial"/>
                <w:color w:val="auto"/>
                <w:sz w:val="17"/>
                <w:szCs w:val="17"/>
              </w:rPr>
              <w:t>Unions financées par des contributions</w:t>
            </w:r>
          </w:p>
        </w:tc>
        <w:tc>
          <w:tcPr>
            <w:tcW w:w="1430" w:type="dxa"/>
            <w:vMerge/>
            <w:shd w:val="pct15" w:color="auto" w:fill="FFFFFF"/>
          </w:tcPr>
          <w:p w14:paraId="3029858F" w14:textId="77777777" w:rsidR="00D21BE2" w:rsidRPr="00F87A70" w:rsidRDefault="00D21BE2" w:rsidP="00986700">
            <w:pPr>
              <w:spacing w:before="60"/>
              <w:jc w:val="center"/>
              <w:rPr>
                <w:rFonts w:cs="Arial"/>
                <w:b/>
                <w:snapToGrid w:val="0"/>
                <w:sz w:val="18"/>
                <w:szCs w:val="18"/>
              </w:rPr>
            </w:pPr>
          </w:p>
        </w:tc>
        <w:tc>
          <w:tcPr>
            <w:tcW w:w="1210" w:type="dxa"/>
            <w:vMerge/>
            <w:shd w:val="pct15" w:color="auto" w:fill="FFFFFF"/>
            <w:vAlign w:val="center"/>
          </w:tcPr>
          <w:p w14:paraId="43F58F92" w14:textId="77777777" w:rsidR="00D21BE2" w:rsidRPr="00F87A70" w:rsidRDefault="00D21BE2" w:rsidP="00986700">
            <w:pPr>
              <w:spacing w:before="60"/>
              <w:jc w:val="center"/>
              <w:rPr>
                <w:rFonts w:cs="Arial"/>
                <w:b/>
                <w:snapToGrid w:val="0"/>
                <w:sz w:val="18"/>
                <w:szCs w:val="18"/>
              </w:rPr>
            </w:pPr>
          </w:p>
        </w:tc>
        <w:tc>
          <w:tcPr>
            <w:tcW w:w="1320" w:type="dxa"/>
            <w:vMerge/>
            <w:shd w:val="pct15" w:color="auto" w:fill="FFFFFF"/>
            <w:vAlign w:val="center"/>
          </w:tcPr>
          <w:p w14:paraId="3E91BEF6" w14:textId="77777777" w:rsidR="00D21BE2" w:rsidRPr="00F87A70" w:rsidRDefault="00D21BE2" w:rsidP="00986700">
            <w:pPr>
              <w:spacing w:before="60"/>
              <w:jc w:val="center"/>
              <w:rPr>
                <w:rFonts w:cs="Arial"/>
                <w:b/>
                <w:snapToGrid w:val="0"/>
                <w:sz w:val="18"/>
                <w:szCs w:val="18"/>
              </w:rPr>
            </w:pPr>
          </w:p>
        </w:tc>
        <w:tc>
          <w:tcPr>
            <w:tcW w:w="1430" w:type="dxa"/>
            <w:vMerge/>
            <w:shd w:val="pct15" w:color="auto" w:fill="FFFFFF"/>
            <w:vAlign w:val="center"/>
          </w:tcPr>
          <w:p w14:paraId="7857C4EC" w14:textId="77777777" w:rsidR="00D21BE2" w:rsidRPr="00F87A70" w:rsidRDefault="00D21BE2" w:rsidP="00986700">
            <w:pPr>
              <w:spacing w:before="60"/>
              <w:jc w:val="center"/>
              <w:rPr>
                <w:rFonts w:cs="Arial"/>
                <w:b/>
                <w:snapToGrid w:val="0"/>
                <w:sz w:val="18"/>
                <w:szCs w:val="18"/>
              </w:rPr>
            </w:pPr>
          </w:p>
        </w:tc>
        <w:tc>
          <w:tcPr>
            <w:tcW w:w="1320" w:type="dxa"/>
            <w:vMerge/>
            <w:shd w:val="pct15" w:color="auto" w:fill="FFFFFF"/>
            <w:vAlign w:val="center"/>
          </w:tcPr>
          <w:p w14:paraId="5A2A7E9B" w14:textId="77777777" w:rsidR="00D21BE2" w:rsidRPr="00F87A70" w:rsidRDefault="00D21BE2" w:rsidP="00986700">
            <w:pPr>
              <w:spacing w:before="60"/>
              <w:jc w:val="center"/>
              <w:rPr>
                <w:rFonts w:cs="Arial"/>
                <w:b/>
                <w:snapToGrid w:val="0"/>
                <w:sz w:val="18"/>
                <w:szCs w:val="18"/>
              </w:rPr>
            </w:pPr>
          </w:p>
        </w:tc>
      </w:tr>
      <w:tr w:rsidR="00D21BE2" w:rsidRPr="00487813" w14:paraId="21C04905" w14:textId="77777777" w:rsidTr="00DD4E5E">
        <w:trPr>
          <w:trHeight w:val="100"/>
          <w:tblHeader/>
        </w:trPr>
        <w:tc>
          <w:tcPr>
            <w:tcW w:w="3010" w:type="dxa"/>
          </w:tcPr>
          <w:p w14:paraId="7E1B7A63" w14:textId="77777777" w:rsidR="00D21BE2" w:rsidRPr="00487813" w:rsidRDefault="00D21BE2" w:rsidP="00986700">
            <w:pPr>
              <w:jc w:val="right"/>
              <w:rPr>
                <w:rFonts w:cs="Arial"/>
                <w:snapToGrid w:val="0"/>
                <w:color w:val="000000"/>
                <w:sz w:val="18"/>
                <w:szCs w:val="18"/>
              </w:rPr>
            </w:pPr>
          </w:p>
        </w:tc>
        <w:tc>
          <w:tcPr>
            <w:tcW w:w="1430" w:type="dxa"/>
          </w:tcPr>
          <w:p w14:paraId="7F332ADC" w14:textId="77777777" w:rsidR="00D21BE2" w:rsidRPr="00487813" w:rsidRDefault="00D21BE2" w:rsidP="00986700">
            <w:pPr>
              <w:jc w:val="center"/>
              <w:rPr>
                <w:rFonts w:cs="Arial"/>
                <w:snapToGrid w:val="0"/>
                <w:color w:val="000000"/>
                <w:sz w:val="18"/>
                <w:szCs w:val="18"/>
              </w:rPr>
            </w:pPr>
          </w:p>
        </w:tc>
        <w:tc>
          <w:tcPr>
            <w:tcW w:w="1210" w:type="dxa"/>
          </w:tcPr>
          <w:p w14:paraId="690046B6" w14:textId="77777777" w:rsidR="00D21BE2" w:rsidRPr="00487813" w:rsidRDefault="00D21BE2" w:rsidP="00986700">
            <w:pPr>
              <w:jc w:val="right"/>
              <w:rPr>
                <w:rFonts w:cs="Arial"/>
                <w:snapToGrid w:val="0"/>
                <w:color w:val="000000"/>
                <w:sz w:val="18"/>
                <w:szCs w:val="18"/>
              </w:rPr>
            </w:pPr>
          </w:p>
        </w:tc>
        <w:tc>
          <w:tcPr>
            <w:tcW w:w="1320" w:type="dxa"/>
          </w:tcPr>
          <w:p w14:paraId="4AA599A5" w14:textId="77777777" w:rsidR="00D21BE2" w:rsidRPr="00487813" w:rsidRDefault="00D21BE2" w:rsidP="00986700">
            <w:pPr>
              <w:jc w:val="right"/>
              <w:rPr>
                <w:rFonts w:cs="Arial"/>
                <w:snapToGrid w:val="0"/>
                <w:color w:val="000000"/>
                <w:sz w:val="18"/>
                <w:szCs w:val="18"/>
              </w:rPr>
            </w:pPr>
          </w:p>
        </w:tc>
        <w:tc>
          <w:tcPr>
            <w:tcW w:w="1430" w:type="dxa"/>
          </w:tcPr>
          <w:p w14:paraId="4E042D80" w14:textId="77777777" w:rsidR="00D21BE2" w:rsidRPr="00487813" w:rsidRDefault="00D21BE2" w:rsidP="00986700">
            <w:pPr>
              <w:jc w:val="right"/>
              <w:rPr>
                <w:rFonts w:cs="Arial"/>
                <w:snapToGrid w:val="0"/>
                <w:color w:val="000000"/>
                <w:sz w:val="18"/>
                <w:szCs w:val="18"/>
              </w:rPr>
            </w:pPr>
          </w:p>
        </w:tc>
        <w:tc>
          <w:tcPr>
            <w:tcW w:w="1320" w:type="dxa"/>
          </w:tcPr>
          <w:p w14:paraId="11526A2F" w14:textId="77777777" w:rsidR="00D21BE2" w:rsidRPr="00487813" w:rsidRDefault="00D21BE2" w:rsidP="00986700">
            <w:pPr>
              <w:jc w:val="right"/>
              <w:rPr>
                <w:rFonts w:cs="Arial"/>
                <w:snapToGrid w:val="0"/>
                <w:color w:val="000000"/>
                <w:sz w:val="18"/>
                <w:szCs w:val="18"/>
              </w:rPr>
            </w:pPr>
          </w:p>
        </w:tc>
      </w:tr>
      <w:tr w:rsidR="00D21BE2" w:rsidRPr="00487813" w14:paraId="700C5048" w14:textId="77777777" w:rsidTr="00DD4E5E">
        <w:tc>
          <w:tcPr>
            <w:tcW w:w="3010" w:type="dxa"/>
            <w:shd w:val="clear" w:color="auto" w:fill="E6E6E6"/>
            <w:vAlign w:val="center"/>
          </w:tcPr>
          <w:p w14:paraId="68BE0447" w14:textId="77777777" w:rsidR="00D21BE2" w:rsidRPr="00D61D87" w:rsidRDefault="00D21BE2" w:rsidP="00986700">
            <w:pPr>
              <w:rPr>
                <w:rFonts w:cs="Arial"/>
                <w:sz w:val="18"/>
                <w:szCs w:val="18"/>
              </w:rPr>
            </w:pPr>
            <w:r w:rsidRPr="00D61D87">
              <w:rPr>
                <w:rFonts w:cs="Arial"/>
                <w:b/>
                <w:bCs/>
                <w:sz w:val="18"/>
                <w:szCs w:val="18"/>
              </w:rPr>
              <w:t>A</w:t>
            </w:r>
            <w:r w:rsidRPr="00D61D87">
              <w:rPr>
                <w:rFonts w:cs="Arial"/>
                <w:sz w:val="18"/>
                <w:szCs w:val="18"/>
              </w:rPr>
              <w:t>fghanistan</w:t>
            </w:r>
          </w:p>
        </w:tc>
        <w:tc>
          <w:tcPr>
            <w:tcW w:w="1430" w:type="dxa"/>
            <w:shd w:val="clear" w:color="auto" w:fill="E6E6E6"/>
            <w:vAlign w:val="center"/>
          </w:tcPr>
          <w:p w14:paraId="5CB71239"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76430D4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0560CD8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6DB8CBF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575B77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4025ADBE" w14:textId="77777777" w:rsidTr="00DD4E5E">
        <w:tc>
          <w:tcPr>
            <w:tcW w:w="3010" w:type="dxa"/>
            <w:shd w:val="clear" w:color="auto" w:fill="auto"/>
            <w:vAlign w:val="center"/>
          </w:tcPr>
          <w:p w14:paraId="2370C442" w14:textId="77777777" w:rsidR="00D21BE2" w:rsidRPr="00D61D87" w:rsidRDefault="00D21BE2" w:rsidP="00986700">
            <w:pPr>
              <w:rPr>
                <w:rFonts w:cs="Arial"/>
                <w:sz w:val="18"/>
                <w:szCs w:val="18"/>
              </w:rPr>
            </w:pPr>
            <w:r w:rsidRPr="00D61D87">
              <w:rPr>
                <w:rFonts w:cs="Arial"/>
                <w:sz w:val="18"/>
                <w:szCs w:val="18"/>
              </w:rPr>
              <w:t>Afrique du Sud</w:t>
            </w:r>
          </w:p>
        </w:tc>
        <w:tc>
          <w:tcPr>
            <w:tcW w:w="1430" w:type="dxa"/>
            <w:shd w:val="clear" w:color="auto" w:fill="auto"/>
            <w:vAlign w:val="center"/>
          </w:tcPr>
          <w:p w14:paraId="3825D33F"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auto"/>
            <w:vAlign w:val="center"/>
          </w:tcPr>
          <w:p w14:paraId="1E25E55D"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auto"/>
            <w:vAlign w:val="center"/>
          </w:tcPr>
          <w:p w14:paraId="2EDCF395"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auto"/>
            <w:vAlign w:val="center"/>
          </w:tcPr>
          <w:p w14:paraId="6D7969F3"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auto"/>
            <w:vAlign w:val="center"/>
          </w:tcPr>
          <w:p w14:paraId="65E292C6"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64FCE3D4" w14:textId="77777777" w:rsidTr="00DD4E5E">
        <w:tc>
          <w:tcPr>
            <w:tcW w:w="3010" w:type="dxa"/>
            <w:shd w:val="clear" w:color="auto" w:fill="E6E6E6"/>
            <w:vAlign w:val="center"/>
          </w:tcPr>
          <w:p w14:paraId="00871683" w14:textId="77777777" w:rsidR="00D21BE2" w:rsidRPr="00D61D87" w:rsidRDefault="00D21BE2" w:rsidP="00986700">
            <w:pPr>
              <w:rPr>
                <w:rFonts w:cs="Arial"/>
                <w:sz w:val="18"/>
                <w:szCs w:val="18"/>
              </w:rPr>
            </w:pPr>
            <w:r w:rsidRPr="00D61D87">
              <w:rPr>
                <w:rFonts w:cs="Arial"/>
                <w:sz w:val="18"/>
                <w:szCs w:val="18"/>
              </w:rPr>
              <w:t>Albanie</w:t>
            </w:r>
          </w:p>
        </w:tc>
        <w:tc>
          <w:tcPr>
            <w:tcW w:w="1430" w:type="dxa"/>
            <w:shd w:val="clear" w:color="auto" w:fill="E6E6E6"/>
            <w:vAlign w:val="center"/>
          </w:tcPr>
          <w:p w14:paraId="597753D0"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51D7438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4A47809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341D112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A28A98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47D80C36" w14:textId="77777777" w:rsidTr="00DD4E5E">
        <w:tc>
          <w:tcPr>
            <w:tcW w:w="3010" w:type="dxa"/>
            <w:shd w:val="clear" w:color="auto" w:fill="auto"/>
            <w:vAlign w:val="center"/>
          </w:tcPr>
          <w:p w14:paraId="54BD2DE8" w14:textId="77777777" w:rsidR="00D21BE2" w:rsidRPr="00D61D87" w:rsidRDefault="00D21BE2" w:rsidP="00986700">
            <w:pPr>
              <w:rPr>
                <w:rFonts w:cs="Arial"/>
                <w:sz w:val="18"/>
                <w:szCs w:val="18"/>
              </w:rPr>
            </w:pPr>
            <w:r w:rsidRPr="00D61D87">
              <w:rPr>
                <w:rFonts w:cs="Arial"/>
                <w:sz w:val="18"/>
                <w:szCs w:val="18"/>
              </w:rPr>
              <w:t>Algérie</w:t>
            </w:r>
          </w:p>
        </w:tc>
        <w:tc>
          <w:tcPr>
            <w:tcW w:w="1430" w:type="dxa"/>
            <w:shd w:val="clear" w:color="auto" w:fill="auto"/>
            <w:vAlign w:val="center"/>
          </w:tcPr>
          <w:p w14:paraId="7896FAB7"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531D2BB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212351F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630C50F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6A89E9B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672A293" w14:textId="77777777" w:rsidTr="00DD4E5E">
        <w:tc>
          <w:tcPr>
            <w:tcW w:w="3010" w:type="dxa"/>
            <w:shd w:val="clear" w:color="auto" w:fill="E6E6E6"/>
            <w:vAlign w:val="center"/>
          </w:tcPr>
          <w:p w14:paraId="465961B0" w14:textId="77777777" w:rsidR="00D21BE2" w:rsidRPr="00D61D87" w:rsidRDefault="00D21BE2" w:rsidP="00986700">
            <w:pPr>
              <w:rPr>
                <w:rFonts w:cs="Arial"/>
                <w:sz w:val="18"/>
                <w:szCs w:val="18"/>
              </w:rPr>
            </w:pPr>
            <w:r w:rsidRPr="00D61D87">
              <w:rPr>
                <w:rFonts w:cs="Arial"/>
                <w:sz w:val="18"/>
                <w:szCs w:val="18"/>
              </w:rPr>
              <w:t>Allemagne</w:t>
            </w:r>
          </w:p>
        </w:tc>
        <w:tc>
          <w:tcPr>
            <w:tcW w:w="1430" w:type="dxa"/>
            <w:shd w:val="clear" w:color="auto" w:fill="E6E6E6"/>
            <w:vAlign w:val="center"/>
          </w:tcPr>
          <w:p w14:paraId="6E057041" w14:textId="77777777" w:rsidR="00D21BE2" w:rsidRPr="00487813" w:rsidRDefault="00D21BE2" w:rsidP="00986700">
            <w:pPr>
              <w:rPr>
                <w:rFonts w:cs="Arial"/>
                <w:color w:val="000000"/>
                <w:sz w:val="18"/>
                <w:szCs w:val="18"/>
              </w:rPr>
            </w:pPr>
            <w:r w:rsidRPr="00487813">
              <w:rPr>
                <w:rFonts w:cs="Arial"/>
                <w:color w:val="000000"/>
                <w:sz w:val="18"/>
                <w:szCs w:val="18"/>
              </w:rPr>
              <w:t>I</w:t>
            </w:r>
          </w:p>
        </w:tc>
        <w:tc>
          <w:tcPr>
            <w:tcW w:w="1210" w:type="dxa"/>
            <w:shd w:val="clear" w:color="auto" w:fill="E6E6E6"/>
            <w:vAlign w:val="center"/>
          </w:tcPr>
          <w:p w14:paraId="61B06D37" w14:textId="77777777" w:rsidR="00D21BE2" w:rsidRPr="00487813" w:rsidRDefault="00D21BE2" w:rsidP="00986700">
            <w:pPr>
              <w:jc w:val="right"/>
              <w:rPr>
                <w:rFonts w:cs="Arial"/>
                <w:color w:val="000000"/>
                <w:sz w:val="18"/>
                <w:szCs w:val="18"/>
              </w:rPr>
            </w:pPr>
            <w:r w:rsidRPr="00487813">
              <w:rPr>
                <w:rFonts w:cs="Arial"/>
                <w:color w:val="000000"/>
                <w:sz w:val="18"/>
                <w:szCs w:val="18"/>
              </w:rPr>
              <w:t>25</w:t>
            </w:r>
          </w:p>
        </w:tc>
        <w:tc>
          <w:tcPr>
            <w:tcW w:w="1320" w:type="dxa"/>
            <w:shd w:val="clear" w:color="auto" w:fill="E6E6E6"/>
            <w:vAlign w:val="center"/>
          </w:tcPr>
          <w:p w14:paraId="485ABDB5"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430" w:type="dxa"/>
            <w:shd w:val="clear" w:color="auto" w:fill="E6E6E6"/>
            <w:vAlign w:val="center"/>
          </w:tcPr>
          <w:p w14:paraId="5C2CA3B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320" w:type="dxa"/>
            <w:shd w:val="clear" w:color="auto" w:fill="E6E6E6"/>
            <w:vAlign w:val="center"/>
          </w:tcPr>
          <w:p w14:paraId="379190F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051</w:t>
            </w:r>
            <w:r>
              <w:rPr>
                <w:rFonts w:cs="Arial"/>
                <w:color w:val="000000"/>
                <w:sz w:val="18"/>
                <w:szCs w:val="18"/>
              </w:rPr>
              <w:t> </w:t>
            </w:r>
            <w:r w:rsidRPr="00487813">
              <w:rPr>
                <w:rFonts w:cs="Arial"/>
                <w:color w:val="000000"/>
                <w:sz w:val="18"/>
                <w:szCs w:val="18"/>
              </w:rPr>
              <w:t>050</w:t>
            </w:r>
          </w:p>
        </w:tc>
      </w:tr>
      <w:tr w:rsidR="00D21BE2" w:rsidRPr="00487813" w14:paraId="10DCF407" w14:textId="77777777" w:rsidTr="00DD4E5E">
        <w:tc>
          <w:tcPr>
            <w:tcW w:w="3010" w:type="dxa"/>
            <w:shd w:val="clear" w:color="auto" w:fill="auto"/>
            <w:vAlign w:val="center"/>
          </w:tcPr>
          <w:p w14:paraId="56D3DB9C" w14:textId="77777777" w:rsidR="00D21BE2" w:rsidRPr="00D61D87" w:rsidRDefault="00D21BE2" w:rsidP="00986700">
            <w:pPr>
              <w:rPr>
                <w:rFonts w:cs="Arial"/>
                <w:sz w:val="18"/>
                <w:szCs w:val="18"/>
              </w:rPr>
            </w:pPr>
            <w:r w:rsidRPr="00D61D87">
              <w:rPr>
                <w:rFonts w:cs="Arial"/>
                <w:sz w:val="18"/>
                <w:szCs w:val="18"/>
              </w:rPr>
              <w:t>Andorre</w:t>
            </w:r>
          </w:p>
        </w:tc>
        <w:tc>
          <w:tcPr>
            <w:tcW w:w="1430" w:type="dxa"/>
            <w:shd w:val="clear" w:color="auto" w:fill="auto"/>
            <w:vAlign w:val="center"/>
          </w:tcPr>
          <w:p w14:paraId="189CD354"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5364075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3F79AB6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39B18DB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6B96BCFC"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25B8AC4" w14:textId="77777777" w:rsidTr="00DD4E5E">
        <w:tc>
          <w:tcPr>
            <w:tcW w:w="3010" w:type="dxa"/>
            <w:shd w:val="clear" w:color="auto" w:fill="E6E6E6"/>
            <w:vAlign w:val="center"/>
          </w:tcPr>
          <w:p w14:paraId="078A7A5A" w14:textId="77777777" w:rsidR="00D21BE2" w:rsidRPr="00D61D87" w:rsidRDefault="00D21BE2" w:rsidP="00986700">
            <w:pPr>
              <w:rPr>
                <w:rFonts w:cs="Arial"/>
                <w:sz w:val="18"/>
                <w:szCs w:val="18"/>
              </w:rPr>
            </w:pPr>
            <w:r w:rsidRPr="00D61D87">
              <w:rPr>
                <w:rFonts w:cs="Arial"/>
                <w:sz w:val="18"/>
                <w:szCs w:val="18"/>
              </w:rPr>
              <w:t>Angola</w:t>
            </w:r>
          </w:p>
        </w:tc>
        <w:tc>
          <w:tcPr>
            <w:tcW w:w="1430" w:type="dxa"/>
            <w:shd w:val="clear" w:color="auto" w:fill="E6E6E6"/>
            <w:vAlign w:val="center"/>
          </w:tcPr>
          <w:p w14:paraId="66847EF2"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0407093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1CF9742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28E8ADB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015E1BC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8B85DB4" w14:textId="77777777" w:rsidTr="00DD4E5E">
        <w:tc>
          <w:tcPr>
            <w:tcW w:w="3010" w:type="dxa"/>
            <w:shd w:val="clear" w:color="auto" w:fill="auto"/>
            <w:vAlign w:val="center"/>
          </w:tcPr>
          <w:p w14:paraId="5CE737E7" w14:textId="77777777" w:rsidR="00D21BE2" w:rsidRPr="00D61D87" w:rsidRDefault="00D21BE2" w:rsidP="00986700">
            <w:pPr>
              <w:rPr>
                <w:rFonts w:cs="Arial"/>
                <w:sz w:val="18"/>
                <w:szCs w:val="18"/>
              </w:rPr>
            </w:pPr>
            <w:r w:rsidRPr="00D61D87">
              <w:rPr>
                <w:rFonts w:cs="Arial"/>
                <w:sz w:val="18"/>
                <w:szCs w:val="18"/>
              </w:rPr>
              <w:t>Antigua-et-Barbuda</w:t>
            </w:r>
          </w:p>
        </w:tc>
        <w:tc>
          <w:tcPr>
            <w:tcW w:w="1430" w:type="dxa"/>
            <w:shd w:val="clear" w:color="auto" w:fill="auto"/>
            <w:vAlign w:val="center"/>
          </w:tcPr>
          <w:p w14:paraId="2D586ED3"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34A064F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84E99E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4A71CBB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AA00A5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1AA0E23" w14:textId="77777777" w:rsidTr="00DD4E5E">
        <w:tc>
          <w:tcPr>
            <w:tcW w:w="3010" w:type="dxa"/>
            <w:shd w:val="clear" w:color="auto" w:fill="E6E6E6"/>
            <w:vAlign w:val="center"/>
          </w:tcPr>
          <w:p w14:paraId="13EF968A" w14:textId="77777777" w:rsidR="00D21BE2" w:rsidRPr="00D61D87" w:rsidRDefault="00D21BE2" w:rsidP="00986700">
            <w:pPr>
              <w:rPr>
                <w:rFonts w:cs="Arial"/>
                <w:sz w:val="18"/>
                <w:szCs w:val="18"/>
              </w:rPr>
            </w:pPr>
            <w:r w:rsidRPr="00D61D87">
              <w:rPr>
                <w:rFonts w:cs="Arial"/>
                <w:sz w:val="18"/>
                <w:szCs w:val="18"/>
              </w:rPr>
              <w:t>Arabie saoudite</w:t>
            </w:r>
          </w:p>
        </w:tc>
        <w:tc>
          <w:tcPr>
            <w:tcW w:w="1430" w:type="dxa"/>
            <w:shd w:val="clear" w:color="auto" w:fill="E6E6E6"/>
            <w:vAlign w:val="center"/>
          </w:tcPr>
          <w:p w14:paraId="696EDEEF"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E6E6E6"/>
            <w:vAlign w:val="center"/>
          </w:tcPr>
          <w:p w14:paraId="5D6B5682"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E6E6E6"/>
            <w:vAlign w:val="center"/>
          </w:tcPr>
          <w:p w14:paraId="79E29157"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E6E6E6"/>
            <w:vAlign w:val="center"/>
          </w:tcPr>
          <w:p w14:paraId="03EEA7D3"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E6E6E6"/>
            <w:vAlign w:val="center"/>
          </w:tcPr>
          <w:p w14:paraId="75A90ECF"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4068E95F" w14:textId="77777777" w:rsidTr="00DD4E5E">
        <w:tc>
          <w:tcPr>
            <w:tcW w:w="3010" w:type="dxa"/>
            <w:shd w:val="clear" w:color="auto" w:fill="auto"/>
            <w:vAlign w:val="center"/>
          </w:tcPr>
          <w:p w14:paraId="23ED46FC" w14:textId="77777777" w:rsidR="00D21BE2" w:rsidRPr="00D61D87" w:rsidRDefault="00D21BE2" w:rsidP="00986700">
            <w:pPr>
              <w:rPr>
                <w:rFonts w:cs="Arial"/>
                <w:sz w:val="18"/>
                <w:szCs w:val="18"/>
              </w:rPr>
            </w:pPr>
            <w:r w:rsidRPr="00D61D87">
              <w:rPr>
                <w:rFonts w:cs="Arial"/>
                <w:sz w:val="18"/>
                <w:szCs w:val="18"/>
              </w:rPr>
              <w:t>Argentine</w:t>
            </w:r>
          </w:p>
        </w:tc>
        <w:tc>
          <w:tcPr>
            <w:tcW w:w="1430" w:type="dxa"/>
            <w:shd w:val="clear" w:color="auto" w:fill="auto"/>
            <w:vAlign w:val="center"/>
          </w:tcPr>
          <w:p w14:paraId="60C8E52C"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auto"/>
            <w:vAlign w:val="center"/>
          </w:tcPr>
          <w:p w14:paraId="160CA89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auto"/>
            <w:vAlign w:val="center"/>
          </w:tcPr>
          <w:p w14:paraId="7EACA05D"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auto"/>
            <w:vAlign w:val="center"/>
          </w:tcPr>
          <w:p w14:paraId="3F910520"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auto"/>
            <w:vAlign w:val="center"/>
          </w:tcPr>
          <w:p w14:paraId="397E6156"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0C946A27" w14:textId="77777777" w:rsidTr="00DD4E5E">
        <w:tc>
          <w:tcPr>
            <w:tcW w:w="3010" w:type="dxa"/>
            <w:shd w:val="clear" w:color="auto" w:fill="E6E6E6"/>
            <w:vAlign w:val="center"/>
          </w:tcPr>
          <w:p w14:paraId="13CDC625" w14:textId="77777777" w:rsidR="00D21BE2" w:rsidRPr="00D61D87" w:rsidRDefault="00D21BE2" w:rsidP="00986700">
            <w:pPr>
              <w:rPr>
                <w:rFonts w:cs="Arial"/>
                <w:sz w:val="18"/>
                <w:szCs w:val="18"/>
              </w:rPr>
            </w:pPr>
            <w:r w:rsidRPr="00D61D87">
              <w:rPr>
                <w:rFonts w:cs="Arial"/>
                <w:sz w:val="18"/>
                <w:szCs w:val="18"/>
              </w:rPr>
              <w:t>Arménie</w:t>
            </w:r>
          </w:p>
        </w:tc>
        <w:tc>
          <w:tcPr>
            <w:tcW w:w="1430" w:type="dxa"/>
            <w:shd w:val="clear" w:color="auto" w:fill="E6E6E6"/>
            <w:vAlign w:val="center"/>
          </w:tcPr>
          <w:p w14:paraId="58372ABE"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576FA8C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71AB518E"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4649E4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331A21E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799D27C" w14:textId="77777777" w:rsidTr="00DD4E5E">
        <w:tc>
          <w:tcPr>
            <w:tcW w:w="3010" w:type="dxa"/>
            <w:shd w:val="clear" w:color="auto" w:fill="auto"/>
            <w:vAlign w:val="center"/>
          </w:tcPr>
          <w:p w14:paraId="34B9009B" w14:textId="77777777" w:rsidR="00D21BE2" w:rsidRPr="00D61D87" w:rsidRDefault="00D21BE2" w:rsidP="00986700">
            <w:pPr>
              <w:rPr>
                <w:rFonts w:cs="Arial"/>
                <w:sz w:val="18"/>
                <w:szCs w:val="18"/>
              </w:rPr>
            </w:pPr>
            <w:r w:rsidRPr="00D61D87">
              <w:rPr>
                <w:rFonts w:cs="Arial"/>
                <w:sz w:val="18"/>
                <w:szCs w:val="18"/>
              </w:rPr>
              <w:t>Australie</w:t>
            </w:r>
          </w:p>
        </w:tc>
        <w:tc>
          <w:tcPr>
            <w:tcW w:w="1430" w:type="dxa"/>
            <w:shd w:val="clear" w:color="auto" w:fill="auto"/>
            <w:vAlign w:val="center"/>
          </w:tcPr>
          <w:p w14:paraId="38591B1E" w14:textId="77777777" w:rsidR="00D21BE2" w:rsidRPr="00487813" w:rsidRDefault="00D21BE2" w:rsidP="00986700">
            <w:pPr>
              <w:rPr>
                <w:rFonts w:cs="Arial"/>
                <w:color w:val="000000"/>
                <w:sz w:val="18"/>
                <w:szCs w:val="18"/>
              </w:rPr>
            </w:pPr>
            <w:r w:rsidRPr="00487813">
              <w:rPr>
                <w:rFonts w:cs="Arial"/>
                <w:color w:val="000000"/>
                <w:sz w:val="18"/>
                <w:szCs w:val="18"/>
              </w:rPr>
              <w:t>III</w:t>
            </w:r>
          </w:p>
        </w:tc>
        <w:tc>
          <w:tcPr>
            <w:tcW w:w="1210" w:type="dxa"/>
            <w:shd w:val="clear" w:color="auto" w:fill="auto"/>
            <w:vAlign w:val="center"/>
          </w:tcPr>
          <w:p w14:paraId="4D721B73" w14:textId="77777777" w:rsidR="00D21BE2" w:rsidRPr="00487813" w:rsidRDefault="00D21BE2" w:rsidP="00986700">
            <w:pPr>
              <w:jc w:val="right"/>
              <w:rPr>
                <w:rFonts w:cs="Arial"/>
                <w:color w:val="000000"/>
                <w:sz w:val="18"/>
                <w:szCs w:val="18"/>
              </w:rPr>
            </w:pPr>
            <w:r w:rsidRPr="00487813">
              <w:rPr>
                <w:rFonts w:cs="Arial"/>
                <w:color w:val="000000"/>
                <w:sz w:val="18"/>
                <w:szCs w:val="18"/>
              </w:rPr>
              <w:t>15</w:t>
            </w:r>
          </w:p>
        </w:tc>
        <w:tc>
          <w:tcPr>
            <w:tcW w:w="1320" w:type="dxa"/>
            <w:shd w:val="clear" w:color="auto" w:fill="auto"/>
            <w:vAlign w:val="center"/>
          </w:tcPr>
          <w:p w14:paraId="2D93E48B"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430" w:type="dxa"/>
            <w:shd w:val="clear" w:color="auto" w:fill="auto"/>
            <w:vAlign w:val="center"/>
          </w:tcPr>
          <w:p w14:paraId="1DB37334"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320" w:type="dxa"/>
            <w:shd w:val="clear" w:color="auto" w:fill="auto"/>
            <w:vAlign w:val="center"/>
          </w:tcPr>
          <w:p w14:paraId="0857490B"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230</w:t>
            </w:r>
            <w:r>
              <w:rPr>
                <w:rFonts w:cs="Arial"/>
                <w:color w:val="000000"/>
                <w:sz w:val="18"/>
                <w:szCs w:val="18"/>
              </w:rPr>
              <w:t> </w:t>
            </w:r>
            <w:r w:rsidRPr="00487813">
              <w:rPr>
                <w:rFonts w:cs="Arial"/>
                <w:color w:val="000000"/>
                <w:sz w:val="18"/>
                <w:szCs w:val="18"/>
              </w:rPr>
              <w:t>630</w:t>
            </w:r>
          </w:p>
        </w:tc>
      </w:tr>
      <w:tr w:rsidR="00D21BE2" w:rsidRPr="00487813" w14:paraId="6D6EDEE2" w14:textId="77777777" w:rsidTr="00DD4E5E">
        <w:tc>
          <w:tcPr>
            <w:tcW w:w="3010" w:type="dxa"/>
            <w:shd w:val="clear" w:color="auto" w:fill="E6E6E6"/>
            <w:vAlign w:val="center"/>
          </w:tcPr>
          <w:p w14:paraId="032CAE53" w14:textId="77777777" w:rsidR="00D21BE2" w:rsidRPr="00D61D87" w:rsidRDefault="00D21BE2" w:rsidP="00986700">
            <w:pPr>
              <w:rPr>
                <w:rFonts w:cs="Arial"/>
                <w:sz w:val="18"/>
                <w:szCs w:val="18"/>
              </w:rPr>
            </w:pPr>
            <w:r w:rsidRPr="00D61D87">
              <w:rPr>
                <w:rFonts w:cs="Arial"/>
                <w:sz w:val="18"/>
                <w:szCs w:val="18"/>
              </w:rPr>
              <w:t>Autriche</w:t>
            </w:r>
          </w:p>
        </w:tc>
        <w:tc>
          <w:tcPr>
            <w:tcW w:w="1430" w:type="dxa"/>
            <w:shd w:val="clear" w:color="auto" w:fill="E6E6E6"/>
            <w:vAlign w:val="center"/>
          </w:tcPr>
          <w:p w14:paraId="6428605F"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E6E6E6"/>
            <w:vAlign w:val="center"/>
          </w:tcPr>
          <w:p w14:paraId="7C05FB85"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0C8F1A73"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E6E6E6"/>
            <w:vAlign w:val="center"/>
          </w:tcPr>
          <w:p w14:paraId="68F66E4A"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E6E6E6"/>
            <w:vAlign w:val="center"/>
          </w:tcPr>
          <w:p w14:paraId="50F1F5C8"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2F1A6423" w14:textId="77777777" w:rsidTr="00DD4E5E">
        <w:tc>
          <w:tcPr>
            <w:tcW w:w="3010" w:type="dxa"/>
            <w:shd w:val="clear" w:color="auto" w:fill="auto"/>
            <w:vAlign w:val="center"/>
          </w:tcPr>
          <w:p w14:paraId="51696D26" w14:textId="77777777" w:rsidR="00D21BE2" w:rsidRPr="00D61D87" w:rsidRDefault="00D21BE2" w:rsidP="00986700">
            <w:pPr>
              <w:rPr>
                <w:rFonts w:cs="Arial"/>
                <w:sz w:val="18"/>
                <w:szCs w:val="18"/>
              </w:rPr>
            </w:pPr>
            <w:r w:rsidRPr="00D61D87">
              <w:rPr>
                <w:rFonts w:cs="Arial"/>
                <w:sz w:val="18"/>
                <w:szCs w:val="18"/>
              </w:rPr>
              <w:t>Azerbaïdjan</w:t>
            </w:r>
          </w:p>
        </w:tc>
        <w:tc>
          <w:tcPr>
            <w:tcW w:w="1430" w:type="dxa"/>
            <w:shd w:val="clear" w:color="auto" w:fill="auto"/>
            <w:vAlign w:val="center"/>
          </w:tcPr>
          <w:p w14:paraId="548D3DF8"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498F33E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15C6F27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0C50BF5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10C9F721"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035EE967" w14:textId="77777777" w:rsidTr="00DD4E5E">
        <w:tc>
          <w:tcPr>
            <w:tcW w:w="3010" w:type="dxa"/>
            <w:shd w:val="clear" w:color="auto" w:fill="E6E6E6"/>
            <w:vAlign w:val="center"/>
          </w:tcPr>
          <w:p w14:paraId="22806091" w14:textId="77777777" w:rsidR="00D21BE2" w:rsidRPr="00D61D87" w:rsidRDefault="00D21BE2" w:rsidP="00986700">
            <w:pPr>
              <w:rPr>
                <w:rFonts w:cs="Arial"/>
                <w:sz w:val="18"/>
                <w:szCs w:val="18"/>
              </w:rPr>
            </w:pPr>
            <w:r w:rsidRPr="00D61D87">
              <w:rPr>
                <w:rFonts w:cs="Arial"/>
                <w:b/>
                <w:bCs/>
                <w:sz w:val="18"/>
                <w:szCs w:val="18"/>
              </w:rPr>
              <w:t>B</w:t>
            </w:r>
            <w:r w:rsidRPr="00D61D87">
              <w:rPr>
                <w:rFonts w:cs="Arial"/>
                <w:bCs/>
                <w:sz w:val="18"/>
                <w:szCs w:val="18"/>
              </w:rPr>
              <w:t>ahamas</w:t>
            </w:r>
          </w:p>
        </w:tc>
        <w:tc>
          <w:tcPr>
            <w:tcW w:w="1430" w:type="dxa"/>
            <w:shd w:val="clear" w:color="auto" w:fill="E6E6E6"/>
            <w:vAlign w:val="center"/>
          </w:tcPr>
          <w:p w14:paraId="320569F3"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14BE6FD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68D629E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B13759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3492EB7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19D4C9B" w14:textId="77777777" w:rsidTr="00DD4E5E">
        <w:tc>
          <w:tcPr>
            <w:tcW w:w="3010" w:type="dxa"/>
            <w:shd w:val="clear" w:color="auto" w:fill="auto"/>
            <w:vAlign w:val="center"/>
          </w:tcPr>
          <w:p w14:paraId="6B2CD35B" w14:textId="77777777" w:rsidR="00D21BE2" w:rsidRPr="00D61D87" w:rsidRDefault="00D21BE2" w:rsidP="00986700">
            <w:pPr>
              <w:rPr>
                <w:rFonts w:cs="Arial"/>
                <w:sz w:val="18"/>
                <w:szCs w:val="18"/>
              </w:rPr>
            </w:pPr>
            <w:r w:rsidRPr="00D61D87">
              <w:rPr>
                <w:rFonts w:cs="Arial"/>
                <w:sz w:val="18"/>
                <w:szCs w:val="18"/>
              </w:rPr>
              <w:t>Bahreïn</w:t>
            </w:r>
          </w:p>
        </w:tc>
        <w:tc>
          <w:tcPr>
            <w:tcW w:w="1430" w:type="dxa"/>
            <w:shd w:val="clear" w:color="auto" w:fill="auto"/>
            <w:vAlign w:val="center"/>
          </w:tcPr>
          <w:p w14:paraId="31B53A14"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1081DA0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6095D9F7"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6FD7C50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43AD7CE6"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D73B2EA" w14:textId="77777777" w:rsidTr="00DD4E5E">
        <w:tc>
          <w:tcPr>
            <w:tcW w:w="3010" w:type="dxa"/>
            <w:shd w:val="clear" w:color="auto" w:fill="E6E6E6"/>
            <w:vAlign w:val="center"/>
          </w:tcPr>
          <w:p w14:paraId="3A90DA55" w14:textId="77777777" w:rsidR="00D21BE2" w:rsidRPr="00D61D87" w:rsidRDefault="00D21BE2" w:rsidP="00986700">
            <w:pPr>
              <w:rPr>
                <w:rFonts w:cs="Arial"/>
                <w:sz w:val="18"/>
                <w:szCs w:val="18"/>
              </w:rPr>
            </w:pPr>
            <w:r w:rsidRPr="00D61D87">
              <w:rPr>
                <w:rFonts w:cs="Arial"/>
                <w:sz w:val="18"/>
                <w:szCs w:val="18"/>
              </w:rPr>
              <w:t>Bangladesh</w:t>
            </w:r>
          </w:p>
        </w:tc>
        <w:tc>
          <w:tcPr>
            <w:tcW w:w="1430" w:type="dxa"/>
            <w:shd w:val="clear" w:color="auto" w:fill="E6E6E6"/>
            <w:vAlign w:val="center"/>
          </w:tcPr>
          <w:p w14:paraId="6214CAAA"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52AFC92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CC4BE8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62CD0C7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F64148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2AE482E" w14:textId="77777777" w:rsidTr="00DD4E5E">
        <w:tc>
          <w:tcPr>
            <w:tcW w:w="3010" w:type="dxa"/>
            <w:shd w:val="clear" w:color="auto" w:fill="auto"/>
            <w:vAlign w:val="center"/>
          </w:tcPr>
          <w:p w14:paraId="0AA3A63C" w14:textId="77777777" w:rsidR="00D21BE2" w:rsidRPr="00D61D87" w:rsidRDefault="00D21BE2" w:rsidP="00986700">
            <w:pPr>
              <w:rPr>
                <w:rFonts w:cs="Arial"/>
                <w:sz w:val="18"/>
                <w:szCs w:val="18"/>
              </w:rPr>
            </w:pPr>
            <w:r w:rsidRPr="00D61D87">
              <w:rPr>
                <w:rFonts w:cs="Arial"/>
                <w:sz w:val="18"/>
                <w:szCs w:val="18"/>
              </w:rPr>
              <w:t>Barbade</w:t>
            </w:r>
          </w:p>
        </w:tc>
        <w:tc>
          <w:tcPr>
            <w:tcW w:w="1430" w:type="dxa"/>
            <w:shd w:val="clear" w:color="auto" w:fill="auto"/>
            <w:vAlign w:val="center"/>
          </w:tcPr>
          <w:p w14:paraId="432CFC93"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2FE276C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1DF2C4C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0573A0A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FE7979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D836E9B" w14:textId="77777777" w:rsidTr="00DD4E5E">
        <w:tc>
          <w:tcPr>
            <w:tcW w:w="3010" w:type="dxa"/>
            <w:shd w:val="clear" w:color="auto" w:fill="E6E6E6"/>
            <w:vAlign w:val="center"/>
          </w:tcPr>
          <w:p w14:paraId="6313D085" w14:textId="77777777" w:rsidR="00D21BE2" w:rsidRPr="00D61D87" w:rsidRDefault="00D21BE2" w:rsidP="00986700">
            <w:pPr>
              <w:rPr>
                <w:rFonts w:cs="Arial"/>
                <w:sz w:val="18"/>
                <w:szCs w:val="18"/>
              </w:rPr>
            </w:pPr>
            <w:r w:rsidRPr="00D61D87">
              <w:rPr>
                <w:rFonts w:cs="Arial"/>
                <w:sz w:val="18"/>
                <w:szCs w:val="18"/>
              </w:rPr>
              <w:t>Bélarus</w:t>
            </w:r>
          </w:p>
        </w:tc>
        <w:tc>
          <w:tcPr>
            <w:tcW w:w="1430" w:type="dxa"/>
            <w:shd w:val="clear" w:color="auto" w:fill="E6E6E6"/>
            <w:vAlign w:val="center"/>
          </w:tcPr>
          <w:p w14:paraId="0A3366EB"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1000EB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2A41C8BE"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38BEEC5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0F7D1B0D"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3E00165B" w14:textId="77777777" w:rsidTr="00DD4E5E">
        <w:tc>
          <w:tcPr>
            <w:tcW w:w="3010" w:type="dxa"/>
            <w:shd w:val="clear" w:color="auto" w:fill="auto"/>
            <w:vAlign w:val="center"/>
          </w:tcPr>
          <w:p w14:paraId="46370294" w14:textId="77777777" w:rsidR="00D21BE2" w:rsidRPr="00D61D87" w:rsidRDefault="00D21BE2" w:rsidP="00986700">
            <w:pPr>
              <w:rPr>
                <w:rFonts w:cs="Arial"/>
                <w:sz w:val="18"/>
                <w:szCs w:val="18"/>
              </w:rPr>
            </w:pPr>
            <w:r w:rsidRPr="00D61D87">
              <w:rPr>
                <w:rFonts w:cs="Arial"/>
                <w:sz w:val="18"/>
                <w:szCs w:val="18"/>
              </w:rPr>
              <w:t>Belgique</w:t>
            </w:r>
          </w:p>
        </w:tc>
        <w:tc>
          <w:tcPr>
            <w:tcW w:w="1430" w:type="dxa"/>
            <w:shd w:val="clear" w:color="auto" w:fill="auto"/>
            <w:vAlign w:val="center"/>
          </w:tcPr>
          <w:p w14:paraId="476AD28A"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auto"/>
            <w:vAlign w:val="center"/>
          </w:tcPr>
          <w:p w14:paraId="681BCBC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auto"/>
            <w:vAlign w:val="center"/>
          </w:tcPr>
          <w:p w14:paraId="0D6479DE"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auto"/>
            <w:vAlign w:val="center"/>
          </w:tcPr>
          <w:p w14:paraId="62A3E973"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auto"/>
            <w:vAlign w:val="center"/>
          </w:tcPr>
          <w:p w14:paraId="453FDCA2"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79FB3630" w14:textId="77777777" w:rsidTr="00DD4E5E">
        <w:tc>
          <w:tcPr>
            <w:tcW w:w="3010" w:type="dxa"/>
            <w:shd w:val="clear" w:color="auto" w:fill="E6E6E6"/>
            <w:vAlign w:val="center"/>
          </w:tcPr>
          <w:p w14:paraId="2466834B" w14:textId="77777777" w:rsidR="00D21BE2" w:rsidRPr="00D61D87" w:rsidRDefault="00D21BE2" w:rsidP="00986700">
            <w:pPr>
              <w:rPr>
                <w:rFonts w:cs="Arial"/>
                <w:sz w:val="18"/>
                <w:szCs w:val="18"/>
              </w:rPr>
            </w:pPr>
            <w:r w:rsidRPr="00D61D87">
              <w:rPr>
                <w:rFonts w:cs="Arial"/>
                <w:sz w:val="18"/>
                <w:szCs w:val="18"/>
              </w:rPr>
              <w:t>Belize</w:t>
            </w:r>
          </w:p>
        </w:tc>
        <w:tc>
          <w:tcPr>
            <w:tcW w:w="1430" w:type="dxa"/>
            <w:shd w:val="clear" w:color="auto" w:fill="E6E6E6"/>
            <w:vAlign w:val="center"/>
          </w:tcPr>
          <w:p w14:paraId="0BC78CB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016F2D3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212668C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598F67C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6D8DF4F4"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F6F56CC" w14:textId="77777777" w:rsidTr="00DD4E5E">
        <w:tc>
          <w:tcPr>
            <w:tcW w:w="3010" w:type="dxa"/>
            <w:shd w:val="clear" w:color="auto" w:fill="auto"/>
            <w:vAlign w:val="center"/>
          </w:tcPr>
          <w:p w14:paraId="355AD1E3" w14:textId="77777777" w:rsidR="00D21BE2" w:rsidRPr="00D61D87" w:rsidRDefault="00D21BE2" w:rsidP="00986700">
            <w:pPr>
              <w:rPr>
                <w:rFonts w:cs="Arial"/>
                <w:sz w:val="18"/>
                <w:szCs w:val="18"/>
              </w:rPr>
            </w:pPr>
            <w:r w:rsidRPr="00D61D87">
              <w:rPr>
                <w:rFonts w:cs="Arial"/>
                <w:sz w:val="18"/>
                <w:szCs w:val="18"/>
              </w:rPr>
              <w:t>Bénin</w:t>
            </w:r>
          </w:p>
        </w:tc>
        <w:tc>
          <w:tcPr>
            <w:tcW w:w="1430" w:type="dxa"/>
            <w:shd w:val="clear" w:color="auto" w:fill="auto"/>
            <w:vAlign w:val="center"/>
          </w:tcPr>
          <w:p w14:paraId="7832D47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510CF13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788F39C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29A85CD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AFF4E6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36DAE15" w14:textId="77777777" w:rsidTr="00DD4E5E">
        <w:tc>
          <w:tcPr>
            <w:tcW w:w="3010" w:type="dxa"/>
            <w:shd w:val="clear" w:color="auto" w:fill="E6E6E6"/>
            <w:vAlign w:val="center"/>
          </w:tcPr>
          <w:p w14:paraId="1D61D5B5" w14:textId="77777777" w:rsidR="00D21BE2" w:rsidRPr="00D61D87" w:rsidRDefault="00D21BE2" w:rsidP="00986700">
            <w:pPr>
              <w:rPr>
                <w:rFonts w:cs="Arial"/>
                <w:sz w:val="18"/>
                <w:szCs w:val="18"/>
              </w:rPr>
            </w:pPr>
            <w:r w:rsidRPr="00D61D87">
              <w:rPr>
                <w:rFonts w:cs="Arial"/>
                <w:sz w:val="18"/>
                <w:szCs w:val="18"/>
              </w:rPr>
              <w:t>Bhoutan</w:t>
            </w:r>
          </w:p>
        </w:tc>
        <w:tc>
          <w:tcPr>
            <w:tcW w:w="1430" w:type="dxa"/>
            <w:shd w:val="clear" w:color="auto" w:fill="E6E6E6"/>
            <w:vAlign w:val="center"/>
          </w:tcPr>
          <w:p w14:paraId="4D50557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1DECD3B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2181C5A8"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0A8872C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2FA837B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2055B37C" w14:textId="77777777" w:rsidTr="00DD4E5E">
        <w:tc>
          <w:tcPr>
            <w:tcW w:w="3010" w:type="dxa"/>
            <w:shd w:val="clear" w:color="auto" w:fill="auto"/>
            <w:vAlign w:val="center"/>
          </w:tcPr>
          <w:p w14:paraId="01BC5697" w14:textId="77777777" w:rsidR="00D21BE2" w:rsidRPr="00D61D87" w:rsidRDefault="00D21BE2" w:rsidP="00986700">
            <w:pPr>
              <w:rPr>
                <w:rFonts w:cs="Arial"/>
                <w:sz w:val="18"/>
                <w:szCs w:val="18"/>
              </w:rPr>
            </w:pPr>
            <w:r w:rsidRPr="00D61D87">
              <w:rPr>
                <w:rFonts w:cs="Arial"/>
                <w:sz w:val="18"/>
                <w:szCs w:val="18"/>
              </w:rPr>
              <w:t>Bolivie (État plurinational de)</w:t>
            </w:r>
          </w:p>
        </w:tc>
        <w:tc>
          <w:tcPr>
            <w:tcW w:w="1430" w:type="dxa"/>
            <w:shd w:val="clear" w:color="auto" w:fill="auto"/>
            <w:vAlign w:val="center"/>
          </w:tcPr>
          <w:p w14:paraId="3152951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82EF3C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4C4A979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64A58F0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E6E162E"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7424C39" w14:textId="77777777" w:rsidTr="00DD4E5E">
        <w:tc>
          <w:tcPr>
            <w:tcW w:w="3010" w:type="dxa"/>
            <w:shd w:val="clear" w:color="auto" w:fill="E6E6E6"/>
            <w:vAlign w:val="center"/>
          </w:tcPr>
          <w:p w14:paraId="12D36E8C" w14:textId="77777777" w:rsidR="00D21BE2" w:rsidRPr="00D61D87" w:rsidRDefault="00D21BE2" w:rsidP="00986700">
            <w:pPr>
              <w:rPr>
                <w:rFonts w:cs="Arial"/>
                <w:sz w:val="18"/>
                <w:szCs w:val="18"/>
              </w:rPr>
            </w:pPr>
            <w:r w:rsidRPr="00D61D87">
              <w:rPr>
                <w:rFonts w:cs="Arial"/>
                <w:sz w:val="18"/>
                <w:szCs w:val="18"/>
              </w:rPr>
              <w:t>Bosnie-Herzégovine</w:t>
            </w:r>
          </w:p>
        </w:tc>
        <w:tc>
          <w:tcPr>
            <w:tcW w:w="1430" w:type="dxa"/>
            <w:shd w:val="clear" w:color="auto" w:fill="E6E6E6"/>
            <w:vAlign w:val="center"/>
          </w:tcPr>
          <w:p w14:paraId="5444A3C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684D29D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734A2D2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FB36FDB"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21D72F67"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0BF8F46" w14:textId="77777777" w:rsidTr="00DD4E5E">
        <w:tc>
          <w:tcPr>
            <w:tcW w:w="3010" w:type="dxa"/>
            <w:shd w:val="clear" w:color="auto" w:fill="auto"/>
            <w:vAlign w:val="center"/>
          </w:tcPr>
          <w:p w14:paraId="2572FD53" w14:textId="77777777" w:rsidR="00D21BE2" w:rsidRPr="00D61D87" w:rsidRDefault="00D21BE2" w:rsidP="00986700">
            <w:pPr>
              <w:rPr>
                <w:rFonts w:cs="Arial"/>
                <w:sz w:val="18"/>
                <w:szCs w:val="18"/>
              </w:rPr>
            </w:pPr>
            <w:r w:rsidRPr="00D61D87">
              <w:rPr>
                <w:rFonts w:cs="Arial"/>
                <w:sz w:val="18"/>
                <w:szCs w:val="18"/>
              </w:rPr>
              <w:t>Botswana</w:t>
            </w:r>
          </w:p>
        </w:tc>
        <w:tc>
          <w:tcPr>
            <w:tcW w:w="1430" w:type="dxa"/>
            <w:shd w:val="clear" w:color="auto" w:fill="auto"/>
            <w:vAlign w:val="center"/>
          </w:tcPr>
          <w:p w14:paraId="476D321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3278D7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5F6C259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52EBE82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F3509A3"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5882285" w14:textId="77777777" w:rsidTr="00DD4E5E">
        <w:tc>
          <w:tcPr>
            <w:tcW w:w="3010" w:type="dxa"/>
            <w:shd w:val="clear" w:color="auto" w:fill="E6E6E6"/>
            <w:vAlign w:val="center"/>
          </w:tcPr>
          <w:p w14:paraId="7FE86131" w14:textId="77777777" w:rsidR="00D21BE2" w:rsidRPr="00D61D87" w:rsidRDefault="00D21BE2" w:rsidP="00986700">
            <w:pPr>
              <w:rPr>
                <w:rFonts w:cs="Arial"/>
                <w:sz w:val="18"/>
                <w:szCs w:val="18"/>
              </w:rPr>
            </w:pPr>
            <w:r w:rsidRPr="00D61D87">
              <w:rPr>
                <w:rFonts w:cs="Arial"/>
                <w:sz w:val="18"/>
                <w:szCs w:val="18"/>
              </w:rPr>
              <w:t>Brésil</w:t>
            </w:r>
          </w:p>
        </w:tc>
        <w:tc>
          <w:tcPr>
            <w:tcW w:w="1430" w:type="dxa"/>
            <w:shd w:val="clear" w:color="auto" w:fill="E6E6E6"/>
            <w:vAlign w:val="center"/>
          </w:tcPr>
          <w:p w14:paraId="10E5A33E"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E6E6E6"/>
            <w:vAlign w:val="center"/>
          </w:tcPr>
          <w:p w14:paraId="54B4408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E6E6E6"/>
            <w:vAlign w:val="center"/>
          </w:tcPr>
          <w:p w14:paraId="221CBEC2"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E6E6E6"/>
            <w:vAlign w:val="center"/>
          </w:tcPr>
          <w:p w14:paraId="43CEDD09"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E6E6E6"/>
            <w:vAlign w:val="center"/>
          </w:tcPr>
          <w:p w14:paraId="720283D3"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7E166174" w14:textId="77777777" w:rsidTr="00DD4E5E">
        <w:tc>
          <w:tcPr>
            <w:tcW w:w="3010" w:type="dxa"/>
            <w:shd w:val="clear" w:color="auto" w:fill="auto"/>
            <w:vAlign w:val="center"/>
          </w:tcPr>
          <w:p w14:paraId="32A145AC" w14:textId="77777777" w:rsidR="00D21BE2" w:rsidRPr="00D61D87" w:rsidRDefault="00D21BE2" w:rsidP="00986700">
            <w:pPr>
              <w:rPr>
                <w:rFonts w:cs="Arial"/>
                <w:sz w:val="18"/>
                <w:szCs w:val="18"/>
              </w:rPr>
            </w:pPr>
            <w:r w:rsidRPr="00D61D87">
              <w:rPr>
                <w:rFonts w:cs="Arial"/>
                <w:sz w:val="18"/>
                <w:szCs w:val="18"/>
              </w:rPr>
              <w:t>Brunéi Darussalam</w:t>
            </w:r>
          </w:p>
        </w:tc>
        <w:tc>
          <w:tcPr>
            <w:tcW w:w="1430" w:type="dxa"/>
            <w:shd w:val="clear" w:color="auto" w:fill="auto"/>
            <w:vAlign w:val="center"/>
          </w:tcPr>
          <w:p w14:paraId="6FFAACE6"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7EC7F67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5846A69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2970EE35"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6C6F1F73"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0D2EC5B" w14:textId="77777777" w:rsidTr="00DD4E5E">
        <w:tc>
          <w:tcPr>
            <w:tcW w:w="3010" w:type="dxa"/>
            <w:shd w:val="clear" w:color="auto" w:fill="E6E6E6"/>
            <w:vAlign w:val="center"/>
          </w:tcPr>
          <w:p w14:paraId="3BA5A7E3" w14:textId="77777777" w:rsidR="00D21BE2" w:rsidRPr="00D61D87" w:rsidRDefault="00D21BE2" w:rsidP="00986700">
            <w:pPr>
              <w:rPr>
                <w:rFonts w:cs="Arial"/>
                <w:sz w:val="18"/>
                <w:szCs w:val="18"/>
              </w:rPr>
            </w:pPr>
            <w:r w:rsidRPr="00D61D87">
              <w:rPr>
                <w:rFonts w:cs="Arial"/>
                <w:sz w:val="18"/>
                <w:szCs w:val="18"/>
              </w:rPr>
              <w:t>Bulgarie</w:t>
            </w:r>
          </w:p>
        </w:tc>
        <w:tc>
          <w:tcPr>
            <w:tcW w:w="1430" w:type="dxa"/>
            <w:shd w:val="clear" w:color="auto" w:fill="E6E6E6"/>
            <w:vAlign w:val="center"/>
          </w:tcPr>
          <w:p w14:paraId="5D2675F9"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E6E6E6"/>
            <w:vAlign w:val="center"/>
          </w:tcPr>
          <w:p w14:paraId="2788A86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E6E6E6"/>
            <w:vAlign w:val="center"/>
          </w:tcPr>
          <w:p w14:paraId="40B03953"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E6E6E6"/>
            <w:vAlign w:val="center"/>
          </w:tcPr>
          <w:p w14:paraId="439405CF"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E6E6E6"/>
            <w:vAlign w:val="center"/>
          </w:tcPr>
          <w:p w14:paraId="20AFBC2E"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0D5455F7" w14:textId="77777777" w:rsidTr="00DD4E5E">
        <w:tc>
          <w:tcPr>
            <w:tcW w:w="3010" w:type="dxa"/>
            <w:shd w:val="clear" w:color="auto" w:fill="auto"/>
            <w:vAlign w:val="center"/>
          </w:tcPr>
          <w:p w14:paraId="06C22904" w14:textId="77777777" w:rsidR="00D21BE2" w:rsidRPr="00D61D87" w:rsidRDefault="00D21BE2" w:rsidP="00986700">
            <w:pPr>
              <w:rPr>
                <w:rFonts w:cs="Arial"/>
                <w:sz w:val="18"/>
                <w:szCs w:val="18"/>
              </w:rPr>
            </w:pPr>
            <w:r w:rsidRPr="00D61D87">
              <w:rPr>
                <w:rFonts w:cs="Arial"/>
                <w:sz w:val="18"/>
                <w:szCs w:val="18"/>
              </w:rPr>
              <w:t>Burkina Faso</w:t>
            </w:r>
          </w:p>
        </w:tc>
        <w:tc>
          <w:tcPr>
            <w:tcW w:w="1430" w:type="dxa"/>
            <w:shd w:val="clear" w:color="auto" w:fill="auto"/>
            <w:vAlign w:val="center"/>
          </w:tcPr>
          <w:p w14:paraId="61AC3CA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79F56A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26CB9D1C"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6C56F23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E9821C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5E72C76" w14:textId="77777777" w:rsidTr="00DD4E5E">
        <w:tc>
          <w:tcPr>
            <w:tcW w:w="3010" w:type="dxa"/>
            <w:shd w:val="clear" w:color="auto" w:fill="E6E6E6"/>
            <w:vAlign w:val="center"/>
          </w:tcPr>
          <w:p w14:paraId="77729E92" w14:textId="77777777" w:rsidR="00D21BE2" w:rsidRPr="00D61D87" w:rsidRDefault="00D21BE2" w:rsidP="00986700">
            <w:pPr>
              <w:rPr>
                <w:rFonts w:cs="Arial"/>
                <w:sz w:val="18"/>
                <w:szCs w:val="18"/>
              </w:rPr>
            </w:pPr>
            <w:r w:rsidRPr="00D61D87">
              <w:rPr>
                <w:rFonts w:cs="Arial"/>
                <w:sz w:val="18"/>
                <w:szCs w:val="18"/>
              </w:rPr>
              <w:t>Burundi</w:t>
            </w:r>
          </w:p>
        </w:tc>
        <w:tc>
          <w:tcPr>
            <w:tcW w:w="1430" w:type="dxa"/>
            <w:shd w:val="clear" w:color="auto" w:fill="E6E6E6"/>
            <w:vAlign w:val="center"/>
          </w:tcPr>
          <w:p w14:paraId="033A4FF0"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6F19584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A5C1DB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7AEDE82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13EFE9C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4DBE58D" w14:textId="77777777" w:rsidTr="00DD4E5E">
        <w:tc>
          <w:tcPr>
            <w:tcW w:w="3010" w:type="dxa"/>
            <w:shd w:val="clear" w:color="auto" w:fill="auto"/>
            <w:vAlign w:val="center"/>
          </w:tcPr>
          <w:p w14:paraId="40A1902C" w14:textId="77777777" w:rsidR="00D21BE2" w:rsidRPr="00D61D87" w:rsidRDefault="00D21BE2" w:rsidP="00986700">
            <w:pPr>
              <w:rPr>
                <w:rFonts w:cs="Arial"/>
                <w:sz w:val="18"/>
                <w:szCs w:val="18"/>
              </w:rPr>
            </w:pPr>
            <w:r w:rsidRPr="00D61D87">
              <w:rPr>
                <w:rFonts w:cs="Arial"/>
                <w:b/>
                <w:bCs/>
                <w:sz w:val="18"/>
                <w:szCs w:val="18"/>
              </w:rPr>
              <w:t>C</w:t>
            </w:r>
            <w:r w:rsidRPr="00D61D87">
              <w:rPr>
                <w:rFonts w:cs="Arial"/>
                <w:bCs/>
                <w:sz w:val="18"/>
                <w:szCs w:val="18"/>
              </w:rPr>
              <w:t>abo Verde</w:t>
            </w:r>
          </w:p>
        </w:tc>
        <w:tc>
          <w:tcPr>
            <w:tcW w:w="1430" w:type="dxa"/>
            <w:shd w:val="clear" w:color="auto" w:fill="auto"/>
            <w:vAlign w:val="center"/>
          </w:tcPr>
          <w:p w14:paraId="1124B1A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7BFA94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1ECD2A2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3FD730E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D7CB94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13F94B12" w14:textId="77777777" w:rsidTr="00DD4E5E">
        <w:tc>
          <w:tcPr>
            <w:tcW w:w="3010" w:type="dxa"/>
            <w:shd w:val="clear" w:color="auto" w:fill="E6E6E6"/>
            <w:vAlign w:val="center"/>
          </w:tcPr>
          <w:p w14:paraId="3302447D" w14:textId="77777777" w:rsidR="00D21BE2" w:rsidRPr="00D61D87" w:rsidRDefault="00D21BE2" w:rsidP="00986700">
            <w:pPr>
              <w:rPr>
                <w:rFonts w:cs="Arial"/>
                <w:sz w:val="18"/>
                <w:szCs w:val="18"/>
              </w:rPr>
            </w:pPr>
            <w:r w:rsidRPr="00D61D87">
              <w:rPr>
                <w:rFonts w:cs="Arial"/>
                <w:sz w:val="18"/>
                <w:szCs w:val="18"/>
              </w:rPr>
              <w:t>Cambodge</w:t>
            </w:r>
          </w:p>
        </w:tc>
        <w:tc>
          <w:tcPr>
            <w:tcW w:w="1430" w:type="dxa"/>
            <w:shd w:val="clear" w:color="auto" w:fill="E6E6E6"/>
            <w:vAlign w:val="center"/>
          </w:tcPr>
          <w:p w14:paraId="790A496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1AAEADA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A4923E8"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22F34A42"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A748AA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508F8757" w14:textId="77777777" w:rsidTr="00DD4E5E">
        <w:tc>
          <w:tcPr>
            <w:tcW w:w="3010" w:type="dxa"/>
            <w:shd w:val="clear" w:color="auto" w:fill="auto"/>
            <w:vAlign w:val="center"/>
          </w:tcPr>
          <w:p w14:paraId="5DC1AFCE" w14:textId="77777777" w:rsidR="00D21BE2" w:rsidRPr="00D61D87" w:rsidRDefault="00D21BE2" w:rsidP="00986700">
            <w:pPr>
              <w:rPr>
                <w:rFonts w:cs="Arial"/>
                <w:sz w:val="18"/>
                <w:szCs w:val="18"/>
              </w:rPr>
            </w:pPr>
            <w:r w:rsidRPr="00D61D87">
              <w:rPr>
                <w:rFonts w:cs="Arial"/>
                <w:sz w:val="18"/>
                <w:szCs w:val="18"/>
              </w:rPr>
              <w:t>Cameroun</w:t>
            </w:r>
          </w:p>
        </w:tc>
        <w:tc>
          <w:tcPr>
            <w:tcW w:w="1430" w:type="dxa"/>
            <w:shd w:val="clear" w:color="auto" w:fill="auto"/>
            <w:vAlign w:val="center"/>
          </w:tcPr>
          <w:p w14:paraId="6A824980"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234AA14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119B1E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51C9C81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450E4C3D"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4017D6D" w14:textId="77777777" w:rsidTr="00DD4E5E">
        <w:tc>
          <w:tcPr>
            <w:tcW w:w="3010" w:type="dxa"/>
            <w:shd w:val="clear" w:color="auto" w:fill="E6E6E6"/>
            <w:vAlign w:val="center"/>
          </w:tcPr>
          <w:p w14:paraId="2D4803E0" w14:textId="77777777" w:rsidR="00D21BE2" w:rsidRPr="00D61D87" w:rsidRDefault="00D21BE2" w:rsidP="00986700">
            <w:pPr>
              <w:rPr>
                <w:rFonts w:cs="Arial"/>
                <w:sz w:val="18"/>
                <w:szCs w:val="18"/>
              </w:rPr>
            </w:pPr>
            <w:r w:rsidRPr="00D61D87">
              <w:rPr>
                <w:rFonts w:cs="Arial"/>
                <w:sz w:val="18"/>
                <w:szCs w:val="18"/>
              </w:rPr>
              <w:t>Canada</w:t>
            </w:r>
          </w:p>
        </w:tc>
        <w:tc>
          <w:tcPr>
            <w:tcW w:w="1430" w:type="dxa"/>
            <w:shd w:val="clear" w:color="auto" w:fill="E6E6E6"/>
            <w:vAlign w:val="center"/>
          </w:tcPr>
          <w:p w14:paraId="3EC97819"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E6E6E6"/>
            <w:vAlign w:val="center"/>
          </w:tcPr>
          <w:p w14:paraId="52113B1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E6E6E6"/>
            <w:vAlign w:val="center"/>
          </w:tcPr>
          <w:p w14:paraId="7A158DD1"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E6E6E6"/>
            <w:vAlign w:val="center"/>
          </w:tcPr>
          <w:p w14:paraId="27EE734D"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E6E6E6"/>
            <w:vAlign w:val="center"/>
          </w:tcPr>
          <w:p w14:paraId="01CA2BDD"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5C55FEAF" w14:textId="77777777" w:rsidTr="00DD4E5E">
        <w:tc>
          <w:tcPr>
            <w:tcW w:w="3010" w:type="dxa"/>
            <w:shd w:val="clear" w:color="auto" w:fill="auto"/>
            <w:vAlign w:val="center"/>
          </w:tcPr>
          <w:p w14:paraId="083584A9" w14:textId="77777777" w:rsidR="00D21BE2" w:rsidRPr="00D61D87" w:rsidRDefault="00D21BE2" w:rsidP="00986700">
            <w:pPr>
              <w:rPr>
                <w:rFonts w:cs="Arial"/>
                <w:sz w:val="18"/>
                <w:szCs w:val="18"/>
              </w:rPr>
            </w:pPr>
            <w:r w:rsidRPr="00D61D87">
              <w:rPr>
                <w:rFonts w:cs="Arial"/>
                <w:sz w:val="18"/>
                <w:szCs w:val="18"/>
              </w:rPr>
              <w:t>Chili</w:t>
            </w:r>
          </w:p>
        </w:tc>
        <w:tc>
          <w:tcPr>
            <w:tcW w:w="1430" w:type="dxa"/>
            <w:shd w:val="clear" w:color="auto" w:fill="auto"/>
            <w:vAlign w:val="center"/>
          </w:tcPr>
          <w:p w14:paraId="082F0B82"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0FD931F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1A5EFCB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4910E6F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28799BAD"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01E4E574" w14:textId="77777777" w:rsidTr="00DD4E5E">
        <w:tc>
          <w:tcPr>
            <w:tcW w:w="3010" w:type="dxa"/>
            <w:shd w:val="clear" w:color="auto" w:fill="E6E6E6"/>
            <w:vAlign w:val="center"/>
          </w:tcPr>
          <w:p w14:paraId="6A185A4F" w14:textId="77777777" w:rsidR="00D21BE2" w:rsidRPr="00D61D87" w:rsidRDefault="00D21BE2" w:rsidP="00986700">
            <w:pPr>
              <w:rPr>
                <w:rFonts w:cs="Arial"/>
                <w:sz w:val="18"/>
                <w:szCs w:val="18"/>
              </w:rPr>
            </w:pPr>
            <w:r w:rsidRPr="00D61D87">
              <w:rPr>
                <w:rFonts w:cs="Arial"/>
                <w:sz w:val="18"/>
                <w:szCs w:val="18"/>
              </w:rPr>
              <w:t>Chine</w:t>
            </w:r>
          </w:p>
        </w:tc>
        <w:tc>
          <w:tcPr>
            <w:tcW w:w="1430" w:type="dxa"/>
            <w:shd w:val="clear" w:color="auto" w:fill="E6E6E6"/>
            <w:vAlign w:val="center"/>
          </w:tcPr>
          <w:p w14:paraId="434D87A1"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E6E6E6"/>
            <w:vAlign w:val="center"/>
          </w:tcPr>
          <w:p w14:paraId="1058F9CB"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40738D1B"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E6E6E6"/>
            <w:vAlign w:val="center"/>
          </w:tcPr>
          <w:p w14:paraId="2BF90CAB"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E6E6E6"/>
            <w:vAlign w:val="center"/>
          </w:tcPr>
          <w:p w14:paraId="0C67B705"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29696FEA" w14:textId="77777777" w:rsidTr="00DD4E5E">
        <w:tc>
          <w:tcPr>
            <w:tcW w:w="3010" w:type="dxa"/>
            <w:shd w:val="clear" w:color="auto" w:fill="auto"/>
            <w:vAlign w:val="center"/>
          </w:tcPr>
          <w:p w14:paraId="4543542E" w14:textId="77777777" w:rsidR="00D21BE2" w:rsidRPr="00D61D87" w:rsidRDefault="00D21BE2" w:rsidP="00986700">
            <w:pPr>
              <w:rPr>
                <w:rFonts w:cs="Arial"/>
                <w:sz w:val="18"/>
                <w:szCs w:val="18"/>
              </w:rPr>
            </w:pPr>
            <w:r w:rsidRPr="00D61D87">
              <w:rPr>
                <w:rFonts w:cs="Arial"/>
                <w:sz w:val="18"/>
                <w:szCs w:val="18"/>
              </w:rPr>
              <w:t>Chypre</w:t>
            </w:r>
          </w:p>
        </w:tc>
        <w:tc>
          <w:tcPr>
            <w:tcW w:w="1430" w:type="dxa"/>
            <w:shd w:val="clear" w:color="auto" w:fill="auto"/>
            <w:vAlign w:val="center"/>
          </w:tcPr>
          <w:p w14:paraId="430135AA"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20749A2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344A39A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1E93C9E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26B5D99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CC963B5" w14:textId="77777777" w:rsidTr="00DD4E5E">
        <w:tc>
          <w:tcPr>
            <w:tcW w:w="3010" w:type="dxa"/>
            <w:shd w:val="clear" w:color="auto" w:fill="E6E6E6"/>
            <w:vAlign w:val="center"/>
          </w:tcPr>
          <w:p w14:paraId="4CF739BA" w14:textId="77777777" w:rsidR="00D21BE2" w:rsidRPr="00D61D87" w:rsidRDefault="00D21BE2" w:rsidP="00986700">
            <w:pPr>
              <w:rPr>
                <w:rFonts w:cs="Arial"/>
                <w:sz w:val="18"/>
                <w:szCs w:val="18"/>
              </w:rPr>
            </w:pPr>
            <w:r w:rsidRPr="00D61D87">
              <w:rPr>
                <w:rFonts w:cs="Arial"/>
                <w:sz w:val="18"/>
                <w:szCs w:val="18"/>
              </w:rPr>
              <w:t>Colombie</w:t>
            </w:r>
          </w:p>
        </w:tc>
        <w:tc>
          <w:tcPr>
            <w:tcW w:w="1430" w:type="dxa"/>
            <w:shd w:val="clear" w:color="auto" w:fill="E6E6E6"/>
            <w:vAlign w:val="center"/>
          </w:tcPr>
          <w:p w14:paraId="436E669E"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D63914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6FC8BDA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0321D6A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443412F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7EE5FF69" w14:textId="77777777" w:rsidTr="00DD4E5E">
        <w:tc>
          <w:tcPr>
            <w:tcW w:w="3010" w:type="dxa"/>
            <w:shd w:val="clear" w:color="auto" w:fill="auto"/>
            <w:vAlign w:val="center"/>
          </w:tcPr>
          <w:p w14:paraId="7502E188" w14:textId="77777777" w:rsidR="00D21BE2" w:rsidRPr="00D61D87" w:rsidRDefault="00D21BE2" w:rsidP="00986700">
            <w:pPr>
              <w:rPr>
                <w:rFonts w:cs="Arial"/>
                <w:sz w:val="18"/>
                <w:szCs w:val="18"/>
              </w:rPr>
            </w:pPr>
            <w:r w:rsidRPr="00D61D87">
              <w:rPr>
                <w:rFonts w:cs="Arial"/>
                <w:sz w:val="18"/>
                <w:szCs w:val="18"/>
              </w:rPr>
              <w:t>Comores</w:t>
            </w:r>
          </w:p>
        </w:tc>
        <w:tc>
          <w:tcPr>
            <w:tcW w:w="1430" w:type="dxa"/>
            <w:shd w:val="clear" w:color="auto" w:fill="auto"/>
            <w:vAlign w:val="center"/>
          </w:tcPr>
          <w:p w14:paraId="0A9302E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44E2884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419295A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2F853384"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241619B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50846BA" w14:textId="77777777" w:rsidTr="00DD4E5E">
        <w:tc>
          <w:tcPr>
            <w:tcW w:w="3010" w:type="dxa"/>
            <w:shd w:val="clear" w:color="auto" w:fill="E6E6E6"/>
            <w:vAlign w:val="center"/>
          </w:tcPr>
          <w:p w14:paraId="58844F3C" w14:textId="77777777" w:rsidR="00D21BE2" w:rsidRPr="00D61D87" w:rsidRDefault="00D21BE2" w:rsidP="00986700">
            <w:pPr>
              <w:rPr>
                <w:rFonts w:cs="Arial"/>
                <w:sz w:val="18"/>
                <w:szCs w:val="18"/>
              </w:rPr>
            </w:pPr>
            <w:r w:rsidRPr="00D61D87">
              <w:rPr>
                <w:rFonts w:cs="Arial"/>
                <w:sz w:val="18"/>
                <w:szCs w:val="18"/>
              </w:rPr>
              <w:t>Congo</w:t>
            </w:r>
          </w:p>
        </w:tc>
        <w:tc>
          <w:tcPr>
            <w:tcW w:w="1430" w:type="dxa"/>
            <w:shd w:val="clear" w:color="auto" w:fill="E6E6E6"/>
            <w:vAlign w:val="center"/>
          </w:tcPr>
          <w:p w14:paraId="66E0A6C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536C304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788444B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054E150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1F896584"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01361F59" w14:textId="77777777" w:rsidTr="00DD4E5E">
        <w:tc>
          <w:tcPr>
            <w:tcW w:w="3010" w:type="dxa"/>
            <w:shd w:val="clear" w:color="auto" w:fill="auto"/>
            <w:vAlign w:val="center"/>
          </w:tcPr>
          <w:p w14:paraId="598E3C3D" w14:textId="77777777" w:rsidR="00D21BE2" w:rsidRPr="00D61D87" w:rsidRDefault="00D21BE2" w:rsidP="00986700">
            <w:pPr>
              <w:rPr>
                <w:rFonts w:cs="Arial"/>
                <w:sz w:val="18"/>
                <w:szCs w:val="18"/>
              </w:rPr>
            </w:pPr>
            <w:r w:rsidRPr="00D61D87">
              <w:rPr>
                <w:rFonts w:cs="Arial"/>
                <w:sz w:val="18"/>
                <w:szCs w:val="18"/>
              </w:rPr>
              <w:t>Costa Rica</w:t>
            </w:r>
          </w:p>
        </w:tc>
        <w:tc>
          <w:tcPr>
            <w:tcW w:w="1430" w:type="dxa"/>
            <w:shd w:val="clear" w:color="auto" w:fill="auto"/>
            <w:vAlign w:val="center"/>
          </w:tcPr>
          <w:p w14:paraId="40A9D4F0"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4E5AE0C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0F6E8AE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1ED3EB35"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42F30C9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7AF21C6A" w14:textId="77777777" w:rsidTr="00DD4E5E">
        <w:tc>
          <w:tcPr>
            <w:tcW w:w="3010" w:type="dxa"/>
            <w:shd w:val="clear" w:color="auto" w:fill="E6E6E6"/>
            <w:vAlign w:val="center"/>
          </w:tcPr>
          <w:p w14:paraId="145D58CD" w14:textId="77777777" w:rsidR="00D21BE2" w:rsidRPr="00D61D87" w:rsidRDefault="00D21BE2" w:rsidP="00986700">
            <w:pPr>
              <w:rPr>
                <w:rFonts w:cs="Arial"/>
                <w:sz w:val="18"/>
                <w:szCs w:val="18"/>
              </w:rPr>
            </w:pPr>
            <w:r w:rsidRPr="00D61D87">
              <w:rPr>
                <w:rFonts w:cs="Arial"/>
                <w:sz w:val="18"/>
                <w:szCs w:val="18"/>
              </w:rPr>
              <w:t>Côte d’Ivoire</w:t>
            </w:r>
          </w:p>
        </w:tc>
        <w:tc>
          <w:tcPr>
            <w:tcW w:w="1430" w:type="dxa"/>
            <w:shd w:val="clear" w:color="auto" w:fill="E6E6E6"/>
            <w:vAlign w:val="center"/>
          </w:tcPr>
          <w:p w14:paraId="5C245E2E"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7A3DE86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3409D04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787D5E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312531BE"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C9754F6" w14:textId="77777777" w:rsidTr="00DD4E5E">
        <w:tc>
          <w:tcPr>
            <w:tcW w:w="3010" w:type="dxa"/>
            <w:shd w:val="clear" w:color="auto" w:fill="auto"/>
            <w:vAlign w:val="center"/>
          </w:tcPr>
          <w:p w14:paraId="3538F8E8" w14:textId="77777777" w:rsidR="00D21BE2" w:rsidRPr="00D61D87" w:rsidRDefault="00D21BE2" w:rsidP="00986700">
            <w:pPr>
              <w:rPr>
                <w:rFonts w:cs="Arial"/>
                <w:sz w:val="18"/>
                <w:szCs w:val="18"/>
              </w:rPr>
            </w:pPr>
            <w:r w:rsidRPr="00D61D87">
              <w:rPr>
                <w:rFonts w:cs="Arial"/>
                <w:sz w:val="18"/>
                <w:szCs w:val="18"/>
              </w:rPr>
              <w:t>Croatie</w:t>
            </w:r>
          </w:p>
        </w:tc>
        <w:tc>
          <w:tcPr>
            <w:tcW w:w="1430" w:type="dxa"/>
            <w:shd w:val="clear" w:color="auto" w:fill="auto"/>
            <w:vAlign w:val="center"/>
          </w:tcPr>
          <w:p w14:paraId="65B1B36C"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auto"/>
            <w:vAlign w:val="center"/>
          </w:tcPr>
          <w:p w14:paraId="6D3D199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auto"/>
            <w:vAlign w:val="center"/>
          </w:tcPr>
          <w:p w14:paraId="5C0B8A26"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auto"/>
            <w:vAlign w:val="center"/>
          </w:tcPr>
          <w:p w14:paraId="41BFBAFB"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auto"/>
            <w:vAlign w:val="center"/>
          </w:tcPr>
          <w:p w14:paraId="73750D97"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38F645ED" w14:textId="77777777" w:rsidTr="00DD4E5E">
        <w:tc>
          <w:tcPr>
            <w:tcW w:w="3010" w:type="dxa"/>
            <w:shd w:val="clear" w:color="auto" w:fill="E6E6E6"/>
            <w:vAlign w:val="center"/>
          </w:tcPr>
          <w:p w14:paraId="04A34BFE" w14:textId="77777777" w:rsidR="00D21BE2" w:rsidRPr="00D61D87" w:rsidRDefault="00D21BE2" w:rsidP="00986700">
            <w:pPr>
              <w:rPr>
                <w:rFonts w:cs="Arial"/>
                <w:sz w:val="18"/>
                <w:szCs w:val="18"/>
              </w:rPr>
            </w:pPr>
            <w:r w:rsidRPr="00D61D87">
              <w:rPr>
                <w:rFonts w:cs="Arial"/>
                <w:sz w:val="18"/>
                <w:szCs w:val="18"/>
              </w:rPr>
              <w:t>Cuba</w:t>
            </w:r>
          </w:p>
        </w:tc>
        <w:tc>
          <w:tcPr>
            <w:tcW w:w="1430" w:type="dxa"/>
            <w:shd w:val="clear" w:color="auto" w:fill="E6E6E6"/>
            <w:vAlign w:val="center"/>
          </w:tcPr>
          <w:p w14:paraId="07A71509"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2FDEB1D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0D5A62F3"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5F92BAD3"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1B16137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31B6567" w14:textId="77777777" w:rsidTr="00DD4E5E">
        <w:tc>
          <w:tcPr>
            <w:tcW w:w="3010" w:type="dxa"/>
            <w:shd w:val="clear" w:color="auto" w:fill="auto"/>
            <w:vAlign w:val="center"/>
          </w:tcPr>
          <w:p w14:paraId="5AE572AF" w14:textId="77777777" w:rsidR="00D21BE2" w:rsidRPr="00D61D87" w:rsidRDefault="00D21BE2" w:rsidP="00986700">
            <w:pPr>
              <w:rPr>
                <w:rFonts w:cs="Arial"/>
                <w:sz w:val="18"/>
                <w:szCs w:val="18"/>
              </w:rPr>
            </w:pPr>
            <w:r w:rsidRPr="00D61D87">
              <w:rPr>
                <w:rFonts w:cs="Arial"/>
                <w:b/>
                <w:sz w:val="18"/>
                <w:szCs w:val="18"/>
              </w:rPr>
              <w:t>D</w:t>
            </w:r>
            <w:r w:rsidRPr="00D61D87">
              <w:rPr>
                <w:rFonts w:cs="Arial"/>
                <w:sz w:val="18"/>
                <w:szCs w:val="18"/>
              </w:rPr>
              <w:t>anemark</w:t>
            </w:r>
          </w:p>
        </w:tc>
        <w:tc>
          <w:tcPr>
            <w:tcW w:w="1430" w:type="dxa"/>
            <w:shd w:val="clear" w:color="auto" w:fill="auto"/>
            <w:vAlign w:val="center"/>
          </w:tcPr>
          <w:p w14:paraId="2F6D7865"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auto"/>
            <w:vAlign w:val="center"/>
          </w:tcPr>
          <w:p w14:paraId="15B085D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auto"/>
            <w:vAlign w:val="center"/>
          </w:tcPr>
          <w:p w14:paraId="300B906D"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auto"/>
            <w:vAlign w:val="center"/>
          </w:tcPr>
          <w:p w14:paraId="46B08116"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auto"/>
            <w:vAlign w:val="center"/>
          </w:tcPr>
          <w:p w14:paraId="7C54FA83"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0BBF60FB" w14:textId="77777777" w:rsidTr="00DD4E5E">
        <w:tc>
          <w:tcPr>
            <w:tcW w:w="3010" w:type="dxa"/>
            <w:shd w:val="clear" w:color="auto" w:fill="E6E6E6"/>
            <w:vAlign w:val="center"/>
          </w:tcPr>
          <w:p w14:paraId="2D0E1D53" w14:textId="77777777" w:rsidR="00D21BE2" w:rsidRPr="00D61D87" w:rsidRDefault="00D21BE2" w:rsidP="00986700">
            <w:pPr>
              <w:rPr>
                <w:rFonts w:cs="Arial"/>
                <w:sz w:val="18"/>
                <w:szCs w:val="18"/>
              </w:rPr>
            </w:pPr>
            <w:r w:rsidRPr="00D61D87">
              <w:rPr>
                <w:rFonts w:cs="Arial"/>
                <w:sz w:val="18"/>
                <w:szCs w:val="18"/>
              </w:rPr>
              <w:t>Djibouti</w:t>
            </w:r>
          </w:p>
        </w:tc>
        <w:tc>
          <w:tcPr>
            <w:tcW w:w="1430" w:type="dxa"/>
            <w:shd w:val="clear" w:color="auto" w:fill="E6E6E6"/>
            <w:vAlign w:val="center"/>
          </w:tcPr>
          <w:p w14:paraId="1187CB2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2188598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06DF4DC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3FB7E545"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0CE36C5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FBFDD3B" w14:textId="77777777" w:rsidTr="00DD4E5E">
        <w:tc>
          <w:tcPr>
            <w:tcW w:w="3010" w:type="dxa"/>
            <w:shd w:val="clear" w:color="auto" w:fill="auto"/>
            <w:vAlign w:val="center"/>
          </w:tcPr>
          <w:p w14:paraId="47F832D5" w14:textId="77777777" w:rsidR="00D21BE2" w:rsidRPr="00D61D87" w:rsidRDefault="00D21BE2" w:rsidP="00986700">
            <w:pPr>
              <w:rPr>
                <w:rFonts w:cs="Arial"/>
                <w:sz w:val="18"/>
                <w:szCs w:val="18"/>
              </w:rPr>
            </w:pPr>
            <w:r w:rsidRPr="00D61D87">
              <w:rPr>
                <w:rFonts w:cs="Arial"/>
                <w:sz w:val="18"/>
                <w:szCs w:val="18"/>
              </w:rPr>
              <w:t>Dominique</w:t>
            </w:r>
          </w:p>
        </w:tc>
        <w:tc>
          <w:tcPr>
            <w:tcW w:w="1430" w:type="dxa"/>
            <w:shd w:val="clear" w:color="auto" w:fill="auto"/>
            <w:vAlign w:val="center"/>
          </w:tcPr>
          <w:p w14:paraId="17C2F152"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2CB0856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AFA4CC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3F606D5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7150B1B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2DA3B58F" w14:textId="77777777" w:rsidTr="00DD4E5E">
        <w:tc>
          <w:tcPr>
            <w:tcW w:w="3010" w:type="dxa"/>
            <w:shd w:val="clear" w:color="auto" w:fill="E6E6E6"/>
            <w:vAlign w:val="center"/>
          </w:tcPr>
          <w:p w14:paraId="3E96E90A" w14:textId="77777777" w:rsidR="00D21BE2" w:rsidRPr="00D61D87" w:rsidRDefault="00D21BE2" w:rsidP="00986700">
            <w:pPr>
              <w:rPr>
                <w:rFonts w:cs="Arial"/>
                <w:sz w:val="18"/>
                <w:szCs w:val="18"/>
              </w:rPr>
            </w:pPr>
            <w:r w:rsidRPr="00D61D87">
              <w:rPr>
                <w:rFonts w:cs="Arial"/>
                <w:b/>
                <w:sz w:val="18"/>
                <w:szCs w:val="18"/>
              </w:rPr>
              <w:t>É</w:t>
            </w:r>
            <w:r w:rsidRPr="00D61D87">
              <w:rPr>
                <w:rFonts w:cs="Arial"/>
                <w:sz w:val="18"/>
                <w:szCs w:val="18"/>
              </w:rPr>
              <w:t>gypte</w:t>
            </w:r>
          </w:p>
        </w:tc>
        <w:tc>
          <w:tcPr>
            <w:tcW w:w="1430" w:type="dxa"/>
            <w:shd w:val="clear" w:color="auto" w:fill="E6E6E6"/>
            <w:vAlign w:val="center"/>
          </w:tcPr>
          <w:p w14:paraId="3E76FED9"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61B98F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1BC8C055"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7F874CF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04A0F355"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5B9BEE15" w14:textId="77777777" w:rsidTr="00DD4E5E">
        <w:tc>
          <w:tcPr>
            <w:tcW w:w="3010" w:type="dxa"/>
            <w:shd w:val="clear" w:color="auto" w:fill="auto"/>
            <w:vAlign w:val="center"/>
          </w:tcPr>
          <w:p w14:paraId="7C78F2D5" w14:textId="77777777" w:rsidR="00D21BE2" w:rsidRPr="00D61D87" w:rsidRDefault="00D21BE2" w:rsidP="00986700">
            <w:pPr>
              <w:rPr>
                <w:rFonts w:cs="Arial"/>
                <w:sz w:val="18"/>
                <w:szCs w:val="18"/>
              </w:rPr>
            </w:pPr>
            <w:r w:rsidRPr="00D61D87">
              <w:rPr>
                <w:rFonts w:cs="Arial"/>
                <w:sz w:val="18"/>
                <w:szCs w:val="18"/>
              </w:rPr>
              <w:t>El Salvador</w:t>
            </w:r>
          </w:p>
        </w:tc>
        <w:tc>
          <w:tcPr>
            <w:tcW w:w="1430" w:type="dxa"/>
            <w:shd w:val="clear" w:color="auto" w:fill="auto"/>
            <w:vAlign w:val="center"/>
          </w:tcPr>
          <w:p w14:paraId="4708C4F2"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3678639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43914C0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381DAC6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656B2CA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C0300C1" w14:textId="77777777" w:rsidTr="00DD4E5E">
        <w:tc>
          <w:tcPr>
            <w:tcW w:w="3010" w:type="dxa"/>
            <w:shd w:val="clear" w:color="auto" w:fill="E6E6E6"/>
            <w:vAlign w:val="center"/>
          </w:tcPr>
          <w:p w14:paraId="0809946B" w14:textId="77777777" w:rsidR="00D21BE2" w:rsidRPr="00D61D87" w:rsidRDefault="00D21BE2" w:rsidP="00986700">
            <w:pPr>
              <w:rPr>
                <w:rFonts w:cs="Arial"/>
                <w:sz w:val="18"/>
                <w:szCs w:val="18"/>
              </w:rPr>
            </w:pPr>
            <w:r w:rsidRPr="00D61D87">
              <w:rPr>
                <w:rFonts w:cs="Arial"/>
                <w:sz w:val="18"/>
                <w:szCs w:val="18"/>
              </w:rPr>
              <w:t>Émirats arabes unis</w:t>
            </w:r>
          </w:p>
        </w:tc>
        <w:tc>
          <w:tcPr>
            <w:tcW w:w="1430" w:type="dxa"/>
            <w:shd w:val="clear" w:color="auto" w:fill="E6E6E6"/>
            <w:vAlign w:val="center"/>
          </w:tcPr>
          <w:p w14:paraId="728F78DA"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051C34F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2627AAB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ACBF10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CEBC575"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0F3C34DD" w14:textId="77777777" w:rsidTr="00DD4E5E">
        <w:tc>
          <w:tcPr>
            <w:tcW w:w="3010" w:type="dxa"/>
            <w:shd w:val="clear" w:color="auto" w:fill="auto"/>
            <w:vAlign w:val="center"/>
          </w:tcPr>
          <w:p w14:paraId="7A40D17D" w14:textId="77777777" w:rsidR="00D21BE2" w:rsidRPr="00D61D87" w:rsidRDefault="00D21BE2" w:rsidP="00986700">
            <w:pPr>
              <w:rPr>
                <w:rFonts w:cs="Arial"/>
                <w:sz w:val="18"/>
                <w:szCs w:val="18"/>
              </w:rPr>
            </w:pPr>
            <w:r w:rsidRPr="00D61D87">
              <w:rPr>
                <w:rFonts w:cs="Arial"/>
                <w:bCs/>
                <w:sz w:val="18"/>
                <w:szCs w:val="18"/>
              </w:rPr>
              <w:t>Équateur</w:t>
            </w:r>
          </w:p>
        </w:tc>
        <w:tc>
          <w:tcPr>
            <w:tcW w:w="1430" w:type="dxa"/>
            <w:shd w:val="clear" w:color="auto" w:fill="auto"/>
            <w:vAlign w:val="center"/>
          </w:tcPr>
          <w:p w14:paraId="23B19F66"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703CD09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681BF897"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141CA5BB"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2A0EA77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00668659" w14:textId="77777777" w:rsidTr="00DD4E5E">
        <w:tc>
          <w:tcPr>
            <w:tcW w:w="3010" w:type="dxa"/>
            <w:shd w:val="clear" w:color="auto" w:fill="E6E6E6"/>
            <w:vAlign w:val="center"/>
          </w:tcPr>
          <w:p w14:paraId="13C4BC95" w14:textId="77777777" w:rsidR="00D21BE2" w:rsidRPr="00D61D87" w:rsidRDefault="00D21BE2" w:rsidP="00986700">
            <w:pPr>
              <w:rPr>
                <w:rFonts w:cs="Arial"/>
                <w:sz w:val="18"/>
                <w:szCs w:val="18"/>
              </w:rPr>
            </w:pPr>
            <w:r w:rsidRPr="00D61D87">
              <w:rPr>
                <w:rFonts w:cs="Arial"/>
                <w:sz w:val="18"/>
                <w:szCs w:val="18"/>
              </w:rPr>
              <w:t>Érythrée</w:t>
            </w:r>
            <w:r w:rsidRPr="00D61D87">
              <w:rPr>
                <w:rFonts w:cs="Arial"/>
                <w:sz w:val="18"/>
                <w:szCs w:val="18"/>
                <w:vertAlign w:val="superscript"/>
              </w:rPr>
              <w:t>2</w:t>
            </w:r>
          </w:p>
        </w:tc>
        <w:tc>
          <w:tcPr>
            <w:tcW w:w="1430" w:type="dxa"/>
            <w:shd w:val="clear" w:color="auto" w:fill="E6E6E6"/>
            <w:vAlign w:val="center"/>
          </w:tcPr>
          <w:p w14:paraId="7D835FB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33FCDE0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06DEA2D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261AB67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9D7370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E2C99AB" w14:textId="77777777" w:rsidTr="00DD4E5E">
        <w:tc>
          <w:tcPr>
            <w:tcW w:w="3010" w:type="dxa"/>
            <w:shd w:val="clear" w:color="auto" w:fill="auto"/>
            <w:vAlign w:val="center"/>
          </w:tcPr>
          <w:p w14:paraId="783CBB67" w14:textId="77777777" w:rsidR="00D21BE2" w:rsidRPr="00D61D87" w:rsidRDefault="00D21BE2" w:rsidP="00986700">
            <w:pPr>
              <w:rPr>
                <w:rFonts w:cs="Arial"/>
                <w:sz w:val="18"/>
                <w:szCs w:val="18"/>
              </w:rPr>
            </w:pPr>
            <w:r w:rsidRPr="00D61D87">
              <w:rPr>
                <w:rFonts w:cs="Arial"/>
                <w:sz w:val="18"/>
                <w:szCs w:val="18"/>
              </w:rPr>
              <w:lastRenderedPageBreak/>
              <w:t>Espagne</w:t>
            </w:r>
          </w:p>
        </w:tc>
        <w:tc>
          <w:tcPr>
            <w:tcW w:w="1430" w:type="dxa"/>
            <w:shd w:val="clear" w:color="auto" w:fill="auto"/>
            <w:vAlign w:val="center"/>
          </w:tcPr>
          <w:p w14:paraId="4CEE4BAA"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auto"/>
            <w:vAlign w:val="center"/>
          </w:tcPr>
          <w:p w14:paraId="6CD99A8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auto"/>
            <w:vAlign w:val="center"/>
          </w:tcPr>
          <w:p w14:paraId="730A7B8B"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auto"/>
            <w:vAlign w:val="center"/>
          </w:tcPr>
          <w:p w14:paraId="74327469"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auto"/>
            <w:vAlign w:val="center"/>
          </w:tcPr>
          <w:p w14:paraId="4EA8D628"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03318CE5" w14:textId="77777777" w:rsidTr="00DD4E5E">
        <w:tc>
          <w:tcPr>
            <w:tcW w:w="3010" w:type="dxa"/>
            <w:shd w:val="clear" w:color="auto" w:fill="E6E6E6"/>
            <w:vAlign w:val="center"/>
          </w:tcPr>
          <w:p w14:paraId="5010067E" w14:textId="77777777" w:rsidR="00D21BE2" w:rsidRPr="00D61D87" w:rsidRDefault="00D21BE2" w:rsidP="00986700">
            <w:pPr>
              <w:rPr>
                <w:rFonts w:cs="Arial"/>
                <w:sz w:val="18"/>
                <w:szCs w:val="18"/>
              </w:rPr>
            </w:pPr>
            <w:r w:rsidRPr="00D61D87">
              <w:rPr>
                <w:rFonts w:cs="Arial"/>
                <w:sz w:val="18"/>
                <w:szCs w:val="18"/>
              </w:rPr>
              <w:t>Estonie</w:t>
            </w:r>
          </w:p>
        </w:tc>
        <w:tc>
          <w:tcPr>
            <w:tcW w:w="1430" w:type="dxa"/>
            <w:shd w:val="clear" w:color="auto" w:fill="E6E6E6"/>
            <w:vAlign w:val="center"/>
          </w:tcPr>
          <w:p w14:paraId="11D5F3A8"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57F12C6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5A404F7E"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70366ED6"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7346EE51"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A78A820" w14:textId="77777777" w:rsidTr="00DD4E5E">
        <w:tc>
          <w:tcPr>
            <w:tcW w:w="3010" w:type="dxa"/>
            <w:shd w:val="clear" w:color="auto" w:fill="auto"/>
            <w:vAlign w:val="center"/>
          </w:tcPr>
          <w:p w14:paraId="1EF6DD39" w14:textId="77777777" w:rsidR="00D21BE2" w:rsidRPr="00D61D87" w:rsidRDefault="00D21BE2" w:rsidP="00986700">
            <w:pPr>
              <w:rPr>
                <w:rFonts w:cs="Arial"/>
                <w:sz w:val="18"/>
                <w:szCs w:val="18"/>
              </w:rPr>
            </w:pPr>
            <w:r w:rsidRPr="00D61D87">
              <w:rPr>
                <w:rFonts w:cs="Arial"/>
                <w:sz w:val="18"/>
                <w:szCs w:val="18"/>
              </w:rPr>
              <w:t>États-Unis d’Amérique</w:t>
            </w:r>
          </w:p>
        </w:tc>
        <w:tc>
          <w:tcPr>
            <w:tcW w:w="1430" w:type="dxa"/>
            <w:shd w:val="clear" w:color="auto" w:fill="auto"/>
            <w:vAlign w:val="center"/>
          </w:tcPr>
          <w:p w14:paraId="7F9197BE" w14:textId="77777777" w:rsidR="00D21BE2" w:rsidRPr="00487813" w:rsidRDefault="00D21BE2" w:rsidP="00986700">
            <w:pPr>
              <w:rPr>
                <w:rFonts w:cs="Arial"/>
                <w:color w:val="000000"/>
                <w:sz w:val="18"/>
                <w:szCs w:val="18"/>
              </w:rPr>
            </w:pPr>
            <w:r w:rsidRPr="00487813">
              <w:rPr>
                <w:rFonts w:cs="Arial"/>
                <w:color w:val="000000"/>
                <w:sz w:val="18"/>
                <w:szCs w:val="18"/>
              </w:rPr>
              <w:t>I</w:t>
            </w:r>
          </w:p>
        </w:tc>
        <w:tc>
          <w:tcPr>
            <w:tcW w:w="1210" w:type="dxa"/>
            <w:shd w:val="clear" w:color="auto" w:fill="auto"/>
            <w:vAlign w:val="center"/>
          </w:tcPr>
          <w:p w14:paraId="0F77422C" w14:textId="77777777" w:rsidR="00D21BE2" w:rsidRPr="00487813" w:rsidRDefault="00D21BE2" w:rsidP="00986700">
            <w:pPr>
              <w:jc w:val="right"/>
              <w:rPr>
                <w:rFonts w:cs="Arial"/>
                <w:color w:val="000000"/>
                <w:sz w:val="18"/>
                <w:szCs w:val="18"/>
              </w:rPr>
            </w:pPr>
            <w:r w:rsidRPr="00487813">
              <w:rPr>
                <w:rFonts w:cs="Arial"/>
                <w:color w:val="000000"/>
                <w:sz w:val="18"/>
                <w:szCs w:val="18"/>
              </w:rPr>
              <w:t>25</w:t>
            </w:r>
          </w:p>
        </w:tc>
        <w:tc>
          <w:tcPr>
            <w:tcW w:w="1320" w:type="dxa"/>
            <w:shd w:val="clear" w:color="auto" w:fill="auto"/>
            <w:vAlign w:val="center"/>
          </w:tcPr>
          <w:p w14:paraId="6D3245E8"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430" w:type="dxa"/>
            <w:shd w:val="clear" w:color="auto" w:fill="auto"/>
            <w:vAlign w:val="center"/>
          </w:tcPr>
          <w:p w14:paraId="3CB0D0C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320" w:type="dxa"/>
            <w:shd w:val="clear" w:color="auto" w:fill="auto"/>
            <w:vAlign w:val="center"/>
          </w:tcPr>
          <w:p w14:paraId="6645AFD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051</w:t>
            </w:r>
            <w:r>
              <w:rPr>
                <w:rFonts w:cs="Arial"/>
                <w:color w:val="000000"/>
                <w:sz w:val="18"/>
                <w:szCs w:val="18"/>
              </w:rPr>
              <w:t> </w:t>
            </w:r>
            <w:r w:rsidRPr="00487813">
              <w:rPr>
                <w:rFonts w:cs="Arial"/>
                <w:color w:val="000000"/>
                <w:sz w:val="18"/>
                <w:szCs w:val="18"/>
              </w:rPr>
              <w:t>050</w:t>
            </w:r>
          </w:p>
        </w:tc>
      </w:tr>
      <w:tr w:rsidR="00D21BE2" w:rsidRPr="00487813" w14:paraId="6174E045" w14:textId="77777777" w:rsidTr="00DD4E5E">
        <w:tc>
          <w:tcPr>
            <w:tcW w:w="3010" w:type="dxa"/>
            <w:shd w:val="clear" w:color="auto" w:fill="E6E6E6"/>
            <w:vAlign w:val="center"/>
          </w:tcPr>
          <w:p w14:paraId="21D68A40" w14:textId="77777777" w:rsidR="00D21BE2" w:rsidRPr="00D61D87" w:rsidRDefault="00D21BE2" w:rsidP="00986700">
            <w:pPr>
              <w:rPr>
                <w:rFonts w:cs="Arial"/>
                <w:sz w:val="18"/>
                <w:szCs w:val="18"/>
              </w:rPr>
            </w:pPr>
            <w:r w:rsidRPr="00D61D87">
              <w:rPr>
                <w:rFonts w:cs="Arial"/>
                <w:sz w:val="18"/>
                <w:szCs w:val="18"/>
              </w:rPr>
              <w:t>Éthiopie</w:t>
            </w:r>
            <w:r w:rsidRPr="00D61D87">
              <w:rPr>
                <w:rFonts w:cs="Arial"/>
                <w:sz w:val="18"/>
                <w:szCs w:val="18"/>
                <w:vertAlign w:val="superscript"/>
              </w:rPr>
              <w:t>2</w:t>
            </w:r>
          </w:p>
        </w:tc>
        <w:tc>
          <w:tcPr>
            <w:tcW w:w="1430" w:type="dxa"/>
            <w:shd w:val="clear" w:color="auto" w:fill="E6E6E6"/>
            <w:vAlign w:val="center"/>
          </w:tcPr>
          <w:p w14:paraId="3E827CB0"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2EF631B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5DD57A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0777666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0AA11A2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424E1D29" w14:textId="77777777" w:rsidTr="00DD4E5E">
        <w:tc>
          <w:tcPr>
            <w:tcW w:w="3010" w:type="dxa"/>
            <w:shd w:val="clear" w:color="auto" w:fill="auto"/>
            <w:vAlign w:val="center"/>
          </w:tcPr>
          <w:p w14:paraId="5BCCA74F" w14:textId="77777777" w:rsidR="00D21BE2" w:rsidRPr="00D61D87" w:rsidRDefault="00D21BE2" w:rsidP="00986700">
            <w:pPr>
              <w:rPr>
                <w:rFonts w:cs="Arial"/>
                <w:sz w:val="18"/>
                <w:szCs w:val="18"/>
              </w:rPr>
            </w:pPr>
            <w:r w:rsidRPr="00D61D87">
              <w:rPr>
                <w:rFonts w:cs="Arial"/>
                <w:sz w:val="18"/>
                <w:szCs w:val="18"/>
              </w:rPr>
              <w:t>Ex-République yougoslave de Macédoine</w:t>
            </w:r>
          </w:p>
        </w:tc>
        <w:tc>
          <w:tcPr>
            <w:tcW w:w="1430" w:type="dxa"/>
            <w:shd w:val="clear" w:color="auto" w:fill="auto"/>
            <w:vAlign w:val="center"/>
          </w:tcPr>
          <w:p w14:paraId="553B5F49"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auto"/>
            <w:vAlign w:val="center"/>
          </w:tcPr>
          <w:p w14:paraId="61C3485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auto"/>
            <w:vAlign w:val="center"/>
          </w:tcPr>
          <w:p w14:paraId="1BBAFCC3"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auto"/>
            <w:vAlign w:val="center"/>
          </w:tcPr>
          <w:p w14:paraId="6F7F7F6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auto"/>
            <w:vAlign w:val="center"/>
          </w:tcPr>
          <w:p w14:paraId="0948A0D1"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47EE2434" w14:textId="77777777" w:rsidTr="00DD4E5E">
        <w:tc>
          <w:tcPr>
            <w:tcW w:w="3010" w:type="dxa"/>
            <w:shd w:val="clear" w:color="auto" w:fill="E6E6E6"/>
            <w:vAlign w:val="center"/>
          </w:tcPr>
          <w:p w14:paraId="49C18051" w14:textId="77777777" w:rsidR="00D21BE2" w:rsidRPr="00D61D87" w:rsidRDefault="00D21BE2" w:rsidP="00986700">
            <w:pPr>
              <w:rPr>
                <w:rFonts w:cs="Arial"/>
                <w:sz w:val="18"/>
                <w:szCs w:val="18"/>
              </w:rPr>
            </w:pPr>
            <w:r w:rsidRPr="00D61D87">
              <w:rPr>
                <w:rFonts w:cs="Arial"/>
                <w:b/>
                <w:sz w:val="18"/>
                <w:szCs w:val="18"/>
              </w:rPr>
              <w:t>F</w:t>
            </w:r>
            <w:r w:rsidRPr="00D61D87">
              <w:rPr>
                <w:rFonts w:cs="Arial"/>
                <w:sz w:val="18"/>
                <w:szCs w:val="18"/>
              </w:rPr>
              <w:t>édération de Russie</w:t>
            </w:r>
          </w:p>
        </w:tc>
        <w:tc>
          <w:tcPr>
            <w:tcW w:w="1430" w:type="dxa"/>
            <w:shd w:val="clear" w:color="auto" w:fill="E6E6E6"/>
            <w:vAlign w:val="center"/>
          </w:tcPr>
          <w:p w14:paraId="1F6475C6"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E6E6E6"/>
            <w:vAlign w:val="center"/>
          </w:tcPr>
          <w:p w14:paraId="6C06F84E"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E6E6E6"/>
            <w:vAlign w:val="center"/>
          </w:tcPr>
          <w:p w14:paraId="6270BE32"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E6E6E6"/>
            <w:vAlign w:val="center"/>
          </w:tcPr>
          <w:p w14:paraId="1A3D79BB"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E6E6E6"/>
            <w:vAlign w:val="center"/>
          </w:tcPr>
          <w:p w14:paraId="4373AE2F"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08D0D35E" w14:textId="77777777" w:rsidTr="00DD4E5E">
        <w:tc>
          <w:tcPr>
            <w:tcW w:w="3010" w:type="dxa"/>
            <w:shd w:val="clear" w:color="auto" w:fill="auto"/>
            <w:vAlign w:val="center"/>
          </w:tcPr>
          <w:p w14:paraId="15EFC4A5" w14:textId="77777777" w:rsidR="00D21BE2" w:rsidRPr="00D61D87" w:rsidRDefault="00D21BE2" w:rsidP="00986700">
            <w:pPr>
              <w:rPr>
                <w:rFonts w:cs="Arial"/>
                <w:sz w:val="18"/>
                <w:szCs w:val="18"/>
              </w:rPr>
            </w:pPr>
            <w:r w:rsidRPr="00D61D87">
              <w:rPr>
                <w:rFonts w:cs="Arial"/>
                <w:bCs/>
                <w:sz w:val="18"/>
                <w:szCs w:val="18"/>
              </w:rPr>
              <w:t>Fidji</w:t>
            </w:r>
          </w:p>
        </w:tc>
        <w:tc>
          <w:tcPr>
            <w:tcW w:w="1430" w:type="dxa"/>
            <w:shd w:val="clear" w:color="auto" w:fill="auto"/>
            <w:vAlign w:val="center"/>
          </w:tcPr>
          <w:p w14:paraId="2A57BB0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02AF6B5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1EB4BF7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1723200B"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990F34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0A8404D" w14:textId="77777777" w:rsidTr="00DD4E5E">
        <w:tc>
          <w:tcPr>
            <w:tcW w:w="3010" w:type="dxa"/>
            <w:shd w:val="clear" w:color="auto" w:fill="E6E6E6"/>
            <w:vAlign w:val="center"/>
          </w:tcPr>
          <w:p w14:paraId="4E496CF4" w14:textId="77777777" w:rsidR="00D21BE2" w:rsidRPr="00D61D87" w:rsidRDefault="00D21BE2" w:rsidP="00986700">
            <w:pPr>
              <w:rPr>
                <w:rFonts w:cs="Arial"/>
                <w:sz w:val="18"/>
                <w:szCs w:val="18"/>
              </w:rPr>
            </w:pPr>
            <w:r w:rsidRPr="00D61D87">
              <w:rPr>
                <w:rFonts w:cs="Arial"/>
                <w:sz w:val="18"/>
                <w:szCs w:val="18"/>
              </w:rPr>
              <w:t>Finlande</w:t>
            </w:r>
          </w:p>
        </w:tc>
        <w:tc>
          <w:tcPr>
            <w:tcW w:w="1430" w:type="dxa"/>
            <w:shd w:val="clear" w:color="auto" w:fill="E6E6E6"/>
            <w:vAlign w:val="center"/>
          </w:tcPr>
          <w:p w14:paraId="71E5A222"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E6E6E6"/>
            <w:vAlign w:val="center"/>
          </w:tcPr>
          <w:p w14:paraId="1189D5D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E6E6E6"/>
            <w:vAlign w:val="center"/>
          </w:tcPr>
          <w:p w14:paraId="6FDE14C9"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E6E6E6"/>
            <w:vAlign w:val="center"/>
          </w:tcPr>
          <w:p w14:paraId="35D0683E"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E6E6E6"/>
            <w:vAlign w:val="center"/>
          </w:tcPr>
          <w:p w14:paraId="173BEAB8"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2B204464" w14:textId="77777777" w:rsidTr="00DD4E5E">
        <w:tc>
          <w:tcPr>
            <w:tcW w:w="3010" w:type="dxa"/>
            <w:shd w:val="clear" w:color="auto" w:fill="auto"/>
            <w:vAlign w:val="center"/>
          </w:tcPr>
          <w:p w14:paraId="01B7B14E" w14:textId="77777777" w:rsidR="00D21BE2" w:rsidRPr="00D61D87" w:rsidRDefault="00D21BE2" w:rsidP="00986700">
            <w:pPr>
              <w:rPr>
                <w:rFonts w:cs="Arial"/>
                <w:sz w:val="18"/>
                <w:szCs w:val="18"/>
              </w:rPr>
            </w:pPr>
            <w:r w:rsidRPr="00D61D87">
              <w:rPr>
                <w:rFonts w:cs="Arial"/>
                <w:sz w:val="18"/>
                <w:szCs w:val="18"/>
              </w:rPr>
              <w:t>France</w:t>
            </w:r>
          </w:p>
        </w:tc>
        <w:tc>
          <w:tcPr>
            <w:tcW w:w="1430" w:type="dxa"/>
            <w:shd w:val="clear" w:color="auto" w:fill="auto"/>
            <w:vAlign w:val="center"/>
          </w:tcPr>
          <w:p w14:paraId="7F199D07" w14:textId="77777777" w:rsidR="00D21BE2" w:rsidRPr="00487813" w:rsidRDefault="00D21BE2" w:rsidP="00986700">
            <w:pPr>
              <w:rPr>
                <w:rFonts w:cs="Arial"/>
                <w:color w:val="000000"/>
                <w:sz w:val="18"/>
                <w:szCs w:val="18"/>
              </w:rPr>
            </w:pPr>
            <w:r w:rsidRPr="00487813">
              <w:rPr>
                <w:rFonts w:cs="Arial"/>
                <w:color w:val="000000"/>
                <w:sz w:val="18"/>
                <w:szCs w:val="18"/>
              </w:rPr>
              <w:t>I</w:t>
            </w:r>
          </w:p>
        </w:tc>
        <w:tc>
          <w:tcPr>
            <w:tcW w:w="1210" w:type="dxa"/>
            <w:shd w:val="clear" w:color="auto" w:fill="auto"/>
            <w:vAlign w:val="center"/>
          </w:tcPr>
          <w:p w14:paraId="14AA0F62" w14:textId="77777777" w:rsidR="00D21BE2" w:rsidRPr="00487813" w:rsidRDefault="00D21BE2" w:rsidP="00986700">
            <w:pPr>
              <w:jc w:val="right"/>
              <w:rPr>
                <w:rFonts w:cs="Arial"/>
                <w:color w:val="000000"/>
                <w:sz w:val="18"/>
                <w:szCs w:val="18"/>
              </w:rPr>
            </w:pPr>
            <w:r w:rsidRPr="00487813">
              <w:rPr>
                <w:rFonts w:cs="Arial"/>
                <w:color w:val="000000"/>
                <w:sz w:val="18"/>
                <w:szCs w:val="18"/>
              </w:rPr>
              <w:t>25</w:t>
            </w:r>
          </w:p>
        </w:tc>
        <w:tc>
          <w:tcPr>
            <w:tcW w:w="1320" w:type="dxa"/>
            <w:shd w:val="clear" w:color="auto" w:fill="auto"/>
            <w:vAlign w:val="center"/>
          </w:tcPr>
          <w:p w14:paraId="5B1CD3F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430" w:type="dxa"/>
            <w:shd w:val="clear" w:color="auto" w:fill="auto"/>
            <w:vAlign w:val="center"/>
          </w:tcPr>
          <w:p w14:paraId="7BFD128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320" w:type="dxa"/>
            <w:shd w:val="clear" w:color="auto" w:fill="auto"/>
            <w:vAlign w:val="center"/>
          </w:tcPr>
          <w:p w14:paraId="36BDD1A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051</w:t>
            </w:r>
            <w:r>
              <w:rPr>
                <w:rFonts w:cs="Arial"/>
                <w:color w:val="000000"/>
                <w:sz w:val="18"/>
                <w:szCs w:val="18"/>
              </w:rPr>
              <w:t> </w:t>
            </w:r>
            <w:r w:rsidRPr="00487813">
              <w:rPr>
                <w:rFonts w:cs="Arial"/>
                <w:color w:val="000000"/>
                <w:sz w:val="18"/>
                <w:szCs w:val="18"/>
              </w:rPr>
              <w:t>050</w:t>
            </w:r>
          </w:p>
        </w:tc>
      </w:tr>
      <w:tr w:rsidR="00D21BE2" w:rsidRPr="00487813" w14:paraId="03FE05CB" w14:textId="77777777" w:rsidTr="00DD4E5E">
        <w:tc>
          <w:tcPr>
            <w:tcW w:w="3010" w:type="dxa"/>
            <w:shd w:val="clear" w:color="auto" w:fill="E6E6E6"/>
            <w:vAlign w:val="center"/>
          </w:tcPr>
          <w:p w14:paraId="0FEC7291" w14:textId="77777777" w:rsidR="00D21BE2" w:rsidRPr="00D61D87" w:rsidRDefault="00D21BE2" w:rsidP="00986700">
            <w:pPr>
              <w:rPr>
                <w:rFonts w:cs="Arial"/>
                <w:sz w:val="18"/>
                <w:szCs w:val="18"/>
              </w:rPr>
            </w:pPr>
            <w:r w:rsidRPr="00D61D87">
              <w:rPr>
                <w:rFonts w:cs="Arial"/>
                <w:b/>
                <w:bCs/>
                <w:sz w:val="18"/>
                <w:szCs w:val="18"/>
              </w:rPr>
              <w:t>G</w:t>
            </w:r>
            <w:r w:rsidRPr="00D61D87">
              <w:rPr>
                <w:rFonts w:cs="Arial"/>
                <w:bCs/>
                <w:sz w:val="18"/>
                <w:szCs w:val="18"/>
              </w:rPr>
              <w:t>abon</w:t>
            </w:r>
          </w:p>
        </w:tc>
        <w:tc>
          <w:tcPr>
            <w:tcW w:w="1430" w:type="dxa"/>
            <w:shd w:val="clear" w:color="auto" w:fill="E6E6E6"/>
            <w:vAlign w:val="center"/>
          </w:tcPr>
          <w:p w14:paraId="7CF3EE07"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34FF7C1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4847D69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06FF679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0F351F4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0BA5097" w14:textId="77777777" w:rsidTr="00DD4E5E">
        <w:tc>
          <w:tcPr>
            <w:tcW w:w="3010" w:type="dxa"/>
            <w:shd w:val="clear" w:color="auto" w:fill="auto"/>
            <w:vAlign w:val="center"/>
          </w:tcPr>
          <w:p w14:paraId="43310128" w14:textId="77777777" w:rsidR="00D21BE2" w:rsidRPr="00D61D87" w:rsidRDefault="00D21BE2" w:rsidP="00986700">
            <w:pPr>
              <w:rPr>
                <w:rFonts w:cs="Arial"/>
                <w:sz w:val="18"/>
                <w:szCs w:val="18"/>
              </w:rPr>
            </w:pPr>
            <w:r w:rsidRPr="00D61D87">
              <w:rPr>
                <w:rFonts w:cs="Arial"/>
                <w:sz w:val="18"/>
                <w:szCs w:val="18"/>
              </w:rPr>
              <w:t>Gambie</w:t>
            </w:r>
          </w:p>
        </w:tc>
        <w:tc>
          <w:tcPr>
            <w:tcW w:w="1430" w:type="dxa"/>
            <w:shd w:val="clear" w:color="auto" w:fill="auto"/>
            <w:vAlign w:val="center"/>
          </w:tcPr>
          <w:p w14:paraId="4A062F27"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6A4BB9E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7628428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018D7DA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2C1946B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3D6DED8" w14:textId="77777777" w:rsidTr="00DD4E5E">
        <w:tc>
          <w:tcPr>
            <w:tcW w:w="3010" w:type="dxa"/>
            <w:shd w:val="clear" w:color="auto" w:fill="E6E6E6"/>
            <w:vAlign w:val="center"/>
          </w:tcPr>
          <w:p w14:paraId="66B29718" w14:textId="77777777" w:rsidR="00D21BE2" w:rsidRPr="00D61D87" w:rsidRDefault="00D21BE2" w:rsidP="00986700">
            <w:pPr>
              <w:rPr>
                <w:rFonts w:cs="Arial"/>
                <w:sz w:val="18"/>
                <w:szCs w:val="18"/>
              </w:rPr>
            </w:pPr>
            <w:r w:rsidRPr="00D61D87">
              <w:rPr>
                <w:rFonts w:cs="Arial"/>
                <w:sz w:val="18"/>
                <w:szCs w:val="18"/>
              </w:rPr>
              <w:t>Géorgie</w:t>
            </w:r>
          </w:p>
        </w:tc>
        <w:tc>
          <w:tcPr>
            <w:tcW w:w="1430" w:type="dxa"/>
            <w:shd w:val="clear" w:color="auto" w:fill="E6E6E6"/>
            <w:vAlign w:val="center"/>
          </w:tcPr>
          <w:p w14:paraId="6C5B5AF8"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07BDC17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15B40FA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37C96B8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45302A63"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5B2C6C4" w14:textId="77777777" w:rsidTr="00DD4E5E">
        <w:tc>
          <w:tcPr>
            <w:tcW w:w="3010" w:type="dxa"/>
            <w:shd w:val="clear" w:color="auto" w:fill="auto"/>
            <w:vAlign w:val="center"/>
          </w:tcPr>
          <w:p w14:paraId="452FFE3A" w14:textId="77777777" w:rsidR="00D21BE2" w:rsidRPr="00D61D87" w:rsidRDefault="00D21BE2" w:rsidP="00986700">
            <w:pPr>
              <w:rPr>
                <w:rFonts w:cs="Arial"/>
                <w:sz w:val="18"/>
                <w:szCs w:val="18"/>
              </w:rPr>
            </w:pPr>
            <w:r w:rsidRPr="00D61D87">
              <w:rPr>
                <w:rFonts w:cs="Arial"/>
                <w:sz w:val="18"/>
                <w:szCs w:val="18"/>
              </w:rPr>
              <w:t>Ghana</w:t>
            </w:r>
          </w:p>
        </w:tc>
        <w:tc>
          <w:tcPr>
            <w:tcW w:w="1430" w:type="dxa"/>
            <w:shd w:val="clear" w:color="auto" w:fill="auto"/>
            <w:vAlign w:val="center"/>
          </w:tcPr>
          <w:p w14:paraId="5D38D747"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68A7A15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1E4C18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3FE0F96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4CC1E4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EA0513D" w14:textId="77777777" w:rsidTr="00DD4E5E">
        <w:tc>
          <w:tcPr>
            <w:tcW w:w="3010" w:type="dxa"/>
            <w:shd w:val="clear" w:color="auto" w:fill="E6E6E6"/>
            <w:vAlign w:val="center"/>
          </w:tcPr>
          <w:p w14:paraId="0680046E" w14:textId="77777777" w:rsidR="00D21BE2" w:rsidRPr="00D61D87" w:rsidRDefault="00D21BE2" w:rsidP="00986700">
            <w:pPr>
              <w:rPr>
                <w:rFonts w:cs="Arial"/>
                <w:sz w:val="18"/>
                <w:szCs w:val="18"/>
              </w:rPr>
            </w:pPr>
            <w:r w:rsidRPr="00D61D87">
              <w:rPr>
                <w:rFonts w:cs="Arial"/>
                <w:sz w:val="18"/>
                <w:szCs w:val="18"/>
              </w:rPr>
              <w:t>Grèce</w:t>
            </w:r>
          </w:p>
        </w:tc>
        <w:tc>
          <w:tcPr>
            <w:tcW w:w="1430" w:type="dxa"/>
            <w:shd w:val="clear" w:color="auto" w:fill="E6E6E6"/>
            <w:vAlign w:val="center"/>
          </w:tcPr>
          <w:p w14:paraId="78369E6A"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E6E6E6"/>
            <w:vAlign w:val="center"/>
          </w:tcPr>
          <w:p w14:paraId="62683A06"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E6E6E6"/>
            <w:vAlign w:val="center"/>
          </w:tcPr>
          <w:p w14:paraId="5386D936"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E6E6E6"/>
            <w:vAlign w:val="center"/>
          </w:tcPr>
          <w:p w14:paraId="7747CF12"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E6E6E6"/>
            <w:vAlign w:val="center"/>
          </w:tcPr>
          <w:p w14:paraId="18DFD94E"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5C933B66" w14:textId="77777777" w:rsidTr="00DD4E5E">
        <w:tc>
          <w:tcPr>
            <w:tcW w:w="3010" w:type="dxa"/>
            <w:shd w:val="clear" w:color="auto" w:fill="auto"/>
            <w:vAlign w:val="center"/>
          </w:tcPr>
          <w:p w14:paraId="47596B13" w14:textId="77777777" w:rsidR="00D21BE2" w:rsidRPr="00D61D87" w:rsidRDefault="00D21BE2" w:rsidP="00986700">
            <w:pPr>
              <w:rPr>
                <w:rFonts w:cs="Arial"/>
                <w:sz w:val="18"/>
                <w:szCs w:val="18"/>
              </w:rPr>
            </w:pPr>
            <w:r w:rsidRPr="00D61D87">
              <w:rPr>
                <w:rFonts w:cs="Arial"/>
                <w:sz w:val="18"/>
                <w:szCs w:val="18"/>
              </w:rPr>
              <w:t>Grenade</w:t>
            </w:r>
          </w:p>
        </w:tc>
        <w:tc>
          <w:tcPr>
            <w:tcW w:w="1430" w:type="dxa"/>
            <w:shd w:val="clear" w:color="auto" w:fill="auto"/>
            <w:vAlign w:val="center"/>
          </w:tcPr>
          <w:p w14:paraId="4C6D908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224EF9C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4AD0A2C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4102811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181E46E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CE0F76D" w14:textId="77777777" w:rsidTr="00DD4E5E">
        <w:tc>
          <w:tcPr>
            <w:tcW w:w="3010" w:type="dxa"/>
            <w:shd w:val="clear" w:color="auto" w:fill="E6E6E6"/>
            <w:vAlign w:val="center"/>
          </w:tcPr>
          <w:p w14:paraId="175AA155" w14:textId="77777777" w:rsidR="00D21BE2" w:rsidRPr="00D61D87" w:rsidRDefault="00D21BE2" w:rsidP="00986700">
            <w:pPr>
              <w:rPr>
                <w:rFonts w:cs="Arial"/>
                <w:sz w:val="18"/>
                <w:szCs w:val="18"/>
              </w:rPr>
            </w:pPr>
            <w:r w:rsidRPr="00D61D87">
              <w:rPr>
                <w:rFonts w:cs="Arial"/>
                <w:sz w:val="18"/>
                <w:szCs w:val="18"/>
              </w:rPr>
              <w:t>Guatemala</w:t>
            </w:r>
          </w:p>
        </w:tc>
        <w:tc>
          <w:tcPr>
            <w:tcW w:w="1430" w:type="dxa"/>
            <w:shd w:val="clear" w:color="auto" w:fill="E6E6E6"/>
            <w:vAlign w:val="center"/>
          </w:tcPr>
          <w:p w14:paraId="0AEBF53A"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192B602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301486D8"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1E85DBAC"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104908B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9F845BD" w14:textId="77777777" w:rsidTr="00DD4E5E">
        <w:tc>
          <w:tcPr>
            <w:tcW w:w="3010" w:type="dxa"/>
            <w:shd w:val="clear" w:color="auto" w:fill="auto"/>
            <w:vAlign w:val="center"/>
          </w:tcPr>
          <w:p w14:paraId="3D80F65A" w14:textId="77777777" w:rsidR="00D21BE2" w:rsidRPr="00D61D87" w:rsidRDefault="00D21BE2" w:rsidP="00986700">
            <w:pPr>
              <w:rPr>
                <w:rFonts w:cs="Arial"/>
                <w:sz w:val="18"/>
                <w:szCs w:val="18"/>
              </w:rPr>
            </w:pPr>
            <w:r w:rsidRPr="00D61D87">
              <w:rPr>
                <w:rFonts w:cs="Arial"/>
                <w:sz w:val="18"/>
                <w:szCs w:val="18"/>
              </w:rPr>
              <w:t>Guinée</w:t>
            </w:r>
          </w:p>
        </w:tc>
        <w:tc>
          <w:tcPr>
            <w:tcW w:w="1430" w:type="dxa"/>
            <w:shd w:val="clear" w:color="auto" w:fill="auto"/>
            <w:vAlign w:val="center"/>
          </w:tcPr>
          <w:p w14:paraId="1777A7C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646D136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478F200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58CC87C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982CCD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04CC4F90" w14:textId="77777777" w:rsidTr="00DD4E5E">
        <w:tc>
          <w:tcPr>
            <w:tcW w:w="3010" w:type="dxa"/>
            <w:shd w:val="clear" w:color="auto" w:fill="E6E6E6"/>
            <w:vAlign w:val="center"/>
          </w:tcPr>
          <w:p w14:paraId="74985F5D" w14:textId="77777777" w:rsidR="00D21BE2" w:rsidRPr="00D61D87" w:rsidRDefault="00D21BE2" w:rsidP="00986700">
            <w:pPr>
              <w:rPr>
                <w:rFonts w:cs="Arial"/>
                <w:sz w:val="18"/>
                <w:szCs w:val="18"/>
              </w:rPr>
            </w:pPr>
            <w:r w:rsidRPr="00D61D87">
              <w:rPr>
                <w:rFonts w:cs="Arial"/>
                <w:sz w:val="18"/>
                <w:szCs w:val="18"/>
              </w:rPr>
              <w:t>Guinée équatoriale</w:t>
            </w:r>
          </w:p>
        </w:tc>
        <w:tc>
          <w:tcPr>
            <w:tcW w:w="1430" w:type="dxa"/>
            <w:shd w:val="clear" w:color="auto" w:fill="E6E6E6"/>
            <w:vAlign w:val="center"/>
          </w:tcPr>
          <w:p w14:paraId="148F6EB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5D974CF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10700AC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355946FC"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3D05063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13385A2" w14:textId="77777777" w:rsidTr="00DD4E5E">
        <w:tc>
          <w:tcPr>
            <w:tcW w:w="3010" w:type="dxa"/>
            <w:shd w:val="clear" w:color="auto" w:fill="auto"/>
            <w:vAlign w:val="center"/>
          </w:tcPr>
          <w:p w14:paraId="2D150A26" w14:textId="77777777" w:rsidR="00D21BE2" w:rsidRPr="00D61D87" w:rsidRDefault="00D21BE2" w:rsidP="00986700">
            <w:pPr>
              <w:rPr>
                <w:rFonts w:cs="Arial"/>
                <w:sz w:val="18"/>
                <w:szCs w:val="18"/>
              </w:rPr>
            </w:pPr>
            <w:r w:rsidRPr="00D61D87">
              <w:rPr>
                <w:rFonts w:cs="Arial"/>
                <w:sz w:val="18"/>
                <w:szCs w:val="18"/>
              </w:rPr>
              <w:t>Guinée-Bissau</w:t>
            </w:r>
          </w:p>
        </w:tc>
        <w:tc>
          <w:tcPr>
            <w:tcW w:w="1430" w:type="dxa"/>
            <w:shd w:val="clear" w:color="auto" w:fill="auto"/>
            <w:vAlign w:val="center"/>
          </w:tcPr>
          <w:p w14:paraId="1B332E8C"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158D631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6C1E2B1C"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5C68CA4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B240DD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A92F25E" w14:textId="77777777" w:rsidTr="00DD4E5E">
        <w:tc>
          <w:tcPr>
            <w:tcW w:w="3010" w:type="dxa"/>
            <w:shd w:val="clear" w:color="auto" w:fill="E6E6E6"/>
            <w:vAlign w:val="center"/>
          </w:tcPr>
          <w:p w14:paraId="609A8F36" w14:textId="77777777" w:rsidR="00D21BE2" w:rsidRPr="00D61D87" w:rsidRDefault="00D21BE2" w:rsidP="00986700">
            <w:pPr>
              <w:rPr>
                <w:rFonts w:cs="Arial"/>
                <w:sz w:val="18"/>
                <w:szCs w:val="18"/>
              </w:rPr>
            </w:pPr>
            <w:r w:rsidRPr="00D61D87">
              <w:rPr>
                <w:rFonts w:cs="Arial"/>
                <w:sz w:val="18"/>
                <w:szCs w:val="18"/>
              </w:rPr>
              <w:t>Guyana</w:t>
            </w:r>
          </w:p>
        </w:tc>
        <w:tc>
          <w:tcPr>
            <w:tcW w:w="1430" w:type="dxa"/>
            <w:shd w:val="clear" w:color="auto" w:fill="E6E6E6"/>
            <w:vAlign w:val="center"/>
          </w:tcPr>
          <w:p w14:paraId="2474F21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357856A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64A095D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FA11EC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6327025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1B13B5E1" w14:textId="77777777" w:rsidTr="00DD4E5E">
        <w:tc>
          <w:tcPr>
            <w:tcW w:w="3010" w:type="dxa"/>
            <w:shd w:val="clear" w:color="auto" w:fill="auto"/>
            <w:vAlign w:val="center"/>
          </w:tcPr>
          <w:p w14:paraId="2268E3A8" w14:textId="77777777" w:rsidR="00D21BE2" w:rsidRPr="00D61D87" w:rsidRDefault="00D21BE2" w:rsidP="00986700">
            <w:pPr>
              <w:rPr>
                <w:rFonts w:cs="Arial"/>
                <w:sz w:val="18"/>
                <w:szCs w:val="18"/>
              </w:rPr>
            </w:pPr>
            <w:r w:rsidRPr="00D61D87">
              <w:rPr>
                <w:rFonts w:cs="Arial"/>
                <w:b/>
                <w:bCs/>
                <w:sz w:val="18"/>
                <w:szCs w:val="18"/>
              </w:rPr>
              <w:t>H</w:t>
            </w:r>
            <w:r w:rsidRPr="00D61D87">
              <w:rPr>
                <w:rFonts w:cs="Arial"/>
                <w:bCs/>
                <w:sz w:val="18"/>
                <w:szCs w:val="18"/>
              </w:rPr>
              <w:t>aïti</w:t>
            </w:r>
          </w:p>
        </w:tc>
        <w:tc>
          <w:tcPr>
            <w:tcW w:w="1430" w:type="dxa"/>
            <w:shd w:val="clear" w:color="auto" w:fill="auto"/>
            <w:vAlign w:val="center"/>
          </w:tcPr>
          <w:p w14:paraId="2CF25FE7"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6955D96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1D828FB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34CF97D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1B01472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496BD34" w14:textId="77777777" w:rsidTr="00DD4E5E">
        <w:tc>
          <w:tcPr>
            <w:tcW w:w="3010" w:type="dxa"/>
            <w:shd w:val="clear" w:color="auto" w:fill="E6E6E6"/>
            <w:vAlign w:val="center"/>
          </w:tcPr>
          <w:p w14:paraId="5E35453D" w14:textId="77777777" w:rsidR="00D21BE2" w:rsidRPr="00D61D87" w:rsidRDefault="00D21BE2" w:rsidP="00986700">
            <w:pPr>
              <w:rPr>
                <w:rFonts w:cs="Arial"/>
                <w:sz w:val="18"/>
                <w:szCs w:val="18"/>
              </w:rPr>
            </w:pPr>
            <w:r w:rsidRPr="00D61D87">
              <w:rPr>
                <w:rFonts w:cs="Arial"/>
                <w:sz w:val="18"/>
                <w:szCs w:val="18"/>
              </w:rPr>
              <w:t>Honduras</w:t>
            </w:r>
          </w:p>
        </w:tc>
        <w:tc>
          <w:tcPr>
            <w:tcW w:w="1430" w:type="dxa"/>
            <w:shd w:val="clear" w:color="auto" w:fill="E6E6E6"/>
            <w:vAlign w:val="center"/>
          </w:tcPr>
          <w:p w14:paraId="3CAE207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7F20068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0AA7B46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5EC085D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1ADB92AD"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0C9FBD6" w14:textId="77777777" w:rsidTr="00DD4E5E">
        <w:tc>
          <w:tcPr>
            <w:tcW w:w="3010" w:type="dxa"/>
            <w:shd w:val="clear" w:color="auto" w:fill="auto"/>
            <w:vAlign w:val="center"/>
          </w:tcPr>
          <w:p w14:paraId="55E5633C" w14:textId="77777777" w:rsidR="00D21BE2" w:rsidRPr="00D61D87" w:rsidRDefault="00D21BE2" w:rsidP="00986700">
            <w:pPr>
              <w:rPr>
                <w:rFonts w:cs="Arial"/>
                <w:sz w:val="18"/>
                <w:szCs w:val="18"/>
              </w:rPr>
            </w:pPr>
            <w:r w:rsidRPr="00D61D87">
              <w:rPr>
                <w:rFonts w:cs="Arial"/>
                <w:sz w:val="18"/>
                <w:szCs w:val="18"/>
              </w:rPr>
              <w:t>Hongrie</w:t>
            </w:r>
          </w:p>
        </w:tc>
        <w:tc>
          <w:tcPr>
            <w:tcW w:w="1430" w:type="dxa"/>
            <w:shd w:val="clear" w:color="auto" w:fill="auto"/>
            <w:vAlign w:val="center"/>
          </w:tcPr>
          <w:p w14:paraId="5C1CCB7D"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auto"/>
            <w:vAlign w:val="center"/>
          </w:tcPr>
          <w:p w14:paraId="57B75A51"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auto"/>
            <w:vAlign w:val="center"/>
          </w:tcPr>
          <w:p w14:paraId="3010C273"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auto"/>
            <w:vAlign w:val="center"/>
          </w:tcPr>
          <w:p w14:paraId="0E007445"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auto"/>
            <w:vAlign w:val="center"/>
          </w:tcPr>
          <w:p w14:paraId="42794146"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4991BB4D" w14:textId="77777777" w:rsidTr="00DD4E5E">
        <w:tc>
          <w:tcPr>
            <w:tcW w:w="3010" w:type="dxa"/>
            <w:shd w:val="clear" w:color="auto" w:fill="E6E6E6"/>
            <w:vAlign w:val="center"/>
          </w:tcPr>
          <w:p w14:paraId="1FCF1FAE" w14:textId="77777777" w:rsidR="00D21BE2" w:rsidRPr="00D61D87" w:rsidRDefault="00D21BE2" w:rsidP="00986700">
            <w:pPr>
              <w:rPr>
                <w:rFonts w:cs="Arial"/>
                <w:sz w:val="18"/>
                <w:szCs w:val="18"/>
              </w:rPr>
            </w:pPr>
            <w:r w:rsidRPr="00D61D87">
              <w:rPr>
                <w:rFonts w:cs="Arial"/>
                <w:b/>
                <w:sz w:val="18"/>
                <w:szCs w:val="18"/>
              </w:rPr>
              <w:t>Î</w:t>
            </w:r>
            <w:r w:rsidRPr="00D61D87">
              <w:rPr>
                <w:rFonts w:cs="Arial"/>
                <w:sz w:val="18"/>
                <w:szCs w:val="18"/>
              </w:rPr>
              <w:t>les Cook</w:t>
            </w:r>
            <w:r w:rsidRPr="00D61D87">
              <w:rPr>
                <w:rFonts w:cs="Arial"/>
                <w:sz w:val="18"/>
                <w:szCs w:val="18"/>
                <w:vertAlign w:val="superscript"/>
              </w:rPr>
              <w:t>2</w:t>
            </w:r>
          </w:p>
        </w:tc>
        <w:tc>
          <w:tcPr>
            <w:tcW w:w="1430" w:type="dxa"/>
            <w:shd w:val="clear" w:color="auto" w:fill="E6E6E6"/>
            <w:vAlign w:val="center"/>
          </w:tcPr>
          <w:p w14:paraId="67FF0F0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3EEF8D6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0711764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43F42A6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090CC296"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27B85460" w14:textId="77777777" w:rsidTr="00DD4E5E">
        <w:tc>
          <w:tcPr>
            <w:tcW w:w="3010" w:type="dxa"/>
            <w:shd w:val="clear" w:color="auto" w:fill="auto"/>
            <w:vAlign w:val="center"/>
          </w:tcPr>
          <w:p w14:paraId="76CB4566" w14:textId="77777777" w:rsidR="00D21BE2" w:rsidRPr="00D61D87" w:rsidRDefault="00D21BE2" w:rsidP="00986700">
            <w:pPr>
              <w:rPr>
                <w:rFonts w:cs="Arial"/>
                <w:sz w:val="18"/>
                <w:szCs w:val="18"/>
              </w:rPr>
            </w:pPr>
            <w:r w:rsidRPr="00D61D87">
              <w:rPr>
                <w:rFonts w:cs="Arial"/>
                <w:sz w:val="18"/>
                <w:szCs w:val="18"/>
              </w:rPr>
              <w:t>Inde</w:t>
            </w:r>
          </w:p>
        </w:tc>
        <w:tc>
          <w:tcPr>
            <w:tcW w:w="1430" w:type="dxa"/>
            <w:shd w:val="clear" w:color="auto" w:fill="auto"/>
            <w:vAlign w:val="center"/>
          </w:tcPr>
          <w:p w14:paraId="6F323E62"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auto"/>
            <w:vAlign w:val="center"/>
          </w:tcPr>
          <w:p w14:paraId="759017D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auto"/>
            <w:vAlign w:val="center"/>
          </w:tcPr>
          <w:p w14:paraId="33EF2550"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auto"/>
            <w:vAlign w:val="center"/>
          </w:tcPr>
          <w:p w14:paraId="78774D4B"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auto"/>
            <w:vAlign w:val="center"/>
          </w:tcPr>
          <w:p w14:paraId="13DD3148"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5C0C1AB2" w14:textId="77777777" w:rsidTr="00DD4E5E">
        <w:tc>
          <w:tcPr>
            <w:tcW w:w="3010" w:type="dxa"/>
            <w:shd w:val="clear" w:color="auto" w:fill="E6E6E6"/>
            <w:vAlign w:val="center"/>
          </w:tcPr>
          <w:p w14:paraId="6589A9B6" w14:textId="77777777" w:rsidR="00D21BE2" w:rsidRPr="00D61D87" w:rsidRDefault="00D21BE2" w:rsidP="00986700">
            <w:pPr>
              <w:rPr>
                <w:rFonts w:cs="Arial"/>
                <w:sz w:val="18"/>
                <w:szCs w:val="18"/>
              </w:rPr>
            </w:pPr>
            <w:r w:rsidRPr="00D61D87">
              <w:rPr>
                <w:rFonts w:cs="Arial"/>
                <w:sz w:val="18"/>
                <w:szCs w:val="18"/>
              </w:rPr>
              <w:t>Indonésie</w:t>
            </w:r>
          </w:p>
        </w:tc>
        <w:tc>
          <w:tcPr>
            <w:tcW w:w="1430" w:type="dxa"/>
            <w:shd w:val="clear" w:color="auto" w:fill="E6E6E6"/>
            <w:vAlign w:val="center"/>
          </w:tcPr>
          <w:p w14:paraId="6D4085DA"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E6E6E6"/>
            <w:vAlign w:val="center"/>
          </w:tcPr>
          <w:p w14:paraId="5F5BFB1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E6E6E6"/>
            <w:vAlign w:val="center"/>
          </w:tcPr>
          <w:p w14:paraId="66BDC8EC"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E6E6E6"/>
            <w:vAlign w:val="center"/>
          </w:tcPr>
          <w:p w14:paraId="19D1FED2"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E6E6E6"/>
            <w:vAlign w:val="center"/>
          </w:tcPr>
          <w:p w14:paraId="28298626"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573D29E7" w14:textId="77777777" w:rsidTr="00DD4E5E">
        <w:tc>
          <w:tcPr>
            <w:tcW w:w="3010" w:type="dxa"/>
            <w:shd w:val="clear" w:color="auto" w:fill="auto"/>
            <w:vAlign w:val="center"/>
          </w:tcPr>
          <w:p w14:paraId="57691606" w14:textId="77777777" w:rsidR="00D21BE2" w:rsidRPr="00D61D87" w:rsidRDefault="00D21BE2" w:rsidP="00986700">
            <w:pPr>
              <w:rPr>
                <w:rFonts w:cs="Arial"/>
                <w:sz w:val="18"/>
                <w:szCs w:val="18"/>
              </w:rPr>
            </w:pPr>
            <w:r w:rsidRPr="00D61D87">
              <w:rPr>
                <w:rFonts w:cs="Arial"/>
                <w:sz w:val="18"/>
                <w:szCs w:val="18"/>
              </w:rPr>
              <w:t>Iran (République islamique d’)</w:t>
            </w:r>
          </w:p>
        </w:tc>
        <w:tc>
          <w:tcPr>
            <w:tcW w:w="1430" w:type="dxa"/>
            <w:shd w:val="clear" w:color="auto" w:fill="auto"/>
            <w:vAlign w:val="center"/>
          </w:tcPr>
          <w:p w14:paraId="757ECB94"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auto"/>
            <w:vAlign w:val="center"/>
          </w:tcPr>
          <w:p w14:paraId="1C54E015"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auto"/>
            <w:vAlign w:val="center"/>
          </w:tcPr>
          <w:p w14:paraId="7F254E15"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auto"/>
            <w:vAlign w:val="center"/>
          </w:tcPr>
          <w:p w14:paraId="55316E45"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auto"/>
            <w:vAlign w:val="center"/>
          </w:tcPr>
          <w:p w14:paraId="64602375"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6D4DB1A1" w14:textId="77777777" w:rsidTr="00DD4E5E">
        <w:tc>
          <w:tcPr>
            <w:tcW w:w="3010" w:type="dxa"/>
            <w:shd w:val="clear" w:color="auto" w:fill="E6E6E6"/>
            <w:vAlign w:val="center"/>
          </w:tcPr>
          <w:p w14:paraId="607D5A0F" w14:textId="77777777" w:rsidR="00D21BE2" w:rsidRPr="00D61D87" w:rsidRDefault="00D21BE2" w:rsidP="00986700">
            <w:pPr>
              <w:rPr>
                <w:rFonts w:cs="Arial"/>
                <w:sz w:val="18"/>
                <w:szCs w:val="18"/>
              </w:rPr>
            </w:pPr>
            <w:r w:rsidRPr="00D61D87">
              <w:rPr>
                <w:rFonts w:cs="Arial"/>
                <w:sz w:val="18"/>
                <w:szCs w:val="18"/>
              </w:rPr>
              <w:t>Iraq</w:t>
            </w:r>
          </w:p>
        </w:tc>
        <w:tc>
          <w:tcPr>
            <w:tcW w:w="1430" w:type="dxa"/>
            <w:shd w:val="clear" w:color="auto" w:fill="E6E6E6"/>
            <w:vAlign w:val="center"/>
          </w:tcPr>
          <w:p w14:paraId="43F4D4CE"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2294B72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3E42541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11A0CDC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6103E3F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71B487C4" w14:textId="77777777" w:rsidTr="00DD4E5E">
        <w:tc>
          <w:tcPr>
            <w:tcW w:w="3010" w:type="dxa"/>
            <w:shd w:val="clear" w:color="auto" w:fill="auto"/>
            <w:vAlign w:val="center"/>
          </w:tcPr>
          <w:p w14:paraId="58A45616" w14:textId="77777777" w:rsidR="00D21BE2" w:rsidRPr="00D61D87" w:rsidRDefault="00D21BE2" w:rsidP="00986700">
            <w:pPr>
              <w:rPr>
                <w:rFonts w:cs="Arial"/>
                <w:sz w:val="18"/>
                <w:szCs w:val="18"/>
              </w:rPr>
            </w:pPr>
            <w:r w:rsidRPr="00D61D87">
              <w:rPr>
                <w:rFonts w:cs="Arial"/>
                <w:sz w:val="18"/>
                <w:szCs w:val="18"/>
              </w:rPr>
              <w:t>Irlande</w:t>
            </w:r>
          </w:p>
        </w:tc>
        <w:tc>
          <w:tcPr>
            <w:tcW w:w="1430" w:type="dxa"/>
            <w:shd w:val="clear" w:color="auto" w:fill="auto"/>
            <w:vAlign w:val="center"/>
          </w:tcPr>
          <w:p w14:paraId="338779B6"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auto"/>
            <w:vAlign w:val="center"/>
          </w:tcPr>
          <w:p w14:paraId="6F550E4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auto"/>
            <w:vAlign w:val="center"/>
          </w:tcPr>
          <w:p w14:paraId="2D11F830"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auto"/>
            <w:vAlign w:val="center"/>
          </w:tcPr>
          <w:p w14:paraId="256B120C"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auto"/>
            <w:vAlign w:val="center"/>
          </w:tcPr>
          <w:p w14:paraId="17A00A36"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21340100" w14:textId="77777777" w:rsidTr="00DD4E5E">
        <w:tc>
          <w:tcPr>
            <w:tcW w:w="3010" w:type="dxa"/>
            <w:shd w:val="clear" w:color="auto" w:fill="E6E6E6"/>
            <w:vAlign w:val="center"/>
          </w:tcPr>
          <w:p w14:paraId="35C9555A" w14:textId="77777777" w:rsidR="00D21BE2" w:rsidRPr="00D61D87" w:rsidRDefault="00D21BE2" w:rsidP="00986700">
            <w:pPr>
              <w:rPr>
                <w:rFonts w:cs="Arial"/>
                <w:sz w:val="18"/>
                <w:szCs w:val="18"/>
              </w:rPr>
            </w:pPr>
            <w:r w:rsidRPr="00D61D87">
              <w:rPr>
                <w:rFonts w:cs="Arial"/>
                <w:bCs/>
                <w:sz w:val="18"/>
                <w:szCs w:val="18"/>
              </w:rPr>
              <w:t>Islande</w:t>
            </w:r>
          </w:p>
        </w:tc>
        <w:tc>
          <w:tcPr>
            <w:tcW w:w="1430" w:type="dxa"/>
            <w:shd w:val="clear" w:color="auto" w:fill="E6E6E6"/>
            <w:vAlign w:val="center"/>
          </w:tcPr>
          <w:p w14:paraId="07DC2DCC"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E6E6E6"/>
            <w:vAlign w:val="center"/>
          </w:tcPr>
          <w:p w14:paraId="24D5A54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333186A8"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E6E6E6"/>
            <w:vAlign w:val="center"/>
          </w:tcPr>
          <w:p w14:paraId="0E079EEB"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E6E6E6"/>
            <w:vAlign w:val="center"/>
          </w:tcPr>
          <w:p w14:paraId="55686693"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248A0645" w14:textId="77777777" w:rsidTr="00DD4E5E">
        <w:tc>
          <w:tcPr>
            <w:tcW w:w="3010" w:type="dxa"/>
            <w:shd w:val="clear" w:color="auto" w:fill="auto"/>
            <w:vAlign w:val="center"/>
          </w:tcPr>
          <w:p w14:paraId="6317308B" w14:textId="77777777" w:rsidR="00D21BE2" w:rsidRPr="00D61D87" w:rsidRDefault="00D21BE2" w:rsidP="00986700">
            <w:pPr>
              <w:rPr>
                <w:rFonts w:cs="Arial"/>
                <w:sz w:val="18"/>
                <w:szCs w:val="18"/>
              </w:rPr>
            </w:pPr>
            <w:r w:rsidRPr="00D61D87">
              <w:rPr>
                <w:rFonts w:cs="Arial"/>
                <w:sz w:val="18"/>
                <w:szCs w:val="18"/>
              </w:rPr>
              <w:t>Israël</w:t>
            </w:r>
          </w:p>
        </w:tc>
        <w:tc>
          <w:tcPr>
            <w:tcW w:w="1430" w:type="dxa"/>
            <w:shd w:val="clear" w:color="auto" w:fill="auto"/>
            <w:vAlign w:val="center"/>
          </w:tcPr>
          <w:p w14:paraId="0BAE32A5"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auto"/>
            <w:vAlign w:val="center"/>
          </w:tcPr>
          <w:p w14:paraId="34D997D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auto"/>
            <w:vAlign w:val="center"/>
          </w:tcPr>
          <w:p w14:paraId="1AA3F4C5"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auto"/>
            <w:vAlign w:val="center"/>
          </w:tcPr>
          <w:p w14:paraId="1EF1EA3B"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auto"/>
            <w:vAlign w:val="center"/>
          </w:tcPr>
          <w:p w14:paraId="41B3A9E8"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3594A87B" w14:textId="77777777" w:rsidTr="00DD4E5E">
        <w:tc>
          <w:tcPr>
            <w:tcW w:w="3010" w:type="dxa"/>
            <w:shd w:val="clear" w:color="auto" w:fill="E6E6E6"/>
            <w:vAlign w:val="center"/>
          </w:tcPr>
          <w:p w14:paraId="5E1F4880" w14:textId="77777777" w:rsidR="00D21BE2" w:rsidRPr="00D61D87" w:rsidRDefault="00D21BE2" w:rsidP="00986700">
            <w:pPr>
              <w:rPr>
                <w:rFonts w:cs="Arial"/>
                <w:sz w:val="18"/>
                <w:szCs w:val="18"/>
              </w:rPr>
            </w:pPr>
            <w:r w:rsidRPr="00D61D87">
              <w:rPr>
                <w:rFonts w:cs="Arial"/>
                <w:sz w:val="18"/>
                <w:szCs w:val="18"/>
              </w:rPr>
              <w:t>Italie</w:t>
            </w:r>
          </w:p>
        </w:tc>
        <w:tc>
          <w:tcPr>
            <w:tcW w:w="1430" w:type="dxa"/>
            <w:shd w:val="clear" w:color="auto" w:fill="E6E6E6"/>
            <w:vAlign w:val="center"/>
          </w:tcPr>
          <w:p w14:paraId="712D429E" w14:textId="77777777" w:rsidR="00D21BE2" w:rsidRPr="00487813" w:rsidRDefault="00D21BE2" w:rsidP="00986700">
            <w:pPr>
              <w:rPr>
                <w:rFonts w:cs="Arial"/>
                <w:color w:val="000000"/>
                <w:sz w:val="18"/>
                <w:szCs w:val="18"/>
              </w:rPr>
            </w:pPr>
            <w:r w:rsidRPr="00487813">
              <w:rPr>
                <w:rFonts w:cs="Arial"/>
                <w:color w:val="000000"/>
                <w:sz w:val="18"/>
                <w:szCs w:val="18"/>
              </w:rPr>
              <w:t>III</w:t>
            </w:r>
          </w:p>
        </w:tc>
        <w:tc>
          <w:tcPr>
            <w:tcW w:w="1210" w:type="dxa"/>
            <w:shd w:val="clear" w:color="auto" w:fill="E6E6E6"/>
            <w:vAlign w:val="center"/>
          </w:tcPr>
          <w:p w14:paraId="7061ABB8" w14:textId="77777777" w:rsidR="00D21BE2" w:rsidRPr="00487813" w:rsidRDefault="00D21BE2" w:rsidP="00986700">
            <w:pPr>
              <w:jc w:val="right"/>
              <w:rPr>
                <w:rFonts w:cs="Arial"/>
                <w:color w:val="000000"/>
                <w:sz w:val="18"/>
                <w:szCs w:val="18"/>
              </w:rPr>
            </w:pPr>
            <w:r w:rsidRPr="00487813">
              <w:rPr>
                <w:rFonts w:cs="Arial"/>
                <w:color w:val="000000"/>
                <w:sz w:val="18"/>
                <w:szCs w:val="18"/>
              </w:rPr>
              <w:t>15</w:t>
            </w:r>
          </w:p>
        </w:tc>
        <w:tc>
          <w:tcPr>
            <w:tcW w:w="1320" w:type="dxa"/>
            <w:shd w:val="clear" w:color="auto" w:fill="E6E6E6"/>
            <w:vAlign w:val="center"/>
          </w:tcPr>
          <w:p w14:paraId="6E05A980"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430" w:type="dxa"/>
            <w:shd w:val="clear" w:color="auto" w:fill="E6E6E6"/>
            <w:vAlign w:val="center"/>
          </w:tcPr>
          <w:p w14:paraId="6A4496D9"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320" w:type="dxa"/>
            <w:shd w:val="clear" w:color="auto" w:fill="E6E6E6"/>
            <w:vAlign w:val="center"/>
          </w:tcPr>
          <w:p w14:paraId="645BECB4"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230</w:t>
            </w:r>
            <w:r>
              <w:rPr>
                <w:rFonts w:cs="Arial"/>
                <w:color w:val="000000"/>
                <w:sz w:val="18"/>
                <w:szCs w:val="18"/>
              </w:rPr>
              <w:t> </w:t>
            </w:r>
            <w:r w:rsidRPr="00487813">
              <w:rPr>
                <w:rFonts w:cs="Arial"/>
                <w:color w:val="000000"/>
                <w:sz w:val="18"/>
                <w:szCs w:val="18"/>
              </w:rPr>
              <w:t>630</w:t>
            </w:r>
          </w:p>
        </w:tc>
      </w:tr>
      <w:tr w:rsidR="00D21BE2" w:rsidRPr="00487813" w14:paraId="7778A533" w14:textId="77777777" w:rsidTr="00DD4E5E">
        <w:tc>
          <w:tcPr>
            <w:tcW w:w="3010" w:type="dxa"/>
            <w:shd w:val="clear" w:color="auto" w:fill="auto"/>
            <w:vAlign w:val="center"/>
          </w:tcPr>
          <w:p w14:paraId="23105086" w14:textId="77777777" w:rsidR="00D21BE2" w:rsidRPr="00D61D87" w:rsidRDefault="00D21BE2" w:rsidP="00986700">
            <w:pPr>
              <w:rPr>
                <w:rFonts w:cs="Arial"/>
                <w:sz w:val="18"/>
                <w:szCs w:val="18"/>
              </w:rPr>
            </w:pPr>
            <w:r w:rsidRPr="00D61D87">
              <w:rPr>
                <w:rFonts w:cs="Arial"/>
                <w:b/>
                <w:bCs/>
                <w:sz w:val="18"/>
                <w:szCs w:val="18"/>
              </w:rPr>
              <w:t>J</w:t>
            </w:r>
            <w:r w:rsidRPr="00D61D87">
              <w:rPr>
                <w:rFonts w:cs="Arial"/>
                <w:bCs/>
                <w:sz w:val="18"/>
                <w:szCs w:val="18"/>
              </w:rPr>
              <w:t>amaïque</w:t>
            </w:r>
          </w:p>
        </w:tc>
        <w:tc>
          <w:tcPr>
            <w:tcW w:w="1430" w:type="dxa"/>
            <w:shd w:val="clear" w:color="auto" w:fill="auto"/>
            <w:vAlign w:val="center"/>
          </w:tcPr>
          <w:p w14:paraId="43EDF65A"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1B10B41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6AD97E3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34CBF61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FACE923"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BD646F3" w14:textId="77777777" w:rsidTr="00DD4E5E">
        <w:tc>
          <w:tcPr>
            <w:tcW w:w="3010" w:type="dxa"/>
            <w:shd w:val="clear" w:color="auto" w:fill="E6E6E6"/>
            <w:vAlign w:val="center"/>
          </w:tcPr>
          <w:p w14:paraId="6A668C49" w14:textId="77777777" w:rsidR="00D21BE2" w:rsidRPr="00D61D87" w:rsidRDefault="00D21BE2" w:rsidP="00986700">
            <w:pPr>
              <w:rPr>
                <w:rFonts w:cs="Arial"/>
                <w:sz w:val="18"/>
                <w:szCs w:val="18"/>
              </w:rPr>
            </w:pPr>
            <w:r w:rsidRPr="00D61D87">
              <w:rPr>
                <w:rFonts w:cs="Arial"/>
                <w:sz w:val="18"/>
                <w:szCs w:val="18"/>
              </w:rPr>
              <w:t>Japon</w:t>
            </w:r>
          </w:p>
        </w:tc>
        <w:tc>
          <w:tcPr>
            <w:tcW w:w="1430" w:type="dxa"/>
            <w:shd w:val="clear" w:color="auto" w:fill="E6E6E6"/>
            <w:vAlign w:val="center"/>
          </w:tcPr>
          <w:p w14:paraId="7B20C8F9" w14:textId="77777777" w:rsidR="00D21BE2" w:rsidRPr="00487813" w:rsidRDefault="00D21BE2" w:rsidP="00986700">
            <w:pPr>
              <w:rPr>
                <w:rFonts w:cs="Arial"/>
                <w:color w:val="000000"/>
                <w:sz w:val="18"/>
                <w:szCs w:val="18"/>
              </w:rPr>
            </w:pPr>
            <w:r w:rsidRPr="00487813">
              <w:rPr>
                <w:rFonts w:cs="Arial"/>
                <w:color w:val="000000"/>
                <w:sz w:val="18"/>
                <w:szCs w:val="18"/>
              </w:rPr>
              <w:t>I</w:t>
            </w:r>
          </w:p>
        </w:tc>
        <w:tc>
          <w:tcPr>
            <w:tcW w:w="1210" w:type="dxa"/>
            <w:shd w:val="clear" w:color="auto" w:fill="E6E6E6"/>
            <w:vAlign w:val="center"/>
          </w:tcPr>
          <w:p w14:paraId="33CAED59" w14:textId="77777777" w:rsidR="00D21BE2" w:rsidRPr="00487813" w:rsidRDefault="00D21BE2" w:rsidP="00986700">
            <w:pPr>
              <w:jc w:val="right"/>
              <w:rPr>
                <w:rFonts w:cs="Arial"/>
                <w:color w:val="000000"/>
                <w:sz w:val="18"/>
                <w:szCs w:val="18"/>
              </w:rPr>
            </w:pPr>
            <w:r w:rsidRPr="00487813">
              <w:rPr>
                <w:rFonts w:cs="Arial"/>
                <w:color w:val="000000"/>
                <w:sz w:val="18"/>
                <w:szCs w:val="18"/>
              </w:rPr>
              <w:t>25</w:t>
            </w:r>
          </w:p>
        </w:tc>
        <w:tc>
          <w:tcPr>
            <w:tcW w:w="1320" w:type="dxa"/>
            <w:shd w:val="clear" w:color="auto" w:fill="E6E6E6"/>
            <w:vAlign w:val="center"/>
          </w:tcPr>
          <w:p w14:paraId="0B00309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430" w:type="dxa"/>
            <w:shd w:val="clear" w:color="auto" w:fill="E6E6E6"/>
            <w:vAlign w:val="center"/>
          </w:tcPr>
          <w:p w14:paraId="21551914"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320" w:type="dxa"/>
            <w:shd w:val="clear" w:color="auto" w:fill="E6E6E6"/>
            <w:vAlign w:val="center"/>
          </w:tcPr>
          <w:p w14:paraId="58AFD04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051</w:t>
            </w:r>
            <w:r>
              <w:rPr>
                <w:rFonts w:cs="Arial"/>
                <w:color w:val="000000"/>
                <w:sz w:val="18"/>
                <w:szCs w:val="18"/>
              </w:rPr>
              <w:t> </w:t>
            </w:r>
            <w:r w:rsidRPr="00487813">
              <w:rPr>
                <w:rFonts w:cs="Arial"/>
                <w:color w:val="000000"/>
                <w:sz w:val="18"/>
                <w:szCs w:val="18"/>
              </w:rPr>
              <w:t>050</w:t>
            </w:r>
          </w:p>
        </w:tc>
      </w:tr>
      <w:tr w:rsidR="00D21BE2" w:rsidRPr="00487813" w14:paraId="19F24AC7" w14:textId="77777777" w:rsidTr="00DD4E5E">
        <w:tc>
          <w:tcPr>
            <w:tcW w:w="3010" w:type="dxa"/>
            <w:shd w:val="clear" w:color="auto" w:fill="auto"/>
            <w:vAlign w:val="center"/>
          </w:tcPr>
          <w:p w14:paraId="166CCE98" w14:textId="77777777" w:rsidR="00D21BE2" w:rsidRPr="00D61D87" w:rsidRDefault="00D21BE2" w:rsidP="00986700">
            <w:pPr>
              <w:rPr>
                <w:rFonts w:cs="Arial"/>
                <w:sz w:val="18"/>
                <w:szCs w:val="18"/>
              </w:rPr>
            </w:pPr>
            <w:r w:rsidRPr="00D61D87">
              <w:rPr>
                <w:rFonts w:cs="Arial"/>
                <w:sz w:val="18"/>
                <w:szCs w:val="18"/>
              </w:rPr>
              <w:t>Jordanie</w:t>
            </w:r>
          </w:p>
        </w:tc>
        <w:tc>
          <w:tcPr>
            <w:tcW w:w="1430" w:type="dxa"/>
            <w:shd w:val="clear" w:color="auto" w:fill="auto"/>
            <w:vAlign w:val="center"/>
          </w:tcPr>
          <w:p w14:paraId="673E4980"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5B969AC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3BBB9D2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2787CB9D"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1F9B0A9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5F4FE1B7" w14:textId="77777777" w:rsidTr="00DD4E5E">
        <w:tc>
          <w:tcPr>
            <w:tcW w:w="3010" w:type="dxa"/>
            <w:shd w:val="clear" w:color="auto" w:fill="E6E6E6"/>
            <w:vAlign w:val="center"/>
          </w:tcPr>
          <w:p w14:paraId="7F2B7ACC" w14:textId="77777777" w:rsidR="00D21BE2" w:rsidRPr="00D61D87" w:rsidRDefault="00D21BE2" w:rsidP="00986700">
            <w:pPr>
              <w:rPr>
                <w:rFonts w:cs="Arial"/>
                <w:sz w:val="18"/>
                <w:szCs w:val="18"/>
              </w:rPr>
            </w:pPr>
            <w:r w:rsidRPr="00D61D87">
              <w:rPr>
                <w:rFonts w:cs="Arial"/>
                <w:b/>
                <w:bCs/>
                <w:sz w:val="18"/>
                <w:szCs w:val="18"/>
              </w:rPr>
              <w:t>K</w:t>
            </w:r>
            <w:r w:rsidRPr="00D61D87">
              <w:rPr>
                <w:rFonts w:cs="Arial"/>
                <w:bCs/>
                <w:sz w:val="18"/>
                <w:szCs w:val="18"/>
              </w:rPr>
              <w:t>azakhstan</w:t>
            </w:r>
          </w:p>
        </w:tc>
        <w:tc>
          <w:tcPr>
            <w:tcW w:w="1430" w:type="dxa"/>
            <w:shd w:val="clear" w:color="auto" w:fill="E6E6E6"/>
            <w:vAlign w:val="center"/>
          </w:tcPr>
          <w:p w14:paraId="4212E164"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695D87C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442EBDF3"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039F94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B1C149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25125158" w14:textId="77777777" w:rsidTr="00DD4E5E">
        <w:tc>
          <w:tcPr>
            <w:tcW w:w="3010" w:type="dxa"/>
            <w:shd w:val="clear" w:color="auto" w:fill="auto"/>
            <w:vAlign w:val="center"/>
          </w:tcPr>
          <w:p w14:paraId="16930E09" w14:textId="77777777" w:rsidR="00D21BE2" w:rsidRPr="00D61D87" w:rsidRDefault="00D21BE2" w:rsidP="00986700">
            <w:pPr>
              <w:rPr>
                <w:rFonts w:cs="Arial"/>
                <w:sz w:val="18"/>
                <w:szCs w:val="18"/>
              </w:rPr>
            </w:pPr>
            <w:r w:rsidRPr="00D61D87">
              <w:rPr>
                <w:rFonts w:cs="Arial"/>
                <w:sz w:val="18"/>
                <w:szCs w:val="18"/>
              </w:rPr>
              <w:t>Kenya</w:t>
            </w:r>
          </w:p>
        </w:tc>
        <w:tc>
          <w:tcPr>
            <w:tcW w:w="1430" w:type="dxa"/>
            <w:shd w:val="clear" w:color="auto" w:fill="auto"/>
            <w:vAlign w:val="center"/>
          </w:tcPr>
          <w:p w14:paraId="228E3FF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638D89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DDB293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2BC8506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EC19F8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347954B" w14:textId="77777777" w:rsidTr="00DD4E5E">
        <w:tc>
          <w:tcPr>
            <w:tcW w:w="3010" w:type="dxa"/>
            <w:shd w:val="clear" w:color="auto" w:fill="E6E6E6"/>
            <w:vAlign w:val="center"/>
          </w:tcPr>
          <w:p w14:paraId="4AC75923" w14:textId="77777777" w:rsidR="00D21BE2" w:rsidRPr="00D61D87" w:rsidRDefault="00D21BE2" w:rsidP="00986700">
            <w:pPr>
              <w:rPr>
                <w:rFonts w:cs="Arial"/>
                <w:sz w:val="18"/>
                <w:szCs w:val="18"/>
              </w:rPr>
            </w:pPr>
            <w:r w:rsidRPr="00D61D87">
              <w:rPr>
                <w:rFonts w:cs="Arial"/>
                <w:sz w:val="18"/>
                <w:szCs w:val="18"/>
              </w:rPr>
              <w:t>Kirghizistan</w:t>
            </w:r>
          </w:p>
        </w:tc>
        <w:tc>
          <w:tcPr>
            <w:tcW w:w="1430" w:type="dxa"/>
            <w:shd w:val="clear" w:color="auto" w:fill="E6E6E6"/>
            <w:vAlign w:val="center"/>
          </w:tcPr>
          <w:p w14:paraId="5CB36815"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69ACDBB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2775355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68C709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64C777B0"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371CE4D3" w14:textId="77777777" w:rsidTr="00DD4E5E">
        <w:tc>
          <w:tcPr>
            <w:tcW w:w="3010" w:type="dxa"/>
            <w:shd w:val="clear" w:color="auto" w:fill="auto"/>
            <w:vAlign w:val="center"/>
          </w:tcPr>
          <w:p w14:paraId="7C374FD6" w14:textId="77777777" w:rsidR="00D21BE2" w:rsidRPr="00D61D87" w:rsidRDefault="00D21BE2" w:rsidP="00986700">
            <w:pPr>
              <w:rPr>
                <w:rFonts w:cs="Arial"/>
                <w:sz w:val="18"/>
                <w:szCs w:val="18"/>
              </w:rPr>
            </w:pPr>
            <w:r w:rsidRPr="00D61D87">
              <w:rPr>
                <w:rFonts w:cs="Arial"/>
                <w:sz w:val="18"/>
                <w:szCs w:val="18"/>
              </w:rPr>
              <w:t>Kiribati</w:t>
            </w:r>
            <w:r w:rsidRPr="00D61D87">
              <w:rPr>
                <w:rFonts w:cs="Arial"/>
                <w:sz w:val="18"/>
                <w:szCs w:val="18"/>
                <w:vertAlign w:val="superscript"/>
              </w:rPr>
              <w:t>2</w:t>
            </w:r>
          </w:p>
        </w:tc>
        <w:tc>
          <w:tcPr>
            <w:tcW w:w="1430" w:type="dxa"/>
            <w:shd w:val="clear" w:color="auto" w:fill="auto"/>
            <w:vAlign w:val="center"/>
          </w:tcPr>
          <w:p w14:paraId="70FEACAA"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7532F38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3EB6B44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022DEC7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6D57CA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5B05ACA7" w14:textId="77777777" w:rsidTr="00DD4E5E">
        <w:tc>
          <w:tcPr>
            <w:tcW w:w="3010" w:type="dxa"/>
            <w:shd w:val="clear" w:color="auto" w:fill="E6E6E6"/>
            <w:vAlign w:val="center"/>
          </w:tcPr>
          <w:p w14:paraId="6A833350" w14:textId="77777777" w:rsidR="00D21BE2" w:rsidRPr="00D61D87" w:rsidRDefault="00D21BE2" w:rsidP="00986700">
            <w:pPr>
              <w:rPr>
                <w:rFonts w:cs="Arial"/>
                <w:sz w:val="18"/>
                <w:szCs w:val="18"/>
              </w:rPr>
            </w:pPr>
            <w:r w:rsidRPr="00D61D87">
              <w:rPr>
                <w:rFonts w:cs="Arial"/>
                <w:sz w:val="18"/>
                <w:szCs w:val="18"/>
              </w:rPr>
              <w:t>Koweït</w:t>
            </w:r>
          </w:p>
        </w:tc>
        <w:tc>
          <w:tcPr>
            <w:tcW w:w="1430" w:type="dxa"/>
            <w:shd w:val="clear" w:color="auto" w:fill="E6E6E6"/>
            <w:vAlign w:val="center"/>
          </w:tcPr>
          <w:p w14:paraId="46547AE6"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31FBA68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1E30E5E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4F1C795"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A827D16"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42577759" w14:textId="77777777" w:rsidTr="00DD4E5E">
        <w:tc>
          <w:tcPr>
            <w:tcW w:w="3010" w:type="dxa"/>
            <w:shd w:val="clear" w:color="auto" w:fill="auto"/>
            <w:vAlign w:val="center"/>
          </w:tcPr>
          <w:p w14:paraId="03BD5F95" w14:textId="77777777" w:rsidR="00D21BE2" w:rsidRPr="00D61D87" w:rsidRDefault="00D21BE2" w:rsidP="00986700">
            <w:pPr>
              <w:rPr>
                <w:rFonts w:cs="Arial"/>
                <w:sz w:val="18"/>
                <w:szCs w:val="18"/>
              </w:rPr>
            </w:pPr>
            <w:r w:rsidRPr="00D61D87">
              <w:rPr>
                <w:rFonts w:cs="Arial"/>
                <w:b/>
                <w:sz w:val="18"/>
                <w:szCs w:val="18"/>
              </w:rPr>
              <w:t>L</w:t>
            </w:r>
            <w:r w:rsidRPr="00D61D87">
              <w:rPr>
                <w:rFonts w:cs="Arial"/>
                <w:sz w:val="18"/>
                <w:szCs w:val="18"/>
              </w:rPr>
              <w:t>esotho</w:t>
            </w:r>
          </w:p>
        </w:tc>
        <w:tc>
          <w:tcPr>
            <w:tcW w:w="1430" w:type="dxa"/>
            <w:shd w:val="clear" w:color="auto" w:fill="auto"/>
            <w:vAlign w:val="center"/>
          </w:tcPr>
          <w:p w14:paraId="13089399"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4B131E7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37847274"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6F27A0F5"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E56C88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56DFFB32" w14:textId="77777777" w:rsidTr="00DD4E5E">
        <w:tc>
          <w:tcPr>
            <w:tcW w:w="3010" w:type="dxa"/>
            <w:shd w:val="clear" w:color="auto" w:fill="E6E6E6"/>
            <w:vAlign w:val="center"/>
          </w:tcPr>
          <w:p w14:paraId="308A73CA" w14:textId="77777777" w:rsidR="00D21BE2" w:rsidRPr="00D61D87" w:rsidRDefault="00D21BE2" w:rsidP="00986700">
            <w:pPr>
              <w:rPr>
                <w:rFonts w:cs="Arial"/>
                <w:sz w:val="18"/>
                <w:szCs w:val="18"/>
              </w:rPr>
            </w:pPr>
            <w:r w:rsidRPr="00D61D87">
              <w:rPr>
                <w:rFonts w:cs="Arial"/>
                <w:sz w:val="18"/>
                <w:szCs w:val="18"/>
              </w:rPr>
              <w:t>Lettonie</w:t>
            </w:r>
          </w:p>
        </w:tc>
        <w:tc>
          <w:tcPr>
            <w:tcW w:w="1430" w:type="dxa"/>
            <w:shd w:val="clear" w:color="auto" w:fill="E6E6E6"/>
            <w:vAlign w:val="center"/>
          </w:tcPr>
          <w:p w14:paraId="4A88D9C9"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F17BFD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4D27BAC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0835412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7E106AD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39648E73" w14:textId="77777777" w:rsidTr="00DD4E5E">
        <w:tc>
          <w:tcPr>
            <w:tcW w:w="3010" w:type="dxa"/>
            <w:shd w:val="clear" w:color="auto" w:fill="auto"/>
            <w:vAlign w:val="center"/>
          </w:tcPr>
          <w:p w14:paraId="69B48A73" w14:textId="77777777" w:rsidR="00D21BE2" w:rsidRPr="00D61D87" w:rsidRDefault="00D21BE2" w:rsidP="00986700">
            <w:pPr>
              <w:rPr>
                <w:rFonts w:cs="Arial"/>
                <w:sz w:val="18"/>
                <w:szCs w:val="18"/>
              </w:rPr>
            </w:pPr>
            <w:r w:rsidRPr="00D61D87">
              <w:rPr>
                <w:rFonts w:cs="Arial"/>
                <w:sz w:val="18"/>
                <w:szCs w:val="18"/>
              </w:rPr>
              <w:t>Liban</w:t>
            </w:r>
          </w:p>
        </w:tc>
        <w:tc>
          <w:tcPr>
            <w:tcW w:w="1430" w:type="dxa"/>
            <w:shd w:val="clear" w:color="auto" w:fill="auto"/>
            <w:vAlign w:val="center"/>
          </w:tcPr>
          <w:p w14:paraId="4E303D16"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2BA450A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59B60FF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388EA07D"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52AFB2A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E0656C1" w14:textId="77777777" w:rsidTr="00DD4E5E">
        <w:tc>
          <w:tcPr>
            <w:tcW w:w="3010" w:type="dxa"/>
            <w:shd w:val="clear" w:color="auto" w:fill="E6E6E6"/>
            <w:vAlign w:val="center"/>
          </w:tcPr>
          <w:p w14:paraId="61B9A1F3" w14:textId="77777777" w:rsidR="00D21BE2" w:rsidRPr="00D61D87" w:rsidRDefault="00D21BE2" w:rsidP="00986700">
            <w:pPr>
              <w:rPr>
                <w:rFonts w:cs="Arial"/>
                <w:sz w:val="18"/>
                <w:szCs w:val="18"/>
              </w:rPr>
            </w:pPr>
            <w:r w:rsidRPr="00D61D87">
              <w:rPr>
                <w:rFonts w:cs="Arial"/>
                <w:sz w:val="18"/>
                <w:szCs w:val="18"/>
              </w:rPr>
              <w:t>Libéria</w:t>
            </w:r>
          </w:p>
        </w:tc>
        <w:tc>
          <w:tcPr>
            <w:tcW w:w="1430" w:type="dxa"/>
            <w:shd w:val="clear" w:color="auto" w:fill="E6E6E6"/>
            <w:vAlign w:val="center"/>
          </w:tcPr>
          <w:p w14:paraId="2986CEC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33B6960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7EA69B8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58A9761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7824275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BFB618E" w14:textId="77777777" w:rsidTr="00DD4E5E">
        <w:tc>
          <w:tcPr>
            <w:tcW w:w="3010" w:type="dxa"/>
            <w:shd w:val="clear" w:color="auto" w:fill="auto"/>
            <w:vAlign w:val="center"/>
          </w:tcPr>
          <w:p w14:paraId="743AE049" w14:textId="77777777" w:rsidR="00D21BE2" w:rsidRPr="00D61D87" w:rsidRDefault="00D21BE2" w:rsidP="00986700">
            <w:pPr>
              <w:rPr>
                <w:rFonts w:cs="Arial"/>
                <w:sz w:val="18"/>
                <w:szCs w:val="18"/>
              </w:rPr>
            </w:pPr>
            <w:r w:rsidRPr="00D61D87">
              <w:rPr>
                <w:rFonts w:cs="Arial"/>
                <w:sz w:val="18"/>
                <w:szCs w:val="18"/>
              </w:rPr>
              <w:t>Libye</w:t>
            </w:r>
          </w:p>
        </w:tc>
        <w:tc>
          <w:tcPr>
            <w:tcW w:w="1430" w:type="dxa"/>
            <w:shd w:val="clear" w:color="auto" w:fill="auto"/>
            <w:vAlign w:val="center"/>
          </w:tcPr>
          <w:p w14:paraId="11BB36E0"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5634E77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46A1CED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4889414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5499666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29055C88" w14:textId="77777777" w:rsidTr="00DD4E5E">
        <w:tc>
          <w:tcPr>
            <w:tcW w:w="3010" w:type="dxa"/>
            <w:shd w:val="clear" w:color="auto" w:fill="E6E6E6"/>
            <w:vAlign w:val="center"/>
          </w:tcPr>
          <w:p w14:paraId="15DA4507" w14:textId="77777777" w:rsidR="00D21BE2" w:rsidRPr="00D61D87" w:rsidRDefault="00D21BE2" w:rsidP="00986700">
            <w:pPr>
              <w:rPr>
                <w:rFonts w:cs="Arial"/>
                <w:sz w:val="18"/>
                <w:szCs w:val="18"/>
              </w:rPr>
            </w:pPr>
            <w:r w:rsidRPr="00D61D87">
              <w:rPr>
                <w:rFonts w:cs="Arial"/>
                <w:sz w:val="18"/>
                <w:szCs w:val="18"/>
              </w:rPr>
              <w:t>Liechtenstein</w:t>
            </w:r>
          </w:p>
        </w:tc>
        <w:tc>
          <w:tcPr>
            <w:tcW w:w="1430" w:type="dxa"/>
            <w:shd w:val="clear" w:color="auto" w:fill="E6E6E6"/>
            <w:vAlign w:val="center"/>
          </w:tcPr>
          <w:p w14:paraId="7196D91C"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E6E6E6"/>
            <w:vAlign w:val="center"/>
          </w:tcPr>
          <w:p w14:paraId="4313F08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6EFF06FD"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E6E6E6"/>
            <w:vAlign w:val="center"/>
          </w:tcPr>
          <w:p w14:paraId="48BC0E9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E6E6E6"/>
            <w:vAlign w:val="center"/>
          </w:tcPr>
          <w:p w14:paraId="7188D2A1"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2A3BE276" w14:textId="77777777" w:rsidTr="00DD4E5E">
        <w:tc>
          <w:tcPr>
            <w:tcW w:w="3010" w:type="dxa"/>
            <w:shd w:val="clear" w:color="auto" w:fill="auto"/>
            <w:vAlign w:val="center"/>
          </w:tcPr>
          <w:p w14:paraId="4DBB926A" w14:textId="77777777" w:rsidR="00D21BE2" w:rsidRPr="00D61D87" w:rsidRDefault="00D21BE2" w:rsidP="00986700">
            <w:pPr>
              <w:rPr>
                <w:rFonts w:cs="Arial"/>
                <w:sz w:val="18"/>
                <w:szCs w:val="18"/>
              </w:rPr>
            </w:pPr>
            <w:r w:rsidRPr="00D61D87">
              <w:rPr>
                <w:rFonts w:cs="Arial"/>
                <w:sz w:val="18"/>
                <w:szCs w:val="18"/>
              </w:rPr>
              <w:t>Lituanie</w:t>
            </w:r>
          </w:p>
        </w:tc>
        <w:tc>
          <w:tcPr>
            <w:tcW w:w="1430" w:type="dxa"/>
            <w:shd w:val="clear" w:color="auto" w:fill="auto"/>
            <w:vAlign w:val="center"/>
          </w:tcPr>
          <w:p w14:paraId="2FECD183"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2B2E62B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2D8E9F7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5388518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2FAD665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271E1137" w14:textId="77777777" w:rsidTr="00DD4E5E">
        <w:tc>
          <w:tcPr>
            <w:tcW w:w="3010" w:type="dxa"/>
            <w:shd w:val="clear" w:color="auto" w:fill="E6E6E6"/>
            <w:vAlign w:val="center"/>
          </w:tcPr>
          <w:p w14:paraId="566B8DF3" w14:textId="77777777" w:rsidR="00D21BE2" w:rsidRPr="00D61D87" w:rsidRDefault="00D21BE2" w:rsidP="00986700">
            <w:pPr>
              <w:rPr>
                <w:rFonts w:cs="Arial"/>
                <w:sz w:val="18"/>
                <w:szCs w:val="18"/>
              </w:rPr>
            </w:pPr>
            <w:r w:rsidRPr="00D61D87">
              <w:rPr>
                <w:rFonts w:cs="Arial"/>
                <w:sz w:val="18"/>
                <w:szCs w:val="18"/>
              </w:rPr>
              <w:t>Luxembourg</w:t>
            </w:r>
          </w:p>
        </w:tc>
        <w:tc>
          <w:tcPr>
            <w:tcW w:w="1430" w:type="dxa"/>
            <w:shd w:val="clear" w:color="auto" w:fill="E6E6E6"/>
            <w:vAlign w:val="center"/>
          </w:tcPr>
          <w:p w14:paraId="77318F3F"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E6E6E6"/>
            <w:vAlign w:val="center"/>
          </w:tcPr>
          <w:p w14:paraId="43515A4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E6E6E6"/>
            <w:vAlign w:val="center"/>
          </w:tcPr>
          <w:p w14:paraId="230108F9"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E6E6E6"/>
            <w:vAlign w:val="center"/>
          </w:tcPr>
          <w:p w14:paraId="79C1EE41"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E6E6E6"/>
            <w:vAlign w:val="center"/>
          </w:tcPr>
          <w:p w14:paraId="1FDE1D7D"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3616E009" w14:textId="77777777" w:rsidTr="00DD4E5E">
        <w:tc>
          <w:tcPr>
            <w:tcW w:w="3010" w:type="dxa"/>
            <w:shd w:val="clear" w:color="auto" w:fill="auto"/>
            <w:vAlign w:val="center"/>
          </w:tcPr>
          <w:p w14:paraId="4787256D" w14:textId="77777777" w:rsidR="00D21BE2" w:rsidRPr="00D61D87" w:rsidRDefault="00D21BE2" w:rsidP="00986700">
            <w:pPr>
              <w:rPr>
                <w:rFonts w:cs="Arial"/>
                <w:sz w:val="18"/>
                <w:szCs w:val="18"/>
              </w:rPr>
            </w:pPr>
            <w:r w:rsidRPr="00D61D87">
              <w:rPr>
                <w:rFonts w:cs="Arial"/>
                <w:b/>
                <w:bCs/>
                <w:sz w:val="18"/>
                <w:szCs w:val="18"/>
              </w:rPr>
              <w:t>M</w:t>
            </w:r>
            <w:r w:rsidRPr="00D61D87">
              <w:rPr>
                <w:rFonts w:cs="Arial"/>
                <w:bCs/>
                <w:sz w:val="18"/>
                <w:szCs w:val="18"/>
              </w:rPr>
              <w:t>adagascar</w:t>
            </w:r>
          </w:p>
        </w:tc>
        <w:tc>
          <w:tcPr>
            <w:tcW w:w="1430" w:type="dxa"/>
            <w:shd w:val="clear" w:color="auto" w:fill="auto"/>
            <w:vAlign w:val="center"/>
          </w:tcPr>
          <w:p w14:paraId="26B39426"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52474F9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14C45EB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4C737C8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057D61A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B9793D3" w14:textId="77777777" w:rsidTr="00DD4E5E">
        <w:tc>
          <w:tcPr>
            <w:tcW w:w="3010" w:type="dxa"/>
            <w:shd w:val="clear" w:color="auto" w:fill="E6E6E6"/>
            <w:vAlign w:val="center"/>
          </w:tcPr>
          <w:p w14:paraId="269D99DB" w14:textId="77777777" w:rsidR="00D21BE2" w:rsidRPr="00D61D87" w:rsidRDefault="00D21BE2" w:rsidP="00986700">
            <w:pPr>
              <w:rPr>
                <w:rFonts w:cs="Arial"/>
                <w:sz w:val="18"/>
                <w:szCs w:val="18"/>
              </w:rPr>
            </w:pPr>
            <w:r w:rsidRPr="00D61D87">
              <w:rPr>
                <w:rFonts w:cs="Arial"/>
                <w:sz w:val="18"/>
                <w:szCs w:val="18"/>
              </w:rPr>
              <w:t>Malaisie</w:t>
            </w:r>
          </w:p>
        </w:tc>
        <w:tc>
          <w:tcPr>
            <w:tcW w:w="1430" w:type="dxa"/>
            <w:shd w:val="clear" w:color="auto" w:fill="E6E6E6"/>
            <w:vAlign w:val="center"/>
          </w:tcPr>
          <w:p w14:paraId="07241F35"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E6E6E6"/>
            <w:vAlign w:val="center"/>
          </w:tcPr>
          <w:p w14:paraId="0FCDF40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6B172D65"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E6E6E6"/>
            <w:vAlign w:val="center"/>
          </w:tcPr>
          <w:p w14:paraId="733563C4"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E6E6E6"/>
            <w:vAlign w:val="center"/>
          </w:tcPr>
          <w:p w14:paraId="62413B94"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2DF41C28" w14:textId="77777777" w:rsidTr="00DD4E5E">
        <w:tc>
          <w:tcPr>
            <w:tcW w:w="3010" w:type="dxa"/>
            <w:shd w:val="clear" w:color="auto" w:fill="auto"/>
            <w:vAlign w:val="center"/>
          </w:tcPr>
          <w:p w14:paraId="010EF78C" w14:textId="77777777" w:rsidR="00D21BE2" w:rsidRPr="00D61D87" w:rsidRDefault="00D21BE2" w:rsidP="00986700">
            <w:pPr>
              <w:rPr>
                <w:rFonts w:cs="Arial"/>
                <w:sz w:val="18"/>
                <w:szCs w:val="18"/>
              </w:rPr>
            </w:pPr>
            <w:r w:rsidRPr="00D61D87">
              <w:rPr>
                <w:rFonts w:cs="Arial"/>
                <w:sz w:val="18"/>
                <w:szCs w:val="18"/>
              </w:rPr>
              <w:t>Malawi</w:t>
            </w:r>
          </w:p>
        </w:tc>
        <w:tc>
          <w:tcPr>
            <w:tcW w:w="1430" w:type="dxa"/>
            <w:shd w:val="clear" w:color="auto" w:fill="auto"/>
            <w:vAlign w:val="center"/>
          </w:tcPr>
          <w:p w14:paraId="363B6CE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0CED3B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399CA59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498A503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A3492E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F01BCAA" w14:textId="77777777" w:rsidTr="00DD4E5E">
        <w:tc>
          <w:tcPr>
            <w:tcW w:w="3010" w:type="dxa"/>
            <w:shd w:val="clear" w:color="auto" w:fill="E6E6E6"/>
            <w:vAlign w:val="center"/>
          </w:tcPr>
          <w:p w14:paraId="08E8F085" w14:textId="77777777" w:rsidR="00D21BE2" w:rsidRPr="00D61D87" w:rsidRDefault="00D21BE2" w:rsidP="00986700">
            <w:pPr>
              <w:rPr>
                <w:rFonts w:cs="Arial"/>
                <w:sz w:val="18"/>
                <w:szCs w:val="18"/>
              </w:rPr>
            </w:pPr>
            <w:r w:rsidRPr="00D61D87">
              <w:rPr>
                <w:rFonts w:cs="Arial"/>
                <w:sz w:val="18"/>
                <w:szCs w:val="18"/>
              </w:rPr>
              <w:t>Maldives</w:t>
            </w:r>
            <w:r w:rsidRPr="00D61D87">
              <w:rPr>
                <w:rFonts w:cs="Arial"/>
                <w:sz w:val="18"/>
                <w:szCs w:val="18"/>
                <w:vertAlign w:val="superscript"/>
              </w:rPr>
              <w:t>2</w:t>
            </w:r>
          </w:p>
        </w:tc>
        <w:tc>
          <w:tcPr>
            <w:tcW w:w="1430" w:type="dxa"/>
            <w:shd w:val="clear" w:color="auto" w:fill="E6E6E6"/>
            <w:vAlign w:val="center"/>
          </w:tcPr>
          <w:p w14:paraId="6B5FC47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5400817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327283B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6E34287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620182B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419E379" w14:textId="77777777" w:rsidTr="00DD4E5E">
        <w:tc>
          <w:tcPr>
            <w:tcW w:w="3010" w:type="dxa"/>
            <w:shd w:val="clear" w:color="auto" w:fill="auto"/>
            <w:vAlign w:val="center"/>
          </w:tcPr>
          <w:p w14:paraId="30AFB973" w14:textId="77777777" w:rsidR="00D21BE2" w:rsidRPr="00D61D87" w:rsidRDefault="00D21BE2" w:rsidP="00986700">
            <w:pPr>
              <w:rPr>
                <w:rFonts w:cs="Arial"/>
                <w:sz w:val="18"/>
                <w:szCs w:val="18"/>
              </w:rPr>
            </w:pPr>
            <w:r w:rsidRPr="00D61D87">
              <w:rPr>
                <w:rFonts w:cs="Arial"/>
                <w:sz w:val="18"/>
                <w:szCs w:val="18"/>
              </w:rPr>
              <w:t>Mali</w:t>
            </w:r>
          </w:p>
        </w:tc>
        <w:tc>
          <w:tcPr>
            <w:tcW w:w="1430" w:type="dxa"/>
            <w:shd w:val="clear" w:color="auto" w:fill="auto"/>
            <w:vAlign w:val="center"/>
          </w:tcPr>
          <w:p w14:paraId="606A35A3"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6598854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273DF78B"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0F4E67E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4DF53C5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2DCF53FD" w14:textId="77777777" w:rsidTr="00DD4E5E">
        <w:tc>
          <w:tcPr>
            <w:tcW w:w="3010" w:type="dxa"/>
            <w:shd w:val="clear" w:color="auto" w:fill="E6E6E6"/>
            <w:vAlign w:val="center"/>
          </w:tcPr>
          <w:p w14:paraId="0038866E" w14:textId="77777777" w:rsidR="00D21BE2" w:rsidRPr="00D61D87" w:rsidRDefault="00D21BE2" w:rsidP="00986700">
            <w:pPr>
              <w:rPr>
                <w:rFonts w:cs="Arial"/>
                <w:sz w:val="18"/>
                <w:szCs w:val="18"/>
              </w:rPr>
            </w:pPr>
            <w:r w:rsidRPr="00D61D87">
              <w:rPr>
                <w:rFonts w:cs="Arial"/>
                <w:sz w:val="18"/>
                <w:szCs w:val="18"/>
              </w:rPr>
              <w:t>Malte</w:t>
            </w:r>
          </w:p>
        </w:tc>
        <w:tc>
          <w:tcPr>
            <w:tcW w:w="1430" w:type="dxa"/>
            <w:shd w:val="clear" w:color="auto" w:fill="E6E6E6"/>
            <w:vAlign w:val="center"/>
          </w:tcPr>
          <w:p w14:paraId="1389EBE7"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2D2BAA6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7F34FD1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2EDDB52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0A7B0DDB"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018AFB5" w14:textId="77777777" w:rsidTr="00DD4E5E">
        <w:tc>
          <w:tcPr>
            <w:tcW w:w="3010" w:type="dxa"/>
            <w:shd w:val="clear" w:color="auto" w:fill="auto"/>
            <w:vAlign w:val="center"/>
          </w:tcPr>
          <w:p w14:paraId="05D5EB0E" w14:textId="77777777" w:rsidR="00D21BE2" w:rsidRPr="00D61D87" w:rsidRDefault="00D21BE2" w:rsidP="00986700">
            <w:pPr>
              <w:rPr>
                <w:rFonts w:cs="Arial"/>
                <w:sz w:val="18"/>
                <w:szCs w:val="18"/>
              </w:rPr>
            </w:pPr>
            <w:r w:rsidRPr="00D61D87">
              <w:rPr>
                <w:rFonts w:cs="Arial"/>
                <w:sz w:val="18"/>
                <w:szCs w:val="18"/>
              </w:rPr>
              <w:t>Maroc</w:t>
            </w:r>
          </w:p>
        </w:tc>
        <w:tc>
          <w:tcPr>
            <w:tcW w:w="1430" w:type="dxa"/>
            <w:shd w:val="clear" w:color="auto" w:fill="auto"/>
            <w:vAlign w:val="center"/>
          </w:tcPr>
          <w:p w14:paraId="7AA718E7"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7773452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1C32123D"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47F272D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3B2D9E2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282B7E9D" w14:textId="77777777" w:rsidTr="00DD4E5E">
        <w:tc>
          <w:tcPr>
            <w:tcW w:w="3010" w:type="dxa"/>
            <w:shd w:val="clear" w:color="auto" w:fill="E6E6E6"/>
            <w:vAlign w:val="center"/>
          </w:tcPr>
          <w:p w14:paraId="2E198A6C" w14:textId="77777777" w:rsidR="00D21BE2" w:rsidRPr="00D61D87" w:rsidRDefault="00D21BE2" w:rsidP="00986700">
            <w:pPr>
              <w:rPr>
                <w:rFonts w:cs="Arial"/>
                <w:sz w:val="18"/>
                <w:szCs w:val="18"/>
              </w:rPr>
            </w:pPr>
            <w:r w:rsidRPr="00D61D87">
              <w:rPr>
                <w:rFonts w:cs="Arial"/>
                <w:sz w:val="18"/>
                <w:szCs w:val="18"/>
              </w:rPr>
              <w:t>Maurice</w:t>
            </w:r>
          </w:p>
        </w:tc>
        <w:tc>
          <w:tcPr>
            <w:tcW w:w="1430" w:type="dxa"/>
            <w:shd w:val="clear" w:color="auto" w:fill="E6E6E6"/>
            <w:vAlign w:val="center"/>
          </w:tcPr>
          <w:p w14:paraId="24E018A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441E296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5426A4B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6988D91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41FD297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31C580C9" w14:textId="77777777" w:rsidTr="00DD4E5E">
        <w:tc>
          <w:tcPr>
            <w:tcW w:w="3010" w:type="dxa"/>
            <w:shd w:val="clear" w:color="auto" w:fill="auto"/>
            <w:vAlign w:val="center"/>
          </w:tcPr>
          <w:p w14:paraId="27A5071B" w14:textId="77777777" w:rsidR="00D21BE2" w:rsidRPr="00D61D87" w:rsidRDefault="00D21BE2" w:rsidP="00986700">
            <w:pPr>
              <w:rPr>
                <w:rFonts w:cs="Arial"/>
                <w:sz w:val="18"/>
                <w:szCs w:val="18"/>
              </w:rPr>
            </w:pPr>
            <w:r w:rsidRPr="00D61D87">
              <w:rPr>
                <w:rFonts w:cs="Arial"/>
                <w:sz w:val="18"/>
                <w:szCs w:val="18"/>
              </w:rPr>
              <w:t>Mauritanie</w:t>
            </w:r>
          </w:p>
        </w:tc>
        <w:tc>
          <w:tcPr>
            <w:tcW w:w="1430" w:type="dxa"/>
            <w:shd w:val="clear" w:color="auto" w:fill="auto"/>
            <w:vAlign w:val="center"/>
          </w:tcPr>
          <w:p w14:paraId="010E67E3"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0B4111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3701280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4268829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E67DE3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6971693" w14:textId="77777777" w:rsidTr="00DD4E5E">
        <w:tc>
          <w:tcPr>
            <w:tcW w:w="3010" w:type="dxa"/>
            <w:shd w:val="clear" w:color="auto" w:fill="E6E6E6"/>
            <w:vAlign w:val="center"/>
          </w:tcPr>
          <w:p w14:paraId="00EA6276" w14:textId="77777777" w:rsidR="00D21BE2" w:rsidRPr="00D61D87" w:rsidRDefault="00D21BE2" w:rsidP="00986700">
            <w:pPr>
              <w:rPr>
                <w:rFonts w:cs="Arial"/>
                <w:sz w:val="18"/>
                <w:szCs w:val="18"/>
              </w:rPr>
            </w:pPr>
            <w:r w:rsidRPr="00D61D87">
              <w:rPr>
                <w:rFonts w:cs="Arial"/>
                <w:sz w:val="18"/>
                <w:szCs w:val="18"/>
              </w:rPr>
              <w:t>Mexique</w:t>
            </w:r>
          </w:p>
        </w:tc>
        <w:tc>
          <w:tcPr>
            <w:tcW w:w="1430" w:type="dxa"/>
            <w:shd w:val="clear" w:color="auto" w:fill="E6E6E6"/>
            <w:vAlign w:val="center"/>
          </w:tcPr>
          <w:p w14:paraId="3ACFE843"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E6E6E6"/>
            <w:vAlign w:val="center"/>
          </w:tcPr>
          <w:p w14:paraId="550E304D"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1C5FD6BD"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E6E6E6"/>
            <w:vAlign w:val="center"/>
          </w:tcPr>
          <w:p w14:paraId="23BDBF31"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E6E6E6"/>
            <w:vAlign w:val="center"/>
          </w:tcPr>
          <w:p w14:paraId="415C8CEC"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62522A63" w14:textId="77777777" w:rsidTr="00DD4E5E">
        <w:tc>
          <w:tcPr>
            <w:tcW w:w="3010" w:type="dxa"/>
            <w:shd w:val="clear" w:color="auto" w:fill="auto"/>
            <w:vAlign w:val="center"/>
          </w:tcPr>
          <w:p w14:paraId="3D49BAE7" w14:textId="77777777" w:rsidR="00D21BE2" w:rsidRPr="00D61D87" w:rsidRDefault="00D21BE2" w:rsidP="00986700">
            <w:pPr>
              <w:rPr>
                <w:rFonts w:cs="Arial"/>
                <w:sz w:val="18"/>
                <w:szCs w:val="18"/>
              </w:rPr>
            </w:pPr>
            <w:r w:rsidRPr="00D61D87">
              <w:rPr>
                <w:rFonts w:cs="Arial"/>
                <w:sz w:val="18"/>
                <w:szCs w:val="18"/>
              </w:rPr>
              <w:t>Micronésie (</w:t>
            </w:r>
            <w:r>
              <w:rPr>
                <w:rFonts w:cs="Arial"/>
                <w:sz w:val="18"/>
                <w:szCs w:val="18"/>
              </w:rPr>
              <w:t>États fédérés de</w:t>
            </w:r>
            <w:r w:rsidRPr="00D61D87">
              <w:rPr>
                <w:rFonts w:cs="Arial"/>
                <w:sz w:val="18"/>
                <w:szCs w:val="18"/>
              </w:rPr>
              <w:t>)</w:t>
            </w:r>
          </w:p>
        </w:tc>
        <w:tc>
          <w:tcPr>
            <w:tcW w:w="1430" w:type="dxa"/>
            <w:shd w:val="clear" w:color="auto" w:fill="auto"/>
            <w:vAlign w:val="center"/>
          </w:tcPr>
          <w:p w14:paraId="5093FDE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5880FD9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678D157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2A7D7C5B"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2B1867C8"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1D8C2A6F" w14:textId="77777777" w:rsidTr="00DD4E5E">
        <w:tc>
          <w:tcPr>
            <w:tcW w:w="3010" w:type="dxa"/>
            <w:shd w:val="clear" w:color="auto" w:fill="E6E6E6"/>
            <w:vAlign w:val="center"/>
          </w:tcPr>
          <w:p w14:paraId="053103CA" w14:textId="77777777" w:rsidR="00D21BE2" w:rsidRPr="00D61D87" w:rsidRDefault="00D21BE2" w:rsidP="00986700">
            <w:pPr>
              <w:rPr>
                <w:rFonts w:cs="Arial"/>
                <w:sz w:val="18"/>
                <w:szCs w:val="18"/>
              </w:rPr>
            </w:pPr>
            <w:r w:rsidRPr="00D61D87">
              <w:rPr>
                <w:rFonts w:cs="Arial"/>
                <w:sz w:val="18"/>
                <w:szCs w:val="18"/>
              </w:rPr>
              <w:t>Monaco</w:t>
            </w:r>
          </w:p>
        </w:tc>
        <w:tc>
          <w:tcPr>
            <w:tcW w:w="1430" w:type="dxa"/>
            <w:shd w:val="clear" w:color="auto" w:fill="E6E6E6"/>
            <w:vAlign w:val="center"/>
          </w:tcPr>
          <w:p w14:paraId="446B1E78"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E6E6E6"/>
            <w:vAlign w:val="center"/>
          </w:tcPr>
          <w:p w14:paraId="5C7CC36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E6E6E6"/>
            <w:vAlign w:val="center"/>
          </w:tcPr>
          <w:p w14:paraId="3960154A"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E6E6E6"/>
            <w:vAlign w:val="center"/>
          </w:tcPr>
          <w:p w14:paraId="361D8270"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E6E6E6"/>
            <w:vAlign w:val="center"/>
          </w:tcPr>
          <w:p w14:paraId="2521D243"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56599F2C" w14:textId="77777777" w:rsidTr="00DD4E5E">
        <w:tc>
          <w:tcPr>
            <w:tcW w:w="3010" w:type="dxa"/>
            <w:shd w:val="clear" w:color="auto" w:fill="auto"/>
            <w:vAlign w:val="center"/>
          </w:tcPr>
          <w:p w14:paraId="2544B2DA" w14:textId="77777777" w:rsidR="00D21BE2" w:rsidRPr="00D61D87" w:rsidRDefault="00D21BE2" w:rsidP="00986700">
            <w:pPr>
              <w:rPr>
                <w:rFonts w:cs="Arial"/>
                <w:sz w:val="18"/>
                <w:szCs w:val="18"/>
              </w:rPr>
            </w:pPr>
            <w:r w:rsidRPr="00D61D87">
              <w:rPr>
                <w:rFonts w:cs="Arial"/>
                <w:sz w:val="18"/>
                <w:szCs w:val="18"/>
              </w:rPr>
              <w:t>Mongolie</w:t>
            </w:r>
          </w:p>
        </w:tc>
        <w:tc>
          <w:tcPr>
            <w:tcW w:w="1430" w:type="dxa"/>
            <w:shd w:val="clear" w:color="auto" w:fill="auto"/>
            <w:vAlign w:val="center"/>
          </w:tcPr>
          <w:p w14:paraId="578E167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0100685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07B073C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17576C4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FE16E85"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6A8C0B7" w14:textId="77777777" w:rsidTr="00DD4E5E">
        <w:tc>
          <w:tcPr>
            <w:tcW w:w="3010" w:type="dxa"/>
            <w:shd w:val="clear" w:color="auto" w:fill="E6E6E6"/>
            <w:vAlign w:val="center"/>
          </w:tcPr>
          <w:p w14:paraId="473C3BAE" w14:textId="77777777" w:rsidR="00D21BE2" w:rsidRPr="00D61D87" w:rsidRDefault="00D21BE2" w:rsidP="00986700">
            <w:pPr>
              <w:rPr>
                <w:rFonts w:cs="Arial"/>
                <w:sz w:val="18"/>
                <w:szCs w:val="18"/>
              </w:rPr>
            </w:pPr>
            <w:r w:rsidRPr="00D61D87">
              <w:rPr>
                <w:rFonts w:cs="Arial"/>
                <w:sz w:val="18"/>
                <w:szCs w:val="18"/>
              </w:rPr>
              <w:t>Monténégro</w:t>
            </w:r>
          </w:p>
        </w:tc>
        <w:tc>
          <w:tcPr>
            <w:tcW w:w="1430" w:type="dxa"/>
            <w:shd w:val="clear" w:color="auto" w:fill="E6E6E6"/>
            <w:vAlign w:val="center"/>
          </w:tcPr>
          <w:p w14:paraId="6CCA5887"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29B3167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5671FB4B"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6DC2563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3718FDC"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01B2048F" w14:textId="77777777" w:rsidTr="00DD4E5E">
        <w:tc>
          <w:tcPr>
            <w:tcW w:w="3010" w:type="dxa"/>
            <w:shd w:val="clear" w:color="auto" w:fill="auto"/>
            <w:vAlign w:val="center"/>
          </w:tcPr>
          <w:p w14:paraId="52F6057F" w14:textId="77777777" w:rsidR="00D21BE2" w:rsidRPr="00D61D87" w:rsidRDefault="00D21BE2" w:rsidP="00986700">
            <w:pPr>
              <w:rPr>
                <w:rFonts w:cs="Arial"/>
                <w:sz w:val="18"/>
                <w:szCs w:val="18"/>
              </w:rPr>
            </w:pPr>
            <w:r w:rsidRPr="00D61D87">
              <w:rPr>
                <w:rFonts w:cs="Arial"/>
                <w:sz w:val="18"/>
                <w:szCs w:val="18"/>
              </w:rPr>
              <w:lastRenderedPageBreak/>
              <w:t>Mozambique</w:t>
            </w:r>
          </w:p>
        </w:tc>
        <w:tc>
          <w:tcPr>
            <w:tcW w:w="1430" w:type="dxa"/>
            <w:shd w:val="clear" w:color="auto" w:fill="auto"/>
            <w:vAlign w:val="center"/>
          </w:tcPr>
          <w:p w14:paraId="433DAAE2"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FD1807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1339F8F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3211349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91B26F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D3658F6" w14:textId="77777777" w:rsidTr="00DD4E5E">
        <w:tc>
          <w:tcPr>
            <w:tcW w:w="3010" w:type="dxa"/>
            <w:shd w:val="clear" w:color="auto" w:fill="E6E6E6"/>
            <w:vAlign w:val="center"/>
          </w:tcPr>
          <w:p w14:paraId="256591FB" w14:textId="77777777" w:rsidR="00D21BE2" w:rsidRPr="00D61D87" w:rsidRDefault="00D21BE2" w:rsidP="00986700">
            <w:pPr>
              <w:rPr>
                <w:rFonts w:cs="Arial"/>
                <w:sz w:val="18"/>
                <w:szCs w:val="18"/>
              </w:rPr>
            </w:pPr>
            <w:r w:rsidRPr="00D61D87">
              <w:rPr>
                <w:rFonts w:cs="Arial"/>
                <w:sz w:val="18"/>
                <w:szCs w:val="18"/>
              </w:rPr>
              <w:t>Myanmar</w:t>
            </w:r>
            <w:r w:rsidRPr="00D61D87">
              <w:rPr>
                <w:rFonts w:cs="Arial"/>
                <w:sz w:val="18"/>
                <w:szCs w:val="18"/>
                <w:vertAlign w:val="superscript"/>
              </w:rPr>
              <w:t>2</w:t>
            </w:r>
          </w:p>
        </w:tc>
        <w:tc>
          <w:tcPr>
            <w:tcW w:w="1430" w:type="dxa"/>
            <w:shd w:val="clear" w:color="auto" w:fill="E6E6E6"/>
            <w:vAlign w:val="center"/>
          </w:tcPr>
          <w:p w14:paraId="449E0E39"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7E94687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1E795DB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310C713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45605F5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CFE2C99" w14:textId="77777777" w:rsidTr="00DD4E5E">
        <w:tc>
          <w:tcPr>
            <w:tcW w:w="3010" w:type="dxa"/>
            <w:shd w:val="clear" w:color="auto" w:fill="auto"/>
            <w:vAlign w:val="center"/>
          </w:tcPr>
          <w:p w14:paraId="48FF8C5D" w14:textId="77777777" w:rsidR="00D21BE2" w:rsidRPr="00D61D87" w:rsidRDefault="00D21BE2" w:rsidP="00986700">
            <w:pPr>
              <w:rPr>
                <w:rFonts w:cs="Arial"/>
                <w:sz w:val="18"/>
                <w:szCs w:val="18"/>
              </w:rPr>
            </w:pPr>
            <w:r w:rsidRPr="00D61D87">
              <w:rPr>
                <w:rFonts w:cs="Arial"/>
                <w:b/>
                <w:bCs/>
                <w:sz w:val="18"/>
                <w:szCs w:val="18"/>
              </w:rPr>
              <w:t>N</w:t>
            </w:r>
            <w:r w:rsidRPr="00D61D87">
              <w:rPr>
                <w:rFonts w:cs="Arial"/>
                <w:bCs/>
                <w:sz w:val="18"/>
                <w:szCs w:val="18"/>
              </w:rPr>
              <w:t>amibie</w:t>
            </w:r>
          </w:p>
        </w:tc>
        <w:tc>
          <w:tcPr>
            <w:tcW w:w="1430" w:type="dxa"/>
            <w:shd w:val="clear" w:color="auto" w:fill="auto"/>
            <w:vAlign w:val="center"/>
          </w:tcPr>
          <w:p w14:paraId="0EB8B21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5E93E75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6B1E615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0789796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40028D94"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27E1F4A7" w14:textId="77777777" w:rsidTr="00DD4E5E">
        <w:tc>
          <w:tcPr>
            <w:tcW w:w="3010" w:type="dxa"/>
            <w:shd w:val="clear" w:color="auto" w:fill="E6E6E6"/>
            <w:vAlign w:val="center"/>
          </w:tcPr>
          <w:p w14:paraId="7E01CE82" w14:textId="77777777" w:rsidR="00D21BE2" w:rsidRPr="00D61D87" w:rsidRDefault="00D21BE2" w:rsidP="00986700">
            <w:pPr>
              <w:rPr>
                <w:rFonts w:cs="Arial"/>
                <w:sz w:val="18"/>
                <w:szCs w:val="18"/>
              </w:rPr>
            </w:pPr>
            <w:r w:rsidRPr="00D61D87">
              <w:rPr>
                <w:rFonts w:cs="Arial"/>
                <w:sz w:val="18"/>
                <w:szCs w:val="18"/>
              </w:rPr>
              <w:t>Népal</w:t>
            </w:r>
          </w:p>
        </w:tc>
        <w:tc>
          <w:tcPr>
            <w:tcW w:w="1430" w:type="dxa"/>
            <w:shd w:val="clear" w:color="auto" w:fill="E6E6E6"/>
            <w:vAlign w:val="center"/>
          </w:tcPr>
          <w:p w14:paraId="265C44C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3CC6F07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704CAB8"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4DE1D07B"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B07DE2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B8D13B0" w14:textId="77777777" w:rsidTr="00DD4E5E">
        <w:tc>
          <w:tcPr>
            <w:tcW w:w="3010" w:type="dxa"/>
            <w:shd w:val="clear" w:color="auto" w:fill="auto"/>
            <w:vAlign w:val="center"/>
          </w:tcPr>
          <w:p w14:paraId="227381F6" w14:textId="77777777" w:rsidR="00D21BE2" w:rsidRPr="00D61D87" w:rsidRDefault="00D21BE2" w:rsidP="00986700">
            <w:pPr>
              <w:rPr>
                <w:rFonts w:cs="Arial"/>
                <w:sz w:val="18"/>
                <w:szCs w:val="18"/>
              </w:rPr>
            </w:pPr>
            <w:r w:rsidRPr="00D61D87">
              <w:rPr>
                <w:rFonts w:cs="Arial"/>
                <w:sz w:val="18"/>
                <w:szCs w:val="18"/>
              </w:rPr>
              <w:t>Nicaragua</w:t>
            </w:r>
          </w:p>
        </w:tc>
        <w:tc>
          <w:tcPr>
            <w:tcW w:w="1430" w:type="dxa"/>
            <w:shd w:val="clear" w:color="auto" w:fill="auto"/>
            <w:vAlign w:val="center"/>
          </w:tcPr>
          <w:p w14:paraId="444D854C"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6CFF80A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20F7BB3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5AD7304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C64368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646C27F6" w14:textId="77777777" w:rsidTr="00DD4E5E">
        <w:tc>
          <w:tcPr>
            <w:tcW w:w="3010" w:type="dxa"/>
            <w:shd w:val="clear" w:color="auto" w:fill="E6E6E6"/>
            <w:vAlign w:val="center"/>
          </w:tcPr>
          <w:p w14:paraId="6E3932AF" w14:textId="77777777" w:rsidR="00D21BE2" w:rsidRPr="00D61D87" w:rsidRDefault="00D21BE2" w:rsidP="00986700">
            <w:pPr>
              <w:rPr>
                <w:rFonts w:cs="Arial"/>
                <w:sz w:val="18"/>
                <w:szCs w:val="18"/>
              </w:rPr>
            </w:pPr>
            <w:r w:rsidRPr="00D61D87">
              <w:rPr>
                <w:rFonts w:cs="Arial"/>
                <w:sz w:val="18"/>
                <w:szCs w:val="18"/>
              </w:rPr>
              <w:t>Niger</w:t>
            </w:r>
          </w:p>
        </w:tc>
        <w:tc>
          <w:tcPr>
            <w:tcW w:w="1430" w:type="dxa"/>
            <w:shd w:val="clear" w:color="auto" w:fill="E6E6E6"/>
            <w:vAlign w:val="center"/>
          </w:tcPr>
          <w:p w14:paraId="235A450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5918101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0B2D17D2"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5BF79D3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4558381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03458AE6" w14:textId="77777777" w:rsidTr="00DD4E5E">
        <w:tc>
          <w:tcPr>
            <w:tcW w:w="3010" w:type="dxa"/>
            <w:shd w:val="clear" w:color="auto" w:fill="auto"/>
            <w:vAlign w:val="center"/>
          </w:tcPr>
          <w:p w14:paraId="2445FA43" w14:textId="77777777" w:rsidR="00D21BE2" w:rsidRPr="00D61D87" w:rsidRDefault="00D21BE2" w:rsidP="00986700">
            <w:pPr>
              <w:rPr>
                <w:rFonts w:cs="Arial"/>
                <w:sz w:val="18"/>
                <w:szCs w:val="18"/>
              </w:rPr>
            </w:pPr>
            <w:r w:rsidRPr="00D61D87">
              <w:rPr>
                <w:rFonts w:cs="Arial"/>
                <w:sz w:val="18"/>
                <w:szCs w:val="18"/>
              </w:rPr>
              <w:t>Nigéria</w:t>
            </w:r>
          </w:p>
        </w:tc>
        <w:tc>
          <w:tcPr>
            <w:tcW w:w="1430" w:type="dxa"/>
            <w:shd w:val="clear" w:color="auto" w:fill="auto"/>
            <w:vAlign w:val="center"/>
          </w:tcPr>
          <w:p w14:paraId="2B9E936A"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7D8A106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34A39FB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04335C7E"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417010E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C864FA6" w14:textId="77777777" w:rsidTr="00DD4E5E">
        <w:tc>
          <w:tcPr>
            <w:tcW w:w="3010" w:type="dxa"/>
            <w:shd w:val="clear" w:color="auto" w:fill="E6E6E6"/>
            <w:vAlign w:val="center"/>
          </w:tcPr>
          <w:p w14:paraId="1DEE3B46" w14:textId="77777777" w:rsidR="00D21BE2" w:rsidRPr="00D61D87" w:rsidRDefault="00D21BE2" w:rsidP="00986700">
            <w:pPr>
              <w:rPr>
                <w:rFonts w:cs="Arial"/>
                <w:sz w:val="18"/>
                <w:szCs w:val="18"/>
              </w:rPr>
            </w:pPr>
            <w:r w:rsidRPr="00D61D87">
              <w:rPr>
                <w:rFonts w:cs="Arial"/>
                <w:sz w:val="18"/>
                <w:szCs w:val="18"/>
              </w:rPr>
              <w:t>Nioué</w:t>
            </w:r>
          </w:p>
        </w:tc>
        <w:tc>
          <w:tcPr>
            <w:tcW w:w="1430" w:type="dxa"/>
            <w:shd w:val="clear" w:color="auto" w:fill="E6E6E6"/>
            <w:vAlign w:val="center"/>
          </w:tcPr>
          <w:p w14:paraId="5764BC3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4E95FF1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6B6734F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71690435"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4D362E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7708F20" w14:textId="77777777" w:rsidTr="00DD4E5E">
        <w:tc>
          <w:tcPr>
            <w:tcW w:w="3010" w:type="dxa"/>
            <w:shd w:val="clear" w:color="auto" w:fill="auto"/>
            <w:vAlign w:val="center"/>
          </w:tcPr>
          <w:p w14:paraId="67AA6653" w14:textId="77777777" w:rsidR="00D21BE2" w:rsidRPr="00D61D87" w:rsidRDefault="00D21BE2" w:rsidP="00986700">
            <w:pPr>
              <w:rPr>
                <w:rFonts w:cs="Arial"/>
                <w:sz w:val="18"/>
                <w:szCs w:val="18"/>
              </w:rPr>
            </w:pPr>
            <w:r w:rsidRPr="00D61D87">
              <w:rPr>
                <w:rFonts w:cs="Arial"/>
                <w:sz w:val="18"/>
                <w:szCs w:val="18"/>
              </w:rPr>
              <w:t>Norvège</w:t>
            </w:r>
          </w:p>
        </w:tc>
        <w:tc>
          <w:tcPr>
            <w:tcW w:w="1430" w:type="dxa"/>
            <w:shd w:val="clear" w:color="auto" w:fill="auto"/>
            <w:vAlign w:val="center"/>
          </w:tcPr>
          <w:p w14:paraId="0F2461E3" w14:textId="77777777" w:rsidR="00D21BE2" w:rsidRPr="00487813" w:rsidRDefault="00D21BE2" w:rsidP="00986700">
            <w:pPr>
              <w:rPr>
                <w:rFonts w:cs="Arial"/>
                <w:color w:val="000000"/>
                <w:sz w:val="18"/>
                <w:szCs w:val="18"/>
              </w:rPr>
            </w:pPr>
            <w:r w:rsidRPr="00487813">
              <w:rPr>
                <w:rFonts w:cs="Arial"/>
                <w:color w:val="000000"/>
                <w:sz w:val="18"/>
                <w:szCs w:val="18"/>
              </w:rPr>
              <w:t>IV</w:t>
            </w:r>
          </w:p>
        </w:tc>
        <w:tc>
          <w:tcPr>
            <w:tcW w:w="1210" w:type="dxa"/>
            <w:shd w:val="clear" w:color="auto" w:fill="auto"/>
            <w:vAlign w:val="center"/>
          </w:tcPr>
          <w:p w14:paraId="01CBEBE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p>
        </w:tc>
        <w:tc>
          <w:tcPr>
            <w:tcW w:w="1320" w:type="dxa"/>
            <w:shd w:val="clear" w:color="auto" w:fill="auto"/>
            <w:vAlign w:val="center"/>
          </w:tcPr>
          <w:p w14:paraId="0724C2E0"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430" w:type="dxa"/>
            <w:shd w:val="clear" w:color="auto" w:fill="auto"/>
            <w:vAlign w:val="center"/>
          </w:tcPr>
          <w:p w14:paraId="2854BE55" w14:textId="77777777" w:rsidR="00D21BE2" w:rsidRPr="00487813" w:rsidRDefault="00D21BE2" w:rsidP="00986700">
            <w:pPr>
              <w:jc w:val="right"/>
              <w:rPr>
                <w:rFonts w:cs="Arial"/>
                <w:color w:val="000000"/>
                <w:sz w:val="18"/>
                <w:szCs w:val="18"/>
              </w:rPr>
            </w:pPr>
            <w:r w:rsidRPr="00487813">
              <w:rPr>
                <w:rFonts w:cs="Arial"/>
                <w:color w:val="000000"/>
                <w:sz w:val="18"/>
                <w:szCs w:val="18"/>
              </w:rPr>
              <w:t>410</w:t>
            </w:r>
            <w:r>
              <w:rPr>
                <w:rFonts w:cs="Arial"/>
                <w:color w:val="000000"/>
                <w:sz w:val="18"/>
                <w:szCs w:val="18"/>
              </w:rPr>
              <w:t> </w:t>
            </w:r>
            <w:r w:rsidRPr="00487813">
              <w:rPr>
                <w:rFonts w:cs="Arial"/>
                <w:color w:val="000000"/>
                <w:sz w:val="18"/>
                <w:szCs w:val="18"/>
              </w:rPr>
              <w:t>210</w:t>
            </w:r>
          </w:p>
        </w:tc>
        <w:tc>
          <w:tcPr>
            <w:tcW w:w="1320" w:type="dxa"/>
            <w:shd w:val="clear" w:color="auto" w:fill="auto"/>
            <w:vAlign w:val="center"/>
          </w:tcPr>
          <w:p w14:paraId="56167AC4" w14:textId="77777777" w:rsidR="00D21BE2" w:rsidRPr="00487813" w:rsidRDefault="00D21BE2" w:rsidP="00986700">
            <w:pPr>
              <w:jc w:val="right"/>
              <w:rPr>
                <w:rFonts w:cs="Arial"/>
                <w:color w:val="000000"/>
                <w:sz w:val="18"/>
                <w:szCs w:val="18"/>
              </w:rPr>
            </w:pPr>
            <w:r w:rsidRPr="00487813">
              <w:rPr>
                <w:rFonts w:cs="Arial"/>
                <w:color w:val="000000"/>
                <w:sz w:val="18"/>
                <w:szCs w:val="18"/>
              </w:rPr>
              <w:t>820</w:t>
            </w:r>
            <w:r>
              <w:rPr>
                <w:rFonts w:cs="Arial"/>
                <w:color w:val="000000"/>
                <w:sz w:val="18"/>
                <w:szCs w:val="18"/>
              </w:rPr>
              <w:t> </w:t>
            </w:r>
            <w:r w:rsidRPr="00487813">
              <w:rPr>
                <w:rFonts w:cs="Arial"/>
                <w:color w:val="000000"/>
                <w:sz w:val="18"/>
                <w:szCs w:val="18"/>
              </w:rPr>
              <w:t>420</w:t>
            </w:r>
          </w:p>
        </w:tc>
      </w:tr>
      <w:tr w:rsidR="00D21BE2" w:rsidRPr="00487813" w14:paraId="61F4AAB1" w14:textId="77777777" w:rsidTr="00DD4E5E">
        <w:tc>
          <w:tcPr>
            <w:tcW w:w="3010" w:type="dxa"/>
            <w:shd w:val="clear" w:color="auto" w:fill="E6E6E6"/>
            <w:vAlign w:val="center"/>
          </w:tcPr>
          <w:p w14:paraId="742F9FA7" w14:textId="77777777" w:rsidR="00D21BE2" w:rsidRPr="00D61D87" w:rsidRDefault="00D21BE2" w:rsidP="00986700">
            <w:pPr>
              <w:rPr>
                <w:rFonts w:cs="Arial"/>
                <w:sz w:val="18"/>
                <w:szCs w:val="18"/>
              </w:rPr>
            </w:pPr>
            <w:r w:rsidRPr="00D61D87">
              <w:rPr>
                <w:rFonts w:cs="Arial"/>
                <w:sz w:val="18"/>
                <w:szCs w:val="18"/>
              </w:rPr>
              <w:t>Nouvelle-Zélande</w:t>
            </w:r>
          </w:p>
        </w:tc>
        <w:tc>
          <w:tcPr>
            <w:tcW w:w="1430" w:type="dxa"/>
            <w:shd w:val="clear" w:color="auto" w:fill="E6E6E6"/>
            <w:vAlign w:val="center"/>
          </w:tcPr>
          <w:p w14:paraId="620CD27C"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E6E6E6"/>
            <w:vAlign w:val="center"/>
          </w:tcPr>
          <w:p w14:paraId="20F3D2D0"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E6E6E6"/>
            <w:vAlign w:val="center"/>
          </w:tcPr>
          <w:p w14:paraId="44EB4164"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E6E6E6"/>
            <w:vAlign w:val="center"/>
          </w:tcPr>
          <w:p w14:paraId="10386C47"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E6E6E6"/>
            <w:vAlign w:val="center"/>
          </w:tcPr>
          <w:p w14:paraId="5F9E9630"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15B2AB0F" w14:textId="77777777" w:rsidTr="00DD4E5E">
        <w:tc>
          <w:tcPr>
            <w:tcW w:w="3010" w:type="dxa"/>
            <w:shd w:val="clear" w:color="auto" w:fill="auto"/>
            <w:vAlign w:val="center"/>
          </w:tcPr>
          <w:p w14:paraId="024540CA" w14:textId="77777777" w:rsidR="00D21BE2" w:rsidRPr="00D61D87" w:rsidRDefault="00D21BE2" w:rsidP="00986700">
            <w:pPr>
              <w:rPr>
                <w:rFonts w:cs="Arial"/>
                <w:sz w:val="18"/>
                <w:szCs w:val="18"/>
              </w:rPr>
            </w:pPr>
            <w:r w:rsidRPr="00D61D87">
              <w:rPr>
                <w:rFonts w:cs="Arial"/>
                <w:b/>
                <w:bCs/>
                <w:sz w:val="18"/>
                <w:szCs w:val="18"/>
              </w:rPr>
              <w:t>O</w:t>
            </w:r>
            <w:r w:rsidRPr="00D61D87">
              <w:rPr>
                <w:rFonts w:cs="Arial"/>
                <w:bCs/>
                <w:sz w:val="18"/>
                <w:szCs w:val="18"/>
              </w:rPr>
              <w:t>man</w:t>
            </w:r>
          </w:p>
        </w:tc>
        <w:tc>
          <w:tcPr>
            <w:tcW w:w="1430" w:type="dxa"/>
            <w:shd w:val="clear" w:color="auto" w:fill="auto"/>
            <w:vAlign w:val="center"/>
          </w:tcPr>
          <w:p w14:paraId="35D33BDB"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03AC1C6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7CCB403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1C6C384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7EB8E192"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568FA97" w14:textId="77777777" w:rsidTr="00DD4E5E">
        <w:tc>
          <w:tcPr>
            <w:tcW w:w="3010" w:type="dxa"/>
            <w:shd w:val="clear" w:color="auto" w:fill="E6E6E6"/>
            <w:vAlign w:val="center"/>
          </w:tcPr>
          <w:p w14:paraId="02590C16" w14:textId="77777777" w:rsidR="00D21BE2" w:rsidRPr="00D61D87" w:rsidRDefault="00D21BE2" w:rsidP="00986700">
            <w:pPr>
              <w:rPr>
                <w:rFonts w:cs="Arial"/>
                <w:sz w:val="18"/>
                <w:szCs w:val="18"/>
              </w:rPr>
            </w:pPr>
            <w:r w:rsidRPr="00D61D87">
              <w:rPr>
                <w:rFonts w:cs="Arial"/>
                <w:bCs/>
                <w:sz w:val="18"/>
                <w:szCs w:val="18"/>
              </w:rPr>
              <w:t>Ouganda</w:t>
            </w:r>
          </w:p>
        </w:tc>
        <w:tc>
          <w:tcPr>
            <w:tcW w:w="1430" w:type="dxa"/>
            <w:shd w:val="clear" w:color="auto" w:fill="E6E6E6"/>
            <w:vAlign w:val="center"/>
          </w:tcPr>
          <w:p w14:paraId="2D314CDC"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575E557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5902646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4BD325B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7E5A332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927D721" w14:textId="77777777" w:rsidTr="00DD4E5E">
        <w:tc>
          <w:tcPr>
            <w:tcW w:w="3010" w:type="dxa"/>
            <w:shd w:val="clear" w:color="auto" w:fill="auto"/>
            <w:vAlign w:val="center"/>
          </w:tcPr>
          <w:p w14:paraId="07625F21" w14:textId="77777777" w:rsidR="00D21BE2" w:rsidRPr="00D61D87" w:rsidRDefault="00D21BE2" w:rsidP="00986700">
            <w:pPr>
              <w:rPr>
                <w:rFonts w:cs="Arial"/>
                <w:sz w:val="18"/>
                <w:szCs w:val="18"/>
              </w:rPr>
            </w:pPr>
            <w:r w:rsidRPr="00D61D87">
              <w:rPr>
                <w:rFonts w:cs="Arial"/>
                <w:sz w:val="18"/>
                <w:szCs w:val="18"/>
              </w:rPr>
              <w:t>Ouzbékistan</w:t>
            </w:r>
          </w:p>
        </w:tc>
        <w:tc>
          <w:tcPr>
            <w:tcW w:w="1430" w:type="dxa"/>
            <w:shd w:val="clear" w:color="auto" w:fill="auto"/>
            <w:vAlign w:val="center"/>
          </w:tcPr>
          <w:p w14:paraId="63E83A85"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5F19EFB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010EDCF6"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323F7ECB"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48EFF8C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2671C573" w14:textId="77777777" w:rsidTr="00DD4E5E">
        <w:tc>
          <w:tcPr>
            <w:tcW w:w="3010" w:type="dxa"/>
            <w:shd w:val="clear" w:color="auto" w:fill="E6E6E6"/>
            <w:vAlign w:val="center"/>
          </w:tcPr>
          <w:p w14:paraId="4874CD47" w14:textId="77777777" w:rsidR="00D21BE2" w:rsidRPr="00D61D87" w:rsidRDefault="00D21BE2" w:rsidP="00986700">
            <w:pPr>
              <w:rPr>
                <w:rFonts w:cs="Arial"/>
                <w:sz w:val="18"/>
                <w:szCs w:val="18"/>
              </w:rPr>
            </w:pPr>
            <w:r w:rsidRPr="00D61D87">
              <w:rPr>
                <w:rFonts w:cs="Arial"/>
                <w:b/>
                <w:bCs/>
                <w:sz w:val="18"/>
                <w:szCs w:val="18"/>
              </w:rPr>
              <w:t>P</w:t>
            </w:r>
            <w:r w:rsidRPr="00D61D87">
              <w:rPr>
                <w:rFonts w:cs="Arial"/>
                <w:bCs/>
                <w:sz w:val="18"/>
                <w:szCs w:val="18"/>
              </w:rPr>
              <w:t>akistan</w:t>
            </w:r>
          </w:p>
        </w:tc>
        <w:tc>
          <w:tcPr>
            <w:tcW w:w="1430" w:type="dxa"/>
            <w:shd w:val="clear" w:color="auto" w:fill="E6E6E6"/>
            <w:vAlign w:val="center"/>
          </w:tcPr>
          <w:p w14:paraId="43F3F0CA"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0069409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60E08899"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20E52CF4"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12FA469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F2999E8" w14:textId="77777777" w:rsidTr="00DD4E5E">
        <w:tc>
          <w:tcPr>
            <w:tcW w:w="3010" w:type="dxa"/>
            <w:shd w:val="clear" w:color="auto" w:fill="auto"/>
            <w:vAlign w:val="center"/>
          </w:tcPr>
          <w:p w14:paraId="75B09D06" w14:textId="77777777" w:rsidR="00D21BE2" w:rsidRPr="00D61D87" w:rsidRDefault="00D21BE2" w:rsidP="00986700">
            <w:pPr>
              <w:rPr>
                <w:rFonts w:cs="Arial"/>
                <w:sz w:val="18"/>
                <w:szCs w:val="18"/>
              </w:rPr>
            </w:pPr>
            <w:r w:rsidRPr="00D61D87">
              <w:rPr>
                <w:rFonts w:cs="Arial"/>
                <w:sz w:val="18"/>
                <w:szCs w:val="18"/>
              </w:rPr>
              <w:t>Panama</w:t>
            </w:r>
          </w:p>
        </w:tc>
        <w:tc>
          <w:tcPr>
            <w:tcW w:w="1430" w:type="dxa"/>
            <w:shd w:val="clear" w:color="auto" w:fill="auto"/>
            <w:vAlign w:val="center"/>
          </w:tcPr>
          <w:p w14:paraId="1384DDA1"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6B3712E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3ADDD2BC"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6AEA3875"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3684C94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58CD79D" w14:textId="77777777" w:rsidTr="00DD4E5E">
        <w:tc>
          <w:tcPr>
            <w:tcW w:w="3010" w:type="dxa"/>
            <w:shd w:val="clear" w:color="auto" w:fill="E6E6E6"/>
            <w:vAlign w:val="center"/>
          </w:tcPr>
          <w:p w14:paraId="1A022436" w14:textId="77777777" w:rsidR="00D21BE2" w:rsidRPr="00D61D87" w:rsidRDefault="00D21BE2" w:rsidP="00986700">
            <w:pPr>
              <w:rPr>
                <w:rFonts w:cs="Arial"/>
                <w:sz w:val="18"/>
                <w:szCs w:val="18"/>
              </w:rPr>
            </w:pPr>
            <w:r w:rsidRPr="00D61D87">
              <w:rPr>
                <w:rFonts w:cs="Arial"/>
                <w:sz w:val="18"/>
                <w:szCs w:val="18"/>
              </w:rPr>
              <w:t>Papouasie-Nouvelle-Guinée</w:t>
            </w:r>
          </w:p>
        </w:tc>
        <w:tc>
          <w:tcPr>
            <w:tcW w:w="1430" w:type="dxa"/>
            <w:shd w:val="clear" w:color="auto" w:fill="E6E6E6"/>
            <w:vAlign w:val="center"/>
          </w:tcPr>
          <w:p w14:paraId="5F33F7A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67B142F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16631AD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30A199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65840A5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07AB3029" w14:textId="77777777" w:rsidTr="00DD4E5E">
        <w:tc>
          <w:tcPr>
            <w:tcW w:w="3010" w:type="dxa"/>
            <w:shd w:val="clear" w:color="auto" w:fill="auto"/>
            <w:vAlign w:val="center"/>
          </w:tcPr>
          <w:p w14:paraId="5738641F" w14:textId="77777777" w:rsidR="00D21BE2" w:rsidRPr="00D61D87" w:rsidRDefault="00D21BE2" w:rsidP="00986700">
            <w:pPr>
              <w:rPr>
                <w:rFonts w:cs="Arial"/>
                <w:sz w:val="18"/>
                <w:szCs w:val="18"/>
              </w:rPr>
            </w:pPr>
            <w:r w:rsidRPr="00D61D87">
              <w:rPr>
                <w:rFonts w:cs="Arial"/>
                <w:sz w:val="18"/>
                <w:szCs w:val="18"/>
              </w:rPr>
              <w:t>Paraguay</w:t>
            </w:r>
          </w:p>
        </w:tc>
        <w:tc>
          <w:tcPr>
            <w:tcW w:w="1430" w:type="dxa"/>
            <w:shd w:val="clear" w:color="auto" w:fill="auto"/>
            <w:vAlign w:val="center"/>
          </w:tcPr>
          <w:p w14:paraId="2965DB0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391106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2F2F56B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461DE09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33E4A0B"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30B08918" w14:textId="77777777" w:rsidTr="00DD4E5E">
        <w:tc>
          <w:tcPr>
            <w:tcW w:w="3010" w:type="dxa"/>
            <w:shd w:val="clear" w:color="auto" w:fill="E6E6E6"/>
            <w:vAlign w:val="center"/>
          </w:tcPr>
          <w:p w14:paraId="4D635629" w14:textId="77777777" w:rsidR="00D21BE2" w:rsidRPr="00D61D87" w:rsidRDefault="00D21BE2" w:rsidP="00986700">
            <w:pPr>
              <w:rPr>
                <w:rFonts w:cs="Arial"/>
                <w:sz w:val="18"/>
                <w:szCs w:val="18"/>
              </w:rPr>
            </w:pPr>
            <w:r w:rsidRPr="00D61D87">
              <w:rPr>
                <w:rFonts w:cs="Arial"/>
                <w:sz w:val="18"/>
                <w:szCs w:val="18"/>
              </w:rPr>
              <w:t>Pays-Bas</w:t>
            </w:r>
          </w:p>
        </w:tc>
        <w:tc>
          <w:tcPr>
            <w:tcW w:w="1430" w:type="dxa"/>
            <w:shd w:val="clear" w:color="auto" w:fill="E6E6E6"/>
            <w:vAlign w:val="center"/>
          </w:tcPr>
          <w:p w14:paraId="76ED3561" w14:textId="77777777" w:rsidR="00D21BE2" w:rsidRPr="00487813" w:rsidRDefault="00D21BE2" w:rsidP="00986700">
            <w:pPr>
              <w:rPr>
                <w:rFonts w:cs="Arial"/>
                <w:color w:val="000000"/>
                <w:sz w:val="18"/>
                <w:szCs w:val="18"/>
              </w:rPr>
            </w:pPr>
            <w:r w:rsidRPr="00487813">
              <w:rPr>
                <w:rFonts w:cs="Arial"/>
                <w:color w:val="000000"/>
                <w:sz w:val="18"/>
                <w:szCs w:val="18"/>
              </w:rPr>
              <w:t>III</w:t>
            </w:r>
          </w:p>
        </w:tc>
        <w:tc>
          <w:tcPr>
            <w:tcW w:w="1210" w:type="dxa"/>
            <w:shd w:val="clear" w:color="auto" w:fill="E6E6E6"/>
            <w:vAlign w:val="center"/>
          </w:tcPr>
          <w:p w14:paraId="0525BAA2" w14:textId="77777777" w:rsidR="00D21BE2" w:rsidRPr="00487813" w:rsidRDefault="00D21BE2" w:rsidP="00986700">
            <w:pPr>
              <w:jc w:val="right"/>
              <w:rPr>
                <w:rFonts w:cs="Arial"/>
                <w:color w:val="000000"/>
                <w:sz w:val="18"/>
                <w:szCs w:val="18"/>
              </w:rPr>
            </w:pPr>
            <w:r w:rsidRPr="00487813">
              <w:rPr>
                <w:rFonts w:cs="Arial"/>
                <w:color w:val="000000"/>
                <w:sz w:val="18"/>
                <w:szCs w:val="18"/>
              </w:rPr>
              <w:t>15</w:t>
            </w:r>
          </w:p>
        </w:tc>
        <w:tc>
          <w:tcPr>
            <w:tcW w:w="1320" w:type="dxa"/>
            <w:shd w:val="clear" w:color="auto" w:fill="E6E6E6"/>
            <w:vAlign w:val="center"/>
          </w:tcPr>
          <w:p w14:paraId="13759E03"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430" w:type="dxa"/>
            <w:shd w:val="clear" w:color="auto" w:fill="E6E6E6"/>
            <w:vAlign w:val="center"/>
          </w:tcPr>
          <w:p w14:paraId="223BA5AB"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320" w:type="dxa"/>
            <w:shd w:val="clear" w:color="auto" w:fill="E6E6E6"/>
            <w:vAlign w:val="center"/>
          </w:tcPr>
          <w:p w14:paraId="654F5D0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230</w:t>
            </w:r>
            <w:r>
              <w:rPr>
                <w:rFonts w:cs="Arial"/>
                <w:color w:val="000000"/>
                <w:sz w:val="18"/>
                <w:szCs w:val="18"/>
              </w:rPr>
              <w:t> </w:t>
            </w:r>
            <w:r w:rsidRPr="00487813">
              <w:rPr>
                <w:rFonts w:cs="Arial"/>
                <w:color w:val="000000"/>
                <w:sz w:val="18"/>
                <w:szCs w:val="18"/>
              </w:rPr>
              <w:t>630</w:t>
            </w:r>
          </w:p>
        </w:tc>
      </w:tr>
      <w:tr w:rsidR="00D21BE2" w:rsidRPr="00487813" w14:paraId="6D43A2BD" w14:textId="77777777" w:rsidTr="00DD4E5E">
        <w:tc>
          <w:tcPr>
            <w:tcW w:w="3010" w:type="dxa"/>
            <w:shd w:val="clear" w:color="auto" w:fill="auto"/>
            <w:vAlign w:val="center"/>
          </w:tcPr>
          <w:p w14:paraId="7F88365B" w14:textId="77777777" w:rsidR="00D21BE2" w:rsidRPr="00D61D87" w:rsidRDefault="00D21BE2" w:rsidP="00986700">
            <w:pPr>
              <w:rPr>
                <w:rFonts w:cs="Arial"/>
                <w:sz w:val="18"/>
                <w:szCs w:val="18"/>
              </w:rPr>
            </w:pPr>
            <w:r w:rsidRPr="00D61D87">
              <w:rPr>
                <w:rFonts w:cs="Arial"/>
                <w:sz w:val="18"/>
                <w:szCs w:val="18"/>
              </w:rPr>
              <w:t>Pérou</w:t>
            </w:r>
          </w:p>
        </w:tc>
        <w:tc>
          <w:tcPr>
            <w:tcW w:w="1430" w:type="dxa"/>
            <w:shd w:val="clear" w:color="auto" w:fill="auto"/>
            <w:vAlign w:val="center"/>
          </w:tcPr>
          <w:p w14:paraId="279A3CB1"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631720E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0956062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4436BD8A"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031239E4"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2F0FDE3A" w14:textId="77777777" w:rsidTr="00DD4E5E">
        <w:tc>
          <w:tcPr>
            <w:tcW w:w="3010" w:type="dxa"/>
            <w:shd w:val="clear" w:color="auto" w:fill="E6E6E6"/>
            <w:vAlign w:val="center"/>
          </w:tcPr>
          <w:p w14:paraId="56C70E5E" w14:textId="77777777" w:rsidR="00D21BE2" w:rsidRPr="00D61D87" w:rsidRDefault="00D21BE2" w:rsidP="00986700">
            <w:pPr>
              <w:rPr>
                <w:rFonts w:cs="Arial"/>
                <w:sz w:val="18"/>
                <w:szCs w:val="18"/>
              </w:rPr>
            </w:pPr>
            <w:r w:rsidRPr="00D61D87">
              <w:rPr>
                <w:rFonts w:cs="Arial"/>
                <w:sz w:val="18"/>
                <w:szCs w:val="18"/>
              </w:rPr>
              <w:t>Philippines</w:t>
            </w:r>
          </w:p>
        </w:tc>
        <w:tc>
          <w:tcPr>
            <w:tcW w:w="1430" w:type="dxa"/>
            <w:shd w:val="clear" w:color="auto" w:fill="E6E6E6"/>
            <w:vAlign w:val="center"/>
          </w:tcPr>
          <w:p w14:paraId="2D7F1786"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FB62E5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0B1BD3F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459E511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6598B976"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181F2AC6" w14:textId="77777777" w:rsidTr="00DD4E5E">
        <w:tc>
          <w:tcPr>
            <w:tcW w:w="3010" w:type="dxa"/>
            <w:shd w:val="clear" w:color="auto" w:fill="auto"/>
            <w:vAlign w:val="center"/>
          </w:tcPr>
          <w:p w14:paraId="0ECD224D" w14:textId="77777777" w:rsidR="00D21BE2" w:rsidRPr="00D61D87" w:rsidRDefault="00D21BE2" w:rsidP="00986700">
            <w:pPr>
              <w:rPr>
                <w:rFonts w:cs="Arial"/>
                <w:sz w:val="18"/>
                <w:szCs w:val="18"/>
              </w:rPr>
            </w:pPr>
            <w:r w:rsidRPr="00D61D87">
              <w:rPr>
                <w:rFonts w:cs="Arial"/>
                <w:sz w:val="18"/>
                <w:szCs w:val="18"/>
              </w:rPr>
              <w:t>Pologne</w:t>
            </w:r>
          </w:p>
        </w:tc>
        <w:tc>
          <w:tcPr>
            <w:tcW w:w="1430" w:type="dxa"/>
            <w:shd w:val="clear" w:color="auto" w:fill="auto"/>
            <w:vAlign w:val="center"/>
          </w:tcPr>
          <w:p w14:paraId="6EA9A588"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auto"/>
            <w:vAlign w:val="center"/>
          </w:tcPr>
          <w:p w14:paraId="7D405022"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auto"/>
            <w:vAlign w:val="center"/>
          </w:tcPr>
          <w:p w14:paraId="274F209D"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auto"/>
            <w:vAlign w:val="center"/>
          </w:tcPr>
          <w:p w14:paraId="21A2EF0B"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auto"/>
            <w:vAlign w:val="center"/>
          </w:tcPr>
          <w:p w14:paraId="02B941D5"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7124E52E" w14:textId="77777777" w:rsidTr="00DD4E5E">
        <w:tc>
          <w:tcPr>
            <w:tcW w:w="3010" w:type="dxa"/>
            <w:shd w:val="clear" w:color="auto" w:fill="E6E6E6"/>
            <w:vAlign w:val="center"/>
          </w:tcPr>
          <w:p w14:paraId="7EB8AFB7" w14:textId="77777777" w:rsidR="00D21BE2" w:rsidRPr="00D61D87" w:rsidRDefault="00D21BE2" w:rsidP="00986700">
            <w:pPr>
              <w:rPr>
                <w:rFonts w:cs="Arial"/>
                <w:sz w:val="18"/>
                <w:szCs w:val="18"/>
              </w:rPr>
            </w:pPr>
            <w:r w:rsidRPr="00D61D87">
              <w:rPr>
                <w:rFonts w:cs="Arial"/>
                <w:sz w:val="18"/>
                <w:szCs w:val="18"/>
              </w:rPr>
              <w:t>Portugal</w:t>
            </w:r>
          </w:p>
        </w:tc>
        <w:tc>
          <w:tcPr>
            <w:tcW w:w="1430" w:type="dxa"/>
            <w:shd w:val="clear" w:color="auto" w:fill="E6E6E6"/>
            <w:vAlign w:val="center"/>
          </w:tcPr>
          <w:p w14:paraId="0E3A02C2"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E6E6E6"/>
            <w:vAlign w:val="center"/>
          </w:tcPr>
          <w:p w14:paraId="628888F1"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2AFA75CC"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E6E6E6"/>
            <w:vAlign w:val="center"/>
          </w:tcPr>
          <w:p w14:paraId="6585CA54"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E6E6E6"/>
            <w:vAlign w:val="center"/>
          </w:tcPr>
          <w:p w14:paraId="58AFF3B2"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0E394BC4" w14:textId="77777777" w:rsidTr="00DD4E5E">
        <w:tc>
          <w:tcPr>
            <w:tcW w:w="3010" w:type="dxa"/>
            <w:shd w:val="clear" w:color="auto" w:fill="auto"/>
            <w:vAlign w:val="center"/>
          </w:tcPr>
          <w:p w14:paraId="2F78F6AB" w14:textId="77777777" w:rsidR="00D21BE2" w:rsidRPr="00D61D87" w:rsidRDefault="00D21BE2" w:rsidP="00986700">
            <w:pPr>
              <w:rPr>
                <w:rFonts w:cs="Arial"/>
                <w:sz w:val="18"/>
                <w:szCs w:val="18"/>
              </w:rPr>
            </w:pPr>
            <w:r w:rsidRPr="00D61D87">
              <w:rPr>
                <w:rFonts w:cs="Arial"/>
                <w:b/>
                <w:bCs/>
                <w:sz w:val="18"/>
                <w:szCs w:val="18"/>
              </w:rPr>
              <w:t>Q</w:t>
            </w:r>
            <w:r w:rsidRPr="00D61D87">
              <w:rPr>
                <w:rFonts w:cs="Arial"/>
                <w:bCs/>
                <w:sz w:val="18"/>
                <w:szCs w:val="18"/>
              </w:rPr>
              <w:t>atar</w:t>
            </w:r>
          </w:p>
        </w:tc>
        <w:tc>
          <w:tcPr>
            <w:tcW w:w="1430" w:type="dxa"/>
            <w:shd w:val="clear" w:color="auto" w:fill="auto"/>
            <w:vAlign w:val="center"/>
          </w:tcPr>
          <w:p w14:paraId="4E9BD99C"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4BF8073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0538D49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704187D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1D061AA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49744FD" w14:textId="77777777" w:rsidTr="00DD4E5E">
        <w:tc>
          <w:tcPr>
            <w:tcW w:w="3010" w:type="dxa"/>
            <w:shd w:val="clear" w:color="auto" w:fill="E6E6E6"/>
            <w:vAlign w:val="center"/>
          </w:tcPr>
          <w:p w14:paraId="471C628A" w14:textId="77777777" w:rsidR="00D21BE2" w:rsidRPr="00D61D87" w:rsidRDefault="00D21BE2" w:rsidP="00986700">
            <w:pPr>
              <w:rPr>
                <w:rFonts w:cs="Arial"/>
                <w:sz w:val="18"/>
                <w:szCs w:val="18"/>
              </w:rPr>
            </w:pPr>
            <w:r w:rsidRPr="00D61D87">
              <w:rPr>
                <w:rFonts w:cs="Arial"/>
                <w:b/>
                <w:sz w:val="18"/>
                <w:szCs w:val="18"/>
              </w:rPr>
              <w:t>R</w:t>
            </w:r>
            <w:r w:rsidRPr="00D61D87">
              <w:rPr>
                <w:rFonts w:cs="Arial"/>
                <w:sz w:val="18"/>
                <w:szCs w:val="18"/>
              </w:rPr>
              <w:t>épublique arabe syrienne</w:t>
            </w:r>
          </w:p>
        </w:tc>
        <w:tc>
          <w:tcPr>
            <w:tcW w:w="1430" w:type="dxa"/>
            <w:shd w:val="clear" w:color="auto" w:fill="E6E6E6"/>
            <w:vAlign w:val="center"/>
          </w:tcPr>
          <w:p w14:paraId="26FD14C9"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561335E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3A07419F"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436D49C7"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52B4290A"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9BFB8D8" w14:textId="77777777" w:rsidTr="00DD4E5E">
        <w:tc>
          <w:tcPr>
            <w:tcW w:w="3010" w:type="dxa"/>
            <w:shd w:val="clear" w:color="auto" w:fill="auto"/>
            <w:vAlign w:val="center"/>
          </w:tcPr>
          <w:p w14:paraId="1A3E8E61" w14:textId="77777777" w:rsidR="00D21BE2" w:rsidRPr="00D61D87" w:rsidRDefault="00D21BE2" w:rsidP="00986700">
            <w:pPr>
              <w:rPr>
                <w:rFonts w:cs="Arial"/>
                <w:sz w:val="18"/>
                <w:szCs w:val="18"/>
              </w:rPr>
            </w:pPr>
            <w:r w:rsidRPr="00D61D87">
              <w:rPr>
                <w:rFonts w:cs="Arial"/>
                <w:sz w:val="18"/>
                <w:szCs w:val="18"/>
              </w:rPr>
              <w:t>République centrafricaine</w:t>
            </w:r>
          </w:p>
        </w:tc>
        <w:tc>
          <w:tcPr>
            <w:tcW w:w="1430" w:type="dxa"/>
            <w:shd w:val="clear" w:color="auto" w:fill="auto"/>
            <w:vAlign w:val="center"/>
          </w:tcPr>
          <w:p w14:paraId="6CE8EB5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3E9A3D9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3E3A2FA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594343C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048B296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306DC52" w14:textId="77777777" w:rsidTr="00DD4E5E">
        <w:tc>
          <w:tcPr>
            <w:tcW w:w="3010" w:type="dxa"/>
            <w:shd w:val="clear" w:color="auto" w:fill="E6E6E6"/>
            <w:vAlign w:val="center"/>
          </w:tcPr>
          <w:p w14:paraId="7B23164C" w14:textId="77777777" w:rsidR="00D21BE2" w:rsidRPr="00D61D87" w:rsidRDefault="00D21BE2" w:rsidP="00986700">
            <w:pPr>
              <w:rPr>
                <w:rFonts w:cs="Arial"/>
                <w:sz w:val="18"/>
                <w:szCs w:val="18"/>
              </w:rPr>
            </w:pPr>
            <w:r w:rsidRPr="00D61D87">
              <w:rPr>
                <w:rFonts w:cs="Arial"/>
                <w:bCs/>
                <w:sz w:val="18"/>
                <w:szCs w:val="18"/>
              </w:rPr>
              <w:t>République de Corée</w:t>
            </w:r>
          </w:p>
        </w:tc>
        <w:tc>
          <w:tcPr>
            <w:tcW w:w="1430" w:type="dxa"/>
            <w:shd w:val="clear" w:color="auto" w:fill="E6E6E6"/>
            <w:vAlign w:val="center"/>
          </w:tcPr>
          <w:p w14:paraId="0C1B6E07" w14:textId="77777777" w:rsidR="00D21BE2" w:rsidRPr="00487813" w:rsidRDefault="00D21BE2" w:rsidP="00986700">
            <w:pPr>
              <w:rPr>
                <w:rFonts w:cs="Arial"/>
                <w:color w:val="000000"/>
                <w:sz w:val="18"/>
                <w:szCs w:val="18"/>
              </w:rPr>
            </w:pPr>
            <w:r w:rsidRPr="00487813">
              <w:rPr>
                <w:rFonts w:cs="Arial"/>
                <w:color w:val="000000"/>
                <w:sz w:val="18"/>
                <w:szCs w:val="18"/>
              </w:rPr>
              <w:t>IV</w:t>
            </w:r>
            <w:r w:rsidRPr="00487813">
              <w:rPr>
                <w:rFonts w:cs="Arial"/>
                <w:i/>
                <w:iCs/>
                <w:color w:val="000000"/>
                <w:sz w:val="18"/>
                <w:szCs w:val="18"/>
              </w:rPr>
              <w:t>bis</w:t>
            </w:r>
          </w:p>
        </w:tc>
        <w:tc>
          <w:tcPr>
            <w:tcW w:w="1210" w:type="dxa"/>
            <w:shd w:val="clear" w:color="auto" w:fill="E6E6E6"/>
            <w:vAlign w:val="center"/>
          </w:tcPr>
          <w:p w14:paraId="1358C528" w14:textId="77777777" w:rsidR="00D21BE2" w:rsidRPr="00487813" w:rsidRDefault="00D21BE2" w:rsidP="00986700">
            <w:pPr>
              <w:jc w:val="right"/>
              <w:rPr>
                <w:rFonts w:cs="Arial"/>
                <w:color w:val="000000"/>
                <w:sz w:val="18"/>
                <w:szCs w:val="18"/>
              </w:rPr>
            </w:pPr>
            <w:r w:rsidRPr="00487813">
              <w:rPr>
                <w:rFonts w:cs="Arial"/>
                <w:color w:val="000000"/>
                <w:sz w:val="18"/>
                <w:szCs w:val="18"/>
              </w:rPr>
              <w:t>7</w:t>
            </w:r>
            <w:r>
              <w:rPr>
                <w:rFonts w:cs="Arial"/>
                <w:color w:val="000000"/>
                <w:sz w:val="18"/>
                <w:szCs w:val="18"/>
              </w:rPr>
              <w:t>,</w:t>
            </w:r>
            <w:r w:rsidRPr="00487813">
              <w:rPr>
                <w:rFonts w:cs="Arial"/>
                <w:color w:val="000000"/>
                <w:sz w:val="18"/>
                <w:szCs w:val="18"/>
              </w:rPr>
              <w:t>5</w:t>
            </w:r>
          </w:p>
        </w:tc>
        <w:tc>
          <w:tcPr>
            <w:tcW w:w="1320" w:type="dxa"/>
            <w:shd w:val="clear" w:color="auto" w:fill="E6E6E6"/>
            <w:vAlign w:val="center"/>
          </w:tcPr>
          <w:p w14:paraId="4F90555D"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430" w:type="dxa"/>
            <w:shd w:val="clear" w:color="auto" w:fill="E6E6E6"/>
            <w:vAlign w:val="center"/>
          </w:tcPr>
          <w:p w14:paraId="6F27B5B6" w14:textId="77777777" w:rsidR="00D21BE2" w:rsidRPr="00487813" w:rsidRDefault="00D21BE2" w:rsidP="00986700">
            <w:pPr>
              <w:jc w:val="right"/>
              <w:rPr>
                <w:rFonts w:cs="Arial"/>
                <w:color w:val="000000"/>
                <w:sz w:val="18"/>
                <w:szCs w:val="18"/>
              </w:rPr>
            </w:pPr>
            <w:r w:rsidRPr="00487813">
              <w:rPr>
                <w:rFonts w:cs="Arial"/>
                <w:color w:val="000000"/>
                <w:sz w:val="18"/>
                <w:szCs w:val="18"/>
              </w:rPr>
              <w:t>307</w:t>
            </w:r>
            <w:r>
              <w:rPr>
                <w:rFonts w:cs="Arial"/>
                <w:color w:val="000000"/>
                <w:sz w:val="18"/>
                <w:szCs w:val="18"/>
              </w:rPr>
              <w:t> </w:t>
            </w:r>
            <w:r w:rsidRPr="00487813">
              <w:rPr>
                <w:rFonts w:cs="Arial"/>
                <w:color w:val="000000"/>
                <w:sz w:val="18"/>
                <w:szCs w:val="18"/>
              </w:rPr>
              <w:t>658</w:t>
            </w:r>
          </w:p>
        </w:tc>
        <w:tc>
          <w:tcPr>
            <w:tcW w:w="1320" w:type="dxa"/>
            <w:shd w:val="clear" w:color="auto" w:fill="E6E6E6"/>
            <w:vAlign w:val="center"/>
          </w:tcPr>
          <w:p w14:paraId="6172FAA8"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r>
      <w:tr w:rsidR="00D21BE2" w:rsidRPr="00487813" w14:paraId="29BDDB2A" w14:textId="77777777" w:rsidTr="00DD4E5E">
        <w:tc>
          <w:tcPr>
            <w:tcW w:w="3010" w:type="dxa"/>
            <w:shd w:val="clear" w:color="auto" w:fill="auto"/>
            <w:vAlign w:val="center"/>
          </w:tcPr>
          <w:p w14:paraId="093EEEBD" w14:textId="77777777" w:rsidR="00D21BE2" w:rsidRPr="00D61D87" w:rsidRDefault="00D21BE2" w:rsidP="00986700">
            <w:pPr>
              <w:rPr>
                <w:rFonts w:cs="Arial"/>
                <w:sz w:val="18"/>
                <w:szCs w:val="18"/>
              </w:rPr>
            </w:pPr>
            <w:r w:rsidRPr="00D61D87">
              <w:rPr>
                <w:rFonts w:cs="Arial"/>
                <w:sz w:val="18"/>
                <w:szCs w:val="18"/>
              </w:rPr>
              <w:t>République démocratique du Congo</w:t>
            </w:r>
          </w:p>
        </w:tc>
        <w:tc>
          <w:tcPr>
            <w:tcW w:w="1430" w:type="dxa"/>
            <w:shd w:val="clear" w:color="auto" w:fill="auto"/>
            <w:vAlign w:val="center"/>
          </w:tcPr>
          <w:p w14:paraId="4E597DE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5A41194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0E73C8BC"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0AE8852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1548ED2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B3B3BB7" w14:textId="77777777" w:rsidTr="00DD4E5E">
        <w:tc>
          <w:tcPr>
            <w:tcW w:w="3010" w:type="dxa"/>
            <w:shd w:val="clear" w:color="auto" w:fill="E6E6E6"/>
            <w:vAlign w:val="center"/>
          </w:tcPr>
          <w:p w14:paraId="738D9B5E" w14:textId="77777777" w:rsidR="00D21BE2" w:rsidRPr="00D61D87" w:rsidRDefault="00D21BE2" w:rsidP="00986700">
            <w:pPr>
              <w:rPr>
                <w:rFonts w:cs="Arial"/>
                <w:sz w:val="18"/>
                <w:szCs w:val="18"/>
              </w:rPr>
            </w:pPr>
            <w:r w:rsidRPr="002C03AC">
              <w:rPr>
                <w:rFonts w:cs="Arial"/>
                <w:bCs/>
                <w:sz w:val="18"/>
                <w:szCs w:val="18"/>
              </w:rPr>
              <w:t>R</w:t>
            </w:r>
            <w:r w:rsidRPr="00D61D87">
              <w:rPr>
                <w:rFonts w:cs="Arial"/>
                <w:bCs/>
                <w:sz w:val="18"/>
                <w:szCs w:val="18"/>
              </w:rPr>
              <w:t>épublique démocratique populaire lao</w:t>
            </w:r>
          </w:p>
        </w:tc>
        <w:tc>
          <w:tcPr>
            <w:tcW w:w="1430" w:type="dxa"/>
            <w:shd w:val="clear" w:color="auto" w:fill="E6E6E6"/>
            <w:vAlign w:val="center"/>
          </w:tcPr>
          <w:p w14:paraId="1A8E5F6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62EFE99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28E0E52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56C4C65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55F9CD0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4A18B70C" w14:textId="77777777" w:rsidTr="00DD4E5E">
        <w:tc>
          <w:tcPr>
            <w:tcW w:w="3010" w:type="dxa"/>
            <w:shd w:val="clear" w:color="auto" w:fill="auto"/>
            <w:vAlign w:val="center"/>
          </w:tcPr>
          <w:p w14:paraId="5A6EC1D5" w14:textId="77777777" w:rsidR="00D21BE2" w:rsidRPr="00D61D87" w:rsidRDefault="00D21BE2" w:rsidP="00986700">
            <w:pPr>
              <w:rPr>
                <w:rFonts w:cs="Arial"/>
                <w:sz w:val="18"/>
                <w:szCs w:val="18"/>
              </w:rPr>
            </w:pPr>
            <w:r w:rsidRPr="00D61D87">
              <w:rPr>
                <w:rFonts w:cs="Arial"/>
                <w:sz w:val="18"/>
                <w:szCs w:val="18"/>
              </w:rPr>
              <w:t>République de Moldova</w:t>
            </w:r>
          </w:p>
        </w:tc>
        <w:tc>
          <w:tcPr>
            <w:tcW w:w="1430" w:type="dxa"/>
            <w:shd w:val="clear" w:color="auto" w:fill="auto"/>
            <w:vAlign w:val="center"/>
          </w:tcPr>
          <w:p w14:paraId="660EE6DD"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64BB87F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095D281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55D6D34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2D73AF4C"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5732AE13" w14:textId="77777777" w:rsidTr="00DD4E5E">
        <w:tc>
          <w:tcPr>
            <w:tcW w:w="3010" w:type="dxa"/>
            <w:shd w:val="clear" w:color="auto" w:fill="E6E6E6"/>
            <w:vAlign w:val="center"/>
          </w:tcPr>
          <w:p w14:paraId="3133294B" w14:textId="77777777" w:rsidR="00D21BE2" w:rsidRPr="00D61D87" w:rsidRDefault="00D21BE2" w:rsidP="00986700">
            <w:pPr>
              <w:rPr>
                <w:rFonts w:cs="Arial"/>
                <w:sz w:val="18"/>
                <w:szCs w:val="18"/>
              </w:rPr>
            </w:pPr>
            <w:r w:rsidRPr="00D61D87">
              <w:rPr>
                <w:rFonts w:cs="Arial"/>
                <w:sz w:val="18"/>
                <w:szCs w:val="18"/>
              </w:rPr>
              <w:t>République dominicaine</w:t>
            </w:r>
          </w:p>
        </w:tc>
        <w:tc>
          <w:tcPr>
            <w:tcW w:w="1430" w:type="dxa"/>
            <w:shd w:val="clear" w:color="auto" w:fill="E6E6E6"/>
            <w:vAlign w:val="center"/>
          </w:tcPr>
          <w:p w14:paraId="12C3E53C"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003DF11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63578F7E"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3128CA3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04E16D8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13CA1779" w14:textId="77777777" w:rsidTr="00DD4E5E">
        <w:tc>
          <w:tcPr>
            <w:tcW w:w="3010" w:type="dxa"/>
            <w:shd w:val="clear" w:color="auto" w:fill="auto"/>
            <w:vAlign w:val="center"/>
          </w:tcPr>
          <w:p w14:paraId="4E4D024B" w14:textId="77777777" w:rsidR="00D21BE2" w:rsidRPr="00D61D87" w:rsidRDefault="00D21BE2" w:rsidP="00986700">
            <w:pPr>
              <w:rPr>
                <w:rFonts w:cs="Arial"/>
                <w:sz w:val="18"/>
                <w:szCs w:val="18"/>
              </w:rPr>
            </w:pPr>
            <w:r w:rsidRPr="002C03AC">
              <w:rPr>
                <w:rFonts w:cs="Arial"/>
                <w:bCs/>
                <w:sz w:val="18"/>
                <w:szCs w:val="18"/>
              </w:rPr>
              <w:t>R</w:t>
            </w:r>
            <w:r w:rsidRPr="00D61D87">
              <w:rPr>
                <w:rFonts w:cs="Arial"/>
                <w:bCs/>
                <w:sz w:val="18"/>
                <w:szCs w:val="18"/>
              </w:rPr>
              <w:t>épublique populaire démocratique de Corée</w:t>
            </w:r>
          </w:p>
        </w:tc>
        <w:tc>
          <w:tcPr>
            <w:tcW w:w="1430" w:type="dxa"/>
            <w:shd w:val="clear" w:color="auto" w:fill="auto"/>
            <w:vAlign w:val="center"/>
          </w:tcPr>
          <w:p w14:paraId="7B5DC69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57989CC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14C30C7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19C1A4A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4D61400"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A51DEDB" w14:textId="77777777" w:rsidTr="00DD4E5E">
        <w:tc>
          <w:tcPr>
            <w:tcW w:w="3010" w:type="dxa"/>
            <w:shd w:val="clear" w:color="auto" w:fill="E6E6E6"/>
            <w:vAlign w:val="center"/>
          </w:tcPr>
          <w:p w14:paraId="4AF33DC5" w14:textId="77777777" w:rsidR="00D21BE2" w:rsidRPr="00D61D87" w:rsidRDefault="00D21BE2" w:rsidP="00986700">
            <w:pPr>
              <w:rPr>
                <w:rFonts w:cs="Arial"/>
                <w:sz w:val="18"/>
                <w:szCs w:val="18"/>
              </w:rPr>
            </w:pPr>
            <w:r w:rsidRPr="00D61D87">
              <w:rPr>
                <w:rFonts w:cs="Arial"/>
                <w:sz w:val="18"/>
                <w:szCs w:val="18"/>
              </w:rPr>
              <w:t>République tchèque</w:t>
            </w:r>
          </w:p>
        </w:tc>
        <w:tc>
          <w:tcPr>
            <w:tcW w:w="1430" w:type="dxa"/>
            <w:shd w:val="clear" w:color="auto" w:fill="E6E6E6"/>
            <w:vAlign w:val="center"/>
          </w:tcPr>
          <w:p w14:paraId="70958CF9"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E6E6E6"/>
            <w:vAlign w:val="center"/>
          </w:tcPr>
          <w:p w14:paraId="344E2791"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E6E6E6"/>
            <w:vAlign w:val="center"/>
          </w:tcPr>
          <w:p w14:paraId="3550A9F0"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E6E6E6"/>
            <w:vAlign w:val="center"/>
          </w:tcPr>
          <w:p w14:paraId="729421DE"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E6E6E6"/>
            <w:vAlign w:val="center"/>
          </w:tcPr>
          <w:p w14:paraId="37E43F01"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2437AF22" w14:textId="77777777" w:rsidTr="00DD4E5E">
        <w:tc>
          <w:tcPr>
            <w:tcW w:w="3010" w:type="dxa"/>
            <w:shd w:val="clear" w:color="auto" w:fill="auto"/>
            <w:vAlign w:val="center"/>
          </w:tcPr>
          <w:p w14:paraId="41DF5B10" w14:textId="77777777" w:rsidR="00D21BE2" w:rsidRPr="00D61D87" w:rsidRDefault="00D21BE2" w:rsidP="00986700">
            <w:pPr>
              <w:rPr>
                <w:rFonts w:cs="Arial"/>
                <w:sz w:val="18"/>
                <w:szCs w:val="18"/>
              </w:rPr>
            </w:pPr>
            <w:r w:rsidRPr="00D61D87">
              <w:rPr>
                <w:rFonts w:cs="Arial"/>
                <w:sz w:val="18"/>
                <w:szCs w:val="18"/>
              </w:rPr>
              <w:t>République-Unie de Tanzanie</w:t>
            </w:r>
          </w:p>
        </w:tc>
        <w:tc>
          <w:tcPr>
            <w:tcW w:w="1430" w:type="dxa"/>
            <w:shd w:val="clear" w:color="auto" w:fill="auto"/>
            <w:vAlign w:val="center"/>
          </w:tcPr>
          <w:p w14:paraId="30B5570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37D91FD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1FA7ECC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0832539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0DBCEF5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57F53E89" w14:textId="77777777" w:rsidTr="00DD4E5E">
        <w:tc>
          <w:tcPr>
            <w:tcW w:w="3010" w:type="dxa"/>
            <w:shd w:val="clear" w:color="auto" w:fill="E6E6E6"/>
            <w:vAlign w:val="center"/>
          </w:tcPr>
          <w:p w14:paraId="074677DB" w14:textId="77777777" w:rsidR="00D21BE2" w:rsidRPr="00D61D87" w:rsidRDefault="00D21BE2" w:rsidP="00986700">
            <w:pPr>
              <w:rPr>
                <w:rFonts w:cs="Arial"/>
                <w:sz w:val="18"/>
                <w:szCs w:val="18"/>
              </w:rPr>
            </w:pPr>
            <w:r w:rsidRPr="00D61D87">
              <w:rPr>
                <w:rFonts w:cs="Arial"/>
                <w:sz w:val="18"/>
                <w:szCs w:val="18"/>
              </w:rPr>
              <w:t>Roumanie</w:t>
            </w:r>
          </w:p>
        </w:tc>
        <w:tc>
          <w:tcPr>
            <w:tcW w:w="1430" w:type="dxa"/>
            <w:shd w:val="clear" w:color="auto" w:fill="E6E6E6"/>
            <w:vAlign w:val="center"/>
          </w:tcPr>
          <w:p w14:paraId="3570D17E"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E6E6E6"/>
            <w:vAlign w:val="center"/>
          </w:tcPr>
          <w:p w14:paraId="4421ACC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E6E6E6"/>
            <w:vAlign w:val="center"/>
          </w:tcPr>
          <w:p w14:paraId="5AEF5977"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E6E6E6"/>
            <w:vAlign w:val="center"/>
          </w:tcPr>
          <w:p w14:paraId="2B480306"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E6E6E6"/>
            <w:vAlign w:val="center"/>
          </w:tcPr>
          <w:p w14:paraId="04A8BA07"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5F94AA2D" w14:textId="77777777" w:rsidTr="00DD4E5E">
        <w:tc>
          <w:tcPr>
            <w:tcW w:w="3010" w:type="dxa"/>
            <w:shd w:val="clear" w:color="auto" w:fill="auto"/>
            <w:vAlign w:val="center"/>
          </w:tcPr>
          <w:p w14:paraId="766CFD1C" w14:textId="77777777" w:rsidR="00D21BE2" w:rsidRPr="00D61D87" w:rsidRDefault="00D21BE2" w:rsidP="00986700">
            <w:pPr>
              <w:rPr>
                <w:rFonts w:cs="Arial"/>
                <w:sz w:val="18"/>
                <w:szCs w:val="18"/>
              </w:rPr>
            </w:pPr>
            <w:r w:rsidRPr="00D61D87">
              <w:rPr>
                <w:rFonts w:cs="Arial"/>
                <w:sz w:val="18"/>
                <w:szCs w:val="18"/>
              </w:rPr>
              <w:t>Royaume-Uni</w:t>
            </w:r>
          </w:p>
        </w:tc>
        <w:tc>
          <w:tcPr>
            <w:tcW w:w="1430" w:type="dxa"/>
            <w:shd w:val="clear" w:color="auto" w:fill="auto"/>
            <w:vAlign w:val="center"/>
          </w:tcPr>
          <w:p w14:paraId="4E37183A" w14:textId="77777777" w:rsidR="00D21BE2" w:rsidRPr="00487813" w:rsidRDefault="00D21BE2" w:rsidP="00986700">
            <w:pPr>
              <w:rPr>
                <w:rFonts w:cs="Arial"/>
                <w:color w:val="000000"/>
                <w:sz w:val="18"/>
                <w:szCs w:val="18"/>
              </w:rPr>
            </w:pPr>
            <w:r w:rsidRPr="00487813">
              <w:rPr>
                <w:rFonts w:cs="Arial"/>
                <w:color w:val="000000"/>
                <w:sz w:val="18"/>
                <w:szCs w:val="18"/>
              </w:rPr>
              <w:t>I</w:t>
            </w:r>
          </w:p>
        </w:tc>
        <w:tc>
          <w:tcPr>
            <w:tcW w:w="1210" w:type="dxa"/>
            <w:shd w:val="clear" w:color="auto" w:fill="auto"/>
            <w:vAlign w:val="center"/>
          </w:tcPr>
          <w:p w14:paraId="32A9490E" w14:textId="77777777" w:rsidR="00D21BE2" w:rsidRPr="00487813" w:rsidRDefault="00D21BE2" w:rsidP="00986700">
            <w:pPr>
              <w:jc w:val="right"/>
              <w:rPr>
                <w:rFonts w:cs="Arial"/>
                <w:color w:val="000000"/>
                <w:sz w:val="18"/>
                <w:szCs w:val="18"/>
              </w:rPr>
            </w:pPr>
            <w:r w:rsidRPr="00487813">
              <w:rPr>
                <w:rFonts w:cs="Arial"/>
                <w:color w:val="000000"/>
                <w:sz w:val="18"/>
                <w:szCs w:val="18"/>
              </w:rPr>
              <w:t>25</w:t>
            </w:r>
          </w:p>
        </w:tc>
        <w:tc>
          <w:tcPr>
            <w:tcW w:w="1320" w:type="dxa"/>
            <w:shd w:val="clear" w:color="auto" w:fill="auto"/>
            <w:vAlign w:val="center"/>
          </w:tcPr>
          <w:p w14:paraId="23646BB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430" w:type="dxa"/>
            <w:shd w:val="clear" w:color="auto" w:fill="auto"/>
            <w:vAlign w:val="center"/>
          </w:tcPr>
          <w:p w14:paraId="5E8505D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025</w:t>
            </w:r>
            <w:r>
              <w:rPr>
                <w:rFonts w:cs="Arial"/>
                <w:color w:val="000000"/>
                <w:sz w:val="18"/>
                <w:szCs w:val="18"/>
              </w:rPr>
              <w:t> </w:t>
            </w:r>
            <w:r w:rsidRPr="00487813">
              <w:rPr>
                <w:rFonts w:cs="Arial"/>
                <w:color w:val="000000"/>
                <w:sz w:val="18"/>
                <w:szCs w:val="18"/>
              </w:rPr>
              <w:t>525</w:t>
            </w:r>
          </w:p>
        </w:tc>
        <w:tc>
          <w:tcPr>
            <w:tcW w:w="1320" w:type="dxa"/>
            <w:shd w:val="clear" w:color="auto" w:fill="auto"/>
            <w:vAlign w:val="center"/>
          </w:tcPr>
          <w:p w14:paraId="303E42C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051</w:t>
            </w:r>
            <w:r>
              <w:rPr>
                <w:rFonts w:cs="Arial"/>
                <w:color w:val="000000"/>
                <w:sz w:val="18"/>
                <w:szCs w:val="18"/>
              </w:rPr>
              <w:t> </w:t>
            </w:r>
            <w:r w:rsidRPr="00487813">
              <w:rPr>
                <w:rFonts w:cs="Arial"/>
                <w:color w:val="000000"/>
                <w:sz w:val="18"/>
                <w:szCs w:val="18"/>
              </w:rPr>
              <w:t>050</w:t>
            </w:r>
          </w:p>
        </w:tc>
      </w:tr>
      <w:tr w:rsidR="00D21BE2" w:rsidRPr="00487813" w14:paraId="07EEB433" w14:textId="77777777" w:rsidTr="00DD4E5E">
        <w:tc>
          <w:tcPr>
            <w:tcW w:w="3010" w:type="dxa"/>
            <w:shd w:val="clear" w:color="auto" w:fill="E6E6E6"/>
            <w:vAlign w:val="center"/>
          </w:tcPr>
          <w:p w14:paraId="6551710A" w14:textId="77777777" w:rsidR="00D21BE2" w:rsidRPr="00D61D87" w:rsidRDefault="00D21BE2" w:rsidP="00986700">
            <w:pPr>
              <w:rPr>
                <w:rFonts w:cs="Arial"/>
                <w:sz w:val="18"/>
                <w:szCs w:val="18"/>
              </w:rPr>
            </w:pPr>
            <w:r w:rsidRPr="00D61D87">
              <w:rPr>
                <w:rFonts w:cs="Arial"/>
                <w:sz w:val="18"/>
                <w:szCs w:val="18"/>
              </w:rPr>
              <w:t>Rwanda</w:t>
            </w:r>
          </w:p>
        </w:tc>
        <w:tc>
          <w:tcPr>
            <w:tcW w:w="1430" w:type="dxa"/>
            <w:shd w:val="clear" w:color="auto" w:fill="E6E6E6"/>
            <w:vAlign w:val="center"/>
          </w:tcPr>
          <w:p w14:paraId="006A6DA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0DFDF53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62B50C6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56A8E2E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2816A61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B57A5D2" w14:textId="77777777" w:rsidTr="00DD4E5E">
        <w:tc>
          <w:tcPr>
            <w:tcW w:w="3010" w:type="dxa"/>
            <w:shd w:val="clear" w:color="auto" w:fill="auto"/>
            <w:vAlign w:val="center"/>
          </w:tcPr>
          <w:p w14:paraId="6B83B4F5" w14:textId="77777777" w:rsidR="00D21BE2" w:rsidRPr="00D61D87" w:rsidRDefault="00D21BE2" w:rsidP="00986700">
            <w:pPr>
              <w:rPr>
                <w:rFonts w:cs="Arial"/>
                <w:sz w:val="18"/>
                <w:szCs w:val="18"/>
              </w:rPr>
            </w:pPr>
            <w:r w:rsidRPr="00D61D87">
              <w:rPr>
                <w:rFonts w:cs="Arial"/>
                <w:b/>
                <w:sz w:val="18"/>
                <w:szCs w:val="18"/>
              </w:rPr>
              <w:t>S</w:t>
            </w:r>
            <w:r w:rsidRPr="00D61D87">
              <w:rPr>
                <w:rFonts w:cs="Arial"/>
                <w:sz w:val="18"/>
                <w:szCs w:val="18"/>
              </w:rPr>
              <w:t>ainte-Lucie</w:t>
            </w:r>
          </w:p>
        </w:tc>
        <w:tc>
          <w:tcPr>
            <w:tcW w:w="1430" w:type="dxa"/>
            <w:shd w:val="clear" w:color="auto" w:fill="auto"/>
            <w:vAlign w:val="center"/>
          </w:tcPr>
          <w:p w14:paraId="36C21031"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4DF404F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256E3C9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11161DD5"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18832CB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1884AD42" w14:textId="77777777" w:rsidTr="00DD4E5E">
        <w:tc>
          <w:tcPr>
            <w:tcW w:w="3010" w:type="dxa"/>
            <w:shd w:val="clear" w:color="auto" w:fill="E6E6E6"/>
            <w:vAlign w:val="center"/>
          </w:tcPr>
          <w:p w14:paraId="6C8169B7" w14:textId="77777777" w:rsidR="00D21BE2" w:rsidRPr="00D61D87" w:rsidRDefault="00D21BE2" w:rsidP="00986700">
            <w:pPr>
              <w:rPr>
                <w:rFonts w:cs="Arial"/>
                <w:sz w:val="18"/>
                <w:szCs w:val="18"/>
              </w:rPr>
            </w:pPr>
            <w:r w:rsidRPr="00D61D87">
              <w:rPr>
                <w:rFonts w:cs="Arial"/>
                <w:bCs/>
                <w:sz w:val="18"/>
                <w:szCs w:val="18"/>
              </w:rPr>
              <w:t>Saint-Kitts-et-Nevis</w:t>
            </w:r>
          </w:p>
        </w:tc>
        <w:tc>
          <w:tcPr>
            <w:tcW w:w="1430" w:type="dxa"/>
            <w:shd w:val="clear" w:color="auto" w:fill="E6E6E6"/>
            <w:vAlign w:val="center"/>
          </w:tcPr>
          <w:p w14:paraId="3BC1780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0827A48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73E08B8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0856109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68C63FA6"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52F9B6E8" w14:textId="77777777" w:rsidTr="00DD4E5E">
        <w:tc>
          <w:tcPr>
            <w:tcW w:w="3010" w:type="dxa"/>
            <w:shd w:val="clear" w:color="auto" w:fill="auto"/>
            <w:vAlign w:val="center"/>
          </w:tcPr>
          <w:p w14:paraId="34F76A4F" w14:textId="77777777" w:rsidR="00D21BE2" w:rsidRPr="00D61D87" w:rsidRDefault="00D21BE2" w:rsidP="00986700">
            <w:pPr>
              <w:rPr>
                <w:rFonts w:cs="Arial"/>
                <w:sz w:val="18"/>
                <w:szCs w:val="18"/>
              </w:rPr>
            </w:pPr>
            <w:r w:rsidRPr="00D61D87">
              <w:rPr>
                <w:rFonts w:cs="Arial"/>
                <w:sz w:val="18"/>
                <w:szCs w:val="18"/>
              </w:rPr>
              <w:t>Saint-Marin</w:t>
            </w:r>
          </w:p>
        </w:tc>
        <w:tc>
          <w:tcPr>
            <w:tcW w:w="1430" w:type="dxa"/>
            <w:shd w:val="clear" w:color="auto" w:fill="auto"/>
            <w:vAlign w:val="center"/>
          </w:tcPr>
          <w:p w14:paraId="12B62E6C"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721F90E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40075D3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7590CD2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4F1AD211"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43A5688D" w14:textId="77777777" w:rsidTr="00DD4E5E">
        <w:tc>
          <w:tcPr>
            <w:tcW w:w="3010" w:type="dxa"/>
            <w:shd w:val="clear" w:color="auto" w:fill="E6E6E6"/>
            <w:vAlign w:val="center"/>
          </w:tcPr>
          <w:p w14:paraId="50EACF3A" w14:textId="77777777" w:rsidR="00D21BE2" w:rsidRPr="00D61D87" w:rsidRDefault="00D21BE2" w:rsidP="00986700">
            <w:pPr>
              <w:rPr>
                <w:rFonts w:cs="Arial"/>
                <w:sz w:val="18"/>
                <w:szCs w:val="18"/>
              </w:rPr>
            </w:pPr>
            <w:r w:rsidRPr="00D61D87">
              <w:rPr>
                <w:rFonts w:cs="Arial"/>
                <w:sz w:val="18"/>
                <w:szCs w:val="18"/>
              </w:rPr>
              <w:t>Saint-Siège</w:t>
            </w:r>
          </w:p>
        </w:tc>
        <w:tc>
          <w:tcPr>
            <w:tcW w:w="1430" w:type="dxa"/>
            <w:shd w:val="clear" w:color="auto" w:fill="E6E6E6"/>
            <w:vAlign w:val="center"/>
          </w:tcPr>
          <w:p w14:paraId="5B1CC1F4"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9499E54"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184C03EA"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373EE42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02C466B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33B2E385" w14:textId="77777777" w:rsidTr="00DD4E5E">
        <w:tc>
          <w:tcPr>
            <w:tcW w:w="3010" w:type="dxa"/>
            <w:shd w:val="clear" w:color="auto" w:fill="auto"/>
            <w:vAlign w:val="center"/>
          </w:tcPr>
          <w:p w14:paraId="3BA8BC8C" w14:textId="77777777" w:rsidR="00D21BE2" w:rsidRPr="00D61D87" w:rsidRDefault="00D21BE2" w:rsidP="00986700">
            <w:pPr>
              <w:rPr>
                <w:rFonts w:cs="Arial"/>
                <w:sz w:val="18"/>
                <w:szCs w:val="18"/>
              </w:rPr>
            </w:pPr>
            <w:r w:rsidRPr="00D61D87">
              <w:rPr>
                <w:rFonts w:cs="Arial"/>
                <w:sz w:val="18"/>
                <w:szCs w:val="18"/>
              </w:rPr>
              <w:t>Saint-Vincent-et-les Grenadines</w:t>
            </w:r>
          </w:p>
        </w:tc>
        <w:tc>
          <w:tcPr>
            <w:tcW w:w="1430" w:type="dxa"/>
            <w:shd w:val="clear" w:color="auto" w:fill="auto"/>
            <w:vAlign w:val="center"/>
          </w:tcPr>
          <w:p w14:paraId="535610B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27CD003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7E8F45B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5971FBE8"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04D9D45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3B41982" w14:textId="77777777" w:rsidTr="00DD4E5E">
        <w:tc>
          <w:tcPr>
            <w:tcW w:w="3010" w:type="dxa"/>
            <w:shd w:val="clear" w:color="auto" w:fill="E6E6E6"/>
            <w:vAlign w:val="center"/>
          </w:tcPr>
          <w:p w14:paraId="70CF32B7" w14:textId="77777777" w:rsidR="00D21BE2" w:rsidRPr="00D61D87" w:rsidRDefault="00D21BE2" w:rsidP="00986700">
            <w:pPr>
              <w:rPr>
                <w:rFonts w:cs="Arial"/>
                <w:sz w:val="18"/>
                <w:szCs w:val="18"/>
              </w:rPr>
            </w:pPr>
            <w:r w:rsidRPr="00D61D87">
              <w:rPr>
                <w:rFonts w:cs="Arial"/>
                <w:sz w:val="18"/>
                <w:szCs w:val="18"/>
              </w:rPr>
              <w:t>Samoa</w:t>
            </w:r>
          </w:p>
        </w:tc>
        <w:tc>
          <w:tcPr>
            <w:tcW w:w="1430" w:type="dxa"/>
            <w:shd w:val="clear" w:color="auto" w:fill="E6E6E6"/>
            <w:vAlign w:val="center"/>
          </w:tcPr>
          <w:p w14:paraId="57D988AC"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4F5D016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3E0CB5B9"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08A44F1B"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227B6A9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0B1BC729" w14:textId="77777777" w:rsidTr="00DD4E5E">
        <w:tc>
          <w:tcPr>
            <w:tcW w:w="3010" w:type="dxa"/>
            <w:shd w:val="clear" w:color="auto" w:fill="auto"/>
            <w:vAlign w:val="center"/>
          </w:tcPr>
          <w:p w14:paraId="5F439273" w14:textId="77777777" w:rsidR="00D21BE2" w:rsidRPr="00D61D87" w:rsidRDefault="00D21BE2" w:rsidP="00986700">
            <w:pPr>
              <w:rPr>
                <w:rFonts w:cs="Arial"/>
                <w:sz w:val="18"/>
                <w:szCs w:val="18"/>
              </w:rPr>
            </w:pPr>
            <w:r w:rsidRPr="00D61D87">
              <w:rPr>
                <w:rFonts w:cs="Arial"/>
                <w:sz w:val="18"/>
                <w:szCs w:val="18"/>
              </w:rPr>
              <w:t>Sao Tomé-et-Principe</w:t>
            </w:r>
          </w:p>
        </w:tc>
        <w:tc>
          <w:tcPr>
            <w:tcW w:w="1430" w:type="dxa"/>
            <w:shd w:val="clear" w:color="auto" w:fill="auto"/>
            <w:vAlign w:val="center"/>
          </w:tcPr>
          <w:p w14:paraId="3E563A2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0D01544B"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070B733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5D50317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68868150"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204321CC" w14:textId="77777777" w:rsidTr="00DD4E5E">
        <w:tc>
          <w:tcPr>
            <w:tcW w:w="3010" w:type="dxa"/>
            <w:shd w:val="clear" w:color="auto" w:fill="E6E6E6"/>
            <w:vAlign w:val="center"/>
          </w:tcPr>
          <w:p w14:paraId="43B4355A" w14:textId="77777777" w:rsidR="00D21BE2" w:rsidRPr="00D61D87" w:rsidRDefault="00D21BE2" w:rsidP="00986700">
            <w:pPr>
              <w:rPr>
                <w:rFonts w:cs="Arial"/>
                <w:sz w:val="18"/>
                <w:szCs w:val="18"/>
              </w:rPr>
            </w:pPr>
            <w:r w:rsidRPr="00D61D87">
              <w:rPr>
                <w:rFonts w:cs="Arial"/>
                <w:sz w:val="18"/>
                <w:szCs w:val="18"/>
              </w:rPr>
              <w:t>Sénégal</w:t>
            </w:r>
          </w:p>
        </w:tc>
        <w:tc>
          <w:tcPr>
            <w:tcW w:w="1430" w:type="dxa"/>
            <w:shd w:val="clear" w:color="auto" w:fill="E6E6E6"/>
            <w:vAlign w:val="center"/>
          </w:tcPr>
          <w:p w14:paraId="736FA62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1D45BB3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172C5533"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1ACD30B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4CD19B6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703BD37C" w14:textId="77777777" w:rsidTr="00DD4E5E">
        <w:tc>
          <w:tcPr>
            <w:tcW w:w="3010" w:type="dxa"/>
            <w:shd w:val="clear" w:color="auto" w:fill="auto"/>
            <w:vAlign w:val="center"/>
          </w:tcPr>
          <w:p w14:paraId="4A745A1D" w14:textId="77777777" w:rsidR="00D21BE2" w:rsidRPr="00D61D87" w:rsidRDefault="00D21BE2" w:rsidP="00986700">
            <w:pPr>
              <w:rPr>
                <w:rFonts w:cs="Arial"/>
                <w:sz w:val="18"/>
                <w:szCs w:val="18"/>
              </w:rPr>
            </w:pPr>
            <w:r w:rsidRPr="00D61D87">
              <w:rPr>
                <w:rFonts w:cs="Arial"/>
                <w:sz w:val="18"/>
                <w:szCs w:val="18"/>
              </w:rPr>
              <w:t>Serbie</w:t>
            </w:r>
          </w:p>
        </w:tc>
        <w:tc>
          <w:tcPr>
            <w:tcW w:w="1430" w:type="dxa"/>
            <w:shd w:val="clear" w:color="auto" w:fill="auto"/>
            <w:vAlign w:val="center"/>
          </w:tcPr>
          <w:p w14:paraId="6CB1DD8E" w14:textId="77777777" w:rsidR="00D21BE2" w:rsidRPr="00487813" w:rsidRDefault="00D21BE2" w:rsidP="00986700">
            <w:pPr>
              <w:rPr>
                <w:rFonts w:cs="Arial"/>
                <w:color w:val="000000"/>
                <w:sz w:val="18"/>
                <w:szCs w:val="18"/>
              </w:rPr>
            </w:pPr>
            <w:r w:rsidRPr="00487813">
              <w:rPr>
                <w:rFonts w:cs="Arial"/>
                <w:color w:val="000000"/>
                <w:sz w:val="18"/>
                <w:szCs w:val="18"/>
              </w:rPr>
              <w:t>VIII</w:t>
            </w:r>
          </w:p>
        </w:tc>
        <w:tc>
          <w:tcPr>
            <w:tcW w:w="1210" w:type="dxa"/>
            <w:shd w:val="clear" w:color="auto" w:fill="auto"/>
            <w:vAlign w:val="center"/>
          </w:tcPr>
          <w:p w14:paraId="7E8D745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5</w:t>
            </w:r>
          </w:p>
        </w:tc>
        <w:tc>
          <w:tcPr>
            <w:tcW w:w="1320" w:type="dxa"/>
            <w:shd w:val="clear" w:color="auto" w:fill="auto"/>
            <w:vAlign w:val="center"/>
          </w:tcPr>
          <w:p w14:paraId="13B4184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430" w:type="dxa"/>
            <w:shd w:val="clear" w:color="auto" w:fill="auto"/>
            <w:vAlign w:val="center"/>
          </w:tcPr>
          <w:p w14:paraId="7F140EF7"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c>
          <w:tcPr>
            <w:tcW w:w="1320" w:type="dxa"/>
            <w:shd w:val="clear" w:color="auto" w:fill="auto"/>
            <w:vAlign w:val="center"/>
          </w:tcPr>
          <w:p w14:paraId="3F8F1C42"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r>
      <w:tr w:rsidR="00D21BE2" w:rsidRPr="00487813" w14:paraId="10B507C4" w14:textId="77777777" w:rsidTr="00DD4E5E">
        <w:tc>
          <w:tcPr>
            <w:tcW w:w="3010" w:type="dxa"/>
            <w:shd w:val="clear" w:color="auto" w:fill="E6E6E6"/>
            <w:vAlign w:val="center"/>
          </w:tcPr>
          <w:p w14:paraId="422D2F23" w14:textId="77777777" w:rsidR="00D21BE2" w:rsidRPr="00D61D87" w:rsidRDefault="00D21BE2" w:rsidP="00986700">
            <w:pPr>
              <w:rPr>
                <w:rFonts w:cs="Arial"/>
                <w:sz w:val="18"/>
                <w:szCs w:val="18"/>
              </w:rPr>
            </w:pPr>
            <w:r w:rsidRPr="00D61D87">
              <w:rPr>
                <w:rFonts w:cs="Arial"/>
                <w:sz w:val="18"/>
                <w:szCs w:val="18"/>
              </w:rPr>
              <w:t>Seychelles</w:t>
            </w:r>
          </w:p>
        </w:tc>
        <w:tc>
          <w:tcPr>
            <w:tcW w:w="1430" w:type="dxa"/>
            <w:shd w:val="clear" w:color="auto" w:fill="E6E6E6"/>
            <w:vAlign w:val="center"/>
          </w:tcPr>
          <w:p w14:paraId="5A762B8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0271B84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5FB6955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7A8D055F"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0F1416A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16079E75" w14:textId="77777777" w:rsidTr="00DD4E5E">
        <w:tc>
          <w:tcPr>
            <w:tcW w:w="3010" w:type="dxa"/>
            <w:shd w:val="clear" w:color="auto" w:fill="auto"/>
            <w:vAlign w:val="center"/>
          </w:tcPr>
          <w:p w14:paraId="0BF7A58D" w14:textId="77777777" w:rsidR="00D21BE2" w:rsidRPr="00D61D87" w:rsidRDefault="00D21BE2" w:rsidP="00986700">
            <w:pPr>
              <w:rPr>
                <w:rFonts w:cs="Arial"/>
                <w:sz w:val="18"/>
                <w:szCs w:val="18"/>
              </w:rPr>
            </w:pPr>
            <w:r w:rsidRPr="00D61D87">
              <w:rPr>
                <w:rFonts w:cs="Arial"/>
                <w:sz w:val="18"/>
                <w:szCs w:val="18"/>
              </w:rPr>
              <w:t>Sierra Leone</w:t>
            </w:r>
          </w:p>
        </w:tc>
        <w:tc>
          <w:tcPr>
            <w:tcW w:w="1430" w:type="dxa"/>
            <w:shd w:val="clear" w:color="auto" w:fill="auto"/>
            <w:vAlign w:val="center"/>
          </w:tcPr>
          <w:p w14:paraId="3696C04E"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505C3F0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7DEA2549"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1AA56180"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59A2844"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26047E95" w14:textId="77777777" w:rsidTr="00DD4E5E">
        <w:tc>
          <w:tcPr>
            <w:tcW w:w="3010" w:type="dxa"/>
            <w:shd w:val="clear" w:color="auto" w:fill="E6E6E6"/>
            <w:vAlign w:val="center"/>
          </w:tcPr>
          <w:p w14:paraId="3D56BB9B" w14:textId="77777777" w:rsidR="00D21BE2" w:rsidRPr="00D61D87" w:rsidRDefault="00D21BE2" w:rsidP="00986700">
            <w:pPr>
              <w:rPr>
                <w:rFonts w:cs="Arial"/>
                <w:sz w:val="18"/>
                <w:szCs w:val="18"/>
              </w:rPr>
            </w:pPr>
            <w:r w:rsidRPr="00D61D87">
              <w:rPr>
                <w:rFonts w:cs="Arial"/>
                <w:sz w:val="18"/>
                <w:szCs w:val="18"/>
              </w:rPr>
              <w:t>Singapour</w:t>
            </w:r>
          </w:p>
        </w:tc>
        <w:tc>
          <w:tcPr>
            <w:tcW w:w="1430" w:type="dxa"/>
            <w:shd w:val="clear" w:color="auto" w:fill="E6E6E6"/>
            <w:vAlign w:val="center"/>
          </w:tcPr>
          <w:p w14:paraId="4367FFA0"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07C6808F"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653EA2D9"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2EFA41D0"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51BBA061"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031592AA" w14:textId="77777777" w:rsidTr="00DD4E5E">
        <w:tc>
          <w:tcPr>
            <w:tcW w:w="3010" w:type="dxa"/>
            <w:shd w:val="clear" w:color="auto" w:fill="auto"/>
            <w:vAlign w:val="center"/>
          </w:tcPr>
          <w:p w14:paraId="1578EFB3" w14:textId="77777777" w:rsidR="00D21BE2" w:rsidRPr="00D61D87" w:rsidRDefault="00D21BE2" w:rsidP="00986700">
            <w:pPr>
              <w:rPr>
                <w:rFonts w:cs="Arial"/>
                <w:sz w:val="18"/>
                <w:szCs w:val="18"/>
              </w:rPr>
            </w:pPr>
            <w:r w:rsidRPr="00D61D87">
              <w:rPr>
                <w:rFonts w:cs="Arial"/>
                <w:sz w:val="18"/>
                <w:szCs w:val="18"/>
              </w:rPr>
              <w:t>Slovaquie</w:t>
            </w:r>
          </w:p>
        </w:tc>
        <w:tc>
          <w:tcPr>
            <w:tcW w:w="1430" w:type="dxa"/>
            <w:shd w:val="clear" w:color="auto" w:fill="auto"/>
            <w:vAlign w:val="center"/>
          </w:tcPr>
          <w:p w14:paraId="5B906A23" w14:textId="77777777" w:rsidR="00D21BE2" w:rsidRPr="00487813" w:rsidRDefault="00D21BE2" w:rsidP="00986700">
            <w:pPr>
              <w:rPr>
                <w:rFonts w:cs="Arial"/>
                <w:color w:val="000000"/>
                <w:sz w:val="18"/>
                <w:szCs w:val="18"/>
              </w:rPr>
            </w:pPr>
            <w:r w:rsidRPr="00487813">
              <w:rPr>
                <w:rFonts w:cs="Arial"/>
                <w:color w:val="000000"/>
                <w:sz w:val="18"/>
                <w:szCs w:val="18"/>
              </w:rPr>
              <w:t>VI</w:t>
            </w:r>
          </w:p>
        </w:tc>
        <w:tc>
          <w:tcPr>
            <w:tcW w:w="1210" w:type="dxa"/>
            <w:shd w:val="clear" w:color="auto" w:fill="auto"/>
            <w:vAlign w:val="center"/>
          </w:tcPr>
          <w:p w14:paraId="4E449ED3" w14:textId="77777777" w:rsidR="00D21BE2" w:rsidRPr="00487813" w:rsidRDefault="00D21BE2" w:rsidP="00986700">
            <w:pPr>
              <w:jc w:val="right"/>
              <w:rPr>
                <w:rFonts w:cs="Arial"/>
                <w:color w:val="000000"/>
                <w:sz w:val="18"/>
                <w:szCs w:val="18"/>
              </w:rPr>
            </w:pPr>
            <w:r w:rsidRPr="00487813">
              <w:rPr>
                <w:rFonts w:cs="Arial"/>
                <w:color w:val="000000"/>
                <w:sz w:val="18"/>
                <w:szCs w:val="18"/>
              </w:rPr>
              <w:t>3</w:t>
            </w:r>
          </w:p>
        </w:tc>
        <w:tc>
          <w:tcPr>
            <w:tcW w:w="1320" w:type="dxa"/>
            <w:shd w:val="clear" w:color="auto" w:fill="auto"/>
            <w:vAlign w:val="center"/>
          </w:tcPr>
          <w:p w14:paraId="398DE3E3"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430" w:type="dxa"/>
            <w:shd w:val="clear" w:color="auto" w:fill="auto"/>
            <w:vAlign w:val="center"/>
          </w:tcPr>
          <w:p w14:paraId="136C5023" w14:textId="77777777" w:rsidR="00D21BE2" w:rsidRPr="00487813" w:rsidRDefault="00D21BE2" w:rsidP="00986700">
            <w:pPr>
              <w:jc w:val="right"/>
              <w:rPr>
                <w:rFonts w:cs="Arial"/>
                <w:color w:val="000000"/>
                <w:sz w:val="18"/>
                <w:szCs w:val="18"/>
              </w:rPr>
            </w:pPr>
            <w:r w:rsidRPr="00487813">
              <w:rPr>
                <w:rFonts w:cs="Arial"/>
                <w:color w:val="000000"/>
                <w:sz w:val="18"/>
                <w:szCs w:val="18"/>
              </w:rPr>
              <w:t>123</w:t>
            </w:r>
            <w:r>
              <w:rPr>
                <w:rFonts w:cs="Arial"/>
                <w:color w:val="000000"/>
                <w:sz w:val="18"/>
                <w:szCs w:val="18"/>
              </w:rPr>
              <w:t> </w:t>
            </w:r>
            <w:r w:rsidRPr="00487813">
              <w:rPr>
                <w:rFonts w:cs="Arial"/>
                <w:color w:val="000000"/>
                <w:sz w:val="18"/>
                <w:szCs w:val="18"/>
              </w:rPr>
              <w:t>063</w:t>
            </w:r>
          </w:p>
        </w:tc>
        <w:tc>
          <w:tcPr>
            <w:tcW w:w="1320" w:type="dxa"/>
            <w:shd w:val="clear" w:color="auto" w:fill="auto"/>
            <w:vAlign w:val="center"/>
          </w:tcPr>
          <w:p w14:paraId="3D4B0BEF" w14:textId="77777777" w:rsidR="00D21BE2" w:rsidRPr="00487813" w:rsidRDefault="00D21BE2" w:rsidP="00986700">
            <w:pPr>
              <w:jc w:val="right"/>
              <w:rPr>
                <w:rFonts w:cs="Arial"/>
                <w:color w:val="000000"/>
                <w:sz w:val="18"/>
                <w:szCs w:val="18"/>
              </w:rPr>
            </w:pPr>
            <w:r w:rsidRPr="00487813">
              <w:rPr>
                <w:rFonts w:cs="Arial"/>
                <w:color w:val="000000"/>
                <w:sz w:val="18"/>
                <w:szCs w:val="18"/>
              </w:rPr>
              <w:t>246</w:t>
            </w:r>
            <w:r>
              <w:rPr>
                <w:rFonts w:cs="Arial"/>
                <w:color w:val="000000"/>
                <w:sz w:val="18"/>
                <w:szCs w:val="18"/>
              </w:rPr>
              <w:t> </w:t>
            </w:r>
            <w:r w:rsidRPr="00487813">
              <w:rPr>
                <w:rFonts w:cs="Arial"/>
                <w:color w:val="000000"/>
                <w:sz w:val="18"/>
                <w:szCs w:val="18"/>
              </w:rPr>
              <w:t>126</w:t>
            </w:r>
          </w:p>
        </w:tc>
      </w:tr>
      <w:tr w:rsidR="00D21BE2" w:rsidRPr="00487813" w14:paraId="41879DDF" w14:textId="77777777" w:rsidTr="00DD4E5E">
        <w:tc>
          <w:tcPr>
            <w:tcW w:w="3010" w:type="dxa"/>
            <w:shd w:val="clear" w:color="auto" w:fill="E6E6E6"/>
            <w:vAlign w:val="center"/>
          </w:tcPr>
          <w:p w14:paraId="6DA83821" w14:textId="77777777" w:rsidR="00D21BE2" w:rsidRPr="00D61D87" w:rsidRDefault="00D21BE2" w:rsidP="00986700">
            <w:pPr>
              <w:rPr>
                <w:rFonts w:cs="Arial"/>
                <w:sz w:val="18"/>
                <w:szCs w:val="18"/>
              </w:rPr>
            </w:pPr>
            <w:r w:rsidRPr="00D61D87">
              <w:rPr>
                <w:rFonts w:cs="Arial"/>
                <w:sz w:val="18"/>
                <w:szCs w:val="18"/>
              </w:rPr>
              <w:t>Slovénie</w:t>
            </w:r>
          </w:p>
        </w:tc>
        <w:tc>
          <w:tcPr>
            <w:tcW w:w="1430" w:type="dxa"/>
            <w:shd w:val="clear" w:color="auto" w:fill="E6E6E6"/>
            <w:vAlign w:val="center"/>
          </w:tcPr>
          <w:p w14:paraId="697E48EB" w14:textId="77777777" w:rsidR="00D21BE2" w:rsidRPr="00487813" w:rsidRDefault="00D21BE2" w:rsidP="00986700">
            <w:pPr>
              <w:rPr>
                <w:rFonts w:cs="Arial"/>
                <w:color w:val="000000"/>
                <w:sz w:val="18"/>
                <w:szCs w:val="18"/>
              </w:rPr>
            </w:pPr>
            <w:r w:rsidRPr="00487813">
              <w:rPr>
                <w:rFonts w:cs="Arial"/>
                <w:color w:val="000000"/>
                <w:sz w:val="18"/>
                <w:szCs w:val="18"/>
              </w:rPr>
              <w:t>VII</w:t>
            </w:r>
          </w:p>
        </w:tc>
        <w:tc>
          <w:tcPr>
            <w:tcW w:w="1210" w:type="dxa"/>
            <w:shd w:val="clear" w:color="auto" w:fill="E6E6E6"/>
            <w:vAlign w:val="center"/>
          </w:tcPr>
          <w:p w14:paraId="2CC0449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p>
        </w:tc>
        <w:tc>
          <w:tcPr>
            <w:tcW w:w="1320" w:type="dxa"/>
            <w:shd w:val="clear" w:color="auto" w:fill="E6E6E6"/>
            <w:vAlign w:val="center"/>
          </w:tcPr>
          <w:p w14:paraId="67148AA1"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430" w:type="dxa"/>
            <w:shd w:val="clear" w:color="auto" w:fill="E6E6E6"/>
            <w:vAlign w:val="center"/>
          </w:tcPr>
          <w:p w14:paraId="1A1735A8" w14:textId="77777777" w:rsidR="00D21BE2" w:rsidRPr="00487813" w:rsidRDefault="00D21BE2" w:rsidP="00986700">
            <w:pPr>
              <w:jc w:val="right"/>
              <w:rPr>
                <w:rFonts w:cs="Arial"/>
                <w:color w:val="000000"/>
                <w:sz w:val="18"/>
                <w:szCs w:val="18"/>
              </w:rPr>
            </w:pPr>
            <w:r w:rsidRPr="00487813">
              <w:rPr>
                <w:rFonts w:cs="Arial"/>
                <w:color w:val="000000"/>
                <w:sz w:val="18"/>
                <w:szCs w:val="18"/>
              </w:rPr>
              <w:t>41</w:t>
            </w:r>
            <w:r>
              <w:rPr>
                <w:rFonts w:cs="Arial"/>
                <w:color w:val="000000"/>
                <w:sz w:val="18"/>
                <w:szCs w:val="18"/>
              </w:rPr>
              <w:t> </w:t>
            </w:r>
            <w:r w:rsidRPr="00487813">
              <w:rPr>
                <w:rFonts w:cs="Arial"/>
                <w:color w:val="000000"/>
                <w:sz w:val="18"/>
                <w:szCs w:val="18"/>
              </w:rPr>
              <w:t>021</w:t>
            </w:r>
          </w:p>
        </w:tc>
        <w:tc>
          <w:tcPr>
            <w:tcW w:w="1320" w:type="dxa"/>
            <w:shd w:val="clear" w:color="auto" w:fill="E6E6E6"/>
            <w:vAlign w:val="center"/>
          </w:tcPr>
          <w:p w14:paraId="0772287B"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r>
      <w:tr w:rsidR="00D21BE2" w:rsidRPr="00487813" w14:paraId="27090262" w14:textId="77777777" w:rsidTr="00DD4E5E">
        <w:tc>
          <w:tcPr>
            <w:tcW w:w="3010" w:type="dxa"/>
            <w:shd w:val="clear" w:color="auto" w:fill="auto"/>
            <w:vAlign w:val="center"/>
          </w:tcPr>
          <w:p w14:paraId="0AC04DC8" w14:textId="77777777" w:rsidR="00D21BE2" w:rsidRPr="00D61D87" w:rsidRDefault="00D21BE2" w:rsidP="00986700">
            <w:pPr>
              <w:rPr>
                <w:rFonts w:cs="Arial"/>
                <w:sz w:val="18"/>
                <w:szCs w:val="18"/>
              </w:rPr>
            </w:pPr>
            <w:r w:rsidRPr="00D61D87">
              <w:rPr>
                <w:rFonts w:cs="Arial"/>
                <w:sz w:val="18"/>
                <w:szCs w:val="18"/>
              </w:rPr>
              <w:t>Somalie</w:t>
            </w:r>
            <w:r w:rsidRPr="00D61D87">
              <w:rPr>
                <w:rFonts w:cs="Arial"/>
                <w:sz w:val="18"/>
                <w:szCs w:val="18"/>
                <w:vertAlign w:val="superscript"/>
              </w:rPr>
              <w:t>2</w:t>
            </w:r>
          </w:p>
        </w:tc>
        <w:tc>
          <w:tcPr>
            <w:tcW w:w="1430" w:type="dxa"/>
            <w:shd w:val="clear" w:color="auto" w:fill="auto"/>
            <w:vAlign w:val="center"/>
          </w:tcPr>
          <w:p w14:paraId="0E749600"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9AB352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2822C0A8"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5845BC4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0655DCEC"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500A3887" w14:textId="77777777" w:rsidTr="00DD4E5E">
        <w:tc>
          <w:tcPr>
            <w:tcW w:w="3010" w:type="dxa"/>
            <w:shd w:val="clear" w:color="auto" w:fill="E6E6E6"/>
            <w:vAlign w:val="center"/>
          </w:tcPr>
          <w:p w14:paraId="1FAD295E" w14:textId="77777777" w:rsidR="00D21BE2" w:rsidRPr="00D61D87" w:rsidRDefault="00D21BE2" w:rsidP="00986700">
            <w:pPr>
              <w:rPr>
                <w:rFonts w:cs="Arial"/>
                <w:sz w:val="18"/>
                <w:szCs w:val="18"/>
              </w:rPr>
            </w:pPr>
            <w:r w:rsidRPr="00D61D87">
              <w:rPr>
                <w:rFonts w:cs="Arial"/>
                <w:sz w:val="18"/>
                <w:szCs w:val="18"/>
              </w:rPr>
              <w:t>Soudan</w:t>
            </w:r>
          </w:p>
        </w:tc>
        <w:tc>
          <w:tcPr>
            <w:tcW w:w="1430" w:type="dxa"/>
            <w:shd w:val="clear" w:color="auto" w:fill="E6E6E6"/>
            <w:vAlign w:val="center"/>
          </w:tcPr>
          <w:p w14:paraId="5118C4BA"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3E3FFBA5"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37A5CE3F"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6EE6108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0B156D2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3F438CF" w14:textId="77777777" w:rsidTr="00DD4E5E">
        <w:tc>
          <w:tcPr>
            <w:tcW w:w="3010" w:type="dxa"/>
            <w:shd w:val="clear" w:color="auto" w:fill="auto"/>
            <w:vAlign w:val="center"/>
          </w:tcPr>
          <w:p w14:paraId="33278370" w14:textId="77777777" w:rsidR="00D21BE2" w:rsidRPr="00D61D87" w:rsidRDefault="00D21BE2" w:rsidP="00986700">
            <w:pPr>
              <w:rPr>
                <w:rFonts w:cs="Arial"/>
                <w:sz w:val="18"/>
                <w:szCs w:val="18"/>
              </w:rPr>
            </w:pPr>
            <w:r w:rsidRPr="00D61D87">
              <w:rPr>
                <w:rFonts w:cs="Arial"/>
                <w:sz w:val="18"/>
                <w:szCs w:val="18"/>
              </w:rPr>
              <w:t>Sri Lanka</w:t>
            </w:r>
          </w:p>
        </w:tc>
        <w:tc>
          <w:tcPr>
            <w:tcW w:w="1430" w:type="dxa"/>
            <w:shd w:val="clear" w:color="auto" w:fill="auto"/>
            <w:vAlign w:val="center"/>
          </w:tcPr>
          <w:p w14:paraId="0DEA24DA"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6A94656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5A03390C"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48B05B46"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30AA6512"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32ADF10E" w14:textId="77777777" w:rsidTr="00DD4E5E">
        <w:tc>
          <w:tcPr>
            <w:tcW w:w="3010" w:type="dxa"/>
            <w:shd w:val="clear" w:color="auto" w:fill="E6E6E6"/>
            <w:vAlign w:val="center"/>
          </w:tcPr>
          <w:p w14:paraId="1B342BCD" w14:textId="77777777" w:rsidR="00D21BE2" w:rsidRPr="00D61D87" w:rsidRDefault="00D21BE2" w:rsidP="00986700">
            <w:pPr>
              <w:rPr>
                <w:rFonts w:cs="Arial"/>
                <w:sz w:val="18"/>
                <w:szCs w:val="18"/>
              </w:rPr>
            </w:pPr>
            <w:r w:rsidRPr="00D61D87">
              <w:rPr>
                <w:rFonts w:cs="Arial"/>
                <w:sz w:val="18"/>
                <w:szCs w:val="18"/>
              </w:rPr>
              <w:t>Suède</w:t>
            </w:r>
          </w:p>
        </w:tc>
        <w:tc>
          <w:tcPr>
            <w:tcW w:w="1430" w:type="dxa"/>
            <w:shd w:val="clear" w:color="auto" w:fill="E6E6E6"/>
            <w:vAlign w:val="center"/>
          </w:tcPr>
          <w:p w14:paraId="3B811FB4" w14:textId="77777777" w:rsidR="00D21BE2" w:rsidRPr="00487813" w:rsidRDefault="00D21BE2" w:rsidP="00986700">
            <w:pPr>
              <w:rPr>
                <w:rFonts w:cs="Arial"/>
                <w:color w:val="000000"/>
                <w:sz w:val="18"/>
                <w:szCs w:val="18"/>
              </w:rPr>
            </w:pPr>
            <w:r w:rsidRPr="00487813">
              <w:rPr>
                <w:rFonts w:cs="Arial"/>
                <w:color w:val="000000"/>
                <w:sz w:val="18"/>
                <w:szCs w:val="18"/>
              </w:rPr>
              <w:t>III</w:t>
            </w:r>
          </w:p>
        </w:tc>
        <w:tc>
          <w:tcPr>
            <w:tcW w:w="1210" w:type="dxa"/>
            <w:shd w:val="clear" w:color="auto" w:fill="E6E6E6"/>
            <w:vAlign w:val="center"/>
          </w:tcPr>
          <w:p w14:paraId="63AA1A20" w14:textId="77777777" w:rsidR="00D21BE2" w:rsidRPr="00487813" w:rsidRDefault="00D21BE2" w:rsidP="00986700">
            <w:pPr>
              <w:jc w:val="right"/>
              <w:rPr>
                <w:rFonts w:cs="Arial"/>
                <w:color w:val="000000"/>
                <w:sz w:val="18"/>
                <w:szCs w:val="18"/>
              </w:rPr>
            </w:pPr>
            <w:r w:rsidRPr="00487813">
              <w:rPr>
                <w:rFonts w:cs="Arial"/>
                <w:color w:val="000000"/>
                <w:sz w:val="18"/>
                <w:szCs w:val="18"/>
              </w:rPr>
              <w:t>15</w:t>
            </w:r>
          </w:p>
        </w:tc>
        <w:tc>
          <w:tcPr>
            <w:tcW w:w="1320" w:type="dxa"/>
            <w:shd w:val="clear" w:color="auto" w:fill="E6E6E6"/>
            <w:vAlign w:val="center"/>
          </w:tcPr>
          <w:p w14:paraId="0FB92062"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430" w:type="dxa"/>
            <w:shd w:val="clear" w:color="auto" w:fill="E6E6E6"/>
            <w:vAlign w:val="center"/>
          </w:tcPr>
          <w:p w14:paraId="4C1C1283"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320" w:type="dxa"/>
            <w:shd w:val="clear" w:color="auto" w:fill="E6E6E6"/>
            <w:vAlign w:val="center"/>
          </w:tcPr>
          <w:p w14:paraId="6BFF0D4B"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230</w:t>
            </w:r>
            <w:r>
              <w:rPr>
                <w:rFonts w:cs="Arial"/>
                <w:color w:val="000000"/>
                <w:sz w:val="18"/>
                <w:szCs w:val="18"/>
              </w:rPr>
              <w:t> </w:t>
            </w:r>
            <w:r w:rsidRPr="00487813">
              <w:rPr>
                <w:rFonts w:cs="Arial"/>
                <w:color w:val="000000"/>
                <w:sz w:val="18"/>
                <w:szCs w:val="18"/>
              </w:rPr>
              <w:t>630</w:t>
            </w:r>
          </w:p>
        </w:tc>
      </w:tr>
      <w:tr w:rsidR="00D21BE2" w:rsidRPr="00487813" w14:paraId="3471DF67" w14:textId="77777777" w:rsidTr="00DD4E5E">
        <w:tc>
          <w:tcPr>
            <w:tcW w:w="3010" w:type="dxa"/>
            <w:shd w:val="clear" w:color="auto" w:fill="auto"/>
            <w:vAlign w:val="center"/>
          </w:tcPr>
          <w:p w14:paraId="560574D6" w14:textId="77777777" w:rsidR="00D21BE2" w:rsidRPr="00D61D87" w:rsidRDefault="00D21BE2" w:rsidP="00986700">
            <w:pPr>
              <w:rPr>
                <w:rFonts w:cs="Arial"/>
                <w:sz w:val="18"/>
                <w:szCs w:val="18"/>
              </w:rPr>
            </w:pPr>
            <w:r w:rsidRPr="00D61D87">
              <w:rPr>
                <w:rFonts w:cs="Arial"/>
                <w:sz w:val="18"/>
                <w:szCs w:val="18"/>
              </w:rPr>
              <w:t>Suisse</w:t>
            </w:r>
          </w:p>
        </w:tc>
        <w:tc>
          <w:tcPr>
            <w:tcW w:w="1430" w:type="dxa"/>
            <w:shd w:val="clear" w:color="auto" w:fill="auto"/>
            <w:vAlign w:val="center"/>
          </w:tcPr>
          <w:p w14:paraId="2A600BE9" w14:textId="77777777" w:rsidR="00D21BE2" w:rsidRPr="00487813" w:rsidRDefault="00D21BE2" w:rsidP="00986700">
            <w:pPr>
              <w:rPr>
                <w:rFonts w:cs="Arial"/>
                <w:color w:val="000000"/>
                <w:sz w:val="18"/>
                <w:szCs w:val="18"/>
              </w:rPr>
            </w:pPr>
            <w:r w:rsidRPr="00487813">
              <w:rPr>
                <w:rFonts w:cs="Arial"/>
                <w:color w:val="000000"/>
                <w:sz w:val="18"/>
                <w:szCs w:val="18"/>
              </w:rPr>
              <w:t>III</w:t>
            </w:r>
          </w:p>
        </w:tc>
        <w:tc>
          <w:tcPr>
            <w:tcW w:w="1210" w:type="dxa"/>
            <w:shd w:val="clear" w:color="auto" w:fill="auto"/>
            <w:vAlign w:val="center"/>
          </w:tcPr>
          <w:p w14:paraId="41B5BF23" w14:textId="77777777" w:rsidR="00D21BE2" w:rsidRPr="00487813" w:rsidRDefault="00D21BE2" w:rsidP="00986700">
            <w:pPr>
              <w:jc w:val="right"/>
              <w:rPr>
                <w:rFonts w:cs="Arial"/>
                <w:color w:val="000000"/>
                <w:sz w:val="18"/>
                <w:szCs w:val="18"/>
              </w:rPr>
            </w:pPr>
            <w:r w:rsidRPr="00487813">
              <w:rPr>
                <w:rFonts w:cs="Arial"/>
                <w:color w:val="000000"/>
                <w:sz w:val="18"/>
                <w:szCs w:val="18"/>
              </w:rPr>
              <w:t>15</w:t>
            </w:r>
          </w:p>
        </w:tc>
        <w:tc>
          <w:tcPr>
            <w:tcW w:w="1320" w:type="dxa"/>
            <w:shd w:val="clear" w:color="auto" w:fill="auto"/>
            <w:vAlign w:val="center"/>
          </w:tcPr>
          <w:p w14:paraId="74728537"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430" w:type="dxa"/>
            <w:shd w:val="clear" w:color="auto" w:fill="auto"/>
            <w:vAlign w:val="center"/>
          </w:tcPr>
          <w:p w14:paraId="686D9793" w14:textId="77777777" w:rsidR="00D21BE2" w:rsidRPr="00487813" w:rsidRDefault="00D21BE2" w:rsidP="00986700">
            <w:pPr>
              <w:jc w:val="right"/>
              <w:rPr>
                <w:rFonts w:cs="Arial"/>
                <w:color w:val="000000"/>
                <w:sz w:val="18"/>
                <w:szCs w:val="18"/>
              </w:rPr>
            </w:pPr>
            <w:r w:rsidRPr="00487813">
              <w:rPr>
                <w:rFonts w:cs="Arial"/>
                <w:color w:val="000000"/>
                <w:sz w:val="18"/>
                <w:szCs w:val="18"/>
              </w:rPr>
              <w:t>615</w:t>
            </w:r>
            <w:r>
              <w:rPr>
                <w:rFonts w:cs="Arial"/>
                <w:color w:val="000000"/>
                <w:sz w:val="18"/>
                <w:szCs w:val="18"/>
              </w:rPr>
              <w:t> </w:t>
            </w:r>
            <w:r w:rsidRPr="00487813">
              <w:rPr>
                <w:rFonts w:cs="Arial"/>
                <w:color w:val="000000"/>
                <w:sz w:val="18"/>
                <w:szCs w:val="18"/>
              </w:rPr>
              <w:t>315</w:t>
            </w:r>
          </w:p>
        </w:tc>
        <w:tc>
          <w:tcPr>
            <w:tcW w:w="1320" w:type="dxa"/>
            <w:shd w:val="clear" w:color="auto" w:fill="auto"/>
            <w:vAlign w:val="center"/>
          </w:tcPr>
          <w:p w14:paraId="4F5CC15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230</w:t>
            </w:r>
            <w:r>
              <w:rPr>
                <w:rFonts w:cs="Arial"/>
                <w:color w:val="000000"/>
                <w:sz w:val="18"/>
                <w:szCs w:val="18"/>
              </w:rPr>
              <w:t> </w:t>
            </w:r>
            <w:r w:rsidRPr="00487813">
              <w:rPr>
                <w:rFonts w:cs="Arial"/>
                <w:color w:val="000000"/>
                <w:sz w:val="18"/>
                <w:szCs w:val="18"/>
              </w:rPr>
              <w:t>630</w:t>
            </w:r>
          </w:p>
        </w:tc>
      </w:tr>
      <w:tr w:rsidR="00D21BE2" w:rsidRPr="00487813" w14:paraId="026C81AC" w14:textId="77777777" w:rsidTr="00DD4E5E">
        <w:tc>
          <w:tcPr>
            <w:tcW w:w="3010" w:type="dxa"/>
            <w:shd w:val="clear" w:color="auto" w:fill="E6E6E6"/>
            <w:vAlign w:val="center"/>
          </w:tcPr>
          <w:p w14:paraId="0F94401F" w14:textId="77777777" w:rsidR="00D21BE2" w:rsidRPr="00D61D87" w:rsidRDefault="00D21BE2" w:rsidP="00986700">
            <w:pPr>
              <w:rPr>
                <w:rFonts w:cs="Arial"/>
                <w:sz w:val="18"/>
                <w:szCs w:val="18"/>
              </w:rPr>
            </w:pPr>
            <w:r w:rsidRPr="00D61D87">
              <w:rPr>
                <w:rFonts w:cs="Arial"/>
                <w:sz w:val="18"/>
                <w:szCs w:val="18"/>
              </w:rPr>
              <w:t>Suriname</w:t>
            </w:r>
          </w:p>
        </w:tc>
        <w:tc>
          <w:tcPr>
            <w:tcW w:w="1430" w:type="dxa"/>
            <w:shd w:val="clear" w:color="auto" w:fill="E6E6E6"/>
            <w:vAlign w:val="center"/>
          </w:tcPr>
          <w:p w14:paraId="456CA699"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74402467"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5BC1880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2A8CD4C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77CCAF42"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7526BDD9" w14:textId="77777777" w:rsidTr="00DD4E5E">
        <w:tc>
          <w:tcPr>
            <w:tcW w:w="3010" w:type="dxa"/>
            <w:shd w:val="clear" w:color="auto" w:fill="auto"/>
            <w:vAlign w:val="center"/>
          </w:tcPr>
          <w:p w14:paraId="17B75F5B" w14:textId="77777777" w:rsidR="00D21BE2" w:rsidRPr="00D61D87" w:rsidRDefault="00D21BE2" w:rsidP="00986700">
            <w:pPr>
              <w:rPr>
                <w:rFonts w:cs="Arial"/>
                <w:sz w:val="18"/>
                <w:szCs w:val="18"/>
              </w:rPr>
            </w:pPr>
            <w:r w:rsidRPr="00D61D87">
              <w:rPr>
                <w:rFonts w:cs="Arial"/>
                <w:sz w:val="18"/>
                <w:szCs w:val="18"/>
              </w:rPr>
              <w:t>Swaziland</w:t>
            </w:r>
          </w:p>
        </w:tc>
        <w:tc>
          <w:tcPr>
            <w:tcW w:w="1430" w:type="dxa"/>
            <w:shd w:val="clear" w:color="auto" w:fill="auto"/>
            <w:vAlign w:val="center"/>
          </w:tcPr>
          <w:p w14:paraId="70D1DE8E"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3E53DCC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3249AD6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4F8E7D4B"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28699285"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3FC7F76F" w14:textId="77777777" w:rsidTr="00DD4E5E">
        <w:tc>
          <w:tcPr>
            <w:tcW w:w="3010" w:type="dxa"/>
            <w:shd w:val="clear" w:color="auto" w:fill="E6E6E6"/>
            <w:vAlign w:val="center"/>
          </w:tcPr>
          <w:p w14:paraId="6A4E1D40" w14:textId="77777777" w:rsidR="00D21BE2" w:rsidRPr="00D61D87" w:rsidRDefault="00D21BE2" w:rsidP="00986700">
            <w:pPr>
              <w:rPr>
                <w:rFonts w:cs="Arial"/>
                <w:sz w:val="18"/>
                <w:szCs w:val="18"/>
              </w:rPr>
            </w:pPr>
            <w:r w:rsidRPr="00D61D87">
              <w:rPr>
                <w:rFonts w:cs="Arial"/>
                <w:b/>
                <w:bCs/>
                <w:sz w:val="18"/>
                <w:szCs w:val="18"/>
              </w:rPr>
              <w:t>T</w:t>
            </w:r>
            <w:r w:rsidRPr="00D61D87">
              <w:rPr>
                <w:rFonts w:cs="Arial"/>
                <w:bCs/>
                <w:sz w:val="18"/>
                <w:szCs w:val="18"/>
              </w:rPr>
              <w:t>adjikistan</w:t>
            </w:r>
          </w:p>
        </w:tc>
        <w:tc>
          <w:tcPr>
            <w:tcW w:w="1430" w:type="dxa"/>
            <w:shd w:val="clear" w:color="auto" w:fill="E6E6E6"/>
            <w:vAlign w:val="center"/>
          </w:tcPr>
          <w:p w14:paraId="51C4FDFC"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0D508F4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6696663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32DD609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71CF7BA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B85F569" w14:textId="77777777" w:rsidTr="00DD4E5E">
        <w:tc>
          <w:tcPr>
            <w:tcW w:w="3010" w:type="dxa"/>
            <w:shd w:val="clear" w:color="auto" w:fill="auto"/>
            <w:vAlign w:val="center"/>
          </w:tcPr>
          <w:p w14:paraId="756C2C85" w14:textId="77777777" w:rsidR="00D21BE2" w:rsidRPr="00D61D87" w:rsidRDefault="00D21BE2" w:rsidP="00986700">
            <w:pPr>
              <w:rPr>
                <w:rFonts w:cs="Arial"/>
                <w:sz w:val="18"/>
                <w:szCs w:val="18"/>
              </w:rPr>
            </w:pPr>
            <w:r w:rsidRPr="00D61D87">
              <w:rPr>
                <w:rFonts w:cs="Arial"/>
                <w:sz w:val="18"/>
                <w:szCs w:val="18"/>
              </w:rPr>
              <w:t>Tchad</w:t>
            </w:r>
          </w:p>
        </w:tc>
        <w:tc>
          <w:tcPr>
            <w:tcW w:w="1430" w:type="dxa"/>
            <w:shd w:val="clear" w:color="auto" w:fill="auto"/>
            <w:vAlign w:val="center"/>
          </w:tcPr>
          <w:p w14:paraId="51F4EA4B"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3BCD2260"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47ACA2A1"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44E7C797"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0AE0C22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2A4F82C4" w14:textId="77777777" w:rsidTr="00DD4E5E">
        <w:tc>
          <w:tcPr>
            <w:tcW w:w="3010" w:type="dxa"/>
            <w:shd w:val="clear" w:color="auto" w:fill="E6E6E6"/>
            <w:vAlign w:val="center"/>
          </w:tcPr>
          <w:p w14:paraId="0D24BEC6" w14:textId="77777777" w:rsidR="00D21BE2" w:rsidRPr="00D61D87" w:rsidRDefault="00D21BE2" w:rsidP="00986700">
            <w:pPr>
              <w:rPr>
                <w:rFonts w:cs="Arial"/>
                <w:sz w:val="18"/>
                <w:szCs w:val="18"/>
              </w:rPr>
            </w:pPr>
            <w:r w:rsidRPr="00D61D87">
              <w:rPr>
                <w:rFonts w:cs="Arial"/>
                <w:sz w:val="18"/>
                <w:szCs w:val="18"/>
              </w:rPr>
              <w:t>Thaïlande</w:t>
            </w:r>
          </w:p>
        </w:tc>
        <w:tc>
          <w:tcPr>
            <w:tcW w:w="1430" w:type="dxa"/>
            <w:shd w:val="clear" w:color="auto" w:fill="E6E6E6"/>
            <w:vAlign w:val="center"/>
          </w:tcPr>
          <w:p w14:paraId="55B76E8C"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918C8A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46D76A3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5111AF71"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2E84737E"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563B121" w14:textId="77777777" w:rsidTr="00DD4E5E">
        <w:tc>
          <w:tcPr>
            <w:tcW w:w="3010" w:type="dxa"/>
            <w:shd w:val="clear" w:color="auto" w:fill="auto"/>
            <w:vAlign w:val="center"/>
          </w:tcPr>
          <w:p w14:paraId="47585273" w14:textId="77777777" w:rsidR="00D21BE2" w:rsidRPr="00D61D87" w:rsidRDefault="00D21BE2" w:rsidP="00986700">
            <w:pPr>
              <w:rPr>
                <w:rFonts w:cs="Arial"/>
                <w:sz w:val="18"/>
                <w:szCs w:val="18"/>
              </w:rPr>
            </w:pPr>
            <w:r w:rsidRPr="00D61D87">
              <w:rPr>
                <w:rFonts w:cs="Arial"/>
                <w:sz w:val="18"/>
                <w:szCs w:val="18"/>
              </w:rPr>
              <w:t>Togo</w:t>
            </w:r>
          </w:p>
        </w:tc>
        <w:tc>
          <w:tcPr>
            <w:tcW w:w="1430" w:type="dxa"/>
            <w:shd w:val="clear" w:color="auto" w:fill="auto"/>
            <w:vAlign w:val="center"/>
          </w:tcPr>
          <w:p w14:paraId="225FD6E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51C5111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102CCA9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2165B22B"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5570D9E3"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3AC5E0A" w14:textId="77777777" w:rsidTr="00DD4E5E">
        <w:tc>
          <w:tcPr>
            <w:tcW w:w="3010" w:type="dxa"/>
            <w:shd w:val="clear" w:color="auto" w:fill="E6E6E6"/>
            <w:vAlign w:val="center"/>
          </w:tcPr>
          <w:p w14:paraId="3C8F2CC2" w14:textId="77777777" w:rsidR="00D21BE2" w:rsidRPr="00D61D87" w:rsidRDefault="00D21BE2" w:rsidP="00986700">
            <w:pPr>
              <w:rPr>
                <w:rFonts w:cs="Arial"/>
                <w:sz w:val="18"/>
                <w:szCs w:val="18"/>
              </w:rPr>
            </w:pPr>
            <w:r w:rsidRPr="00D61D87">
              <w:rPr>
                <w:rFonts w:cs="Arial"/>
                <w:sz w:val="18"/>
                <w:szCs w:val="18"/>
              </w:rPr>
              <w:lastRenderedPageBreak/>
              <w:t>Tonga</w:t>
            </w:r>
          </w:p>
        </w:tc>
        <w:tc>
          <w:tcPr>
            <w:tcW w:w="1430" w:type="dxa"/>
            <w:shd w:val="clear" w:color="auto" w:fill="E6E6E6"/>
            <w:vAlign w:val="center"/>
          </w:tcPr>
          <w:p w14:paraId="5BB4EC49"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E6E6E6"/>
            <w:vAlign w:val="center"/>
          </w:tcPr>
          <w:p w14:paraId="46D9963E"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E6E6E6"/>
            <w:vAlign w:val="center"/>
          </w:tcPr>
          <w:p w14:paraId="2465ADAE"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E6E6E6"/>
            <w:vAlign w:val="center"/>
          </w:tcPr>
          <w:p w14:paraId="6BC4A7ED"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E6E6E6"/>
            <w:vAlign w:val="center"/>
          </w:tcPr>
          <w:p w14:paraId="726B266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40076A10" w14:textId="77777777" w:rsidTr="00DD4E5E">
        <w:tc>
          <w:tcPr>
            <w:tcW w:w="3010" w:type="dxa"/>
            <w:shd w:val="clear" w:color="auto" w:fill="auto"/>
            <w:vAlign w:val="center"/>
          </w:tcPr>
          <w:p w14:paraId="56A0506A" w14:textId="77777777" w:rsidR="00D21BE2" w:rsidRPr="00D61D87" w:rsidRDefault="00D21BE2" w:rsidP="00986700">
            <w:pPr>
              <w:rPr>
                <w:rFonts w:cs="Arial"/>
                <w:sz w:val="18"/>
                <w:szCs w:val="18"/>
              </w:rPr>
            </w:pPr>
            <w:r w:rsidRPr="00D61D87">
              <w:rPr>
                <w:rFonts w:cs="Arial"/>
                <w:sz w:val="18"/>
                <w:szCs w:val="18"/>
              </w:rPr>
              <w:t>Trinité-et-Tobago</w:t>
            </w:r>
          </w:p>
        </w:tc>
        <w:tc>
          <w:tcPr>
            <w:tcW w:w="1430" w:type="dxa"/>
            <w:shd w:val="clear" w:color="auto" w:fill="auto"/>
            <w:vAlign w:val="center"/>
          </w:tcPr>
          <w:p w14:paraId="5F39E7D8"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4B80348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106C81A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2DB5BBC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2FF0B2C8"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609411B" w14:textId="77777777" w:rsidTr="00DD4E5E">
        <w:tc>
          <w:tcPr>
            <w:tcW w:w="3010" w:type="dxa"/>
            <w:shd w:val="clear" w:color="auto" w:fill="E6E6E6"/>
            <w:vAlign w:val="center"/>
          </w:tcPr>
          <w:p w14:paraId="777CC59F" w14:textId="77777777" w:rsidR="00D21BE2" w:rsidRPr="00D61D87" w:rsidRDefault="00D21BE2" w:rsidP="00986700">
            <w:pPr>
              <w:rPr>
                <w:rFonts w:cs="Arial"/>
                <w:sz w:val="18"/>
                <w:szCs w:val="18"/>
              </w:rPr>
            </w:pPr>
            <w:r w:rsidRPr="00D61D87">
              <w:rPr>
                <w:rFonts w:cs="Arial"/>
                <w:sz w:val="18"/>
                <w:szCs w:val="18"/>
              </w:rPr>
              <w:t>Tunisie</w:t>
            </w:r>
          </w:p>
        </w:tc>
        <w:tc>
          <w:tcPr>
            <w:tcW w:w="1430" w:type="dxa"/>
            <w:shd w:val="clear" w:color="auto" w:fill="E6E6E6"/>
            <w:vAlign w:val="center"/>
          </w:tcPr>
          <w:p w14:paraId="08B64E7D"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54EDD04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425BF67B"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5D0B997C"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210C0ADB"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0A8B3963" w14:textId="77777777" w:rsidTr="00DD4E5E">
        <w:tc>
          <w:tcPr>
            <w:tcW w:w="3010" w:type="dxa"/>
            <w:shd w:val="clear" w:color="auto" w:fill="auto"/>
            <w:vAlign w:val="center"/>
          </w:tcPr>
          <w:p w14:paraId="0C13A8F1" w14:textId="77777777" w:rsidR="00D21BE2" w:rsidRPr="00D61D87" w:rsidRDefault="00D21BE2" w:rsidP="00986700">
            <w:pPr>
              <w:rPr>
                <w:rFonts w:cs="Arial"/>
                <w:sz w:val="18"/>
                <w:szCs w:val="18"/>
              </w:rPr>
            </w:pPr>
            <w:r w:rsidRPr="00D61D87">
              <w:rPr>
                <w:rFonts w:cs="Arial"/>
                <w:sz w:val="18"/>
                <w:szCs w:val="18"/>
              </w:rPr>
              <w:t>Turkménistan</w:t>
            </w:r>
          </w:p>
        </w:tc>
        <w:tc>
          <w:tcPr>
            <w:tcW w:w="1430" w:type="dxa"/>
            <w:shd w:val="clear" w:color="auto" w:fill="auto"/>
            <w:vAlign w:val="center"/>
          </w:tcPr>
          <w:p w14:paraId="6944C9E4"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0F020D58"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5CC69074"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48A0A7C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56515DE0"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52320A9C" w14:textId="77777777" w:rsidTr="00DD4E5E">
        <w:tc>
          <w:tcPr>
            <w:tcW w:w="3010" w:type="dxa"/>
            <w:shd w:val="clear" w:color="auto" w:fill="E6E6E6"/>
            <w:vAlign w:val="center"/>
          </w:tcPr>
          <w:p w14:paraId="1A254ABB" w14:textId="77777777" w:rsidR="00D21BE2" w:rsidRPr="00D61D87" w:rsidRDefault="00D21BE2" w:rsidP="00986700">
            <w:pPr>
              <w:rPr>
                <w:rFonts w:cs="Arial"/>
                <w:sz w:val="18"/>
                <w:szCs w:val="18"/>
              </w:rPr>
            </w:pPr>
            <w:r w:rsidRPr="00D61D87">
              <w:rPr>
                <w:rFonts w:cs="Arial"/>
                <w:sz w:val="18"/>
                <w:szCs w:val="18"/>
              </w:rPr>
              <w:t>Turquie</w:t>
            </w:r>
          </w:p>
        </w:tc>
        <w:tc>
          <w:tcPr>
            <w:tcW w:w="1430" w:type="dxa"/>
            <w:shd w:val="clear" w:color="auto" w:fill="E6E6E6"/>
            <w:vAlign w:val="center"/>
          </w:tcPr>
          <w:p w14:paraId="23B0B184" w14:textId="77777777" w:rsidR="00D21BE2" w:rsidRPr="00487813" w:rsidRDefault="00D21BE2" w:rsidP="00986700">
            <w:pPr>
              <w:rPr>
                <w:rFonts w:cs="Arial"/>
                <w:color w:val="000000"/>
                <w:sz w:val="18"/>
                <w:szCs w:val="18"/>
              </w:rPr>
            </w:pPr>
            <w:r w:rsidRPr="00487813">
              <w:rPr>
                <w:rFonts w:cs="Arial"/>
                <w:color w:val="000000"/>
                <w:sz w:val="18"/>
                <w:szCs w:val="18"/>
              </w:rPr>
              <w:t>VI</w:t>
            </w:r>
            <w:r w:rsidRPr="00487813">
              <w:rPr>
                <w:rFonts w:cs="Arial"/>
                <w:i/>
                <w:iCs/>
                <w:color w:val="000000"/>
                <w:sz w:val="18"/>
                <w:szCs w:val="18"/>
              </w:rPr>
              <w:t>bis</w:t>
            </w:r>
          </w:p>
        </w:tc>
        <w:tc>
          <w:tcPr>
            <w:tcW w:w="1210" w:type="dxa"/>
            <w:shd w:val="clear" w:color="auto" w:fill="E6E6E6"/>
            <w:vAlign w:val="center"/>
          </w:tcPr>
          <w:p w14:paraId="4C96D6AA"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p>
        </w:tc>
        <w:tc>
          <w:tcPr>
            <w:tcW w:w="1320" w:type="dxa"/>
            <w:shd w:val="clear" w:color="auto" w:fill="E6E6E6"/>
            <w:vAlign w:val="center"/>
          </w:tcPr>
          <w:p w14:paraId="51B61D0F"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430" w:type="dxa"/>
            <w:shd w:val="clear" w:color="auto" w:fill="E6E6E6"/>
            <w:vAlign w:val="center"/>
          </w:tcPr>
          <w:p w14:paraId="5285B877" w14:textId="77777777" w:rsidR="00D21BE2" w:rsidRPr="00487813" w:rsidRDefault="00D21BE2" w:rsidP="00986700">
            <w:pPr>
              <w:jc w:val="right"/>
              <w:rPr>
                <w:rFonts w:cs="Arial"/>
                <w:color w:val="000000"/>
                <w:sz w:val="18"/>
                <w:szCs w:val="18"/>
              </w:rPr>
            </w:pPr>
            <w:r w:rsidRPr="00487813">
              <w:rPr>
                <w:rFonts w:cs="Arial"/>
                <w:color w:val="000000"/>
                <w:sz w:val="18"/>
                <w:szCs w:val="18"/>
              </w:rPr>
              <w:t>82</w:t>
            </w:r>
            <w:r>
              <w:rPr>
                <w:rFonts w:cs="Arial"/>
                <w:color w:val="000000"/>
                <w:sz w:val="18"/>
                <w:szCs w:val="18"/>
              </w:rPr>
              <w:t> </w:t>
            </w:r>
            <w:r w:rsidRPr="00487813">
              <w:rPr>
                <w:rFonts w:cs="Arial"/>
                <w:color w:val="000000"/>
                <w:sz w:val="18"/>
                <w:szCs w:val="18"/>
              </w:rPr>
              <w:t>042</w:t>
            </w:r>
          </w:p>
        </w:tc>
        <w:tc>
          <w:tcPr>
            <w:tcW w:w="1320" w:type="dxa"/>
            <w:shd w:val="clear" w:color="auto" w:fill="E6E6E6"/>
            <w:vAlign w:val="center"/>
          </w:tcPr>
          <w:p w14:paraId="6F029C46" w14:textId="77777777" w:rsidR="00D21BE2" w:rsidRPr="00487813" w:rsidRDefault="00D21BE2" w:rsidP="00986700">
            <w:pPr>
              <w:jc w:val="right"/>
              <w:rPr>
                <w:rFonts w:cs="Arial"/>
                <w:color w:val="000000"/>
                <w:sz w:val="18"/>
                <w:szCs w:val="18"/>
              </w:rPr>
            </w:pPr>
            <w:r w:rsidRPr="00487813">
              <w:rPr>
                <w:rFonts w:cs="Arial"/>
                <w:color w:val="000000"/>
                <w:sz w:val="18"/>
                <w:szCs w:val="18"/>
              </w:rPr>
              <w:t>164</w:t>
            </w:r>
            <w:r>
              <w:rPr>
                <w:rFonts w:cs="Arial"/>
                <w:color w:val="000000"/>
                <w:sz w:val="18"/>
                <w:szCs w:val="18"/>
              </w:rPr>
              <w:t> </w:t>
            </w:r>
            <w:r w:rsidRPr="00487813">
              <w:rPr>
                <w:rFonts w:cs="Arial"/>
                <w:color w:val="000000"/>
                <w:sz w:val="18"/>
                <w:szCs w:val="18"/>
              </w:rPr>
              <w:t>084</w:t>
            </w:r>
          </w:p>
        </w:tc>
      </w:tr>
      <w:tr w:rsidR="00D21BE2" w:rsidRPr="00487813" w14:paraId="6DA1AFAF" w14:textId="77777777" w:rsidTr="00DD4E5E">
        <w:tc>
          <w:tcPr>
            <w:tcW w:w="3010" w:type="dxa"/>
            <w:shd w:val="clear" w:color="auto" w:fill="auto"/>
            <w:vAlign w:val="center"/>
          </w:tcPr>
          <w:p w14:paraId="64CDF323" w14:textId="77777777" w:rsidR="00D21BE2" w:rsidRPr="00D61D87" w:rsidRDefault="00D21BE2" w:rsidP="00986700">
            <w:pPr>
              <w:rPr>
                <w:rFonts w:cs="Arial"/>
                <w:sz w:val="18"/>
                <w:szCs w:val="18"/>
              </w:rPr>
            </w:pPr>
            <w:r w:rsidRPr="00D61D87">
              <w:rPr>
                <w:rFonts w:cs="Arial"/>
                <w:sz w:val="18"/>
                <w:szCs w:val="18"/>
              </w:rPr>
              <w:t>Tuvalu</w:t>
            </w:r>
          </w:p>
        </w:tc>
        <w:tc>
          <w:tcPr>
            <w:tcW w:w="1430" w:type="dxa"/>
            <w:shd w:val="clear" w:color="auto" w:fill="auto"/>
            <w:vAlign w:val="center"/>
          </w:tcPr>
          <w:p w14:paraId="4BF57834"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231151B6"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6A787F64"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2BBC1C1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6A8E3C0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19AF7388" w14:textId="77777777" w:rsidTr="00DD4E5E">
        <w:tc>
          <w:tcPr>
            <w:tcW w:w="3010" w:type="dxa"/>
            <w:shd w:val="clear" w:color="auto" w:fill="E6E6E6"/>
            <w:vAlign w:val="center"/>
          </w:tcPr>
          <w:p w14:paraId="6EDDAFED" w14:textId="77777777" w:rsidR="00D21BE2" w:rsidRPr="00D61D87" w:rsidRDefault="00D21BE2" w:rsidP="00986700">
            <w:pPr>
              <w:rPr>
                <w:rFonts w:cs="Arial"/>
                <w:sz w:val="18"/>
                <w:szCs w:val="18"/>
              </w:rPr>
            </w:pPr>
            <w:r w:rsidRPr="00D61D87">
              <w:rPr>
                <w:rFonts w:cs="Arial"/>
                <w:b/>
                <w:sz w:val="18"/>
                <w:szCs w:val="18"/>
              </w:rPr>
              <w:t>U</w:t>
            </w:r>
            <w:r w:rsidRPr="00D61D87">
              <w:rPr>
                <w:rFonts w:cs="Arial"/>
                <w:sz w:val="18"/>
                <w:szCs w:val="18"/>
              </w:rPr>
              <w:t>kraine</w:t>
            </w:r>
          </w:p>
        </w:tc>
        <w:tc>
          <w:tcPr>
            <w:tcW w:w="1430" w:type="dxa"/>
            <w:shd w:val="clear" w:color="auto" w:fill="E6E6E6"/>
            <w:vAlign w:val="center"/>
          </w:tcPr>
          <w:p w14:paraId="49B311C1"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E6E6E6"/>
            <w:vAlign w:val="center"/>
          </w:tcPr>
          <w:p w14:paraId="75BD004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E6E6E6"/>
            <w:vAlign w:val="center"/>
          </w:tcPr>
          <w:p w14:paraId="6EC0F54A"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E6E6E6"/>
            <w:vAlign w:val="center"/>
          </w:tcPr>
          <w:p w14:paraId="7B8F12FD"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E6E6E6"/>
            <w:vAlign w:val="center"/>
          </w:tcPr>
          <w:p w14:paraId="3AD85E8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5C67412E" w14:textId="77777777" w:rsidTr="00DD4E5E">
        <w:tc>
          <w:tcPr>
            <w:tcW w:w="3010" w:type="dxa"/>
            <w:shd w:val="clear" w:color="auto" w:fill="auto"/>
            <w:vAlign w:val="center"/>
          </w:tcPr>
          <w:p w14:paraId="7AEFE000" w14:textId="77777777" w:rsidR="00D21BE2" w:rsidRPr="00D61D87" w:rsidRDefault="00D21BE2" w:rsidP="00986700">
            <w:pPr>
              <w:rPr>
                <w:rFonts w:cs="Arial"/>
                <w:sz w:val="18"/>
                <w:szCs w:val="18"/>
              </w:rPr>
            </w:pPr>
            <w:r w:rsidRPr="00D61D87">
              <w:rPr>
                <w:rFonts w:cs="Arial"/>
                <w:sz w:val="18"/>
                <w:szCs w:val="18"/>
              </w:rPr>
              <w:t>Uruguay</w:t>
            </w:r>
          </w:p>
        </w:tc>
        <w:tc>
          <w:tcPr>
            <w:tcW w:w="1430" w:type="dxa"/>
            <w:shd w:val="clear" w:color="auto" w:fill="auto"/>
            <w:vAlign w:val="center"/>
          </w:tcPr>
          <w:p w14:paraId="5F7157A9"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auto"/>
            <w:vAlign w:val="center"/>
          </w:tcPr>
          <w:p w14:paraId="1A3CCB62"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auto"/>
            <w:vAlign w:val="center"/>
          </w:tcPr>
          <w:p w14:paraId="2953320A"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auto"/>
            <w:vAlign w:val="center"/>
          </w:tcPr>
          <w:p w14:paraId="77B36F63"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auto"/>
            <w:vAlign w:val="center"/>
          </w:tcPr>
          <w:p w14:paraId="39C52D4A"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57EA7647" w14:textId="77777777" w:rsidTr="00DD4E5E">
        <w:tc>
          <w:tcPr>
            <w:tcW w:w="3010" w:type="dxa"/>
            <w:shd w:val="clear" w:color="auto" w:fill="E6E6E6"/>
            <w:vAlign w:val="center"/>
          </w:tcPr>
          <w:p w14:paraId="003C5EA0" w14:textId="77777777" w:rsidR="00D21BE2" w:rsidRPr="00D61D87" w:rsidRDefault="00D21BE2" w:rsidP="00986700">
            <w:pPr>
              <w:rPr>
                <w:rFonts w:cs="Arial"/>
                <w:sz w:val="18"/>
                <w:szCs w:val="18"/>
              </w:rPr>
            </w:pPr>
            <w:r w:rsidRPr="00D61D87">
              <w:rPr>
                <w:rFonts w:cs="Arial"/>
                <w:b/>
                <w:bCs/>
                <w:sz w:val="18"/>
                <w:szCs w:val="18"/>
              </w:rPr>
              <w:t>V</w:t>
            </w:r>
            <w:r w:rsidRPr="00D61D87">
              <w:rPr>
                <w:rFonts w:cs="Arial"/>
                <w:bCs/>
                <w:sz w:val="18"/>
                <w:szCs w:val="18"/>
              </w:rPr>
              <w:t>anuatu</w:t>
            </w:r>
          </w:p>
        </w:tc>
        <w:tc>
          <w:tcPr>
            <w:tcW w:w="1430" w:type="dxa"/>
            <w:shd w:val="clear" w:color="auto" w:fill="E6E6E6"/>
            <w:vAlign w:val="center"/>
          </w:tcPr>
          <w:p w14:paraId="2706DC98"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4D497D19"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1751140E"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1C7B2D1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3C7E64B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385D1BFE" w14:textId="77777777" w:rsidTr="00DD4E5E">
        <w:tc>
          <w:tcPr>
            <w:tcW w:w="3010" w:type="dxa"/>
            <w:shd w:val="clear" w:color="auto" w:fill="auto"/>
            <w:vAlign w:val="center"/>
          </w:tcPr>
          <w:p w14:paraId="58C86BAA" w14:textId="77777777" w:rsidR="00D21BE2" w:rsidRPr="00D61D87" w:rsidRDefault="00D21BE2" w:rsidP="00986700">
            <w:pPr>
              <w:rPr>
                <w:rFonts w:cs="Arial"/>
                <w:sz w:val="18"/>
                <w:szCs w:val="18"/>
              </w:rPr>
            </w:pPr>
            <w:r w:rsidRPr="00D61D87">
              <w:rPr>
                <w:rFonts w:cs="Arial"/>
                <w:sz w:val="18"/>
                <w:szCs w:val="18"/>
              </w:rPr>
              <w:t>Venezuela (République bolivarienne du)</w:t>
            </w:r>
          </w:p>
        </w:tc>
        <w:tc>
          <w:tcPr>
            <w:tcW w:w="1430" w:type="dxa"/>
            <w:shd w:val="clear" w:color="auto" w:fill="auto"/>
            <w:vAlign w:val="center"/>
          </w:tcPr>
          <w:p w14:paraId="1BD74BDA" w14:textId="77777777" w:rsidR="00D21BE2" w:rsidRPr="00487813" w:rsidRDefault="00D21BE2" w:rsidP="00986700">
            <w:pPr>
              <w:rPr>
                <w:rFonts w:cs="Arial"/>
                <w:color w:val="000000"/>
                <w:sz w:val="18"/>
                <w:szCs w:val="18"/>
              </w:rPr>
            </w:pPr>
            <w:r w:rsidRPr="00487813">
              <w:rPr>
                <w:rFonts w:cs="Arial"/>
                <w:color w:val="000000"/>
                <w:sz w:val="18"/>
                <w:szCs w:val="18"/>
              </w:rPr>
              <w:t>IX</w:t>
            </w:r>
          </w:p>
        </w:tc>
        <w:tc>
          <w:tcPr>
            <w:tcW w:w="1210" w:type="dxa"/>
            <w:shd w:val="clear" w:color="auto" w:fill="auto"/>
            <w:vAlign w:val="center"/>
          </w:tcPr>
          <w:p w14:paraId="2D859DAC"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25</w:t>
            </w:r>
          </w:p>
        </w:tc>
        <w:tc>
          <w:tcPr>
            <w:tcW w:w="1320" w:type="dxa"/>
            <w:shd w:val="clear" w:color="auto" w:fill="auto"/>
            <w:vAlign w:val="center"/>
          </w:tcPr>
          <w:p w14:paraId="79FEA127"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430" w:type="dxa"/>
            <w:shd w:val="clear" w:color="auto" w:fill="auto"/>
            <w:vAlign w:val="center"/>
          </w:tcPr>
          <w:p w14:paraId="387954EC"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c>
          <w:tcPr>
            <w:tcW w:w="1320" w:type="dxa"/>
            <w:shd w:val="clear" w:color="auto" w:fill="auto"/>
            <w:vAlign w:val="center"/>
          </w:tcPr>
          <w:p w14:paraId="21BBB009" w14:textId="77777777" w:rsidR="00D21BE2" w:rsidRPr="00487813" w:rsidRDefault="00D21BE2" w:rsidP="00986700">
            <w:pPr>
              <w:jc w:val="right"/>
              <w:rPr>
                <w:rFonts w:cs="Arial"/>
                <w:color w:val="000000"/>
                <w:sz w:val="18"/>
                <w:szCs w:val="18"/>
              </w:rPr>
            </w:pPr>
            <w:r w:rsidRPr="00487813">
              <w:rPr>
                <w:rFonts w:cs="Arial"/>
                <w:color w:val="000000"/>
                <w:sz w:val="18"/>
                <w:szCs w:val="18"/>
              </w:rPr>
              <w:t>20</w:t>
            </w:r>
            <w:r>
              <w:rPr>
                <w:rFonts w:cs="Arial"/>
                <w:color w:val="000000"/>
                <w:sz w:val="18"/>
                <w:szCs w:val="18"/>
              </w:rPr>
              <w:t> </w:t>
            </w:r>
            <w:r w:rsidRPr="00487813">
              <w:rPr>
                <w:rFonts w:cs="Arial"/>
                <w:color w:val="000000"/>
                <w:sz w:val="18"/>
                <w:szCs w:val="18"/>
              </w:rPr>
              <w:t>511</w:t>
            </w:r>
          </w:p>
        </w:tc>
      </w:tr>
      <w:tr w:rsidR="00D21BE2" w:rsidRPr="00487813" w14:paraId="66988702" w14:textId="77777777" w:rsidTr="00DD4E5E">
        <w:tc>
          <w:tcPr>
            <w:tcW w:w="3010" w:type="dxa"/>
            <w:shd w:val="clear" w:color="auto" w:fill="E6E6E6"/>
            <w:vAlign w:val="center"/>
          </w:tcPr>
          <w:p w14:paraId="6707A721" w14:textId="77777777" w:rsidR="00D21BE2" w:rsidRPr="00D61D87" w:rsidRDefault="00D21BE2" w:rsidP="00986700">
            <w:pPr>
              <w:rPr>
                <w:rFonts w:cs="Arial"/>
                <w:sz w:val="18"/>
                <w:szCs w:val="18"/>
              </w:rPr>
            </w:pPr>
            <w:r w:rsidRPr="00D61D87">
              <w:rPr>
                <w:rFonts w:cs="Arial"/>
                <w:sz w:val="18"/>
                <w:szCs w:val="18"/>
              </w:rPr>
              <w:t>Viet Nam</w:t>
            </w:r>
          </w:p>
        </w:tc>
        <w:tc>
          <w:tcPr>
            <w:tcW w:w="1430" w:type="dxa"/>
            <w:shd w:val="clear" w:color="auto" w:fill="E6E6E6"/>
            <w:vAlign w:val="center"/>
          </w:tcPr>
          <w:p w14:paraId="2BA37E3F" w14:textId="77777777" w:rsidR="00D21BE2" w:rsidRPr="00487813" w:rsidRDefault="00D21BE2" w:rsidP="00986700">
            <w:pPr>
              <w:rPr>
                <w:rFonts w:cs="Arial"/>
                <w:color w:val="000000"/>
                <w:sz w:val="18"/>
                <w:szCs w:val="18"/>
              </w:rPr>
            </w:pPr>
            <w:r w:rsidRPr="00487813">
              <w:rPr>
                <w:rFonts w:cs="Arial"/>
                <w:color w:val="000000"/>
                <w:sz w:val="18"/>
                <w:szCs w:val="18"/>
              </w:rPr>
              <w:t>S</w:t>
            </w:r>
          </w:p>
        </w:tc>
        <w:tc>
          <w:tcPr>
            <w:tcW w:w="1210" w:type="dxa"/>
            <w:shd w:val="clear" w:color="auto" w:fill="E6E6E6"/>
            <w:vAlign w:val="center"/>
          </w:tcPr>
          <w:p w14:paraId="3A2F07E3"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125</w:t>
            </w:r>
          </w:p>
        </w:tc>
        <w:tc>
          <w:tcPr>
            <w:tcW w:w="1320" w:type="dxa"/>
            <w:shd w:val="clear" w:color="auto" w:fill="E6E6E6"/>
            <w:vAlign w:val="center"/>
          </w:tcPr>
          <w:p w14:paraId="394E508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430" w:type="dxa"/>
            <w:shd w:val="clear" w:color="auto" w:fill="E6E6E6"/>
            <w:vAlign w:val="center"/>
          </w:tcPr>
          <w:p w14:paraId="0C7331D1"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c>
          <w:tcPr>
            <w:tcW w:w="1320" w:type="dxa"/>
            <w:shd w:val="clear" w:color="auto" w:fill="E6E6E6"/>
            <w:vAlign w:val="center"/>
          </w:tcPr>
          <w:p w14:paraId="3A4AE74F" w14:textId="77777777" w:rsidR="00D21BE2" w:rsidRPr="00487813" w:rsidRDefault="00D21BE2" w:rsidP="00986700">
            <w:pPr>
              <w:jc w:val="right"/>
              <w:rPr>
                <w:rFonts w:cs="Arial"/>
                <w:color w:val="000000"/>
                <w:sz w:val="18"/>
                <w:szCs w:val="18"/>
              </w:rPr>
            </w:pPr>
            <w:r w:rsidRPr="00487813">
              <w:rPr>
                <w:rFonts w:cs="Arial"/>
                <w:color w:val="000000"/>
                <w:sz w:val="18"/>
                <w:szCs w:val="18"/>
              </w:rPr>
              <w:t>10</w:t>
            </w:r>
            <w:r>
              <w:rPr>
                <w:rFonts w:cs="Arial"/>
                <w:color w:val="000000"/>
                <w:sz w:val="18"/>
                <w:szCs w:val="18"/>
              </w:rPr>
              <w:t> </w:t>
            </w:r>
            <w:r w:rsidRPr="00487813">
              <w:rPr>
                <w:rFonts w:cs="Arial"/>
                <w:color w:val="000000"/>
                <w:sz w:val="18"/>
                <w:szCs w:val="18"/>
              </w:rPr>
              <w:t>255</w:t>
            </w:r>
          </w:p>
        </w:tc>
      </w:tr>
      <w:tr w:rsidR="00D21BE2" w:rsidRPr="00487813" w14:paraId="64AD70CB" w14:textId="77777777" w:rsidTr="00DD4E5E">
        <w:tc>
          <w:tcPr>
            <w:tcW w:w="3010" w:type="dxa"/>
            <w:shd w:val="clear" w:color="auto" w:fill="auto"/>
            <w:vAlign w:val="center"/>
          </w:tcPr>
          <w:p w14:paraId="0480323E" w14:textId="77777777" w:rsidR="00D21BE2" w:rsidRPr="00D61D87" w:rsidRDefault="00D21BE2" w:rsidP="00986700">
            <w:pPr>
              <w:rPr>
                <w:rFonts w:cs="Arial"/>
                <w:sz w:val="18"/>
                <w:szCs w:val="18"/>
              </w:rPr>
            </w:pPr>
            <w:r w:rsidRPr="00D61D87">
              <w:rPr>
                <w:rFonts w:cs="Arial"/>
                <w:b/>
                <w:bCs/>
                <w:sz w:val="18"/>
                <w:szCs w:val="18"/>
              </w:rPr>
              <w:t>Y</w:t>
            </w:r>
            <w:r w:rsidRPr="00D61D87">
              <w:rPr>
                <w:rFonts w:cs="Arial"/>
                <w:bCs/>
                <w:sz w:val="18"/>
                <w:szCs w:val="18"/>
              </w:rPr>
              <w:t>émen</w:t>
            </w:r>
          </w:p>
        </w:tc>
        <w:tc>
          <w:tcPr>
            <w:tcW w:w="1430" w:type="dxa"/>
            <w:shd w:val="clear" w:color="auto" w:fill="auto"/>
            <w:vAlign w:val="center"/>
          </w:tcPr>
          <w:p w14:paraId="4514382F"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auto"/>
            <w:vAlign w:val="center"/>
          </w:tcPr>
          <w:p w14:paraId="33BC3DBD"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auto"/>
            <w:vAlign w:val="center"/>
          </w:tcPr>
          <w:p w14:paraId="57994D42"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auto"/>
            <w:vAlign w:val="center"/>
          </w:tcPr>
          <w:p w14:paraId="2F35AF66"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auto"/>
            <w:vAlign w:val="center"/>
          </w:tcPr>
          <w:p w14:paraId="3996AE67"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429F9DA9" w14:textId="77777777" w:rsidTr="00DD4E5E">
        <w:tc>
          <w:tcPr>
            <w:tcW w:w="3010" w:type="dxa"/>
            <w:shd w:val="clear" w:color="auto" w:fill="E6E6E6"/>
            <w:vAlign w:val="center"/>
          </w:tcPr>
          <w:p w14:paraId="6CCD119B" w14:textId="77777777" w:rsidR="00D21BE2" w:rsidRPr="00D61D87" w:rsidRDefault="00D21BE2" w:rsidP="00986700">
            <w:pPr>
              <w:rPr>
                <w:rFonts w:cs="Arial"/>
                <w:sz w:val="18"/>
                <w:szCs w:val="18"/>
              </w:rPr>
            </w:pPr>
            <w:r w:rsidRPr="00D61D87">
              <w:rPr>
                <w:rFonts w:cs="Arial"/>
                <w:b/>
                <w:bCs/>
                <w:sz w:val="18"/>
                <w:szCs w:val="18"/>
              </w:rPr>
              <w:t>Z</w:t>
            </w:r>
            <w:r w:rsidRPr="00D61D87">
              <w:rPr>
                <w:rFonts w:cs="Arial"/>
                <w:bCs/>
                <w:sz w:val="18"/>
                <w:szCs w:val="18"/>
              </w:rPr>
              <w:t>ambie</w:t>
            </w:r>
          </w:p>
        </w:tc>
        <w:tc>
          <w:tcPr>
            <w:tcW w:w="1430" w:type="dxa"/>
            <w:shd w:val="clear" w:color="auto" w:fill="E6E6E6"/>
            <w:vAlign w:val="center"/>
          </w:tcPr>
          <w:p w14:paraId="12295CCD"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ter</w:t>
            </w:r>
          </w:p>
        </w:tc>
        <w:tc>
          <w:tcPr>
            <w:tcW w:w="1210" w:type="dxa"/>
            <w:shd w:val="clear" w:color="auto" w:fill="E6E6E6"/>
            <w:vAlign w:val="center"/>
          </w:tcPr>
          <w:p w14:paraId="57D9D0C1"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03125</w:t>
            </w:r>
          </w:p>
        </w:tc>
        <w:tc>
          <w:tcPr>
            <w:tcW w:w="1320" w:type="dxa"/>
            <w:shd w:val="clear" w:color="auto" w:fill="E6E6E6"/>
            <w:vAlign w:val="center"/>
          </w:tcPr>
          <w:p w14:paraId="5A2A635D"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430" w:type="dxa"/>
            <w:shd w:val="clear" w:color="auto" w:fill="E6E6E6"/>
            <w:vAlign w:val="center"/>
          </w:tcPr>
          <w:p w14:paraId="2732CC2A" w14:textId="77777777" w:rsidR="00D21BE2" w:rsidRPr="00487813" w:rsidRDefault="00D21BE2" w:rsidP="00986700">
            <w:pPr>
              <w:jc w:val="right"/>
              <w:rPr>
                <w:rFonts w:cs="Arial"/>
                <w:color w:val="000000"/>
                <w:sz w:val="18"/>
                <w:szCs w:val="18"/>
              </w:rPr>
            </w:pPr>
            <w:r w:rsidRPr="00487813">
              <w:rPr>
                <w:rFonts w:cs="Arial"/>
                <w:color w:val="000000"/>
                <w:sz w:val="18"/>
                <w:szCs w:val="18"/>
              </w:rPr>
              <w:t>1</w:t>
            </w:r>
            <w:r>
              <w:rPr>
                <w:rFonts w:cs="Arial"/>
                <w:color w:val="000000"/>
                <w:sz w:val="18"/>
                <w:szCs w:val="18"/>
              </w:rPr>
              <w:t> </w:t>
            </w:r>
            <w:r w:rsidRPr="00487813">
              <w:rPr>
                <w:rFonts w:cs="Arial"/>
                <w:color w:val="000000"/>
                <w:sz w:val="18"/>
                <w:szCs w:val="18"/>
              </w:rPr>
              <w:t>282</w:t>
            </w:r>
          </w:p>
        </w:tc>
        <w:tc>
          <w:tcPr>
            <w:tcW w:w="1320" w:type="dxa"/>
            <w:shd w:val="clear" w:color="auto" w:fill="E6E6E6"/>
            <w:vAlign w:val="center"/>
          </w:tcPr>
          <w:p w14:paraId="62CF37E1"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r>
      <w:tr w:rsidR="00D21BE2" w:rsidRPr="00487813" w14:paraId="6146A33D" w14:textId="77777777" w:rsidTr="00DD4E5E">
        <w:tc>
          <w:tcPr>
            <w:tcW w:w="3010" w:type="dxa"/>
            <w:shd w:val="clear" w:color="auto" w:fill="auto"/>
            <w:vAlign w:val="center"/>
          </w:tcPr>
          <w:p w14:paraId="00703DF5" w14:textId="77777777" w:rsidR="00D21BE2" w:rsidRPr="00D61D87" w:rsidRDefault="00D21BE2" w:rsidP="00986700">
            <w:pPr>
              <w:rPr>
                <w:rFonts w:cs="Arial"/>
                <w:sz w:val="18"/>
                <w:szCs w:val="18"/>
              </w:rPr>
            </w:pPr>
            <w:r w:rsidRPr="00D61D87">
              <w:rPr>
                <w:rFonts w:cs="Arial"/>
                <w:sz w:val="18"/>
                <w:szCs w:val="18"/>
              </w:rPr>
              <w:t>Zimbabwe</w:t>
            </w:r>
          </w:p>
        </w:tc>
        <w:tc>
          <w:tcPr>
            <w:tcW w:w="1430" w:type="dxa"/>
            <w:shd w:val="clear" w:color="auto" w:fill="auto"/>
            <w:vAlign w:val="center"/>
          </w:tcPr>
          <w:p w14:paraId="6D058025" w14:textId="77777777" w:rsidR="00D21BE2" w:rsidRPr="00487813" w:rsidRDefault="00D21BE2" w:rsidP="00986700">
            <w:pPr>
              <w:rPr>
                <w:rFonts w:cs="Arial"/>
                <w:color w:val="000000"/>
                <w:sz w:val="18"/>
                <w:szCs w:val="18"/>
              </w:rPr>
            </w:pPr>
            <w:r w:rsidRPr="00487813">
              <w:rPr>
                <w:rFonts w:cs="Arial"/>
                <w:color w:val="000000"/>
                <w:sz w:val="18"/>
                <w:szCs w:val="18"/>
              </w:rPr>
              <w:t>S</w:t>
            </w:r>
            <w:r w:rsidRPr="00487813">
              <w:rPr>
                <w:rFonts w:cs="Arial"/>
                <w:i/>
                <w:iCs/>
                <w:color w:val="000000"/>
                <w:sz w:val="18"/>
                <w:szCs w:val="18"/>
              </w:rPr>
              <w:t>bis</w:t>
            </w:r>
          </w:p>
        </w:tc>
        <w:tc>
          <w:tcPr>
            <w:tcW w:w="1210" w:type="dxa"/>
            <w:shd w:val="clear" w:color="auto" w:fill="auto"/>
            <w:vAlign w:val="center"/>
          </w:tcPr>
          <w:p w14:paraId="071208BA" w14:textId="77777777" w:rsidR="00D21BE2" w:rsidRPr="00487813" w:rsidRDefault="00D21BE2" w:rsidP="00986700">
            <w:pPr>
              <w:jc w:val="right"/>
              <w:rPr>
                <w:rFonts w:cs="Arial"/>
                <w:color w:val="000000"/>
                <w:sz w:val="18"/>
                <w:szCs w:val="18"/>
              </w:rPr>
            </w:pPr>
            <w:r w:rsidRPr="00487813">
              <w:rPr>
                <w:rFonts w:cs="Arial"/>
                <w:color w:val="000000"/>
                <w:sz w:val="18"/>
                <w:szCs w:val="18"/>
              </w:rPr>
              <w:t>0</w:t>
            </w:r>
            <w:r>
              <w:rPr>
                <w:rFonts w:cs="Arial"/>
                <w:color w:val="000000"/>
                <w:sz w:val="18"/>
                <w:szCs w:val="18"/>
              </w:rPr>
              <w:t>,</w:t>
            </w:r>
            <w:r w:rsidRPr="00487813">
              <w:rPr>
                <w:rFonts w:cs="Arial"/>
                <w:color w:val="000000"/>
                <w:sz w:val="18"/>
                <w:szCs w:val="18"/>
              </w:rPr>
              <w:t>0625</w:t>
            </w:r>
          </w:p>
        </w:tc>
        <w:tc>
          <w:tcPr>
            <w:tcW w:w="1320" w:type="dxa"/>
            <w:shd w:val="clear" w:color="auto" w:fill="auto"/>
            <w:vAlign w:val="center"/>
          </w:tcPr>
          <w:p w14:paraId="59E57B32"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430" w:type="dxa"/>
            <w:shd w:val="clear" w:color="auto" w:fill="auto"/>
            <w:vAlign w:val="center"/>
          </w:tcPr>
          <w:p w14:paraId="53B40CC6" w14:textId="77777777" w:rsidR="00D21BE2" w:rsidRPr="00487813" w:rsidRDefault="00D21BE2" w:rsidP="00986700">
            <w:pPr>
              <w:jc w:val="right"/>
              <w:rPr>
                <w:rFonts w:cs="Arial"/>
                <w:color w:val="000000"/>
                <w:sz w:val="18"/>
                <w:szCs w:val="18"/>
              </w:rPr>
            </w:pPr>
            <w:r w:rsidRPr="00487813">
              <w:rPr>
                <w:rFonts w:cs="Arial"/>
                <w:color w:val="000000"/>
                <w:sz w:val="18"/>
                <w:szCs w:val="18"/>
              </w:rPr>
              <w:t>2</w:t>
            </w:r>
            <w:r>
              <w:rPr>
                <w:rFonts w:cs="Arial"/>
                <w:color w:val="000000"/>
                <w:sz w:val="18"/>
                <w:szCs w:val="18"/>
              </w:rPr>
              <w:t> </w:t>
            </w:r>
            <w:r w:rsidRPr="00487813">
              <w:rPr>
                <w:rFonts w:cs="Arial"/>
                <w:color w:val="000000"/>
                <w:sz w:val="18"/>
                <w:szCs w:val="18"/>
              </w:rPr>
              <w:t>564</w:t>
            </w:r>
          </w:p>
        </w:tc>
        <w:tc>
          <w:tcPr>
            <w:tcW w:w="1320" w:type="dxa"/>
            <w:shd w:val="clear" w:color="auto" w:fill="auto"/>
            <w:vAlign w:val="center"/>
          </w:tcPr>
          <w:p w14:paraId="3D5AD914" w14:textId="77777777" w:rsidR="00D21BE2" w:rsidRPr="00487813" w:rsidRDefault="00D21BE2" w:rsidP="00986700">
            <w:pPr>
              <w:jc w:val="right"/>
              <w:rPr>
                <w:rFonts w:cs="Arial"/>
                <w:color w:val="000000"/>
                <w:sz w:val="18"/>
                <w:szCs w:val="18"/>
              </w:rPr>
            </w:pPr>
            <w:r w:rsidRPr="00487813">
              <w:rPr>
                <w:rFonts w:cs="Arial"/>
                <w:color w:val="000000"/>
                <w:sz w:val="18"/>
                <w:szCs w:val="18"/>
              </w:rPr>
              <w:t>5</w:t>
            </w:r>
            <w:r>
              <w:rPr>
                <w:rFonts w:cs="Arial"/>
                <w:color w:val="000000"/>
                <w:sz w:val="18"/>
                <w:szCs w:val="18"/>
              </w:rPr>
              <w:t> </w:t>
            </w:r>
            <w:r w:rsidRPr="00487813">
              <w:rPr>
                <w:rFonts w:cs="Arial"/>
                <w:color w:val="000000"/>
                <w:sz w:val="18"/>
                <w:szCs w:val="18"/>
              </w:rPr>
              <w:t>128</w:t>
            </w:r>
          </w:p>
        </w:tc>
      </w:tr>
      <w:tr w:rsidR="00D21BE2" w:rsidRPr="00487813" w14:paraId="0115D8C7" w14:textId="77777777" w:rsidTr="00DD4E5E">
        <w:tc>
          <w:tcPr>
            <w:tcW w:w="3010" w:type="dxa"/>
            <w:shd w:val="pct15" w:color="auto" w:fill="FFFFFF"/>
            <w:vAlign w:val="center"/>
          </w:tcPr>
          <w:p w14:paraId="6DF1463B" w14:textId="77777777" w:rsidR="00D21BE2" w:rsidRPr="00487813" w:rsidRDefault="00D21BE2" w:rsidP="00986700">
            <w:pPr>
              <w:rPr>
                <w:rFonts w:cs="Arial"/>
                <w:b/>
                <w:color w:val="000000"/>
                <w:sz w:val="18"/>
                <w:szCs w:val="18"/>
              </w:rPr>
            </w:pPr>
            <w:r>
              <w:rPr>
                <w:rFonts w:cs="Arial"/>
                <w:b/>
                <w:color w:val="000000"/>
                <w:sz w:val="18"/>
                <w:szCs w:val="18"/>
              </w:rPr>
              <w:t>Total contributions</w:t>
            </w:r>
          </w:p>
        </w:tc>
        <w:tc>
          <w:tcPr>
            <w:tcW w:w="1430" w:type="dxa"/>
            <w:shd w:val="pct15" w:color="auto" w:fill="FFFFFF"/>
            <w:vAlign w:val="center"/>
          </w:tcPr>
          <w:p w14:paraId="5C2034ED" w14:textId="77777777" w:rsidR="00D21BE2" w:rsidRPr="00487813" w:rsidRDefault="00D21BE2" w:rsidP="00986700">
            <w:pPr>
              <w:rPr>
                <w:rFonts w:cs="Arial"/>
                <w:color w:val="000000"/>
                <w:sz w:val="18"/>
                <w:szCs w:val="18"/>
              </w:rPr>
            </w:pPr>
          </w:p>
        </w:tc>
        <w:tc>
          <w:tcPr>
            <w:tcW w:w="1210" w:type="dxa"/>
            <w:shd w:val="pct15" w:color="auto" w:fill="FFFFFF"/>
            <w:vAlign w:val="center"/>
          </w:tcPr>
          <w:p w14:paraId="5A9B4CBA" w14:textId="77777777" w:rsidR="00D21BE2" w:rsidRPr="00487813" w:rsidRDefault="00D21BE2" w:rsidP="00986700">
            <w:pPr>
              <w:rPr>
                <w:rFonts w:cs="Arial"/>
                <w:color w:val="000000"/>
                <w:sz w:val="18"/>
                <w:szCs w:val="18"/>
              </w:rPr>
            </w:pPr>
          </w:p>
        </w:tc>
        <w:tc>
          <w:tcPr>
            <w:tcW w:w="1320" w:type="dxa"/>
            <w:shd w:val="pct15" w:color="auto" w:fill="FFFFFF"/>
            <w:vAlign w:val="center"/>
          </w:tcPr>
          <w:p w14:paraId="12DB533D" w14:textId="77777777" w:rsidR="00D21BE2" w:rsidRPr="00487813" w:rsidRDefault="00D21BE2" w:rsidP="00986700">
            <w:pPr>
              <w:jc w:val="right"/>
              <w:rPr>
                <w:rFonts w:cs="Arial"/>
                <w:b/>
                <w:color w:val="000000"/>
                <w:sz w:val="18"/>
                <w:szCs w:val="18"/>
              </w:rPr>
            </w:pPr>
            <w:r w:rsidRPr="00487813">
              <w:rPr>
                <w:rFonts w:cs="Arial"/>
                <w:b/>
                <w:color w:val="000000"/>
                <w:sz w:val="18"/>
                <w:szCs w:val="18"/>
              </w:rPr>
              <w:t>15</w:t>
            </w:r>
            <w:r>
              <w:rPr>
                <w:rFonts w:cs="Arial"/>
                <w:b/>
                <w:color w:val="000000"/>
                <w:sz w:val="18"/>
                <w:szCs w:val="18"/>
              </w:rPr>
              <w:t> </w:t>
            </w:r>
            <w:r w:rsidRPr="00487813">
              <w:rPr>
                <w:rFonts w:cs="Arial"/>
                <w:b/>
                <w:color w:val="000000"/>
                <w:sz w:val="18"/>
                <w:szCs w:val="18"/>
              </w:rPr>
              <w:t>634</w:t>
            </w:r>
            <w:r>
              <w:rPr>
                <w:rFonts w:cs="Arial"/>
                <w:b/>
                <w:color w:val="000000"/>
                <w:sz w:val="18"/>
                <w:szCs w:val="18"/>
              </w:rPr>
              <w:t> </w:t>
            </w:r>
            <w:r w:rsidRPr="00487813">
              <w:rPr>
                <w:rFonts w:cs="Arial"/>
                <w:b/>
                <w:color w:val="000000"/>
                <w:sz w:val="18"/>
                <w:szCs w:val="18"/>
              </w:rPr>
              <w:t>129</w:t>
            </w:r>
          </w:p>
        </w:tc>
        <w:tc>
          <w:tcPr>
            <w:tcW w:w="1430" w:type="dxa"/>
            <w:shd w:val="pct15" w:color="auto" w:fill="FFFFFF"/>
            <w:vAlign w:val="center"/>
          </w:tcPr>
          <w:p w14:paraId="03151292" w14:textId="77777777" w:rsidR="00D21BE2" w:rsidRPr="00487813" w:rsidRDefault="00D21BE2" w:rsidP="00986700">
            <w:pPr>
              <w:jc w:val="right"/>
              <w:rPr>
                <w:rFonts w:cs="Arial"/>
                <w:b/>
                <w:color w:val="000000"/>
                <w:sz w:val="18"/>
                <w:szCs w:val="18"/>
              </w:rPr>
            </w:pPr>
            <w:r w:rsidRPr="00487813">
              <w:rPr>
                <w:rFonts w:cs="Arial"/>
                <w:b/>
                <w:color w:val="000000"/>
                <w:sz w:val="18"/>
                <w:szCs w:val="18"/>
              </w:rPr>
              <w:t>15</w:t>
            </w:r>
            <w:r>
              <w:rPr>
                <w:rFonts w:cs="Arial"/>
                <w:b/>
                <w:color w:val="000000"/>
                <w:sz w:val="18"/>
                <w:szCs w:val="18"/>
              </w:rPr>
              <w:t> </w:t>
            </w:r>
            <w:r w:rsidRPr="00487813">
              <w:rPr>
                <w:rFonts w:cs="Arial"/>
                <w:b/>
                <w:color w:val="000000"/>
                <w:sz w:val="18"/>
                <w:szCs w:val="18"/>
              </w:rPr>
              <w:t>634</w:t>
            </w:r>
            <w:r>
              <w:rPr>
                <w:rFonts w:cs="Arial"/>
                <w:b/>
                <w:color w:val="000000"/>
                <w:sz w:val="18"/>
                <w:szCs w:val="18"/>
              </w:rPr>
              <w:t> </w:t>
            </w:r>
            <w:r w:rsidRPr="00487813">
              <w:rPr>
                <w:rFonts w:cs="Arial"/>
                <w:b/>
                <w:color w:val="000000"/>
                <w:sz w:val="18"/>
                <w:szCs w:val="18"/>
              </w:rPr>
              <w:t>129</w:t>
            </w:r>
          </w:p>
        </w:tc>
        <w:tc>
          <w:tcPr>
            <w:tcW w:w="1320" w:type="dxa"/>
            <w:shd w:val="pct15" w:color="auto" w:fill="FFFFFF"/>
            <w:vAlign w:val="center"/>
          </w:tcPr>
          <w:p w14:paraId="5A76227C" w14:textId="77777777" w:rsidR="00D21BE2" w:rsidRPr="00487813" w:rsidRDefault="00D21BE2" w:rsidP="00986700">
            <w:pPr>
              <w:jc w:val="right"/>
              <w:rPr>
                <w:rFonts w:cs="Arial"/>
                <w:b/>
                <w:color w:val="000000"/>
                <w:sz w:val="18"/>
                <w:szCs w:val="18"/>
              </w:rPr>
            </w:pPr>
            <w:r w:rsidRPr="00487813">
              <w:rPr>
                <w:rFonts w:cs="Arial"/>
                <w:b/>
                <w:color w:val="000000"/>
                <w:sz w:val="18"/>
                <w:szCs w:val="18"/>
              </w:rPr>
              <w:t>31</w:t>
            </w:r>
            <w:r>
              <w:rPr>
                <w:rFonts w:cs="Arial"/>
                <w:b/>
                <w:color w:val="000000"/>
                <w:sz w:val="18"/>
                <w:szCs w:val="18"/>
              </w:rPr>
              <w:t> </w:t>
            </w:r>
            <w:r w:rsidRPr="00487813">
              <w:rPr>
                <w:rFonts w:cs="Arial"/>
                <w:b/>
                <w:color w:val="000000"/>
                <w:sz w:val="18"/>
                <w:szCs w:val="18"/>
              </w:rPr>
              <w:t>268</w:t>
            </w:r>
            <w:r>
              <w:rPr>
                <w:rFonts w:cs="Arial"/>
                <w:b/>
                <w:color w:val="000000"/>
                <w:sz w:val="18"/>
                <w:szCs w:val="18"/>
              </w:rPr>
              <w:t> </w:t>
            </w:r>
            <w:r w:rsidRPr="00487813">
              <w:rPr>
                <w:rFonts w:cs="Arial"/>
                <w:b/>
                <w:color w:val="000000"/>
                <w:sz w:val="18"/>
                <w:szCs w:val="18"/>
              </w:rPr>
              <w:t>257</w:t>
            </w:r>
          </w:p>
        </w:tc>
      </w:tr>
    </w:tbl>
    <w:p w14:paraId="3E29F9B9" w14:textId="77777777" w:rsidR="00D21BE2" w:rsidRPr="00487813" w:rsidRDefault="00D21BE2" w:rsidP="00986700">
      <w:pPr>
        <w:tabs>
          <w:tab w:val="left" w:pos="714"/>
        </w:tabs>
        <w:jc w:val="both"/>
        <w:rPr>
          <w:rFonts w:cs="Arial"/>
          <w:snapToGrid w:val="0"/>
          <w:color w:val="000000"/>
          <w:sz w:val="18"/>
          <w:szCs w:val="18"/>
        </w:rPr>
      </w:pPr>
    </w:p>
    <w:p w14:paraId="6B5E0738" w14:textId="77777777" w:rsidR="00D21BE2" w:rsidRPr="00487813" w:rsidRDefault="00D21BE2" w:rsidP="00986700">
      <w:pPr>
        <w:jc w:val="both"/>
        <w:rPr>
          <w:rFonts w:cs="Arial"/>
          <w:snapToGrid w:val="0"/>
          <w:color w:val="000000"/>
          <w:sz w:val="18"/>
          <w:szCs w:val="18"/>
        </w:rPr>
      </w:pPr>
      <w:r w:rsidRPr="00487813">
        <w:rPr>
          <w:rFonts w:cs="Arial"/>
          <w:snapToGrid w:val="0"/>
          <w:color w:val="000000"/>
          <w:sz w:val="18"/>
          <w:szCs w:val="18"/>
          <w:vertAlign w:val="superscript"/>
        </w:rPr>
        <w:t>1</w:t>
      </w:r>
      <w:r w:rsidRPr="00487813">
        <w:rPr>
          <w:rFonts w:cs="Arial"/>
          <w:snapToGrid w:val="0"/>
          <w:color w:val="000000"/>
          <w:sz w:val="18"/>
          <w:szCs w:val="18"/>
        </w:rPr>
        <w:tab/>
      </w:r>
      <w:r>
        <w:rPr>
          <w:rFonts w:cs="Arial"/>
          <w:snapToGrid w:val="0"/>
          <w:color w:val="000000"/>
          <w:sz w:val="18"/>
          <w:szCs w:val="18"/>
        </w:rPr>
        <w:t>La valeur d’une unité est passée de</w:t>
      </w:r>
      <w:r w:rsidRPr="00487813">
        <w:rPr>
          <w:rFonts w:cs="Arial"/>
          <w:snapToGrid w:val="0"/>
          <w:color w:val="000000"/>
          <w:sz w:val="18"/>
          <w:szCs w:val="18"/>
        </w:rPr>
        <w:t xml:space="preserve"> 45</w:t>
      </w:r>
      <w:r>
        <w:rPr>
          <w:rFonts w:cs="Arial"/>
          <w:snapToGrid w:val="0"/>
          <w:color w:val="000000"/>
          <w:sz w:val="18"/>
          <w:szCs w:val="18"/>
        </w:rPr>
        <w:t> </w:t>
      </w:r>
      <w:r w:rsidRPr="00487813">
        <w:rPr>
          <w:rFonts w:cs="Arial"/>
          <w:snapToGrid w:val="0"/>
          <w:color w:val="000000"/>
          <w:sz w:val="18"/>
          <w:szCs w:val="18"/>
        </w:rPr>
        <w:t>579 </w:t>
      </w:r>
      <w:r>
        <w:rPr>
          <w:rFonts w:cs="Arial"/>
          <w:snapToGrid w:val="0"/>
          <w:color w:val="000000"/>
          <w:sz w:val="18"/>
          <w:szCs w:val="18"/>
        </w:rPr>
        <w:t>francs suisses pour </w:t>
      </w:r>
      <w:r w:rsidRPr="00487813">
        <w:rPr>
          <w:rFonts w:cs="Arial"/>
          <w:snapToGrid w:val="0"/>
          <w:color w:val="000000"/>
          <w:sz w:val="18"/>
          <w:szCs w:val="18"/>
        </w:rPr>
        <w:t xml:space="preserve">2016 </w:t>
      </w:r>
      <w:r>
        <w:rPr>
          <w:rFonts w:cs="Arial"/>
          <w:snapToGrid w:val="0"/>
          <w:color w:val="000000"/>
          <w:sz w:val="18"/>
          <w:szCs w:val="18"/>
        </w:rPr>
        <w:t>et 2017 à</w:t>
      </w:r>
      <w:r w:rsidRPr="00487813">
        <w:rPr>
          <w:rFonts w:cs="Arial"/>
          <w:snapToGrid w:val="0"/>
          <w:color w:val="000000"/>
          <w:sz w:val="18"/>
          <w:szCs w:val="18"/>
        </w:rPr>
        <w:t xml:space="preserve"> 41</w:t>
      </w:r>
      <w:r>
        <w:rPr>
          <w:rFonts w:cs="Arial"/>
          <w:snapToGrid w:val="0"/>
          <w:color w:val="000000"/>
          <w:sz w:val="18"/>
          <w:szCs w:val="18"/>
        </w:rPr>
        <w:t> </w:t>
      </w:r>
      <w:r w:rsidRPr="00487813">
        <w:rPr>
          <w:rFonts w:cs="Arial"/>
          <w:snapToGrid w:val="0"/>
          <w:color w:val="000000"/>
          <w:sz w:val="18"/>
          <w:szCs w:val="18"/>
        </w:rPr>
        <w:t>021</w:t>
      </w:r>
      <w:r>
        <w:rPr>
          <w:rFonts w:cs="Arial"/>
          <w:snapToGrid w:val="0"/>
          <w:color w:val="000000"/>
          <w:sz w:val="18"/>
          <w:szCs w:val="18"/>
        </w:rPr>
        <w:t> francs suisses pour </w:t>
      </w:r>
      <w:r w:rsidRPr="00487813">
        <w:rPr>
          <w:rFonts w:cs="Arial"/>
          <w:snapToGrid w:val="0"/>
          <w:color w:val="000000"/>
          <w:sz w:val="18"/>
          <w:szCs w:val="18"/>
        </w:rPr>
        <w:t xml:space="preserve">2018 </w:t>
      </w:r>
      <w:r>
        <w:rPr>
          <w:rFonts w:cs="Arial"/>
          <w:snapToGrid w:val="0"/>
          <w:color w:val="000000"/>
          <w:sz w:val="18"/>
          <w:szCs w:val="18"/>
        </w:rPr>
        <w:t>et</w:t>
      </w:r>
      <w:r w:rsidRPr="00487813">
        <w:rPr>
          <w:rFonts w:cs="Arial"/>
          <w:snapToGrid w:val="0"/>
          <w:color w:val="000000"/>
          <w:sz w:val="18"/>
          <w:szCs w:val="18"/>
        </w:rPr>
        <w:t xml:space="preserve"> 2019</w:t>
      </w:r>
      <w:r>
        <w:rPr>
          <w:rFonts w:cs="Arial"/>
          <w:snapToGrid w:val="0"/>
          <w:color w:val="000000"/>
          <w:sz w:val="18"/>
          <w:szCs w:val="18"/>
        </w:rPr>
        <w:t>.</w:t>
      </w:r>
    </w:p>
    <w:p w14:paraId="103EF9B7" w14:textId="77777777" w:rsidR="00D21BE2" w:rsidRPr="00487813" w:rsidRDefault="00D21BE2" w:rsidP="00986700">
      <w:pPr>
        <w:pStyle w:val="BodyTextIndent2"/>
        <w:tabs>
          <w:tab w:val="left" w:pos="0"/>
          <w:tab w:val="left" w:pos="330"/>
        </w:tabs>
        <w:spacing w:after="0"/>
        <w:ind w:firstLine="0"/>
        <w:rPr>
          <w:rFonts w:cs="Arial"/>
          <w:sz w:val="18"/>
          <w:szCs w:val="18"/>
        </w:rPr>
      </w:pPr>
      <w:r w:rsidRPr="00487813">
        <w:rPr>
          <w:rFonts w:cs="Arial"/>
          <w:sz w:val="18"/>
          <w:szCs w:val="18"/>
          <w:vertAlign w:val="superscript"/>
        </w:rPr>
        <w:t>2</w:t>
      </w:r>
      <w:r w:rsidRPr="00487813">
        <w:rPr>
          <w:rFonts w:cs="Arial"/>
          <w:sz w:val="18"/>
          <w:szCs w:val="18"/>
        </w:rPr>
        <w:tab/>
      </w:r>
      <w:r>
        <w:rPr>
          <w:rFonts w:cs="Arial"/>
          <w:sz w:val="18"/>
          <w:szCs w:val="18"/>
        </w:rPr>
        <w:t>États membres de l’OMPI qui ne sont membres d’aucune Union.</w:t>
      </w:r>
    </w:p>
    <w:p w14:paraId="5AFE9AE0" w14:textId="77777777" w:rsidR="00D21BE2" w:rsidRPr="00487813" w:rsidRDefault="00D21BE2" w:rsidP="00986700"/>
    <w:p w14:paraId="37C0EA6F" w14:textId="7C2D3F3B" w:rsidR="00D21BE2" w:rsidRDefault="00D21BE2" w:rsidP="00986700">
      <w:pPr>
        <w:rPr>
          <w:lang w:eastAsia="en-US"/>
        </w:rPr>
      </w:pPr>
      <w:r>
        <w:rPr>
          <w:lang w:eastAsia="en-US"/>
        </w:rPr>
        <w:br w:type="page"/>
      </w:r>
    </w:p>
    <w:p w14:paraId="7052FA2F" w14:textId="5205EFCC" w:rsidR="00D21BE2" w:rsidRPr="00F00A99" w:rsidRDefault="00D21BE2" w:rsidP="00986700">
      <w:pPr>
        <w:pStyle w:val="Heading2"/>
        <w:tabs>
          <w:tab w:val="left" w:pos="6"/>
        </w:tabs>
        <w:ind w:left="0" w:firstLine="0"/>
      </w:pPr>
      <w:bookmarkStart w:id="105" w:name="_Toc482979527"/>
      <w:r w:rsidRPr="00F00A99">
        <w:lastRenderedPageBreak/>
        <w:t>APPENDICE B</w:t>
      </w:r>
      <w:r w:rsidRPr="00F00A99">
        <w:br/>
      </w:r>
      <w:r>
        <w:tab/>
      </w:r>
      <w:r w:rsidRPr="00F00A99">
        <w:t>DÉFINITION DES CATÉGORIES DE DÉPENSES</w:t>
      </w:r>
      <w:bookmarkEnd w:id="105"/>
    </w:p>
    <w:p w14:paraId="3A54E0CC" w14:textId="77777777" w:rsidR="00D21BE2" w:rsidRPr="00F00A99" w:rsidRDefault="00D21BE2" w:rsidP="00986700">
      <w:pPr>
        <w:pStyle w:val="Header"/>
        <w:rPr>
          <w:rFonts w:cs="Arial"/>
        </w:rPr>
      </w:pPr>
    </w:p>
    <w:p w14:paraId="6540D862" w14:textId="77777777" w:rsidR="00D21BE2" w:rsidRPr="00F00A99" w:rsidRDefault="00D21BE2" w:rsidP="00986700">
      <w:pPr>
        <w:pStyle w:val="Header"/>
      </w:pPr>
    </w:p>
    <w:p w14:paraId="03BA257C" w14:textId="77777777" w:rsidR="00D21BE2" w:rsidRPr="00F00A99" w:rsidRDefault="00D21BE2" w:rsidP="00986700">
      <w:pPr>
        <w:ind w:right="91"/>
        <w:rPr>
          <w:rFonts w:cs="Arial"/>
          <w:b/>
        </w:rPr>
      </w:pPr>
      <w:r w:rsidRPr="00F00A99">
        <w:rPr>
          <w:rFonts w:cs="Arial"/>
          <w:b/>
        </w:rPr>
        <w:t>RECETTES, PAR PROVENANCE</w:t>
      </w:r>
    </w:p>
    <w:p w14:paraId="173CBF85" w14:textId="77777777" w:rsidR="00D21BE2" w:rsidRPr="00F00A99" w:rsidRDefault="00D21BE2" w:rsidP="00986700">
      <w:pPr>
        <w:ind w:right="91"/>
        <w:jc w:val="both"/>
        <w:rPr>
          <w:rFonts w:cs="Arial"/>
        </w:rPr>
      </w:pPr>
    </w:p>
    <w:p w14:paraId="108C1102" w14:textId="0EB04DB1" w:rsidR="00D21BE2" w:rsidRPr="00F00A99" w:rsidRDefault="00D21BE2" w:rsidP="00986700">
      <w:pPr>
        <w:tabs>
          <w:tab w:val="left" w:pos="567"/>
        </w:tabs>
        <w:ind w:left="567" w:right="91"/>
        <w:jc w:val="both"/>
        <w:rPr>
          <w:rFonts w:cs="Arial"/>
        </w:rPr>
      </w:pPr>
      <w:r w:rsidRPr="00F00A99">
        <w:rPr>
          <w:rFonts w:cs="Arial"/>
          <w:b/>
          <w:i/>
        </w:rPr>
        <w:t xml:space="preserve">Contributions : </w:t>
      </w:r>
      <w:r w:rsidRPr="00F00A99">
        <w:rPr>
          <w:rFonts w:cs="Arial"/>
        </w:rPr>
        <w:t>contributions des États membres à l’Organisation selon le système de contribution unique</w:t>
      </w:r>
      <w:r w:rsidR="00CF6859">
        <w:rPr>
          <w:rFonts w:cs="Arial"/>
        </w:rPr>
        <w:t xml:space="preserve"> (contributions statutaires) et subventions reçues des États membres (contributions volontaires)</w:t>
      </w:r>
      <w:r w:rsidRPr="00F00A99">
        <w:rPr>
          <w:rFonts w:cs="Arial"/>
        </w:rPr>
        <w:t>.</w:t>
      </w:r>
    </w:p>
    <w:p w14:paraId="68753C56" w14:textId="77777777" w:rsidR="00D21BE2" w:rsidRPr="00F00A99" w:rsidRDefault="00D21BE2" w:rsidP="00986700">
      <w:pPr>
        <w:pStyle w:val="zanxtext"/>
        <w:spacing w:before="0"/>
        <w:ind w:right="91"/>
        <w:jc w:val="both"/>
        <w:rPr>
          <w:rFonts w:ascii="Arial" w:hAnsi="Arial" w:cs="Arial"/>
          <w:sz w:val="20"/>
        </w:rPr>
      </w:pPr>
    </w:p>
    <w:p w14:paraId="74989B70" w14:textId="77777777" w:rsidR="00D21BE2" w:rsidRPr="00F00A99" w:rsidRDefault="00D21BE2" w:rsidP="00986700">
      <w:pPr>
        <w:tabs>
          <w:tab w:val="left" w:pos="567"/>
        </w:tabs>
        <w:ind w:left="567" w:right="91"/>
        <w:jc w:val="both"/>
        <w:rPr>
          <w:rFonts w:cs="Arial"/>
        </w:rPr>
      </w:pPr>
      <w:r w:rsidRPr="00F00A99">
        <w:rPr>
          <w:rFonts w:cs="Arial"/>
          <w:b/>
          <w:i/>
        </w:rPr>
        <w:t>Taxes :</w:t>
      </w:r>
      <w:r w:rsidRPr="00F00A99">
        <w:rPr>
          <w:rFonts w:cs="Arial"/>
        </w:rPr>
        <w:t xml:space="preserve"> taxes revenant au Bureau international dans le cadre des systèmes du PCT, de Madrid, de La Haye et de Lisbonne, déduction faite des ajustements de change.</w:t>
      </w:r>
    </w:p>
    <w:p w14:paraId="1D8FFC9E" w14:textId="77777777" w:rsidR="00D21BE2" w:rsidRPr="00F00A99" w:rsidRDefault="00D21BE2" w:rsidP="00986700">
      <w:pPr>
        <w:pStyle w:val="zanxtext"/>
        <w:spacing w:before="0"/>
        <w:ind w:right="91"/>
        <w:jc w:val="both"/>
        <w:rPr>
          <w:rFonts w:ascii="Arial" w:hAnsi="Arial" w:cs="Arial"/>
          <w:sz w:val="20"/>
        </w:rPr>
      </w:pPr>
    </w:p>
    <w:p w14:paraId="37DB06A6" w14:textId="77777777" w:rsidR="00D21BE2" w:rsidRPr="00F00A99" w:rsidRDefault="00D21BE2" w:rsidP="00986700">
      <w:pPr>
        <w:tabs>
          <w:tab w:val="left" w:pos="567"/>
        </w:tabs>
        <w:ind w:left="567" w:right="91"/>
        <w:jc w:val="both"/>
        <w:rPr>
          <w:rFonts w:cs="Arial"/>
          <w:b/>
          <w:bCs/>
          <w:i/>
          <w:iCs/>
        </w:rPr>
      </w:pPr>
      <w:r w:rsidRPr="00F00A99">
        <w:rPr>
          <w:rFonts w:cs="Arial"/>
          <w:b/>
          <w:bCs/>
          <w:i/>
          <w:iCs/>
        </w:rPr>
        <w:t>Arbitrage :</w:t>
      </w:r>
      <w:r w:rsidRPr="00F00A99">
        <w:rPr>
          <w:rFonts w:cs="Arial"/>
          <w:bCs/>
          <w:iCs/>
        </w:rPr>
        <w:t xml:space="preserve"> taxes d’arbitrage concernant les litiges relatifs aux noms de domaine, droits d’inscription aux réunions du Centre d’arbitrage et de médiation de l’OMPI, </w:t>
      </w:r>
      <w:r w:rsidRPr="00F00A99">
        <w:rPr>
          <w:rFonts w:cs="Arial"/>
        </w:rPr>
        <w:t>déduction faite des ajustements de change</w:t>
      </w:r>
      <w:r w:rsidRPr="00F00A99">
        <w:rPr>
          <w:rFonts w:cs="Arial"/>
          <w:bCs/>
          <w:iCs/>
        </w:rPr>
        <w:t>.</w:t>
      </w:r>
    </w:p>
    <w:p w14:paraId="689AF28E" w14:textId="77777777" w:rsidR="00D21BE2" w:rsidRPr="00F00A99" w:rsidRDefault="00D21BE2" w:rsidP="00986700">
      <w:pPr>
        <w:tabs>
          <w:tab w:val="left" w:pos="567"/>
        </w:tabs>
        <w:ind w:right="91"/>
        <w:jc w:val="both"/>
        <w:rPr>
          <w:rFonts w:cs="Arial"/>
          <w:bCs/>
          <w:iCs/>
        </w:rPr>
      </w:pPr>
    </w:p>
    <w:p w14:paraId="1B583324" w14:textId="77777777" w:rsidR="00D21BE2" w:rsidRPr="00F00A99" w:rsidRDefault="00D21BE2" w:rsidP="00986700">
      <w:pPr>
        <w:tabs>
          <w:tab w:val="left" w:pos="567"/>
        </w:tabs>
        <w:ind w:left="567" w:right="91"/>
        <w:jc w:val="both"/>
        <w:rPr>
          <w:rFonts w:cs="Arial"/>
        </w:rPr>
      </w:pPr>
      <w:r w:rsidRPr="00F00A99">
        <w:rPr>
          <w:rFonts w:cs="Arial"/>
          <w:b/>
          <w:i/>
        </w:rPr>
        <w:t>Revenus de placement :</w:t>
      </w:r>
      <w:r w:rsidRPr="00F00A99">
        <w:rPr>
          <w:rFonts w:cs="Arial"/>
        </w:rPr>
        <w:t xml:space="preserve"> recettes provenant des placements, y compris les intérêts sur les capitaux.</w:t>
      </w:r>
    </w:p>
    <w:p w14:paraId="21AEA1BB" w14:textId="77777777" w:rsidR="00D21BE2" w:rsidRPr="00F00A99" w:rsidRDefault="00D21BE2" w:rsidP="00986700">
      <w:pPr>
        <w:pStyle w:val="zanxtext"/>
        <w:spacing w:before="0"/>
        <w:ind w:right="91"/>
        <w:jc w:val="both"/>
        <w:rPr>
          <w:rFonts w:ascii="Arial" w:hAnsi="Arial" w:cs="Arial"/>
          <w:sz w:val="20"/>
        </w:rPr>
      </w:pPr>
    </w:p>
    <w:p w14:paraId="437F3882" w14:textId="77777777" w:rsidR="00D21BE2" w:rsidRPr="00F00A99" w:rsidRDefault="00D21BE2" w:rsidP="00986700">
      <w:pPr>
        <w:tabs>
          <w:tab w:val="left" w:pos="567"/>
        </w:tabs>
        <w:ind w:left="567" w:right="91"/>
        <w:jc w:val="both"/>
        <w:rPr>
          <w:rFonts w:cs="Arial"/>
        </w:rPr>
      </w:pPr>
      <w:r w:rsidRPr="00F00A99">
        <w:rPr>
          <w:rFonts w:cs="Arial"/>
          <w:b/>
          <w:i/>
        </w:rPr>
        <w:t xml:space="preserve">Publications : </w:t>
      </w:r>
      <w:r w:rsidRPr="00F00A99">
        <w:rPr>
          <w:rFonts w:cs="Arial"/>
        </w:rPr>
        <w:t>recettes provenant de la vente des publications et des abonnements aux périodiques publiés par le Secrétariat sur papier, CD-ROM ou tout autre support.</w:t>
      </w:r>
    </w:p>
    <w:p w14:paraId="02A7A833" w14:textId="77777777" w:rsidR="00D21BE2" w:rsidRPr="00F00A99" w:rsidRDefault="00D21BE2" w:rsidP="00986700">
      <w:pPr>
        <w:pStyle w:val="zanxtext"/>
        <w:spacing w:before="0"/>
        <w:ind w:right="91"/>
        <w:jc w:val="both"/>
        <w:rPr>
          <w:rFonts w:ascii="Arial" w:hAnsi="Arial" w:cs="Arial"/>
          <w:sz w:val="20"/>
        </w:rPr>
      </w:pPr>
    </w:p>
    <w:p w14:paraId="74EC5F40" w14:textId="0C4B291E" w:rsidR="00D21BE2" w:rsidRPr="00F00A99" w:rsidRDefault="00D21BE2" w:rsidP="00986700">
      <w:pPr>
        <w:tabs>
          <w:tab w:val="left" w:pos="567"/>
        </w:tabs>
        <w:ind w:left="567" w:right="91"/>
        <w:jc w:val="both"/>
        <w:rPr>
          <w:rFonts w:cs="Arial"/>
        </w:rPr>
      </w:pPr>
      <w:r w:rsidRPr="00F00A99">
        <w:rPr>
          <w:rFonts w:cs="Arial"/>
          <w:b/>
          <w:i/>
        </w:rPr>
        <w:t xml:space="preserve">Autres recettes : </w:t>
      </w:r>
      <w:r w:rsidRPr="00F00A99">
        <w:rPr>
          <w:rFonts w:cs="Arial"/>
        </w:rPr>
        <w:t>droits d’inscription à des conférences et cours de formation, recettes provenant des services d’appui fournis en rapport avec des activités extrabudgétaires de l’OMPI financées par le PNUD et par des fonds fiduciaires, ajustements comptables (crédits) relatifs à des années antérieures et ajustements de change, recettes provenant de la location de locaux appartenant à l’OMPI, remboursements par l’UPOV à l’OMPI de services d’appui administratif</w:t>
      </w:r>
      <w:r w:rsidR="00CF6859">
        <w:rPr>
          <w:rFonts w:cs="Arial"/>
        </w:rPr>
        <w:t xml:space="preserve"> et gains ou pertes sortis du bilan</w:t>
      </w:r>
      <w:r w:rsidRPr="00F00A99">
        <w:rPr>
          <w:rFonts w:cs="Arial"/>
        </w:rPr>
        <w:t>.</w:t>
      </w:r>
    </w:p>
    <w:p w14:paraId="2B0F1955" w14:textId="77777777" w:rsidR="00D21BE2" w:rsidRPr="00F00A99" w:rsidRDefault="00D21BE2" w:rsidP="00986700">
      <w:pPr>
        <w:pStyle w:val="zanxtext"/>
        <w:spacing w:before="0"/>
        <w:ind w:right="91"/>
        <w:jc w:val="both"/>
        <w:rPr>
          <w:rFonts w:ascii="Arial" w:hAnsi="Arial" w:cs="Arial"/>
          <w:sz w:val="20"/>
        </w:rPr>
      </w:pPr>
    </w:p>
    <w:p w14:paraId="7D4B9EAD" w14:textId="77777777" w:rsidR="00D21BE2" w:rsidRPr="00F00A99" w:rsidRDefault="00D21BE2" w:rsidP="00986700">
      <w:pPr>
        <w:pStyle w:val="zanxtext"/>
        <w:spacing w:before="0"/>
        <w:ind w:right="91"/>
        <w:jc w:val="both"/>
        <w:rPr>
          <w:rFonts w:ascii="Arial" w:hAnsi="Arial" w:cs="Arial"/>
          <w:sz w:val="20"/>
        </w:rPr>
      </w:pPr>
    </w:p>
    <w:p w14:paraId="59135A04" w14:textId="77777777" w:rsidR="00D21BE2" w:rsidRPr="00F00A99" w:rsidRDefault="00D21BE2" w:rsidP="00986700">
      <w:pPr>
        <w:pStyle w:val="Footer"/>
        <w:ind w:right="91"/>
        <w:jc w:val="both"/>
        <w:rPr>
          <w:rFonts w:cs="Arial"/>
          <w:b/>
        </w:rPr>
      </w:pPr>
      <w:r w:rsidRPr="00F00A99">
        <w:rPr>
          <w:rFonts w:cs="Arial"/>
          <w:b/>
        </w:rPr>
        <w:t>OBJETS DE DÉPENSE</w:t>
      </w:r>
    </w:p>
    <w:p w14:paraId="56713F5E" w14:textId="77777777" w:rsidR="00D21BE2" w:rsidRPr="00F00A99" w:rsidRDefault="00D21BE2" w:rsidP="00986700">
      <w:pPr>
        <w:pStyle w:val="zanxtext"/>
        <w:spacing w:before="0"/>
        <w:ind w:right="91"/>
        <w:jc w:val="both"/>
        <w:rPr>
          <w:rFonts w:ascii="Arial" w:hAnsi="Arial" w:cs="Arial"/>
          <w:sz w:val="20"/>
        </w:rPr>
      </w:pPr>
    </w:p>
    <w:p w14:paraId="5198D2E9" w14:textId="77777777" w:rsidR="00D21BE2" w:rsidRPr="00F00A99" w:rsidRDefault="00D21BE2" w:rsidP="00986700">
      <w:pPr>
        <w:pStyle w:val="zanxtext"/>
        <w:spacing w:before="0"/>
        <w:ind w:right="91"/>
        <w:jc w:val="both"/>
        <w:rPr>
          <w:rFonts w:ascii="Arial" w:hAnsi="Arial" w:cs="Arial"/>
          <w:bCs/>
          <w:sz w:val="20"/>
        </w:rPr>
      </w:pPr>
      <w:r w:rsidRPr="00F00A99">
        <w:rPr>
          <w:rFonts w:ascii="Arial" w:hAnsi="Arial" w:cs="Arial"/>
          <w:bCs/>
          <w:sz w:val="20"/>
        </w:rPr>
        <w:t>RESSOURCES EN PERSONNEL</w:t>
      </w:r>
    </w:p>
    <w:p w14:paraId="6EE025B5" w14:textId="77777777" w:rsidR="00D21BE2" w:rsidRPr="00F00A99" w:rsidRDefault="00D21BE2" w:rsidP="00986700">
      <w:pPr>
        <w:pStyle w:val="zanxtext"/>
        <w:spacing w:before="0"/>
        <w:ind w:right="91"/>
        <w:jc w:val="both"/>
        <w:rPr>
          <w:rFonts w:ascii="Arial" w:hAnsi="Arial" w:cs="Arial"/>
          <w:b/>
          <w:sz w:val="20"/>
          <w:u w:val="single"/>
        </w:rPr>
      </w:pPr>
    </w:p>
    <w:p w14:paraId="281394A1" w14:textId="77777777" w:rsidR="00D21BE2" w:rsidRPr="00F00A99" w:rsidRDefault="00D21BE2" w:rsidP="00986700">
      <w:pPr>
        <w:tabs>
          <w:tab w:val="left" w:pos="567"/>
        </w:tabs>
        <w:ind w:left="567" w:right="91"/>
        <w:jc w:val="both"/>
        <w:rPr>
          <w:rFonts w:cs="Arial"/>
        </w:rPr>
      </w:pPr>
      <w:r w:rsidRPr="00F00A99">
        <w:rPr>
          <w:rFonts w:cs="Arial"/>
          <w:b/>
          <w:i/>
        </w:rPr>
        <w:t xml:space="preserve">Postes : </w:t>
      </w:r>
      <w:r w:rsidRPr="00F00A99">
        <w:rPr>
          <w:rFonts w:cs="Arial"/>
        </w:rPr>
        <w:t>rémunération perçue par les fonctionnaires, en particulier les traitements, les indemnités de poste, les allocations familiales, les primes pour connaissances linguistiques, les paiements pour heures supplémentaires, les indemnités de non-résident, les primes d’affectation et les indemnités de représentation.</w:t>
      </w:r>
    </w:p>
    <w:p w14:paraId="1239B258" w14:textId="77777777" w:rsidR="00D21BE2" w:rsidRPr="00F00A99" w:rsidRDefault="00D21BE2" w:rsidP="00986700">
      <w:pPr>
        <w:tabs>
          <w:tab w:val="left" w:pos="567"/>
        </w:tabs>
        <w:ind w:right="91"/>
        <w:jc w:val="both"/>
        <w:rPr>
          <w:rFonts w:cs="Arial"/>
          <w:i/>
        </w:rPr>
      </w:pPr>
    </w:p>
    <w:p w14:paraId="4A7B82E1" w14:textId="77777777" w:rsidR="00D21BE2" w:rsidRPr="00F00A99" w:rsidRDefault="00D21BE2" w:rsidP="00986700">
      <w:pPr>
        <w:tabs>
          <w:tab w:val="left" w:pos="567"/>
        </w:tabs>
        <w:ind w:left="567" w:right="91"/>
        <w:jc w:val="both"/>
        <w:rPr>
          <w:rFonts w:cs="Arial"/>
        </w:rPr>
      </w:pPr>
      <w:r w:rsidRPr="00F00A99">
        <w:rPr>
          <w:rFonts w:cs="Arial"/>
          <w:b/>
          <w:i/>
        </w:rPr>
        <w:t>Agents temporaires :</w:t>
      </w:r>
      <w:r w:rsidRPr="00F00A99">
        <w:rPr>
          <w:rFonts w:cs="Arial"/>
        </w:rPr>
        <w:t xml:space="preserve"> rémunération et indemnités versées aux agents temporaires de la catégorie des administrateurs et des services généraux au bénéfice de contrats à court terme.</w:t>
      </w:r>
    </w:p>
    <w:p w14:paraId="7F58D251" w14:textId="77777777" w:rsidR="00D21BE2" w:rsidRPr="00F00A99" w:rsidRDefault="00D21BE2" w:rsidP="00986700">
      <w:pPr>
        <w:tabs>
          <w:tab w:val="left" w:pos="567"/>
        </w:tabs>
        <w:ind w:right="91"/>
        <w:jc w:val="both"/>
        <w:rPr>
          <w:rFonts w:cs="Arial"/>
        </w:rPr>
      </w:pPr>
    </w:p>
    <w:p w14:paraId="0D8972CD" w14:textId="77777777" w:rsidR="00D21BE2" w:rsidRPr="00F00A99" w:rsidRDefault="00D21BE2" w:rsidP="00986700">
      <w:pPr>
        <w:tabs>
          <w:tab w:val="left" w:pos="567"/>
        </w:tabs>
        <w:ind w:left="567" w:right="91"/>
        <w:jc w:val="both"/>
        <w:rPr>
          <w:rFonts w:cs="Arial"/>
        </w:rPr>
      </w:pPr>
      <w:r w:rsidRPr="00F00A99">
        <w:rPr>
          <w:rFonts w:cs="Arial"/>
          <w:b/>
          <w:i/>
        </w:rPr>
        <w:t>Autres dépenses de personnel :</w:t>
      </w:r>
      <w:r w:rsidRPr="00F00A99">
        <w:rPr>
          <w:rFonts w:cs="Arial"/>
        </w:rPr>
        <w:t xml:space="preserve"> montants pour assurance accidents professionnels, caisses de retraite, frais de justice et programme de récompenses et de reconnaissance.</w:t>
      </w:r>
    </w:p>
    <w:p w14:paraId="6D05E23C" w14:textId="77777777" w:rsidR="00D21BE2" w:rsidRPr="00F00A99" w:rsidRDefault="00D21BE2" w:rsidP="00986700">
      <w:pPr>
        <w:jc w:val="both"/>
        <w:rPr>
          <w:rFonts w:cs="Arial"/>
        </w:rPr>
      </w:pPr>
    </w:p>
    <w:p w14:paraId="15C507BE" w14:textId="77777777" w:rsidR="00D21BE2" w:rsidRPr="00F00A99" w:rsidRDefault="00D21BE2" w:rsidP="00986700">
      <w:pPr>
        <w:jc w:val="both"/>
        <w:rPr>
          <w:rFonts w:cs="Arial"/>
        </w:rPr>
      </w:pPr>
    </w:p>
    <w:p w14:paraId="42C6C5BC" w14:textId="77777777" w:rsidR="00D21BE2" w:rsidRPr="00F00A99" w:rsidRDefault="00D21BE2" w:rsidP="00986700">
      <w:pPr>
        <w:jc w:val="both"/>
        <w:rPr>
          <w:rFonts w:cs="Arial"/>
        </w:rPr>
      </w:pPr>
      <w:r w:rsidRPr="00F00A99">
        <w:rPr>
          <w:rFonts w:cs="Arial"/>
        </w:rPr>
        <w:t>AUTRES RESSOURCES</w:t>
      </w:r>
    </w:p>
    <w:p w14:paraId="5E9CA299" w14:textId="77777777" w:rsidR="00D21BE2" w:rsidRPr="00F00A99" w:rsidRDefault="00D21BE2" w:rsidP="00986700">
      <w:pPr>
        <w:jc w:val="both"/>
        <w:rPr>
          <w:rFonts w:cs="Arial"/>
        </w:rPr>
      </w:pPr>
    </w:p>
    <w:p w14:paraId="3A16B79A" w14:textId="77777777" w:rsidR="00D21BE2" w:rsidRPr="00F00A99" w:rsidRDefault="00D21BE2" w:rsidP="00986700">
      <w:pPr>
        <w:jc w:val="both"/>
        <w:rPr>
          <w:rFonts w:cs="Arial"/>
          <w:b/>
          <w:bCs/>
        </w:rPr>
      </w:pPr>
      <w:r w:rsidRPr="00F00A99">
        <w:rPr>
          <w:rFonts w:cs="Arial"/>
          <w:b/>
          <w:bCs/>
        </w:rPr>
        <w:t>Stages et bourses de l’OMPI</w:t>
      </w:r>
    </w:p>
    <w:p w14:paraId="148E57A1" w14:textId="77777777" w:rsidR="00D21BE2" w:rsidRPr="00F00A99" w:rsidRDefault="00D21BE2" w:rsidP="00986700">
      <w:pPr>
        <w:jc w:val="both"/>
        <w:rPr>
          <w:rFonts w:cs="Arial"/>
        </w:rPr>
      </w:pPr>
    </w:p>
    <w:p w14:paraId="33C4764F" w14:textId="77777777" w:rsidR="00D21BE2" w:rsidRPr="00F00A99" w:rsidRDefault="00D21BE2" w:rsidP="00986700">
      <w:pPr>
        <w:ind w:left="567"/>
        <w:jc w:val="both"/>
        <w:rPr>
          <w:rFonts w:cs="Arial"/>
        </w:rPr>
      </w:pPr>
      <w:r w:rsidRPr="00F00A99">
        <w:rPr>
          <w:rFonts w:cs="Arial"/>
          <w:b/>
          <w:i/>
        </w:rPr>
        <w:t>Stages :</w:t>
      </w:r>
      <w:r w:rsidRPr="00F00A99">
        <w:rPr>
          <w:rFonts w:cs="Arial"/>
        </w:rPr>
        <w:t xml:space="preserve"> rémunération et indemnités versées aux stagiaires.</w:t>
      </w:r>
    </w:p>
    <w:p w14:paraId="12FB7EBB" w14:textId="77777777" w:rsidR="00D21BE2" w:rsidRPr="00F00A99" w:rsidRDefault="00D21BE2" w:rsidP="00986700">
      <w:pPr>
        <w:ind w:left="567"/>
        <w:jc w:val="both"/>
        <w:rPr>
          <w:rFonts w:cs="Arial"/>
        </w:rPr>
      </w:pPr>
    </w:p>
    <w:p w14:paraId="55399117" w14:textId="77777777" w:rsidR="00D21BE2" w:rsidRPr="00F00A99" w:rsidRDefault="00D21BE2" w:rsidP="00986700">
      <w:pPr>
        <w:ind w:left="567"/>
        <w:jc w:val="both"/>
        <w:rPr>
          <w:rFonts w:cs="Arial"/>
        </w:rPr>
      </w:pPr>
      <w:r w:rsidRPr="00F00A99">
        <w:rPr>
          <w:rFonts w:cs="Arial"/>
          <w:b/>
          <w:i/>
        </w:rPr>
        <w:t xml:space="preserve">Bourses de l’OMPI : </w:t>
      </w:r>
      <w:r w:rsidRPr="00F00A99">
        <w:rPr>
          <w:rFonts w:cs="Arial"/>
        </w:rPr>
        <w:t>dépenses liées à une activité de formation qui octroie un don monétaire à des personnes qualifiées pour remplir des objectifs pédagogiques particuliers.</w:t>
      </w:r>
    </w:p>
    <w:p w14:paraId="1C80124C" w14:textId="77777777" w:rsidR="00D21BE2" w:rsidRPr="00F00A99" w:rsidRDefault="00D21BE2" w:rsidP="00986700">
      <w:pPr>
        <w:rPr>
          <w:rFonts w:cs="Arial"/>
        </w:rPr>
      </w:pPr>
      <w:bookmarkStart w:id="106" w:name="RANGE!A3"/>
    </w:p>
    <w:p w14:paraId="784AB982" w14:textId="77777777" w:rsidR="00D21BE2" w:rsidRPr="00F00A99" w:rsidRDefault="00D21BE2" w:rsidP="00986700">
      <w:pPr>
        <w:rPr>
          <w:rFonts w:cs="Arial"/>
        </w:rPr>
      </w:pPr>
    </w:p>
    <w:p w14:paraId="65BBB080" w14:textId="77777777" w:rsidR="00D21BE2" w:rsidRPr="00F00A99" w:rsidRDefault="00D21BE2" w:rsidP="00986700">
      <w:pPr>
        <w:rPr>
          <w:rFonts w:cs="Arial"/>
          <w:b/>
          <w:bCs/>
        </w:rPr>
      </w:pPr>
      <w:r w:rsidRPr="00F00A99">
        <w:rPr>
          <w:rFonts w:cs="Arial"/>
          <w:b/>
          <w:bCs/>
        </w:rPr>
        <w:t>Voyages, formations et indemnités</w:t>
      </w:r>
      <w:bookmarkEnd w:id="106"/>
    </w:p>
    <w:p w14:paraId="6C6F1D80" w14:textId="77777777" w:rsidR="00D21BE2" w:rsidRPr="00F00A99" w:rsidRDefault="00D21BE2" w:rsidP="00986700">
      <w:pPr>
        <w:rPr>
          <w:rFonts w:cs="Arial"/>
        </w:rPr>
      </w:pPr>
    </w:p>
    <w:p w14:paraId="7DCBB321" w14:textId="77777777" w:rsidR="00D21BE2" w:rsidRPr="00F00A99" w:rsidRDefault="00D21BE2" w:rsidP="00986700">
      <w:pPr>
        <w:ind w:left="567"/>
        <w:jc w:val="both"/>
        <w:rPr>
          <w:rFonts w:cs="Arial"/>
        </w:rPr>
      </w:pPr>
      <w:r w:rsidRPr="00F00A99">
        <w:rPr>
          <w:rFonts w:cs="Arial"/>
          <w:b/>
          <w:i/>
        </w:rPr>
        <w:t xml:space="preserve">Missions de fonctionnaires : </w:t>
      </w:r>
      <w:r w:rsidRPr="00F00A99">
        <w:rPr>
          <w:rFonts w:cs="Arial"/>
        </w:rPr>
        <w:t>frais de voyage et indemnités journalières de subsistance pour tous les fonctionnaires en voyage officiel.</w:t>
      </w:r>
    </w:p>
    <w:p w14:paraId="0AA3EDF4" w14:textId="77777777" w:rsidR="00D21BE2" w:rsidRPr="00F00A99" w:rsidRDefault="00D21BE2" w:rsidP="00986700">
      <w:pPr>
        <w:ind w:left="567"/>
        <w:jc w:val="both"/>
        <w:rPr>
          <w:rFonts w:cs="Arial"/>
        </w:rPr>
      </w:pPr>
    </w:p>
    <w:p w14:paraId="4DEC71F2" w14:textId="77777777" w:rsidR="00D21BE2" w:rsidRPr="00F00A99" w:rsidRDefault="00D21BE2" w:rsidP="00986700">
      <w:pPr>
        <w:ind w:left="567"/>
        <w:jc w:val="both"/>
        <w:rPr>
          <w:rFonts w:cs="Arial"/>
        </w:rPr>
      </w:pPr>
      <w:r w:rsidRPr="00F00A99">
        <w:rPr>
          <w:rFonts w:cs="Arial"/>
          <w:b/>
          <w:i/>
        </w:rPr>
        <w:t xml:space="preserve">Voyages des tiers : </w:t>
      </w:r>
      <w:r w:rsidRPr="00F00A99">
        <w:rPr>
          <w:rFonts w:cs="Arial"/>
        </w:rPr>
        <w:t>frais de voyage et indemnités journalières de subsistance pour tous les tiers, y compris les frais de voyage de fonctionnaires nationaux, de participants et de conférenciers se rendant à des réunions organisées sous l’égide de l’OMPI.</w:t>
      </w:r>
    </w:p>
    <w:p w14:paraId="02DC359F" w14:textId="77777777" w:rsidR="00D21BE2" w:rsidRPr="00F00A99" w:rsidRDefault="00D21BE2" w:rsidP="00986700">
      <w:pPr>
        <w:ind w:left="567"/>
        <w:jc w:val="both"/>
        <w:rPr>
          <w:rFonts w:cs="Arial"/>
        </w:rPr>
      </w:pPr>
    </w:p>
    <w:p w14:paraId="5501CD08" w14:textId="77777777" w:rsidR="00D21BE2" w:rsidRPr="00F00A99" w:rsidRDefault="00D21BE2" w:rsidP="00986700">
      <w:pPr>
        <w:ind w:left="567"/>
        <w:jc w:val="both"/>
        <w:rPr>
          <w:rFonts w:cs="Arial"/>
        </w:rPr>
      </w:pPr>
      <w:r w:rsidRPr="00F00A99">
        <w:rPr>
          <w:rFonts w:cs="Arial"/>
          <w:b/>
          <w:i/>
        </w:rPr>
        <w:t>Formations et indemnités de voyage connexes :</w:t>
      </w:r>
      <w:r w:rsidRPr="00F00A99">
        <w:rPr>
          <w:rFonts w:cs="Arial"/>
        </w:rPr>
        <w:t xml:space="preserve"> frais de voyage, indemnités journalières de subsistance, droits d’inscription et autres dépenses afférentes à la participation de stagiaires à des cours, séminaires et stages.</w:t>
      </w:r>
    </w:p>
    <w:p w14:paraId="4123958F" w14:textId="77777777" w:rsidR="00D21BE2" w:rsidRPr="00F00A99" w:rsidRDefault="00D21BE2" w:rsidP="00986700">
      <w:pPr>
        <w:rPr>
          <w:rFonts w:cs="Arial"/>
        </w:rPr>
      </w:pPr>
      <w:bookmarkStart w:id="107" w:name="RANGE!A11"/>
    </w:p>
    <w:p w14:paraId="0D2D5DC7" w14:textId="77777777" w:rsidR="00D21BE2" w:rsidRPr="00F00A99" w:rsidRDefault="00D21BE2" w:rsidP="00986700">
      <w:pPr>
        <w:rPr>
          <w:rFonts w:cs="Arial"/>
        </w:rPr>
      </w:pPr>
    </w:p>
    <w:bookmarkEnd w:id="107"/>
    <w:p w14:paraId="20735211" w14:textId="77777777" w:rsidR="00D21BE2" w:rsidRPr="00F00A99" w:rsidRDefault="00D21BE2" w:rsidP="00986700">
      <w:pPr>
        <w:rPr>
          <w:rFonts w:cs="Arial"/>
          <w:b/>
          <w:bCs/>
        </w:rPr>
      </w:pPr>
      <w:r w:rsidRPr="00F00A99">
        <w:rPr>
          <w:rFonts w:cs="Arial"/>
          <w:b/>
          <w:bCs/>
        </w:rPr>
        <w:t>Services contractuels</w:t>
      </w:r>
    </w:p>
    <w:p w14:paraId="0320278D" w14:textId="77777777" w:rsidR="00D21BE2" w:rsidRPr="00F00A99" w:rsidRDefault="00D21BE2" w:rsidP="00986700">
      <w:pPr>
        <w:rPr>
          <w:rFonts w:cs="Arial"/>
        </w:rPr>
      </w:pPr>
    </w:p>
    <w:p w14:paraId="039A09BE" w14:textId="77777777" w:rsidR="00D21BE2" w:rsidRPr="00F00A99" w:rsidRDefault="00D21BE2" w:rsidP="00986700">
      <w:pPr>
        <w:ind w:left="567"/>
        <w:rPr>
          <w:rFonts w:cs="Arial"/>
        </w:rPr>
      </w:pPr>
      <w:r w:rsidRPr="00F00A99">
        <w:rPr>
          <w:rFonts w:cs="Arial"/>
          <w:b/>
          <w:i/>
        </w:rPr>
        <w:t>Conférences :</w:t>
      </w:r>
      <w:r w:rsidRPr="00F00A99">
        <w:rPr>
          <w:rFonts w:cs="Arial"/>
        </w:rPr>
        <w:t xml:space="preserve"> rémunération, frais de voyage et indemnités journalières de subsistance des interprètes;</w:t>
      </w:r>
      <w:r w:rsidRPr="00F00A99">
        <w:t xml:space="preserve">  </w:t>
      </w:r>
      <w:r w:rsidRPr="00F00A99">
        <w:rPr>
          <w:rFonts w:cs="Arial"/>
        </w:rPr>
        <w:t>location de salles de conférence et de matériel d’interprétation;</w:t>
      </w:r>
      <w:r w:rsidRPr="00F00A99">
        <w:t xml:space="preserve">  </w:t>
      </w:r>
      <w:r w:rsidRPr="00F00A99">
        <w:rPr>
          <w:rFonts w:cs="Arial"/>
        </w:rPr>
        <w:t>rafraîchissements et réceptions;</w:t>
      </w:r>
      <w:r w:rsidRPr="00F00A99">
        <w:t xml:space="preserve">  </w:t>
      </w:r>
      <w:r w:rsidRPr="00F00A99">
        <w:rPr>
          <w:rFonts w:cs="Arial"/>
        </w:rPr>
        <w:t>et frais afférents à tout autre service directement lié à l’organisation d’une conférence.</w:t>
      </w:r>
    </w:p>
    <w:p w14:paraId="4774765F" w14:textId="77777777" w:rsidR="00D21BE2" w:rsidRPr="00F00A99" w:rsidRDefault="00D21BE2" w:rsidP="00986700">
      <w:pPr>
        <w:ind w:left="567"/>
        <w:rPr>
          <w:rFonts w:cs="Arial"/>
        </w:rPr>
      </w:pPr>
    </w:p>
    <w:p w14:paraId="59EDFBC3" w14:textId="77777777" w:rsidR="00D21BE2" w:rsidRPr="00F00A99" w:rsidRDefault="00D21BE2" w:rsidP="00986700">
      <w:pPr>
        <w:ind w:left="567"/>
        <w:jc w:val="both"/>
        <w:rPr>
          <w:rFonts w:cs="Arial"/>
        </w:rPr>
      </w:pPr>
      <w:r w:rsidRPr="00F00A99">
        <w:rPr>
          <w:rFonts w:cs="Arial"/>
          <w:b/>
          <w:i/>
        </w:rPr>
        <w:t>Publication :</w:t>
      </w:r>
      <w:r w:rsidRPr="00F00A99">
        <w:rPr>
          <w:rFonts w:cs="Arial"/>
        </w:rPr>
        <w:t xml:space="preserve"> travaux d’impression et de reliure faits à l’extérieur;  revues;</w:t>
      </w:r>
      <w:r w:rsidRPr="00F00A99">
        <w:t xml:space="preserve">  </w:t>
      </w:r>
      <w:r w:rsidRPr="00F00A99">
        <w:rPr>
          <w:rFonts w:cs="Arial"/>
        </w:rPr>
        <w:t>papier et impression;</w:t>
      </w:r>
      <w:r w:rsidRPr="00F00A99">
        <w:t xml:space="preserve">  </w:t>
      </w:r>
      <w:r w:rsidRPr="00F00A99">
        <w:rPr>
          <w:rFonts w:cs="Arial"/>
        </w:rPr>
        <w:t>autres travaux d’impression : tirages à part d’articles parus dans les revues;</w:t>
      </w:r>
      <w:r w:rsidRPr="00F00A99">
        <w:t xml:space="preserve">  </w:t>
      </w:r>
      <w:r w:rsidRPr="00F00A99">
        <w:rPr>
          <w:rFonts w:cs="Arial"/>
        </w:rPr>
        <w:t>brochures;</w:t>
      </w:r>
      <w:r w:rsidRPr="00F00A99">
        <w:t xml:space="preserve">  </w:t>
      </w:r>
      <w:r w:rsidRPr="00F00A99">
        <w:rPr>
          <w:rFonts w:cs="Arial"/>
        </w:rPr>
        <w:t>traités;</w:t>
      </w:r>
      <w:r w:rsidRPr="00F00A99">
        <w:t xml:space="preserve">  </w:t>
      </w:r>
      <w:r w:rsidRPr="00F00A99">
        <w:rPr>
          <w:rFonts w:cs="Arial"/>
        </w:rPr>
        <w:t>recueils;</w:t>
      </w:r>
      <w:r w:rsidRPr="00F00A99">
        <w:t xml:space="preserve">  </w:t>
      </w:r>
      <w:r w:rsidRPr="00F00A99">
        <w:rPr>
          <w:rFonts w:cs="Arial"/>
        </w:rPr>
        <w:t>manuels;</w:t>
      </w:r>
      <w:r w:rsidRPr="00F00A99">
        <w:t xml:space="preserve">  </w:t>
      </w:r>
      <w:r w:rsidRPr="00F00A99">
        <w:rPr>
          <w:rFonts w:cs="Arial"/>
        </w:rPr>
        <w:t>formulaires de travail et autres travaux d’impression divers;</w:t>
      </w:r>
      <w:r w:rsidRPr="00F00A99">
        <w:t xml:space="preserve">  </w:t>
      </w:r>
      <w:r w:rsidRPr="00F00A99">
        <w:rPr>
          <w:rFonts w:cs="Arial"/>
        </w:rPr>
        <w:t>production de CD-ROM, de cassettes vidéo, de bandes magnétiques et autres formes de publication électronique.</w:t>
      </w:r>
    </w:p>
    <w:p w14:paraId="19E05790" w14:textId="77777777" w:rsidR="00D21BE2" w:rsidRPr="00F00A99" w:rsidRDefault="00D21BE2" w:rsidP="00986700">
      <w:pPr>
        <w:ind w:left="567"/>
        <w:jc w:val="both"/>
        <w:rPr>
          <w:rFonts w:cs="Arial"/>
        </w:rPr>
      </w:pPr>
    </w:p>
    <w:p w14:paraId="4E8BDC1E" w14:textId="77777777" w:rsidR="00D21BE2" w:rsidRPr="00F00A99" w:rsidRDefault="00D21BE2" w:rsidP="00986700">
      <w:pPr>
        <w:ind w:left="567"/>
        <w:jc w:val="both"/>
        <w:rPr>
          <w:rFonts w:cs="Arial"/>
        </w:rPr>
      </w:pPr>
      <w:r w:rsidRPr="00F00A99">
        <w:rPr>
          <w:rFonts w:cs="Arial"/>
          <w:b/>
          <w:i/>
        </w:rPr>
        <w:t>Services contractuels de personnes :</w:t>
      </w:r>
      <w:r w:rsidRPr="00F00A99">
        <w:rPr>
          <w:rFonts w:cs="Arial"/>
        </w:rPr>
        <w:t xml:space="preserve"> rémunération versée pour des services contractuels de personnes.</w:t>
      </w:r>
    </w:p>
    <w:p w14:paraId="66885C90" w14:textId="77777777" w:rsidR="00D21BE2" w:rsidRPr="00F00A99" w:rsidRDefault="00D21BE2" w:rsidP="00986700">
      <w:pPr>
        <w:ind w:left="567"/>
        <w:jc w:val="both"/>
        <w:rPr>
          <w:rFonts w:cs="Arial"/>
        </w:rPr>
      </w:pPr>
    </w:p>
    <w:p w14:paraId="1853EF36" w14:textId="77777777" w:rsidR="00D21BE2" w:rsidRPr="00F00A99" w:rsidRDefault="00D21BE2" w:rsidP="00986700">
      <w:pPr>
        <w:ind w:left="567"/>
        <w:jc w:val="both"/>
        <w:rPr>
          <w:rFonts w:cs="Arial"/>
        </w:rPr>
      </w:pPr>
      <w:r w:rsidRPr="00F00A99">
        <w:rPr>
          <w:rFonts w:cs="Arial"/>
          <w:b/>
          <w:i/>
        </w:rPr>
        <w:t xml:space="preserve">Autres services contractuels : </w:t>
      </w:r>
      <w:r w:rsidRPr="00F00A99">
        <w:rPr>
          <w:rFonts w:cs="Arial"/>
        </w:rPr>
        <w:t>comprend tous les autres services contractuels conclus avec des prestataires de services commerciaux et non commerciaux.</w:t>
      </w:r>
    </w:p>
    <w:p w14:paraId="670C977F" w14:textId="77777777" w:rsidR="00D21BE2" w:rsidRPr="00F00A99" w:rsidRDefault="00D21BE2" w:rsidP="00986700">
      <w:pPr>
        <w:jc w:val="both"/>
        <w:rPr>
          <w:rFonts w:cs="Arial"/>
        </w:rPr>
      </w:pPr>
    </w:p>
    <w:p w14:paraId="691CDBC5" w14:textId="77777777" w:rsidR="00D21BE2" w:rsidRPr="00F00A99" w:rsidRDefault="00D21BE2" w:rsidP="00986700">
      <w:pPr>
        <w:jc w:val="both"/>
        <w:rPr>
          <w:rFonts w:cs="Arial"/>
        </w:rPr>
      </w:pPr>
    </w:p>
    <w:p w14:paraId="1327FF58" w14:textId="77777777" w:rsidR="00D21BE2" w:rsidRPr="00F00A99" w:rsidRDefault="00D21BE2" w:rsidP="00986700">
      <w:pPr>
        <w:jc w:val="both"/>
        <w:rPr>
          <w:rFonts w:cs="Arial"/>
          <w:b/>
        </w:rPr>
      </w:pPr>
      <w:bookmarkStart w:id="108" w:name="RANGE!A23"/>
      <w:r w:rsidRPr="00F00A99">
        <w:rPr>
          <w:rFonts w:cs="Arial"/>
          <w:b/>
        </w:rPr>
        <w:t>Coûts financiers</w:t>
      </w:r>
    </w:p>
    <w:p w14:paraId="007B803B" w14:textId="77777777" w:rsidR="00D21BE2" w:rsidRPr="00F00A99" w:rsidRDefault="00D21BE2" w:rsidP="00986700">
      <w:pPr>
        <w:jc w:val="both"/>
        <w:rPr>
          <w:rFonts w:cs="Arial"/>
          <w:bCs/>
        </w:rPr>
      </w:pPr>
    </w:p>
    <w:p w14:paraId="1CF2FFD3" w14:textId="77777777" w:rsidR="00D21BE2" w:rsidRPr="00F00A99" w:rsidRDefault="00D21BE2" w:rsidP="00986700">
      <w:pPr>
        <w:ind w:left="567"/>
        <w:jc w:val="both"/>
        <w:rPr>
          <w:rFonts w:cs="Arial"/>
          <w:b/>
          <w:bCs/>
        </w:rPr>
      </w:pPr>
      <w:r w:rsidRPr="00F00A99">
        <w:rPr>
          <w:rFonts w:cs="Arial"/>
          <w:b/>
          <w:bCs/>
          <w:i/>
        </w:rPr>
        <w:t>Coûts financiers :</w:t>
      </w:r>
      <w:r w:rsidRPr="00F00A99">
        <w:rPr>
          <w:rFonts w:cs="Arial"/>
          <w:bCs/>
        </w:rPr>
        <w:t xml:space="preserve"> intérêt sur les emprunts;  frais bancaires.</w:t>
      </w:r>
    </w:p>
    <w:p w14:paraId="314CF176" w14:textId="77777777" w:rsidR="00D21BE2" w:rsidRPr="00F00A99" w:rsidRDefault="00D21BE2" w:rsidP="00986700">
      <w:pPr>
        <w:jc w:val="both"/>
        <w:rPr>
          <w:rFonts w:cs="Arial"/>
        </w:rPr>
      </w:pPr>
    </w:p>
    <w:p w14:paraId="6FD7F67F" w14:textId="77777777" w:rsidR="00D21BE2" w:rsidRPr="00F00A99" w:rsidRDefault="00D21BE2" w:rsidP="00986700">
      <w:pPr>
        <w:jc w:val="both"/>
        <w:rPr>
          <w:rFonts w:cs="Arial"/>
        </w:rPr>
      </w:pPr>
    </w:p>
    <w:bookmarkEnd w:id="108"/>
    <w:p w14:paraId="4B18584A" w14:textId="77777777" w:rsidR="00D21BE2" w:rsidRPr="00F00A99" w:rsidRDefault="00D21BE2" w:rsidP="00986700">
      <w:pPr>
        <w:jc w:val="both"/>
        <w:rPr>
          <w:rFonts w:cs="Arial"/>
          <w:b/>
          <w:bCs/>
        </w:rPr>
      </w:pPr>
      <w:r w:rsidRPr="00F00A99">
        <w:rPr>
          <w:rFonts w:cs="Arial"/>
          <w:b/>
          <w:bCs/>
        </w:rPr>
        <w:t>Dépenses de fonctionnement</w:t>
      </w:r>
    </w:p>
    <w:p w14:paraId="7FFFF18F" w14:textId="77777777" w:rsidR="00D21BE2" w:rsidRPr="00F00A99" w:rsidRDefault="00D21BE2" w:rsidP="00986700">
      <w:pPr>
        <w:jc w:val="both"/>
        <w:rPr>
          <w:rFonts w:cs="Arial"/>
        </w:rPr>
      </w:pPr>
    </w:p>
    <w:p w14:paraId="18E3039F" w14:textId="3004C173" w:rsidR="00D21BE2" w:rsidRPr="00F00A99" w:rsidRDefault="00D21BE2" w:rsidP="00986700">
      <w:pPr>
        <w:ind w:left="567"/>
        <w:jc w:val="both"/>
        <w:rPr>
          <w:rFonts w:cs="Arial"/>
        </w:rPr>
      </w:pPr>
      <w:r w:rsidRPr="00F00A99">
        <w:rPr>
          <w:rFonts w:cs="Arial"/>
          <w:b/>
          <w:i/>
        </w:rPr>
        <w:t>Locaux et entretien :</w:t>
      </w:r>
      <w:r w:rsidRPr="00F00A99">
        <w:rPr>
          <w:rFonts w:cs="Arial"/>
        </w:rPr>
        <w:t xml:space="preserve"> acquisition, location, amélioration et entretien des locaux à usage de bureaux et location ou entretien de matériel et de mobilier;  consultants extérieurs en gestion.</w:t>
      </w:r>
    </w:p>
    <w:p w14:paraId="580EAA3A" w14:textId="77777777" w:rsidR="00D21BE2" w:rsidRPr="00F00A99" w:rsidRDefault="00D21BE2" w:rsidP="00986700">
      <w:pPr>
        <w:ind w:left="567"/>
        <w:jc w:val="both"/>
        <w:rPr>
          <w:rFonts w:cs="Arial"/>
        </w:rPr>
      </w:pPr>
    </w:p>
    <w:p w14:paraId="45A54724" w14:textId="77777777" w:rsidR="00D21BE2" w:rsidRPr="00F00A99" w:rsidRDefault="00D21BE2" w:rsidP="00986700">
      <w:pPr>
        <w:ind w:left="567"/>
        <w:jc w:val="both"/>
        <w:rPr>
          <w:rFonts w:cs="Arial"/>
        </w:rPr>
      </w:pPr>
      <w:r w:rsidRPr="00F00A99">
        <w:rPr>
          <w:rFonts w:cs="Arial"/>
          <w:b/>
          <w:i/>
        </w:rPr>
        <w:t>Communication :</w:t>
      </w:r>
      <w:r w:rsidRPr="00F00A99">
        <w:rPr>
          <w:rFonts w:cs="Arial"/>
        </w:rPr>
        <w:t xml:space="preserve"> frais de communication comme le téléphone, l’Internet, la télécopie et le courrier, les frais de port et de transport de documents.</w:t>
      </w:r>
    </w:p>
    <w:p w14:paraId="70A70246" w14:textId="77777777" w:rsidR="00D21BE2" w:rsidRPr="00F00A99" w:rsidRDefault="00D21BE2" w:rsidP="00986700">
      <w:pPr>
        <w:ind w:left="567"/>
        <w:jc w:val="both"/>
        <w:rPr>
          <w:rFonts w:cs="Arial"/>
        </w:rPr>
      </w:pPr>
    </w:p>
    <w:p w14:paraId="520F1B3C" w14:textId="77777777" w:rsidR="00D21BE2" w:rsidRPr="00F00A99" w:rsidRDefault="00D21BE2" w:rsidP="00986700">
      <w:pPr>
        <w:ind w:left="567"/>
        <w:jc w:val="both"/>
        <w:rPr>
          <w:rFonts w:cs="Arial"/>
        </w:rPr>
      </w:pPr>
      <w:r w:rsidRPr="00F00A99">
        <w:rPr>
          <w:rFonts w:cs="Arial"/>
          <w:b/>
          <w:i/>
        </w:rPr>
        <w:t>Frais de représentation et autres dépenses de fonctionnement :</w:t>
      </w:r>
      <w:r w:rsidRPr="00F00A99">
        <w:rPr>
          <w:rFonts w:cs="Arial"/>
        </w:rPr>
        <w:t xml:space="preserve"> activités d’accueil et réceptions officielles, contribution de l’OMPI à l’Association du personnel et autres dépenses.</w:t>
      </w:r>
    </w:p>
    <w:p w14:paraId="2894A48A" w14:textId="77777777" w:rsidR="00D21BE2" w:rsidRPr="00F00A99" w:rsidRDefault="00D21BE2" w:rsidP="00986700">
      <w:pPr>
        <w:ind w:left="567"/>
        <w:jc w:val="both"/>
        <w:rPr>
          <w:rFonts w:cs="Arial"/>
        </w:rPr>
      </w:pPr>
    </w:p>
    <w:p w14:paraId="69791081" w14:textId="77777777" w:rsidR="00D21BE2" w:rsidRPr="00F00A99" w:rsidRDefault="00D21BE2" w:rsidP="00986700">
      <w:pPr>
        <w:ind w:left="567"/>
        <w:jc w:val="both"/>
        <w:rPr>
          <w:rFonts w:cs="Arial"/>
        </w:rPr>
      </w:pPr>
      <w:r w:rsidRPr="00F00A99">
        <w:rPr>
          <w:rFonts w:cs="Arial"/>
          <w:b/>
          <w:i/>
        </w:rPr>
        <w:t>Services communs du système des Nations Unies :</w:t>
      </w:r>
      <w:r w:rsidRPr="00F00A99">
        <w:rPr>
          <w:rFonts w:cs="Arial"/>
        </w:rPr>
        <w:t xml:space="preserve"> assistance médicale, contributions à des activités administratives communes du système des Nations Unies, activités financées en commun par le système des Nations Unies, tribunal administratif.</w:t>
      </w:r>
    </w:p>
    <w:p w14:paraId="647B24EA" w14:textId="77777777" w:rsidR="00D21BE2" w:rsidRPr="00F00A99" w:rsidRDefault="00D21BE2" w:rsidP="00986700">
      <w:pPr>
        <w:jc w:val="both"/>
        <w:rPr>
          <w:rFonts w:cs="Arial"/>
        </w:rPr>
      </w:pPr>
      <w:bookmarkStart w:id="109" w:name="RANGE!A35"/>
    </w:p>
    <w:p w14:paraId="63440F1B" w14:textId="77777777" w:rsidR="00D21BE2" w:rsidRPr="00F00A99" w:rsidRDefault="00D21BE2" w:rsidP="00986700">
      <w:pPr>
        <w:jc w:val="both"/>
        <w:rPr>
          <w:rFonts w:cs="Arial"/>
        </w:rPr>
      </w:pPr>
    </w:p>
    <w:bookmarkEnd w:id="109"/>
    <w:p w14:paraId="45046071" w14:textId="77777777" w:rsidR="00D21BE2" w:rsidRPr="00F00A99" w:rsidRDefault="00D21BE2" w:rsidP="00986700">
      <w:pPr>
        <w:rPr>
          <w:rFonts w:cs="Arial"/>
          <w:b/>
          <w:bCs/>
        </w:rPr>
      </w:pPr>
      <w:r w:rsidRPr="00F00A99">
        <w:rPr>
          <w:rFonts w:cs="Arial"/>
          <w:b/>
          <w:bCs/>
        </w:rPr>
        <w:t>Matériel et fournitures</w:t>
      </w:r>
    </w:p>
    <w:p w14:paraId="53F49C87" w14:textId="77777777" w:rsidR="00D21BE2" w:rsidRPr="00F00A99" w:rsidRDefault="00D21BE2" w:rsidP="00986700">
      <w:pPr>
        <w:jc w:val="both"/>
        <w:rPr>
          <w:rFonts w:cs="Arial"/>
        </w:rPr>
      </w:pPr>
    </w:p>
    <w:p w14:paraId="6A25B9D6" w14:textId="77777777" w:rsidR="00D21BE2" w:rsidRPr="00F00A99" w:rsidRDefault="00D21BE2" w:rsidP="00986700">
      <w:pPr>
        <w:ind w:left="567"/>
        <w:jc w:val="both"/>
        <w:rPr>
          <w:rFonts w:cs="Arial"/>
        </w:rPr>
      </w:pPr>
      <w:r w:rsidRPr="00F00A99">
        <w:rPr>
          <w:rFonts w:cs="Arial"/>
          <w:b/>
          <w:i/>
        </w:rPr>
        <w:t xml:space="preserve">Mobilier et matériel : </w:t>
      </w:r>
      <w:r w:rsidRPr="00F00A99">
        <w:rPr>
          <w:rFonts w:cs="Arial"/>
        </w:rPr>
        <w:t>achat de mobilier et machines de bureau, de matériel informatique (ordinateurs personnels, ordinateurs portables, imprimantes, serveurs, etc.), de matériel utilisé pour les conférences, de matériel de reproduction des documents et de matériel de transport.</w:t>
      </w:r>
    </w:p>
    <w:p w14:paraId="44573BEE" w14:textId="77777777" w:rsidR="00D21BE2" w:rsidRPr="00F00A99" w:rsidRDefault="00D21BE2" w:rsidP="00986700">
      <w:pPr>
        <w:ind w:left="567"/>
        <w:jc w:val="both"/>
        <w:rPr>
          <w:rFonts w:cs="Arial"/>
        </w:rPr>
      </w:pPr>
    </w:p>
    <w:p w14:paraId="61A2F698" w14:textId="77777777" w:rsidR="00D21BE2" w:rsidRPr="00F00A99" w:rsidRDefault="00D21BE2" w:rsidP="00986700">
      <w:pPr>
        <w:ind w:left="567"/>
        <w:jc w:val="both"/>
        <w:rPr>
          <w:rFonts w:cs="Arial"/>
        </w:rPr>
      </w:pPr>
      <w:r w:rsidRPr="00F00A99">
        <w:rPr>
          <w:rFonts w:cs="Arial"/>
          <w:b/>
          <w:i/>
        </w:rPr>
        <w:t xml:space="preserve">Fournitures : </w:t>
      </w:r>
      <w:r w:rsidRPr="00F00A99">
        <w:rPr>
          <w:rFonts w:cs="Arial"/>
        </w:rPr>
        <w:t>papier et fournitures de bureau;</w:t>
      </w:r>
      <w:r w:rsidRPr="00F00A99">
        <w:t xml:space="preserve">  </w:t>
      </w:r>
      <w:r w:rsidRPr="00F00A99">
        <w:rPr>
          <w:rFonts w:cs="Arial"/>
        </w:rPr>
        <w:t>fournitures de reproduction interne (offset, microfilms, etc.);</w:t>
      </w:r>
      <w:r w:rsidRPr="00F00A99">
        <w:t xml:space="preserve">  </w:t>
      </w:r>
      <w:r w:rsidRPr="00F00A99">
        <w:rPr>
          <w:rFonts w:cs="Arial"/>
        </w:rPr>
        <w:t>livres de bibliothèque et abonnements à des revues et périodiques;</w:t>
      </w:r>
      <w:r w:rsidRPr="00F00A99">
        <w:t xml:space="preserve">  </w:t>
      </w:r>
      <w:r w:rsidRPr="00F00A99">
        <w:rPr>
          <w:rFonts w:cs="Arial"/>
        </w:rPr>
        <w:t>uniformes;  fournitures de traitement de données;</w:t>
      </w:r>
      <w:r w:rsidRPr="00F00A99">
        <w:t xml:space="preserve">  </w:t>
      </w:r>
      <w:r w:rsidRPr="00F00A99">
        <w:rPr>
          <w:rFonts w:cs="Arial"/>
        </w:rPr>
        <w:t>logiciels et licences informatiques.</w:t>
      </w:r>
    </w:p>
    <w:p w14:paraId="43DB1CF4" w14:textId="77777777" w:rsidR="00D21BE2" w:rsidRPr="00F00A99" w:rsidRDefault="00D21BE2" w:rsidP="00986700">
      <w:pPr>
        <w:ind w:left="550"/>
        <w:jc w:val="both"/>
        <w:rPr>
          <w:rFonts w:cs="Arial"/>
        </w:rPr>
      </w:pPr>
    </w:p>
    <w:p w14:paraId="6EDFB324" w14:textId="47F2A085" w:rsidR="00D21BE2" w:rsidRDefault="00D21BE2" w:rsidP="00986700">
      <w:pPr>
        <w:rPr>
          <w:lang w:eastAsia="en-US"/>
        </w:rPr>
      </w:pPr>
      <w:r>
        <w:rPr>
          <w:lang w:eastAsia="en-US"/>
        </w:rPr>
        <w:br w:type="page"/>
      </w:r>
    </w:p>
    <w:p w14:paraId="05FED3DD" w14:textId="36CF24AC" w:rsidR="00110CB1" w:rsidRPr="006C6A36" w:rsidRDefault="00110CB1" w:rsidP="00986700">
      <w:pPr>
        <w:pStyle w:val="Heading2"/>
        <w:tabs>
          <w:tab w:val="left" w:pos="6"/>
        </w:tabs>
        <w:ind w:left="0" w:firstLine="0"/>
      </w:pPr>
      <w:bookmarkStart w:id="110" w:name="_Toc482979528"/>
      <w:r w:rsidRPr="006C6A36">
        <w:lastRenderedPageBreak/>
        <w:t>APPENDICE C</w:t>
      </w:r>
      <w:r>
        <w:br/>
      </w:r>
      <w:r>
        <w:tab/>
      </w:r>
      <w:r w:rsidRPr="006C6A36">
        <w:t>CALCUL DES DÉPENSES DE PERSONNEL</w:t>
      </w:r>
      <w:bookmarkEnd w:id="110"/>
    </w:p>
    <w:p w14:paraId="1C126D4D" w14:textId="77777777" w:rsidR="00110CB1" w:rsidRPr="006C6A36" w:rsidRDefault="00110CB1" w:rsidP="00986700">
      <w:pPr>
        <w:pStyle w:val="Header"/>
        <w:rPr>
          <w:rFonts w:asciiTheme="minorBidi" w:hAnsiTheme="minorBidi"/>
        </w:rPr>
      </w:pPr>
    </w:p>
    <w:p w14:paraId="09F7D64D" w14:textId="77777777" w:rsidR="00110CB1" w:rsidRPr="006C6A36" w:rsidRDefault="00110CB1" w:rsidP="00986700">
      <w:pPr>
        <w:pStyle w:val="Header"/>
        <w:rPr>
          <w:rFonts w:asciiTheme="minorBidi" w:hAnsiTheme="minorBidi"/>
        </w:rPr>
      </w:pPr>
    </w:p>
    <w:p w14:paraId="03E50BB6" w14:textId="77777777" w:rsidR="00110CB1" w:rsidRPr="006C6A36" w:rsidRDefault="00110CB1" w:rsidP="00616FD3">
      <w:pPr>
        <w:pStyle w:val="ListParagraph"/>
        <w:numPr>
          <w:ilvl w:val="0"/>
          <w:numId w:val="58"/>
        </w:numPr>
        <w:tabs>
          <w:tab w:val="left" w:pos="567"/>
        </w:tabs>
        <w:ind w:left="0" w:firstLine="0"/>
        <w:rPr>
          <w:rFonts w:asciiTheme="minorBidi" w:hAnsiTheme="minorBidi"/>
        </w:rPr>
      </w:pPr>
      <w:r w:rsidRPr="006C6A36">
        <w:rPr>
          <w:rFonts w:asciiTheme="minorBidi" w:hAnsiTheme="minorBidi"/>
        </w:rPr>
        <w:t>À la suite d’une modification apportée à la méthode de calcul en 2016-2017, les dépenses de personnel dans le budget prévu pour l’exercice biennal 2018-2019 ont été établies sur la base des montants réels.</w:t>
      </w:r>
    </w:p>
    <w:p w14:paraId="04FF0064" w14:textId="77777777" w:rsidR="00110CB1" w:rsidRPr="006C6A36" w:rsidRDefault="00110CB1" w:rsidP="00986700">
      <w:pPr>
        <w:pStyle w:val="ListParagraph"/>
        <w:tabs>
          <w:tab w:val="left" w:pos="567"/>
        </w:tabs>
        <w:ind w:left="0"/>
        <w:rPr>
          <w:rFonts w:asciiTheme="minorBidi" w:hAnsiTheme="minorBidi"/>
        </w:rPr>
      </w:pPr>
    </w:p>
    <w:p w14:paraId="45BEA371" w14:textId="77777777" w:rsidR="00110CB1" w:rsidRPr="006C6A36" w:rsidRDefault="00110CB1" w:rsidP="00616FD3">
      <w:pPr>
        <w:pStyle w:val="ListParagraph"/>
        <w:numPr>
          <w:ilvl w:val="0"/>
          <w:numId w:val="58"/>
        </w:numPr>
        <w:tabs>
          <w:tab w:val="left" w:pos="567"/>
        </w:tabs>
        <w:ind w:left="0" w:firstLine="0"/>
        <w:rPr>
          <w:rFonts w:asciiTheme="minorBidi" w:hAnsiTheme="minorBidi"/>
        </w:rPr>
      </w:pPr>
      <w:r w:rsidRPr="006C6A36">
        <w:rPr>
          <w:rFonts w:asciiTheme="minorBidi" w:hAnsiTheme="minorBidi"/>
        </w:rPr>
        <w:t>Les montants réels reposent sur les derniers barèmes disponibles en matière de traitements et de rémunération considérée aux fins de la pension des administrateurs et des fonctionnaires de rang supérieur et des agents des services généraux, ainsi que sur les données existantes concernant les personnes à charge et sur les politiques et les prestations applicables à tous les autres avantages du personnel.  Les modifications apportées au Statut et Règlement du personnel et au nouveau régime commun des prestations versées aux administrateurs et aux fonctionnaires de rang supérieur ont également été dûment prises en considération</w:t>
      </w:r>
      <w:r w:rsidRPr="006C6A36">
        <w:rPr>
          <w:rStyle w:val="FootnoteReference"/>
          <w:rFonts w:asciiTheme="minorBidi" w:hAnsiTheme="minorBidi"/>
        </w:rPr>
        <w:footnoteReference w:id="45"/>
      </w:r>
      <w:r w:rsidRPr="006C6A36">
        <w:rPr>
          <w:rFonts w:asciiTheme="minorBidi" w:hAnsiTheme="minorBidi"/>
        </w:rPr>
        <w:t>.</w:t>
      </w:r>
    </w:p>
    <w:p w14:paraId="3D90F8D9" w14:textId="77777777" w:rsidR="00110CB1" w:rsidRPr="006C6A36" w:rsidRDefault="00110CB1" w:rsidP="00986700">
      <w:pPr>
        <w:pStyle w:val="ListParagraph"/>
        <w:tabs>
          <w:tab w:val="left" w:pos="567"/>
        </w:tabs>
        <w:ind w:left="0"/>
        <w:rPr>
          <w:rFonts w:asciiTheme="minorBidi" w:hAnsiTheme="minorBidi"/>
        </w:rPr>
      </w:pPr>
    </w:p>
    <w:p w14:paraId="7DA76BA7" w14:textId="77777777" w:rsidR="00110CB1" w:rsidRPr="006C6A36" w:rsidRDefault="00110CB1" w:rsidP="00616FD3">
      <w:pPr>
        <w:pStyle w:val="ListParagraph"/>
        <w:numPr>
          <w:ilvl w:val="0"/>
          <w:numId w:val="58"/>
        </w:numPr>
        <w:tabs>
          <w:tab w:val="left" w:pos="567"/>
        </w:tabs>
        <w:ind w:left="0" w:firstLine="0"/>
        <w:rPr>
          <w:rFonts w:asciiTheme="minorBidi" w:hAnsiTheme="minorBidi"/>
        </w:rPr>
      </w:pPr>
      <w:r w:rsidRPr="006C6A36">
        <w:rPr>
          <w:rFonts w:asciiTheme="minorBidi" w:hAnsiTheme="minorBidi"/>
        </w:rPr>
        <w:t>La méthode de calcul utilisée comporte plusieurs éléments de coût par niveau de poste, combinés afin d’obtenir une comptabilisation globale des ressources en personnel.  Les éléments de coût et les hypothèses de calcul sont résumés ci-dessous.</w:t>
      </w:r>
    </w:p>
    <w:p w14:paraId="1AD9E92B" w14:textId="77777777" w:rsidR="00110CB1" w:rsidRPr="006C6A36" w:rsidRDefault="00110CB1" w:rsidP="00986700">
      <w:pPr>
        <w:rPr>
          <w:rFonts w:asciiTheme="minorBidi" w:hAnsiTheme="minorBidi"/>
        </w:rPr>
      </w:pPr>
    </w:p>
    <w:p w14:paraId="34D2E812" w14:textId="77777777" w:rsidR="00110CB1" w:rsidRPr="006C6A36" w:rsidRDefault="00110CB1" w:rsidP="00986700">
      <w:pPr>
        <w:ind w:left="1134" w:firstLine="567"/>
        <w:rPr>
          <w:rFonts w:asciiTheme="minorBidi" w:hAnsiTheme="minorBidi"/>
          <w:b/>
        </w:rPr>
      </w:pPr>
      <w:r w:rsidRPr="006C6A36">
        <w:rPr>
          <w:rFonts w:asciiTheme="minorBidi" w:hAnsiTheme="minorBidi"/>
          <w:b/>
        </w:rPr>
        <w:t>Calcul du coût des montants réels et hypothèses s’y rapportant</w:t>
      </w:r>
    </w:p>
    <w:p w14:paraId="1A1DBF07" w14:textId="77777777" w:rsidR="00110CB1" w:rsidRPr="006C6A36" w:rsidRDefault="00110CB1" w:rsidP="00986700">
      <w:pPr>
        <w:jc w:val="center"/>
        <w:rPr>
          <w:rFonts w:asciiTheme="minorBidi" w:hAnsiTheme="minorBidi"/>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440"/>
        <w:gridCol w:w="3816"/>
        <w:gridCol w:w="3816"/>
      </w:tblGrid>
      <w:tr w:rsidR="00110CB1" w:rsidRPr="006C6A36" w14:paraId="5007A622" w14:textId="77777777" w:rsidTr="00110CB1">
        <w:trPr>
          <w:cantSplit/>
          <w:tblHeader/>
        </w:trPr>
        <w:tc>
          <w:tcPr>
            <w:tcW w:w="1440" w:type="dxa"/>
            <w:shd w:val="clear" w:color="auto" w:fill="auto"/>
            <w:tcMar>
              <w:top w:w="57" w:type="dxa"/>
              <w:bottom w:w="57" w:type="dxa"/>
            </w:tcMar>
          </w:tcPr>
          <w:p w14:paraId="023623C6" w14:textId="77777777" w:rsidR="00110CB1" w:rsidRPr="006C6A36" w:rsidRDefault="00110CB1" w:rsidP="00986700">
            <w:pPr>
              <w:rPr>
                <w:rFonts w:asciiTheme="minorBidi" w:hAnsiTheme="minorBidi"/>
                <w:b/>
                <w:sz w:val="18"/>
              </w:rPr>
            </w:pPr>
          </w:p>
        </w:tc>
        <w:tc>
          <w:tcPr>
            <w:tcW w:w="3816" w:type="dxa"/>
            <w:shd w:val="clear" w:color="auto" w:fill="auto"/>
            <w:tcMar>
              <w:top w:w="57" w:type="dxa"/>
              <w:bottom w:w="57" w:type="dxa"/>
            </w:tcMar>
          </w:tcPr>
          <w:p w14:paraId="72070731" w14:textId="77777777" w:rsidR="00110CB1" w:rsidRPr="006C6A36" w:rsidRDefault="00110CB1" w:rsidP="00986700">
            <w:pPr>
              <w:jc w:val="center"/>
              <w:rPr>
                <w:rFonts w:asciiTheme="minorBidi" w:hAnsiTheme="minorBidi"/>
                <w:b/>
                <w:sz w:val="18"/>
              </w:rPr>
            </w:pPr>
            <w:r w:rsidRPr="006C6A36">
              <w:rPr>
                <w:rFonts w:asciiTheme="minorBidi" w:hAnsiTheme="minorBidi"/>
                <w:b/>
                <w:sz w:val="18"/>
              </w:rPr>
              <w:t>Poste</w:t>
            </w:r>
          </w:p>
          <w:p w14:paraId="12ABDFB6" w14:textId="77777777" w:rsidR="00110CB1" w:rsidRPr="006C6A36" w:rsidRDefault="00110CB1" w:rsidP="00986700">
            <w:pPr>
              <w:jc w:val="center"/>
              <w:rPr>
                <w:rFonts w:asciiTheme="minorBidi" w:hAnsiTheme="minorBidi"/>
                <w:bCs/>
                <w:i/>
                <w:sz w:val="18"/>
              </w:rPr>
            </w:pPr>
            <w:r w:rsidRPr="006C6A36">
              <w:rPr>
                <w:rFonts w:asciiTheme="minorBidi" w:hAnsiTheme="minorBidi"/>
                <w:bCs/>
                <w:i/>
                <w:sz w:val="18"/>
              </w:rPr>
              <w:t>(administrateurs et fonctionnaires de rang supérieur et agents des services généraux)</w:t>
            </w:r>
          </w:p>
        </w:tc>
        <w:tc>
          <w:tcPr>
            <w:tcW w:w="3816" w:type="dxa"/>
            <w:tcMar>
              <w:top w:w="57" w:type="dxa"/>
              <w:bottom w:w="57" w:type="dxa"/>
            </w:tcMar>
          </w:tcPr>
          <w:p w14:paraId="66B20BBA" w14:textId="77777777" w:rsidR="00110CB1" w:rsidRPr="006C6A36" w:rsidRDefault="00110CB1" w:rsidP="00986700">
            <w:pPr>
              <w:jc w:val="center"/>
              <w:rPr>
                <w:rFonts w:asciiTheme="minorBidi" w:hAnsiTheme="minorBidi"/>
                <w:b/>
                <w:sz w:val="18"/>
              </w:rPr>
            </w:pPr>
            <w:r w:rsidRPr="006C6A36">
              <w:rPr>
                <w:rFonts w:asciiTheme="minorBidi" w:hAnsiTheme="minorBidi"/>
                <w:b/>
                <w:sz w:val="18"/>
              </w:rPr>
              <w:t>Personnel temporaire</w:t>
            </w:r>
          </w:p>
          <w:p w14:paraId="5778CAC4" w14:textId="77777777" w:rsidR="00110CB1" w:rsidRPr="006C6A36" w:rsidRDefault="00110CB1" w:rsidP="00986700">
            <w:pPr>
              <w:jc w:val="center"/>
              <w:rPr>
                <w:rFonts w:asciiTheme="minorBidi" w:hAnsiTheme="minorBidi"/>
                <w:bCs/>
                <w:i/>
                <w:sz w:val="18"/>
              </w:rPr>
            </w:pPr>
            <w:r w:rsidRPr="006C6A36">
              <w:rPr>
                <w:rFonts w:asciiTheme="minorBidi" w:hAnsiTheme="minorBidi"/>
                <w:bCs/>
                <w:i/>
                <w:sz w:val="18"/>
              </w:rPr>
              <w:t>(administrateurs et fonctionnaires de rang supérieur et agents des services généraux)</w:t>
            </w:r>
          </w:p>
        </w:tc>
      </w:tr>
      <w:tr w:rsidR="00110CB1" w:rsidRPr="006C6A36" w14:paraId="2340332E" w14:textId="77777777" w:rsidTr="00110CB1">
        <w:trPr>
          <w:cantSplit/>
        </w:trPr>
        <w:tc>
          <w:tcPr>
            <w:tcW w:w="1440" w:type="dxa"/>
            <w:tcMar>
              <w:top w:w="57" w:type="dxa"/>
              <w:bottom w:w="57" w:type="dxa"/>
            </w:tcMar>
          </w:tcPr>
          <w:p w14:paraId="507D3387" w14:textId="77777777" w:rsidR="00110CB1" w:rsidRPr="006C6A36" w:rsidRDefault="00110CB1" w:rsidP="00986700">
            <w:pPr>
              <w:rPr>
                <w:rFonts w:asciiTheme="minorBidi" w:hAnsiTheme="minorBidi"/>
                <w:b/>
                <w:sz w:val="18"/>
              </w:rPr>
            </w:pPr>
            <w:r w:rsidRPr="006C6A36">
              <w:rPr>
                <w:rFonts w:asciiTheme="minorBidi" w:hAnsiTheme="minorBidi"/>
                <w:b/>
                <w:sz w:val="18"/>
              </w:rPr>
              <w:t>Traitement</w:t>
            </w:r>
          </w:p>
        </w:tc>
        <w:tc>
          <w:tcPr>
            <w:tcW w:w="3816" w:type="dxa"/>
            <w:tcMar>
              <w:top w:w="57" w:type="dxa"/>
              <w:bottom w:w="57" w:type="dxa"/>
            </w:tcMar>
          </w:tcPr>
          <w:p w14:paraId="6E2E9F54" w14:textId="77777777" w:rsidR="00110CB1" w:rsidRDefault="00110CB1" w:rsidP="00986700">
            <w:pPr>
              <w:rPr>
                <w:rFonts w:asciiTheme="minorBidi" w:hAnsiTheme="minorBidi"/>
                <w:sz w:val="16"/>
              </w:rPr>
            </w:pPr>
            <w:r w:rsidRPr="006C6A36">
              <w:rPr>
                <w:rFonts w:asciiTheme="minorBidi" w:hAnsiTheme="minorBidi"/>
                <w:sz w:val="16"/>
              </w:rPr>
              <w:t>L’élément traitement pour un poste occupé est calculé par niveau de poste en appliquant le barème unifié des traitements au grade/échelon projeté du titulaire.  Pour les postes vacants, il correspond au premier échelon du grade considéré.  Le montant calculé en dollars des États-Unis d’Amérique est converti en francs suisses avec l’application du coefficient d’ajustement de poste, le cas échéant (pour les administrateurs et fonctionnaires de rang supérieur en fonction du lieu d’affectation correspondant).</w:t>
            </w:r>
          </w:p>
          <w:p w14:paraId="79DAADA5" w14:textId="77777777" w:rsidR="00110CB1" w:rsidRPr="006C6A36" w:rsidRDefault="00110CB1" w:rsidP="00986700">
            <w:pPr>
              <w:rPr>
                <w:rFonts w:asciiTheme="minorBidi" w:hAnsiTheme="minorBidi"/>
                <w:sz w:val="16"/>
              </w:rPr>
            </w:pPr>
          </w:p>
          <w:p w14:paraId="0DA338D4" w14:textId="77777777" w:rsidR="00110CB1" w:rsidRPr="006C6A36" w:rsidRDefault="00110CB1" w:rsidP="00986700">
            <w:pPr>
              <w:rPr>
                <w:rFonts w:asciiTheme="minorBidi" w:hAnsiTheme="minorBidi"/>
                <w:sz w:val="16"/>
              </w:rPr>
            </w:pPr>
            <w:r w:rsidRPr="006C6A36">
              <w:rPr>
                <w:rFonts w:asciiTheme="minorBidi" w:hAnsiTheme="minorBidi"/>
                <w:sz w:val="16"/>
              </w:rPr>
              <w:t>La part qui correspond à l’Organisation de la rémunération considérée aux fins de la pension (CCPPNU) est ajoutée au montant total.</w:t>
            </w:r>
          </w:p>
        </w:tc>
        <w:tc>
          <w:tcPr>
            <w:tcW w:w="3816" w:type="dxa"/>
            <w:tcMar>
              <w:top w:w="57" w:type="dxa"/>
              <w:bottom w:w="57" w:type="dxa"/>
            </w:tcMar>
          </w:tcPr>
          <w:p w14:paraId="49C7D24A" w14:textId="77777777" w:rsidR="00110CB1" w:rsidRDefault="00110CB1" w:rsidP="00986700">
            <w:pPr>
              <w:rPr>
                <w:rFonts w:asciiTheme="minorBidi" w:hAnsiTheme="minorBidi"/>
                <w:sz w:val="16"/>
              </w:rPr>
            </w:pPr>
            <w:r w:rsidRPr="006C6A36">
              <w:rPr>
                <w:rFonts w:asciiTheme="minorBidi" w:hAnsiTheme="minorBidi"/>
                <w:sz w:val="16"/>
              </w:rPr>
              <w:t>L’élément traitement pour un poste occupé est calculé par niveau de poste en appliquant le barème unifié des traitements au grade/échelon projeté du titulaire.  Pour les postes vacants, il correspond au premier échelon du grade considéré.  Le montant calculé en dollars des États-Unis d’Amérique est converti en francs suisses avec l’application du coefficient d’ajustement de poste, le cas échéant (pour les administrateurs et fonctionnaires de rang supérieur en fonction du lieu d’affectation correspondant).</w:t>
            </w:r>
          </w:p>
          <w:p w14:paraId="55449D55" w14:textId="77777777" w:rsidR="00110CB1" w:rsidRPr="006C6A36" w:rsidRDefault="00110CB1" w:rsidP="00986700">
            <w:pPr>
              <w:rPr>
                <w:rFonts w:asciiTheme="minorBidi" w:hAnsiTheme="minorBidi"/>
                <w:sz w:val="16"/>
              </w:rPr>
            </w:pPr>
          </w:p>
          <w:p w14:paraId="11DB4058" w14:textId="77777777" w:rsidR="00110CB1" w:rsidRPr="006C6A36" w:rsidRDefault="00110CB1" w:rsidP="00986700">
            <w:pPr>
              <w:rPr>
                <w:rFonts w:asciiTheme="minorBidi" w:hAnsiTheme="minorBidi"/>
                <w:sz w:val="16"/>
              </w:rPr>
            </w:pPr>
            <w:r w:rsidRPr="006C6A36">
              <w:rPr>
                <w:rFonts w:asciiTheme="minorBidi" w:hAnsiTheme="minorBidi"/>
                <w:sz w:val="16"/>
              </w:rPr>
              <w:t>La part qui correspond à l’Organisation de la rémunération considérée aux fins de la pension (CCPPNU) est ajoutée au montant total.</w:t>
            </w:r>
          </w:p>
        </w:tc>
      </w:tr>
      <w:tr w:rsidR="00110CB1" w:rsidRPr="006C6A36" w14:paraId="64B578E8" w14:textId="77777777" w:rsidTr="00110CB1">
        <w:trPr>
          <w:cantSplit/>
        </w:trPr>
        <w:tc>
          <w:tcPr>
            <w:tcW w:w="1440" w:type="dxa"/>
            <w:tcMar>
              <w:top w:w="57" w:type="dxa"/>
              <w:bottom w:w="57" w:type="dxa"/>
            </w:tcMar>
          </w:tcPr>
          <w:p w14:paraId="70F842ED" w14:textId="77777777" w:rsidR="00110CB1" w:rsidRPr="006C6A36" w:rsidRDefault="00110CB1" w:rsidP="00986700">
            <w:pPr>
              <w:rPr>
                <w:rFonts w:asciiTheme="minorBidi" w:hAnsiTheme="minorBidi"/>
                <w:b/>
                <w:sz w:val="18"/>
              </w:rPr>
            </w:pPr>
            <w:r w:rsidRPr="006C6A36">
              <w:rPr>
                <w:rFonts w:asciiTheme="minorBidi" w:hAnsiTheme="minorBidi"/>
                <w:b/>
                <w:sz w:val="18"/>
              </w:rPr>
              <w:t>Dépenses communes de personnel</w:t>
            </w:r>
          </w:p>
        </w:tc>
        <w:tc>
          <w:tcPr>
            <w:tcW w:w="3816" w:type="dxa"/>
            <w:tcMar>
              <w:top w:w="57" w:type="dxa"/>
              <w:bottom w:w="57" w:type="dxa"/>
            </w:tcMar>
          </w:tcPr>
          <w:p w14:paraId="7F2C686B" w14:textId="77777777" w:rsidR="00110CB1" w:rsidRPr="006C6A36" w:rsidRDefault="00110CB1" w:rsidP="00986700">
            <w:pPr>
              <w:rPr>
                <w:rFonts w:asciiTheme="minorBidi" w:hAnsiTheme="minorBidi"/>
                <w:sz w:val="16"/>
              </w:rPr>
            </w:pPr>
            <w:r w:rsidRPr="006C6A36">
              <w:rPr>
                <w:rFonts w:asciiTheme="minorBidi" w:hAnsiTheme="minorBidi"/>
                <w:sz w:val="16"/>
              </w:rPr>
              <w:t>Les dépenses communes de personnel comprennent toutes les prestations et tous les avantages autres que le traitement, qui sont prévus par le régime révisé de prestations de la CFPI et le Statut et Règlement du personnel (indemnité pour conjoint à charge, indemnité de parent isolé et indemnité transitoire, indemnité pour enfant à charge, cotisations à l’assurance maladie, congé dans les foyers, indemnité pour frais d’étude, etc.).  Les dépenses communes de personnel sont projetées et appliquées par niveau de poste sur la base de l’historique des dépenses.</w:t>
            </w:r>
          </w:p>
          <w:p w14:paraId="4454B29A" w14:textId="77777777" w:rsidR="00110CB1" w:rsidRDefault="00110CB1" w:rsidP="00986700">
            <w:pPr>
              <w:rPr>
                <w:rFonts w:asciiTheme="minorBidi" w:hAnsiTheme="minorBidi"/>
                <w:sz w:val="16"/>
              </w:rPr>
            </w:pPr>
          </w:p>
          <w:p w14:paraId="65AEC77B" w14:textId="77777777" w:rsidR="00110CB1" w:rsidRPr="006C6A36" w:rsidRDefault="00110CB1" w:rsidP="00986700">
            <w:pPr>
              <w:rPr>
                <w:rFonts w:asciiTheme="minorBidi" w:hAnsiTheme="minorBidi"/>
                <w:sz w:val="16"/>
              </w:rPr>
            </w:pPr>
            <w:r w:rsidRPr="006C6A36">
              <w:rPr>
                <w:rFonts w:asciiTheme="minorBidi" w:hAnsiTheme="minorBidi"/>
                <w:sz w:val="16"/>
              </w:rPr>
              <w:t>Pour l’établissement des coûts des postes vacants, on applique l’hypothèse d’un conjoint ou d’une conjointe et d’un enfant à charge.</w:t>
            </w:r>
          </w:p>
        </w:tc>
        <w:tc>
          <w:tcPr>
            <w:tcW w:w="3816" w:type="dxa"/>
            <w:tcMar>
              <w:top w:w="57" w:type="dxa"/>
              <w:bottom w:w="57" w:type="dxa"/>
            </w:tcMar>
          </w:tcPr>
          <w:p w14:paraId="7D27A833" w14:textId="77777777" w:rsidR="00110CB1" w:rsidRPr="006C6A36" w:rsidRDefault="00110CB1" w:rsidP="00986700">
            <w:pPr>
              <w:rPr>
                <w:rFonts w:asciiTheme="minorBidi" w:hAnsiTheme="minorBidi"/>
                <w:sz w:val="16"/>
              </w:rPr>
            </w:pPr>
            <w:r w:rsidRPr="006C6A36">
              <w:rPr>
                <w:rFonts w:asciiTheme="minorBidi" w:hAnsiTheme="minorBidi"/>
                <w:sz w:val="16"/>
              </w:rPr>
              <w:t>Les dépenses communes de personnel comprennent toutes les prestations et tous les avantages autres que le traitement, qui sont prévus par le régime révisé de prestations de la CFPI et le Statut et Règlement du personnel (indemnité pour conjoint à charge, indemnité de parent isolé et indemnité transitoire, indemnité pour enfant à charge, cotisations à l’assurance maladie, etc.).  Les dépenses communes de personnel sont projetées et appliquées par niveau de poste sur la base de l’historique des dépenses.</w:t>
            </w:r>
          </w:p>
          <w:p w14:paraId="005486EE" w14:textId="77777777" w:rsidR="00110CB1" w:rsidRDefault="00110CB1" w:rsidP="00986700">
            <w:pPr>
              <w:rPr>
                <w:rFonts w:asciiTheme="minorBidi" w:hAnsiTheme="minorBidi"/>
                <w:sz w:val="16"/>
              </w:rPr>
            </w:pPr>
          </w:p>
          <w:p w14:paraId="756CA9A8" w14:textId="77777777" w:rsidR="00110CB1" w:rsidRPr="006C6A36" w:rsidRDefault="00110CB1" w:rsidP="00986700">
            <w:pPr>
              <w:rPr>
                <w:rFonts w:asciiTheme="minorBidi" w:hAnsiTheme="minorBidi"/>
                <w:sz w:val="16"/>
              </w:rPr>
            </w:pPr>
            <w:r w:rsidRPr="006C6A36">
              <w:rPr>
                <w:rFonts w:asciiTheme="minorBidi" w:hAnsiTheme="minorBidi"/>
                <w:sz w:val="16"/>
              </w:rPr>
              <w:t xml:space="preserve">Pour l’établissement des coûts des postes vacants, on applique l’hypothèse d’un conjoint ou d’une conjointe et d’un enfant à charge.  </w:t>
            </w:r>
          </w:p>
        </w:tc>
      </w:tr>
      <w:tr w:rsidR="00110CB1" w:rsidRPr="006C6A36" w14:paraId="2ED6CB2A" w14:textId="77777777" w:rsidTr="00110CB1">
        <w:trPr>
          <w:cantSplit/>
        </w:trPr>
        <w:tc>
          <w:tcPr>
            <w:tcW w:w="1440" w:type="dxa"/>
            <w:tcMar>
              <w:top w:w="57" w:type="dxa"/>
              <w:bottom w:w="57" w:type="dxa"/>
            </w:tcMar>
          </w:tcPr>
          <w:p w14:paraId="20EC4542" w14:textId="77777777" w:rsidR="00110CB1" w:rsidRPr="006C6A36" w:rsidRDefault="00110CB1" w:rsidP="00986700">
            <w:pPr>
              <w:keepNext/>
              <w:spacing w:before="144"/>
              <w:rPr>
                <w:rFonts w:asciiTheme="minorBidi" w:hAnsiTheme="minorBidi"/>
                <w:b/>
                <w:sz w:val="18"/>
              </w:rPr>
            </w:pPr>
            <w:r w:rsidRPr="006C6A36">
              <w:rPr>
                <w:rFonts w:asciiTheme="minorBidi" w:hAnsiTheme="minorBidi"/>
                <w:b/>
                <w:sz w:val="18"/>
              </w:rPr>
              <w:lastRenderedPageBreak/>
              <w:t xml:space="preserve">Ajustement </w:t>
            </w:r>
          </w:p>
        </w:tc>
        <w:tc>
          <w:tcPr>
            <w:tcW w:w="3816" w:type="dxa"/>
            <w:tcMar>
              <w:top w:w="57" w:type="dxa"/>
              <w:bottom w:w="57" w:type="dxa"/>
            </w:tcMar>
          </w:tcPr>
          <w:p w14:paraId="2329BAD0" w14:textId="77777777" w:rsidR="00110CB1" w:rsidRPr="006C6A36" w:rsidRDefault="00110CB1" w:rsidP="00986700">
            <w:pPr>
              <w:keepNext/>
              <w:rPr>
                <w:rFonts w:asciiTheme="minorBidi" w:hAnsiTheme="minorBidi"/>
                <w:sz w:val="16"/>
              </w:rPr>
            </w:pPr>
            <w:r w:rsidRPr="006C6A36">
              <w:rPr>
                <w:rFonts w:asciiTheme="minorBidi" w:hAnsiTheme="minorBidi"/>
                <w:sz w:val="16"/>
              </w:rPr>
              <w:t>Le coût des postes est ajusté à la baisse pour tenir compte d’un taux de vacance de 4%.</w:t>
            </w:r>
          </w:p>
        </w:tc>
        <w:tc>
          <w:tcPr>
            <w:tcW w:w="3816" w:type="dxa"/>
            <w:tcMar>
              <w:top w:w="57" w:type="dxa"/>
              <w:bottom w:w="57" w:type="dxa"/>
            </w:tcMar>
          </w:tcPr>
          <w:p w14:paraId="12F07C21" w14:textId="77777777" w:rsidR="00110CB1" w:rsidRPr="006C6A36" w:rsidRDefault="00110CB1" w:rsidP="00986700">
            <w:pPr>
              <w:keepNext/>
              <w:rPr>
                <w:rFonts w:asciiTheme="minorBidi" w:hAnsiTheme="minorBidi"/>
                <w:sz w:val="16"/>
              </w:rPr>
            </w:pPr>
            <w:r w:rsidRPr="006C6A36">
              <w:rPr>
                <w:rFonts w:asciiTheme="minorBidi" w:hAnsiTheme="minorBidi"/>
                <w:sz w:val="16"/>
              </w:rPr>
              <w:t xml:space="preserve">Aucun taux de vacance n’est appliqué pour les postes temporaires.  </w:t>
            </w:r>
          </w:p>
        </w:tc>
      </w:tr>
      <w:tr w:rsidR="00110CB1" w:rsidRPr="006C6A36" w14:paraId="32E2ACEB" w14:textId="77777777" w:rsidTr="00110CB1">
        <w:trPr>
          <w:cantSplit/>
        </w:trPr>
        <w:tc>
          <w:tcPr>
            <w:tcW w:w="1440" w:type="dxa"/>
            <w:tcMar>
              <w:top w:w="57" w:type="dxa"/>
              <w:bottom w:w="57" w:type="dxa"/>
            </w:tcMar>
          </w:tcPr>
          <w:p w14:paraId="013CE78C" w14:textId="77777777" w:rsidR="00110CB1" w:rsidRPr="006C6A36" w:rsidRDefault="00110CB1" w:rsidP="00986700">
            <w:pPr>
              <w:rPr>
                <w:rFonts w:asciiTheme="minorBidi" w:hAnsiTheme="minorBidi"/>
                <w:b/>
                <w:sz w:val="18"/>
              </w:rPr>
            </w:pPr>
            <w:r w:rsidRPr="006C6A36">
              <w:rPr>
                <w:rFonts w:asciiTheme="minorBidi" w:hAnsiTheme="minorBidi"/>
                <w:b/>
                <w:sz w:val="18"/>
              </w:rPr>
              <w:t>Provision au titre de la cessation de service et autres dépenses connexes</w:t>
            </w:r>
          </w:p>
        </w:tc>
        <w:tc>
          <w:tcPr>
            <w:tcW w:w="3816" w:type="dxa"/>
            <w:tcMar>
              <w:top w:w="57" w:type="dxa"/>
              <w:bottom w:w="57" w:type="dxa"/>
            </w:tcMar>
          </w:tcPr>
          <w:p w14:paraId="188B9ECF" w14:textId="77777777" w:rsidR="00110CB1" w:rsidRPr="006C6A36" w:rsidRDefault="00110CB1" w:rsidP="00986700">
            <w:pPr>
              <w:rPr>
                <w:rFonts w:asciiTheme="minorBidi" w:hAnsiTheme="minorBidi"/>
                <w:sz w:val="16"/>
              </w:rPr>
            </w:pPr>
            <w:r w:rsidRPr="006C6A36">
              <w:rPr>
                <w:rFonts w:asciiTheme="minorBidi" w:hAnsiTheme="minorBidi"/>
                <w:sz w:val="16"/>
              </w:rPr>
              <w:t>Une provision de 6% est appliquée au coût total pour financer les dépenses liées à la cessation de service et aux diverses prestations après la cessation de service.</w:t>
            </w:r>
          </w:p>
        </w:tc>
        <w:tc>
          <w:tcPr>
            <w:tcW w:w="3816" w:type="dxa"/>
            <w:tcMar>
              <w:top w:w="57" w:type="dxa"/>
              <w:bottom w:w="57" w:type="dxa"/>
            </w:tcMar>
          </w:tcPr>
          <w:p w14:paraId="3F58207A" w14:textId="77777777" w:rsidR="00110CB1" w:rsidRPr="006C6A36" w:rsidRDefault="00110CB1" w:rsidP="00986700">
            <w:pPr>
              <w:rPr>
                <w:rFonts w:asciiTheme="minorBidi" w:hAnsiTheme="minorBidi"/>
                <w:sz w:val="16"/>
              </w:rPr>
            </w:pPr>
            <w:r w:rsidRPr="006C6A36">
              <w:rPr>
                <w:rFonts w:asciiTheme="minorBidi" w:hAnsiTheme="minorBidi"/>
                <w:sz w:val="16"/>
              </w:rPr>
              <w:t xml:space="preserve">Une provision de 1% est appliquée au coût total pour financer les dépenses liées à la cessation de service.  </w:t>
            </w:r>
          </w:p>
        </w:tc>
      </w:tr>
    </w:tbl>
    <w:p w14:paraId="3D108545" w14:textId="77777777" w:rsidR="00110CB1" w:rsidRPr="006C6A36" w:rsidRDefault="00110CB1" w:rsidP="00986700">
      <w:pPr>
        <w:rPr>
          <w:rFonts w:asciiTheme="minorBidi" w:hAnsiTheme="minorBidi"/>
          <w:szCs w:val="20"/>
        </w:rPr>
      </w:pPr>
    </w:p>
    <w:p w14:paraId="57FAFE31" w14:textId="77777777" w:rsidR="00D21BE2" w:rsidRDefault="00D21BE2" w:rsidP="00986700">
      <w:pPr>
        <w:rPr>
          <w:lang w:eastAsia="en-US"/>
        </w:rPr>
      </w:pPr>
    </w:p>
    <w:p w14:paraId="5480DE70" w14:textId="6EE25B1B" w:rsidR="00D21BE2" w:rsidRDefault="00D21BE2" w:rsidP="00986700">
      <w:pPr>
        <w:rPr>
          <w:lang w:eastAsia="en-US"/>
        </w:rPr>
      </w:pPr>
      <w:r>
        <w:rPr>
          <w:lang w:eastAsia="en-US"/>
        </w:rPr>
        <w:br w:type="page"/>
      </w:r>
    </w:p>
    <w:p w14:paraId="6178C9DB" w14:textId="3438DEDA" w:rsidR="00D21BE2" w:rsidRPr="00C1256E" w:rsidRDefault="00D21BE2" w:rsidP="00986700">
      <w:pPr>
        <w:pStyle w:val="Heading2"/>
        <w:tabs>
          <w:tab w:val="left" w:pos="6"/>
        </w:tabs>
        <w:ind w:left="0" w:firstLine="0"/>
      </w:pPr>
      <w:bookmarkStart w:id="111" w:name="_Toc359246241"/>
      <w:bookmarkStart w:id="112" w:name="_Toc421694918"/>
      <w:bookmarkStart w:id="113" w:name="_Toc482979529"/>
      <w:r>
        <w:lastRenderedPageBreak/>
        <w:t>Appendice D</w:t>
      </w:r>
      <w:r w:rsidRPr="00C1256E">
        <w:br/>
      </w:r>
      <w:r>
        <w:tab/>
      </w:r>
      <w:r w:rsidRPr="00C1256E">
        <w:t>Formules de flexibilité</w:t>
      </w:r>
      <w:bookmarkEnd w:id="111"/>
      <w:bookmarkEnd w:id="112"/>
      <w:bookmarkEnd w:id="113"/>
    </w:p>
    <w:p w14:paraId="71E4CDB1" w14:textId="77777777" w:rsidR="00D21BE2" w:rsidRPr="00C1256E" w:rsidRDefault="00D21BE2" w:rsidP="00986700">
      <w:pPr>
        <w:jc w:val="both"/>
        <w:rPr>
          <w:rFonts w:eastAsia="Times New Roman" w:cs="Times New Roman"/>
          <w:szCs w:val="20"/>
        </w:rPr>
      </w:pPr>
    </w:p>
    <w:p w14:paraId="71B4039F" w14:textId="77777777" w:rsidR="00D21BE2" w:rsidRPr="00C1256E" w:rsidRDefault="00D21BE2" w:rsidP="00986700">
      <w:pPr>
        <w:jc w:val="both"/>
        <w:rPr>
          <w:rFonts w:eastAsia="Times New Roman" w:cs="Times New Roman"/>
          <w:szCs w:val="20"/>
        </w:rPr>
      </w:pPr>
    </w:p>
    <w:p w14:paraId="21FBE26D" w14:textId="77777777" w:rsidR="00D21BE2" w:rsidRPr="00C1256E" w:rsidRDefault="00D21BE2" w:rsidP="00986700">
      <w:pPr>
        <w:jc w:val="both"/>
        <w:rPr>
          <w:rFonts w:eastAsia="Times New Roman" w:cs="Times New Roman"/>
          <w:szCs w:val="20"/>
        </w:rPr>
      </w:pPr>
      <w:r w:rsidRPr="00C1256E">
        <w:rPr>
          <w:rFonts w:eastAsia="Times New Roman" w:cs="Times New Roman"/>
          <w:szCs w:val="20"/>
        </w:rPr>
        <w:t>GÉNÉRALITÉS</w:t>
      </w:r>
    </w:p>
    <w:p w14:paraId="572A2638" w14:textId="77777777" w:rsidR="00D21BE2" w:rsidRPr="00C1256E" w:rsidRDefault="00D21BE2" w:rsidP="00986700">
      <w:pPr>
        <w:jc w:val="both"/>
        <w:rPr>
          <w:rFonts w:eastAsia="Times New Roman" w:cs="Times New Roman"/>
          <w:szCs w:val="20"/>
        </w:rPr>
      </w:pPr>
    </w:p>
    <w:p w14:paraId="07091C25" w14:textId="77777777" w:rsidR="00D21BE2" w:rsidRPr="00C1256E" w:rsidRDefault="00D21BE2" w:rsidP="00986700">
      <w:pPr>
        <w:jc w:val="both"/>
        <w:rPr>
          <w:rFonts w:eastAsia="Times New Roman" w:cs="Times New Roman"/>
          <w:szCs w:val="20"/>
        </w:rPr>
      </w:pPr>
      <w:r w:rsidRPr="00C1256E">
        <w:rPr>
          <w:rFonts w:eastAsia="Times New Roman" w:cs="Times New Roman"/>
          <w:szCs w:val="20"/>
        </w:rPr>
        <w:t>Les formules de flexibilité constituent un mécanisme qui permet d</w:t>
      </w:r>
      <w:r>
        <w:rPr>
          <w:rFonts w:eastAsia="Times New Roman" w:cs="Times New Roman"/>
          <w:szCs w:val="20"/>
        </w:rPr>
        <w:t>’</w:t>
      </w:r>
      <w:r w:rsidRPr="00C1256E">
        <w:rPr>
          <w:rFonts w:eastAsia="Times New Roman" w:cs="Times New Roman"/>
          <w:szCs w:val="20"/>
        </w:rPr>
        <w:t xml:space="preserve">ajuster le niveau des ressources financières allouées aux systèmes mondiaux de protection (PCT, système de Madrid et système de </w:t>
      </w:r>
      <w:r>
        <w:rPr>
          <w:rFonts w:eastAsia="Times New Roman" w:cs="Times New Roman"/>
          <w:szCs w:val="20"/>
        </w:rPr>
        <w:t>La Haye</w:t>
      </w:r>
      <w:r w:rsidRPr="00C1256E">
        <w:rPr>
          <w:rFonts w:eastAsia="Times New Roman" w:cs="Times New Roman"/>
          <w:szCs w:val="20"/>
        </w:rPr>
        <w:t>) en fonction de variations non budgétées du nombre total de demandes d</w:t>
      </w:r>
      <w:r>
        <w:rPr>
          <w:rFonts w:eastAsia="Times New Roman" w:cs="Times New Roman"/>
          <w:szCs w:val="20"/>
        </w:rPr>
        <w:t>’</w:t>
      </w:r>
      <w:r w:rsidRPr="00C1256E">
        <w:rPr>
          <w:rFonts w:eastAsia="Times New Roman" w:cs="Times New Roman"/>
          <w:szCs w:val="20"/>
        </w:rPr>
        <w:t>enregistrement.</w:t>
      </w:r>
    </w:p>
    <w:p w14:paraId="03897D34" w14:textId="77777777" w:rsidR="00D21BE2" w:rsidRPr="00C1256E" w:rsidRDefault="00D21BE2" w:rsidP="00986700">
      <w:pPr>
        <w:jc w:val="both"/>
        <w:rPr>
          <w:rFonts w:eastAsia="Times New Roman" w:cs="Times New Roman"/>
          <w:szCs w:val="20"/>
        </w:rPr>
      </w:pPr>
      <w:r w:rsidRPr="00C1256E">
        <w:rPr>
          <w:rFonts w:eastAsia="Times New Roman" w:cs="Times New Roman"/>
          <w:szCs w:val="20"/>
        </w:rPr>
        <w:t xml:space="preserve">Les formules de flexibilité pour les systèmes du PCT, de Madrid et de </w:t>
      </w:r>
      <w:r>
        <w:rPr>
          <w:rFonts w:eastAsia="Times New Roman" w:cs="Times New Roman"/>
          <w:szCs w:val="20"/>
        </w:rPr>
        <w:t>La Haye</w:t>
      </w:r>
      <w:r w:rsidRPr="00C1256E">
        <w:rPr>
          <w:rFonts w:eastAsia="Times New Roman" w:cs="Times New Roman"/>
          <w:szCs w:val="20"/>
        </w:rPr>
        <w:t xml:space="preserve"> ont été révisées et approuvées par leurs assemblées respectives, tenues entre le 24 septembre et le 3 octobre 2007.</w:t>
      </w:r>
    </w:p>
    <w:p w14:paraId="4C94EB7D" w14:textId="77777777" w:rsidR="00D21BE2" w:rsidRPr="00C1256E" w:rsidRDefault="00D21BE2" w:rsidP="00986700">
      <w:pPr>
        <w:jc w:val="both"/>
        <w:rPr>
          <w:rFonts w:eastAsia="Times New Roman" w:cs="Times New Roman"/>
          <w:szCs w:val="20"/>
        </w:rPr>
      </w:pPr>
    </w:p>
    <w:p w14:paraId="081AEBB6" w14:textId="77777777" w:rsidR="00D21BE2" w:rsidRPr="00C1256E" w:rsidRDefault="00D21BE2" w:rsidP="00986700">
      <w:pPr>
        <w:jc w:val="both"/>
        <w:rPr>
          <w:rFonts w:eastAsia="Times New Roman" w:cs="Arial"/>
          <w:szCs w:val="20"/>
        </w:rPr>
      </w:pPr>
      <w:r w:rsidRPr="00C1256E">
        <w:rPr>
          <w:rFonts w:eastAsia="Times New Roman" w:cs="Arial"/>
          <w:szCs w:val="20"/>
        </w:rPr>
        <w:t>SYSTÈME DU PCT</w:t>
      </w:r>
    </w:p>
    <w:p w14:paraId="0BD15BAB" w14:textId="77777777" w:rsidR="00D21BE2" w:rsidRPr="00C1256E" w:rsidRDefault="00D21BE2" w:rsidP="00986700">
      <w:pPr>
        <w:jc w:val="both"/>
        <w:rPr>
          <w:rFonts w:eastAsia="Times New Roman" w:cs="Arial"/>
          <w:szCs w:val="20"/>
        </w:rPr>
      </w:pPr>
    </w:p>
    <w:p w14:paraId="79B66B96" w14:textId="77777777" w:rsidR="00D21BE2" w:rsidRPr="00C1256E" w:rsidRDefault="00D21BE2" w:rsidP="00986700">
      <w:pPr>
        <w:jc w:val="both"/>
        <w:rPr>
          <w:rFonts w:eastAsia="Times New Roman" w:cs="Arial"/>
          <w:szCs w:val="20"/>
        </w:rPr>
      </w:pPr>
      <w:r w:rsidRPr="00C1256E">
        <w:rPr>
          <w:rFonts w:eastAsia="Times New Roman" w:cs="Arial"/>
          <w:szCs w:val="20"/>
        </w:rPr>
        <w:t>La formule de flexibilité révisée pour le système du PCT est décrite dans le document PCT/A/36/5 et a été approuvée par l</w:t>
      </w:r>
      <w:r>
        <w:rPr>
          <w:rFonts w:eastAsia="Times New Roman" w:cs="Arial"/>
          <w:szCs w:val="20"/>
        </w:rPr>
        <w:t>’</w:t>
      </w:r>
      <w:r w:rsidRPr="00C1256E">
        <w:rPr>
          <w:rFonts w:eastAsia="Times New Roman" w:cs="Arial"/>
          <w:szCs w:val="20"/>
        </w:rPr>
        <w:t>Assemblée de l</w:t>
      </w:r>
      <w:r>
        <w:rPr>
          <w:rFonts w:eastAsia="Times New Roman" w:cs="Arial"/>
          <w:szCs w:val="20"/>
        </w:rPr>
        <w:t>’</w:t>
      </w:r>
      <w:r w:rsidRPr="00C1256E">
        <w:rPr>
          <w:rFonts w:eastAsia="Times New Roman" w:cs="Arial"/>
          <w:szCs w:val="20"/>
        </w:rPr>
        <w:t>Union du PCT, comme il ressort du document PCT/A/36/13</w:t>
      </w:r>
      <w:r>
        <w:rPr>
          <w:rFonts w:eastAsia="Times New Roman" w:cs="Arial"/>
          <w:szCs w:val="20"/>
        </w:rPr>
        <w:t xml:space="preserve">.  </w:t>
      </w:r>
      <w:r w:rsidRPr="00C1256E">
        <w:rPr>
          <w:rFonts w:eastAsia="Times New Roman" w:cs="Arial"/>
          <w:szCs w:val="20"/>
        </w:rPr>
        <w:t>Comme indiqué dans ces documents, la formule de flexibilité du PCT a été révisée compte tenu d</w:t>
      </w:r>
      <w:r>
        <w:rPr>
          <w:rFonts w:eastAsia="Times New Roman" w:cs="Arial"/>
          <w:szCs w:val="20"/>
        </w:rPr>
        <w:t>’</w:t>
      </w:r>
      <w:r w:rsidRPr="00C1256E">
        <w:rPr>
          <w:rFonts w:eastAsia="Times New Roman" w:cs="Arial"/>
          <w:szCs w:val="20"/>
        </w:rPr>
        <w:t>une variation budgétaire de 341 870 francs suisses pour</w:t>
      </w:r>
      <w:r>
        <w:rPr>
          <w:rFonts w:eastAsia="Times New Roman" w:cs="Arial"/>
          <w:szCs w:val="20"/>
        </w:rPr>
        <w:t> </w:t>
      </w:r>
      <w:r w:rsidRPr="00C1256E">
        <w:rPr>
          <w:rFonts w:eastAsia="Times New Roman" w:cs="Arial"/>
          <w:szCs w:val="20"/>
        </w:rPr>
        <w:t>1000 demandes internationales selon le PCT non budgétées</w:t>
      </w:r>
      <w:r>
        <w:rPr>
          <w:rFonts w:eastAsia="Times New Roman" w:cs="Arial"/>
          <w:szCs w:val="20"/>
        </w:rPr>
        <w:t xml:space="preserve">.  </w:t>
      </w:r>
      <w:r w:rsidRPr="00C1256E">
        <w:rPr>
          <w:rFonts w:eastAsia="Times New Roman" w:cs="Arial"/>
          <w:szCs w:val="20"/>
        </w:rPr>
        <w:t>La formule révisée ne lie plus, comme dans le passé, les variations du nombre de demandes aux variations du nombre de postes</w:t>
      </w:r>
      <w:r>
        <w:rPr>
          <w:rFonts w:eastAsia="Times New Roman" w:cs="Arial"/>
          <w:szCs w:val="20"/>
        </w:rPr>
        <w:t xml:space="preserve">.  </w:t>
      </w:r>
      <w:r w:rsidRPr="00C1256E">
        <w:rPr>
          <w:rFonts w:eastAsia="Times New Roman" w:cs="Arial"/>
          <w:szCs w:val="20"/>
        </w:rPr>
        <w:t>Il est plutôt proposé de faire varier le montant total des ressources allouées aux programmes directement concernés, ce qui permet d</w:t>
      </w:r>
      <w:r>
        <w:rPr>
          <w:rFonts w:eastAsia="Times New Roman" w:cs="Arial"/>
          <w:szCs w:val="20"/>
        </w:rPr>
        <w:t>’</w:t>
      </w:r>
      <w:r w:rsidRPr="00C1256E">
        <w:rPr>
          <w:rFonts w:eastAsia="Times New Roman" w:cs="Arial"/>
          <w:szCs w:val="20"/>
        </w:rPr>
        <w:t>utiliser ces ressources tant pour des dépenses de personnel (par exemple, attribution de postes, recrutement d</w:t>
      </w:r>
      <w:r>
        <w:rPr>
          <w:rFonts w:eastAsia="Times New Roman" w:cs="Arial"/>
          <w:szCs w:val="20"/>
        </w:rPr>
        <w:t>’</w:t>
      </w:r>
      <w:r w:rsidRPr="00C1256E">
        <w:rPr>
          <w:rFonts w:eastAsia="Times New Roman" w:cs="Arial"/>
          <w:szCs w:val="20"/>
        </w:rPr>
        <w:t>agents temporaires ou contrats de louage de services) que pour d</w:t>
      </w:r>
      <w:r>
        <w:rPr>
          <w:rFonts w:eastAsia="Times New Roman" w:cs="Arial"/>
          <w:szCs w:val="20"/>
        </w:rPr>
        <w:t>’</w:t>
      </w:r>
      <w:r w:rsidRPr="00C1256E">
        <w:rPr>
          <w:rFonts w:eastAsia="Times New Roman" w:cs="Arial"/>
          <w:szCs w:val="20"/>
        </w:rPr>
        <w:t>autres dépenses non liées au personnel (par exemple, contrats de sous</w:t>
      </w:r>
      <w:r>
        <w:rPr>
          <w:rFonts w:eastAsia="Times New Roman" w:cs="Arial"/>
          <w:szCs w:val="20"/>
        </w:rPr>
        <w:t>-</w:t>
      </w:r>
      <w:r w:rsidRPr="00C1256E">
        <w:rPr>
          <w:rFonts w:eastAsia="Times New Roman" w:cs="Arial"/>
          <w:szCs w:val="20"/>
        </w:rPr>
        <w:t>traitance)</w:t>
      </w:r>
      <w:r>
        <w:rPr>
          <w:rFonts w:eastAsia="Times New Roman" w:cs="Arial"/>
          <w:szCs w:val="20"/>
        </w:rPr>
        <w:t xml:space="preserve">.  </w:t>
      </w:r>
      <w:r w:rsidRPr="00C1256E">
        <w:rPr>
          <w:rFonts w:eastAsia="Times New Roman" w:cs="Arial"/>
          <w:szCs w:val="20"/>
        </w:rPr>
        <w:t>Les ressources résultant des ajustements sont allouées à l</w:t>
      </w:r>
      <w:r>
        <w:rPr>
          <w:rFonts w:eastAsia="Times New Roman" w:cs="Arial"/>
          <w:szCs w:val="20"/>
        </w:rPr>
        <w:t>’</w:t>
      </w:r>
      <w:r w:rsidRPr="00C1256E">
        <w:rPr>
          <w:rFonts w:eastAsia="Times New Roman" w:cs="Arial"/>
          <w:szCs w:val="20"/>
        </w:rPr>
        <w:t>administration du système du PCT et aux services d</w:t>
      </w:r>
      <w:r>
        <w:rPr>
          <w:rFonts w:eastAsia="Times New Roman" w:cs="Arial"/>
          <w:szCs w:val="20"/>
        </w:rPr>
        <w:t>’</w:t>
      </w:r>
      <w:r w:rsidRPr="00C1256E">
        <w:rPr>
          <w:rFonts w:eastAsia="Times New Roman" w:cs="Arial"/>
          <w:szCs w:val="20"/>
        </w:rPr>
        <w:t>appui selon un ratio de 87,5% et 12,5% respectivement.</w:t>
      </w:r>
    </w:p>
    <w:p w14:paraId="664A49BC" w14:textId="77777777" w:rsidR="00D21BE2" w:rsidRPr="00C1256E" w:rsidRDefault="00D21BE2" w:rsidP="00986700">
      <w:pPr>
        <w:jc w:val="both"/>
        <w:rPr>
          <w:rFonts w:eastAsia="Times New Roman" w:cs="Arial"/>
          <w:szCs w:val="20"/>
        </w:rPr>
      </w:pPr>
    </w:p>
    <w:p w14:paraId="4AFB8EE2" w14:textId="77777777" w:rsidR="00D21BE2" w:rsidRPr="00C1256E" w:rsidRDefault="00D21BE2" w:rsidP="00986700">
      <w:pPr>
        <w:jc w:val="both"/>
        <w:rPr>
          <w:rFonts w:eastAsia="Times New Roman" w:cs="Times New Roman"/>
          <w:szCs w:val="20"/>
        </w:rPr>
      </w:pPr>
      <w:r w:rsidRPr="00C1256E">
        <w:rPr>
          <w:rFonts w:eastAsia="Times New Roman" w:cs="Times New Roman"/>
          <w:szCs w:val="20"/>
        </w:rPr>
        <w:t>SYSTÈME DE MADRID</w:t>
      </w:r>
    </w:p>
    <w:p w14:paraId="2FA548EC" w14:textId="77777777" w:rsidR="00D21BE2" w:rsidRPr="00C1256E" w:rsidRDefault="00D21BE2" w:rsidP="00986700">
      <w:pPr>
        <w:jc w:val="both"/>
        <w:rPr>
          <w:rFonts w:eastAsia="Times New Roman" w:cs="Arial"/>
          <w:szCs w:val="20"/>
        </w:rPr>
      </w:pPr>
    </w:p>
    <w:p w14:paraId="72EB50E2" w14:textId="77777777" w:rsidR="00D21BE2" w:rsidRPr="00C1256E" w:rsidRDefault="00D21BE2" w:rsidP="00986700">
      <w:pPr>
        <w:jc w:val="both"/>
        <w:rPr>
          <w:rFonts w:eastAsia="Times New Roman" w:cs="Arial"/>
          <w:szCs w:val="20"/>
        </w:rPr>
      </w:pPr>
      <w:r w:rsidRPr="00C1256E">
        <w:rPr>
          <w:rFonts w:eastAsia="Times New Roman" w:cs="Arial"/>
          <w:szCs w:val="20"/>
        </w:rPr>
        <w:t>La formule de flexibilité révisée pour le système de Madrid est décrite dans le document MM/A/38/5 et a été approuvée par l</w:t>
      </w:r>
      <w:r>
        <w:rPr>
          <w:rFonts w:eastAsia="Times New Roman" w:cs="Arial"/>
          <w:szCs w:val="20"/>
        </w:rPr>
        <w:t>’</w:t>
      </w:r>
      <w:r w:rsidRPr="00C1256E">
        <w:rPr>
          <w:rFonts w:eastAsia="Times New Roman" w:cs="Arial"/>
          <w:szCs w:val="20"/>
        </w:rPr>
        <w:t>Assemblée de l</w:t>
      </w:r>
      <w:r>
        <w:rPr>
          <w:rFonts w:eastAsia="Times New Roman" w:cs="Arial"/>
          <w:szCs w:val="20"/>
        </w:rPr>
        <w:t>’</w:t>
      </w:r>
      <w:r w:rsidRPr="00C1256E">
        <w:rPr>
          <w:rFonts w:eastAsia="Times New Roman" w:cs="Arial"/>
          <w:szCs w:val="20"/>
        </w:rPr>
        <w:t>Union de Madrid, comme il ressort du document MM/A/38/6</w:t>
      </w:r>
      <w:r>
        <w:rPr>
          <w:rFonts w:eastAsia="Times New Roman" w:cs="Arial"/>
          <w:szCs w:val="20"/>
        </w:rPr>
        <w:t xml:space="preserve">.  </w:t>
      </w:r>
      <w:r w:rsidRPr="00C1256E">
        <w:rPr>
          <w:rFonts w:eastAsia="Times New Roman" w:cs="Arial"/>
          <w:szCs w:val="20"/>
        </w:rPr>
        <w:t>La nouvelle formule permet de procéder à l</w:t>
      </w:r>
      <w:r>
        <w:rPr>
          <w:rFonts w:eastAsia="Times New Roman" w:cs="Arial"/>
          <w:szCs w:val="20"/>
        </w:rPr>
        <w:t>’</w:t>
      </w:r>
      <w:r w:rsidRPr="00C1256E">
        <w:rPr>
          <w:rFonts w:eastAsia="Times New Roman" w:cs="Arial"/>
          <w:szCs w:val="20"/>
        </w:rPr>
        <w:t>ajustement du budget de l</w:t>
      </w:r>
      <w:r>
        <w:rPr>
          <w:rFonts w:eastAsia="Times New Roman" w:cs="Arial"/>
          <w:szCs w:val="20"/>
        </w:rPr>
        <w:t>’</w:t>
      </w:r>
      <w:r w:rsidRPr="00C1256E">
        <w:rPr>
          <w:rFonts w:eastAsia="Times New Roman" w:cs="Arial"/>
          <w:szCs w:val="20"/>
        </w:rPr>
        <w:t>Union de Madrid pour un montant de 197 060 francs suisses pour chaque variation de 500 enregistrements ou renouvellements inscrits par rapport aux prévisions initiales approuvées</w:t>
      </w:r>
      <w:r>
        <w:rPr>
          <w:rFonts w:eastAsia="Times New Roman" w:cs="Arial"/>
          <w:szCs w:val="20"/>
        </w:rPr>
        <w:t xml:space="preserve">.  </w:t>
      </w:r>
      <w:r w:rsidRPr="00C1256E">
        <w:rPr>
          <w:rFonts w:eastAsia="Times New Roman" w:cs="Arial"/>
          <w:szCs w:val="20"/>
        </w:rPr>
        <w:t>La formule ne lie plus l</w:t>
      </w:r>
      <w:r>
        <w:rPr>
          <w:rFonts w:eastAsia="Times New Roman" w:cs="Arial"/>
          <w:szCs w:val="20"/>
        </w:rPr>
        <w:t>’</w:t>
      </w:r>
      <w:r w:rsidRPr="00C1256E">
        <w:rPr>
          <w:rFonts w:eastAsia="Times New Roman" w:cs="Arial"/>
          <w:szCs w:val="20"/>
        </w:rPr>
        <w:t>ajustement uniquement au nombre de membres du personnel, mais permet plutôt d</w:t>
      </w:r>
      <w:r>
        <w:rPr>
          <w:rFonts w:eastAsia="Times New Roman" w:cs="Arial"/>
          <w:szCs w:val="20"/>
        </w:rPr>
        <w:t>’</w:t>
      </w:r>
      <w:r w:rsidRPr="00C1256E">
        <w:rPr>
          <w:rFonts w:eastAsia="Times New Roman" w:cs="Arial"/>
          <w:szCs w:val="20"/>
        </w:rPr>
        <w:t>opérer des ajustements dans les ressources financières globales allouées aux programmes directement concernés par le traitement des demandes</w:t>
      </w:r>
      <w:r>
        <w:rPr>
          <w:rFonts w:eastAsia="Times New Roman" w:cs="Arial"/>
          <w:szCs w:val="20"/>
        </w:rPr>
        <w:t xml:space="preserve">.  </w:t>
      </w:r>
      <w:r w:rsidRPr="00C1256E">
        <w:rPr>
          <w:rFonts w:eastAsia="Times New Roman" w:cs="Arial"/>
          <w:szCs w:val="20"/>
        </w:rPr>
        <w:t>Ces ressources peuvent être utilisées soit pour des dépenses de personnel (postes, agents temporaires, etc.) soit pour des dépenses non liées au personnel (par exemple, contrats de sous</w:t>
      </w:r>
      <w:r>
        <w:rPr>
          <w:rFonts w:eastAsia="Times New Roman" w:cs="Arial"/>
          <w:szCs w:val="20"/>
        </w:rPr>
        <w:t>-</w:t>
      </w:r>
      <w:r w:rsidRPr="00C1256E">
        <w:rPr>
          <w:rFonts w:eastAsia="Times New Roman" w:cs="Arial"/>
          <w:szCs w:val="20"/>
        </w:rPr>
        <w:t>traitance)</w:t>
      </w:r>
      <w:r>
        <w:rPr>
          <w:rFonts w:eastAsia="Times New Roman" w:cs="Arial"/>
          <w:szCs w:val="20"/>
        </w:rPr>
        <w:t xml:space="preserve">.  </w:t>
      </w:r>
      <w:r w:rsidRPr="00C1256E">
        <w:rPr>
          <w:rFonts w:eastAsia="Times New Roman" w:cs="Arial"/>
          <w:szCs w:val="20"/>
        </w:rPr>
        <w:t>Les ressources résultant des ajustements sont allouées à l</w:t>
      </w:r>
      <w:r>
        <w:rPr>
          <w:rFonts w:eastAsia="Times New Roman" w:cs="Arial"/>
          <w:szCs w:val="20"/>
        </w:rPr>
        <w:t>’</w:t>
      </w:r>
      <w:r w:rsidRPr="00C1256E">
        <w:rPr>
          <w:rFonts w:eastAsia="Times New Roman" w:cs="Arial"/>
          <w:szCs w:val="20"/>
        </w:rPr>
        <w:t>administration du Service d</w:t>
      </w:r>
      <w:r>
        <w:rPr>
          <w:rFonts w:eastAsia="Times New Roman" w:cs="Arial"/>
          <w:szCs w:val="20"/>
        </w:rPr>
        <w:t>’</w:t>
      </w:r>
      <w:r w:rsidRPr="00C1256E">
        <w:rPr>
          <w:rFonts w:eastAsia="Times New Roman" w:cs="Arial"/>
          <w:szCs w:val="20"/>
        </w:rPr>
        <w:t>enregistrement international des marques et aux services d</w:t>
      </w:r>
      <w:r>
        <w:rPr>
          <w:rFonts w:eastAsia="Times New Roman" w:cs="Arial"/>
          <w:szCs w:val="20"/>
        </w:rPr>
        <w:t>’</w:t>
      </w:r>
      <w:r w:rsidRPr="00C1256E">
        <w:rPr>
          <w:rFonts w:eastAsia="Times New Roman" w:cs="Arial"/>
          <w:szCs w:val="20"/>
        </w:rPr>
        <w:t>appui selon un ratio de 87,5% et 12,5% respectivement.</w:t>
      </w:r>
    </w:p>
    <w:p w14:paraId="488AF56C" w14:textId="77777777" w:rsidR="00D21BE2" w:rsidRPr="00C1256E" w:rsidRDefault="00D21BE2" w:rsidP="00986700">
      <w:pPr>
        <w:jc w:val="both"/>
        <w:rPr>
          <w:rFonts w:eastAsia="Times New Roman" w:cs="Arial"/>
          <w:szCs w:val="20"/>
        </w:rPr>
      </w:pPr>
    </w:p>
    <w:p w14:paraId="15F60BBA" w14:textId="77777777" w:rsidR="00D21BE2" w:rsidRPr="00C1256E" w:rsidRDefault="00D21BE2" w:rsidP="00986700">
      <w:pPr>
        <w:jc w:val="both"/>
        <w:rPr>
          <w:rFonts w:eastAsia="Times New Roman" w:cs="Times New Roman"/>
          <w:szCs w:val="20"/>
        </w:rPr>
      </w:pPr>
      <w:r w:rsidRPr="00C1256E">
        <w:rPr>
          <w:rFonts w:eastAsia="Times New Roman" w:cs="Times New Roman"/>
          <w:szCs w:val="20"/>
        </w:rPr>
        <w:t xml:space="preserve">SYSTÈME DE </w:t>
      </w:r>
      <w:r>
        <w:rPr>
          <w:rFonts w:eastAsia="Times New Roman" w:cs="Times New Roman"/>
          <w:szCs w:val="20"/>
        </w:rPr>
        <w:t>LA HAYE</w:t>
      </w:r>
    </w:p>
    <w:p w14:paraId="1B2C89BB" w14:textId="77777777" w:rsidR="00D21BE2" w:rsidRPr="00C1256E" w:rsidRDefault="00D21BE2" w:rsidP="00986700">
      <w:pPr>
        <w:jc w:val="both"/>
        <w:rPr>
          <w:rFonts w:eastAsia="Times New Roman" w:cs="Arial"/>
          <w:szCs w:val="20"/>
        </w:rPr>
      </w:pPr>
    </w:p>
    <w:p w14:paraId="16AC9664" w14:textId="77777777" w:rsidR="00D21BE2" w:rsidRPr="00C1256E" w:rsidRDefault="00D21BE2" w:rsidP="00986700">
      <w:pPr>
        <w:jc w:val="both"/>
        <w:rPr>
          <w:rFonts w:eastAsia="Times New Roman" w:cs="Arial"/>
          <w:szCs w:val="20"/>
        </w:rPr>
      </w:pPr>
      <w:r w:rsidRPr="00C1256E">
        <w:rPr>
          <w:rFonts w:eastAsia="Times New Roman" w:cs="Arial"/>
          <w:szCs w:val="20"/>
        </w:rPr>
        <w:t xml:space="preserve">La formule de flexibilité révisée pour le système de </w:t>
      </w:r>
      <w:r>
        <w:rPr>
          <w:rFonts w:eastAsia="Times New Roman" w:cs="Arial"/>
          <w:szCs w:val="20"/>
        </w:rPr>
        <w:t>La Haye</w:t>
      </w:r>
      <w:r w:rsidRPr="00C1256E">
        <w:rPr>
          <w:rFonts w:eastAsia="Times New Roman" w:cs="Arial"/>
          <w:szCs w:val="20"/>
        </w:rPr>
        <w:t xml:space="preserve"> est décrite dans le document H/A/24/3 et a été approuvée par l</w:t>
      </w:r>
      <w:r>
        <w:rPr>
          <w:rFonts w:eastAsia="Times New Roman" w:cs="Arial"/>
          <w:szCs w:val="20"/>
        </w:rPr>
        <w:t>’</w:t>
      </w:r>
      <w:r w:rsidRPr="00C1256E">
        <w:rPr>
          <w:rFonts w:eastAsia="Times New Roman" w:cs="Arial"/>
          <w:szCs w:val="20"/>
        </w:rPr>
        <w:t>Assemblée de l</w:t>
      </w:r>
      <w:r>
        <w:rPr>
          <w:rFonts w:eastAsia="Times New Roman" w:cs="Arial"/>
          <w:szCs w:val="20"/>
        </w:rPr>
        <w:t>’</w:t>
      </w:r>
      <w:r w:rsidRPr="00C1256E">
        <w:rPr>
          <w:rFonts w:eastAsia="Times New Roman" w:cs="Arial"/>
          <w:szCs w:val="20"/>
        </w:rPr>
        <w:t xml:space="preserve">Union de </w:t>
      </w:r>
      <w:r>
        <w:rPr>
          <w:rFonts w:eastAsia="Times New Roman" w:cs="Arial"/>
          <w:szCs w:val="20"/>
        </w:rPr>
        <w:t>La Haye</w:t>
      </w:r>
      <w:r w:rsidRPr="00C1256E">
        <w:rPr>
          <w:rFonts w:eastAsia="Times New Roman" w:cs="Arial"/>
          <w:szCs w:val="20"/>
        </w:rPr>
        <w:t>, comme il ressort du document H/A/24/4</w:t>
      </w:r>
      <w:r>
        <w:rPr>
          <w:rFonts w:eastAsia="Times New Roman" w:cs="Arial"/>
          <w:szCs w:val="20"/>
        </w:rPr>
        <w:t xml:space="preserve">.  </w:t>
      </w:r>
      <w:r w:rsidRPr="00C1256E">
        <w:rPr>
          <w:rFonts w:eastAsia="Times New Roman" w:cs="Arial"/>
          <w:szCs w:val="20"/>
        </w:rPr>
        <w:t>La nouvelle formule permet de procéder à l</w:t>
      </w:r>
      <w:r>
        <w:rPr>
          <w:rFonts w:eastAsia="Times New Roman" w:cs="Arial"/>
          <w:szCs w:val="20"/>
        </w:rPr>
        <w:t>’</w:t>
      </w:r>
      <w:r w:rsidRPr="00C1256E">
        <w:rPr>
          <w:rFonts w:eastAsia="Times New Roman" w:cs="Arial"/>
          <w:szCs w:val="20"/>
        </w:rPr>
        <w:t>ajustement du budget de l</w:t>
      </w:r>
      <w:r>
        <w:rPr>
          <w:rFonts w:eastAsia="Times New Roman" w:cs="Arial"/>
          <w:szCs w:val="20"/>
        </w:rPr>
        <w:t>’</w:t>
      </w:r>
      <w:r w:rsidRPr="00C1256E">
        <w:rPr>
          <w:rFonts w:eastAsia="Times New Roman" w:cs="Arial"/>
          <w:szCs w:val="20"/>
        </w:rPr>
        <w:t xml:space="preserve">Union de </w:t>
      </w:r>
      <w:r>
        <w:rPr>
          <w:rFonts w:eastAsia="Times New Roman" w:cs="Arial"/>
          <w:szCs w:val="20"/>
        </w:rPr>
        <w:t>La Haye</w:t>
      </w:r>
      <w:r w:rsidRPr="00C1256E">
        <w:rPr>
          <w:rFonts w:eastAsia="Times New Roman" w:cs="Arial"/>
          <w:szCs w:val="20"/>
        </w:rPr>
        <w:t xml:space="preserve"> pour un montant de 99 024 francs suisses pour chaque variation de 300 enregistrements ou renouvellements inscrits par le Service d</w:t>
      </w:r>
      <w:r>
        <w:rPr>
          <w:rFonts w:eastAsia="Times New Roman" w:cs="Arial"/>
          <w:szCs w:val="20"/>
        </w:rPr>
        <w:t>’</w:t>
      </w:r>
      <w:r w:rsidRPr="00C1256E">
        <w:rPr>
          <w:rFonts w:eastAsia="Times New Roman" w:cs="Arial"/>
          <w:szCs w:val="20"/>
        </w:rPr>
        <w:t>enregistrement de l</w:t>
      </w:r>
      <w:r>
        <w:rPr>
          <w:rFonts w:eastAsia="Times New Roman" w:cs="Arial"/>
          <w:szCs w:val="20"/>
        </w:rPr>
        <w:t>’</w:t>
      </w:r>
      <w:r w:rsidRPr="00C1256E">
        <w:rPr>
          <w:rFonts w:eastAsia="Times New Roman" w:cs="Arial"/>
          <w:szCs w:val="20"/>
        </w:rPr>
        <w:t xml:space="preserve">Union de </w:t>
      </w:r>
      <w:r>
        <w:rPr>
          <w:rFonts w:eastAsia="Times New Roman" w:cs="Arial"/>
          <w:szCs w:val="20"/>
        </w:rPr>
        <w:t>La Haye</w:t>
      </w:r>
      <w:r w:rsidRPr="00C1256E">
        <w:rPr>
          <w:rFonts w:eastAsia="Times New Roman" w:cs="Arial"/>
          <w:szCs w:val="20"/>
        </w:rPr>
        <w:t xml:space="preserve"> par rapport aux prévisions initiales approuvées</w:t>
      </w:r>
      <w:r>
        <w:rPr>
          <w:rFonts w:eastAsia="Times New Roman" w:cs="Arial"/>
          <w:szCs w:val="20"/>
        </w:rPr>
        <w:t xml:space="preserve">.  </w:t>
      </w:r>
      <w:r w:rsidRPr="00C1256E">
        <w:rPr>
          <w:rFonts w:eastAsia="Times New Roman" w:cs="Arial"/>
          <w:szCs w:val="20"/>
        </w:rPr>
        <w:t>Les ressources peuvent être utilisées soit pour des dépenses de personnel soit pour des dépenses non liées au personnel, et elles sont allouées à l</w:t>
      </w:r>
      <w:r>
        <w:rPr>
          <w:rFonts w:eastAsia="Times New Roman" w:cs="Arial"/>
          <w:szCs w:val="20"/>
        </w:rPr>
        <w:t>’</w:t>
      </w:r>
      <w:r w:rsidRPr="00C1256E">
        <w:rPr>
          <w:rFonts w:eastAsia="Times New Roman" w:cs="Arial"/>
          <w:szCs w:val="20"/>
        </w:rPr>
        <w:t>administration du Service d</w:t>
      </w:r>
      <w:r>
        <w:rPr>
          <w:rFonts w:eastAsia="Times New Roman" w:cs="Arial"/>
          <w:szCs w:val="20"/>
        </w:rPr>
        <w:t>’</w:t>
      </w:r>
      <w:r w:rsidRPr="00C1256E">
        <w:rPr>
          <w:rFonts w:eastAsia="Times New Roman" w:cs="Arial"/>
          <w:szCs w:val="20"/>
        </w:rPr>
        <w:t>enregistrement de l</w:t>
      </w:r>
      <w:r>
        <w:rPr>
          <w:rFonts w:eastAsia="Times New Roman" w:cs="Arial"/>
          <w:szCs w:val="20"/>
        </w:rPr>
        <w:t>’</w:t>
      </w:r>
      <w:r w:rsidRPr="00C1256E">
        <w:rPr>
          <w:rFonts w:eastAsia="Times New Roman" w:cs="Arial"/>
          <w:szCs w:val="20"/>
        </w:rPr>
        <w:t xml:space="preserve">Union de </w:t>
      </w:r>
      <w:r>
        <w:rPr>
          <w:rFonts w:eastAsia="Times New Roman" w:cs="Arial"/>
          <w:szCs w:val="20"/>
        </w:rPr>
        <w:t>La Haye</w:t>
      </w:r>
      <w:r w:rsidRPr="00C1256E">
        <w:rPr>
          <w:rFonts w:eastAsia="Times New Roman" w:cs="Arial"/>
          <w:szCs w:val="20"/>
        </w:rPr>
        <w:t xml:space="preserve"> et aux services d</w:t>
      </w:r>
      <w:r>
        <w:rPr>
          <w:rFonts w:eastAsia="Times New Roman" w:cs="Arial"/>
          <w:szCs w:val="20"/>
        </w:rPr>
        <w:t>’</w:t>
      </w:r>
      <w:r w:rsidRPr="00C1256E">
        <w:rPr>
          <w:rFonts w:eastAsia="Times New Roman" w:cs="Arial"/>
          <w:szCs w:val="20"/>
        </w:rPr>
        <w:t>appui selon un ratio de 87,5% et 12,5% respectivement.</w:t>
      </w:r>
    </w:p>
    <w:p w14:paraId="76122A6E" w14:textId="77777777" w:rsidR="00D21BE2" w:rsidRPr="00C1256E" w:rsidRDefault="00D21BE2" w:rsidP="00986700"/>
    <w:p w14:paraId="7CCE14A3" w14:textId="31F2AF54" w:rsidR="00D21BE2" w:rsidRDefault="00D21BE2" w:rsidP="00986700">
      <w:pPr>
        <w:rPr>
          <w:lang w:eastAsia="en-US"/>
        </w:rPr>
      </w:pPr>
      <w:r>
        <w:rPr>
          <w:lang w:eastAsia="en-US"/>
        </w:rPr>
        <w:br w:type="page"/>
      </w:r>
    </w:p>
    <w:p w14:paraId="26C362FB" w14:textId="45722A3D" w:rsidR="000E2BCD" w:rsidRPr="00A32AF4" w:rsidRDefault="000E2BCD" w:rsidP="000E2BCD">
      <w:pPr>
        <w:pStyle w:val="Heading2"/>
        <w:tabs>
          <w:tab w:val="left" w:pos="6"/>
        </w:tabs>
        <w:ind w:left="0" w:firstLine="0"/>
      </w:pPr>
      <w:bookmarkStart w:id="114" w:name="_Toc293334854"/>
      <w:bookmarkStart w:id="115" w:name="_Toc298920436"/>
      <w:bookmarkStart w:id="116" w:name="_Toc310950817"/>
      <w:bookmarkStart w:id="117" w:name="_Toc356567803"/>
      <w:bookmarkStart w:id="118" w:name="_Toc359246242"/>
      <w:bookmarkStart w:id="119" w:name="_Toc437252350"/>
      <w:bookmarkStart w:id="120" w:name="_Toc482979530"/>
      <w:r w:rsidRPr="00A32AF4">
        <w:lastRenderedPageBreak/>
        <w:t>Appendice E</w:t>
      </w:r>
      <w:r w:rsidRPr="00A32AF4">
        <w:br/>
      </w:r>
      <w:r>
        <w:tab/>
      </w:r>
      <w:r w:rsidRPr="00A32AF4">
        <w:t>Sigles utilisés dans le présent document</w:t>
      </w:r>
      <w:bookmarkEnd w:id="114"/>
      <w:bookmarkEnd w:id="115"/>
      <w:bookmarkEnd w:id="116"/>
      <w:bookmarkEnd w:id="117"/>
      <w:bookmarkEnd w:id="118"/>
      <w:bookmarkEnd w:id="119"/>
      <w:bookmarkEnd w:id="120"/>
    </w:p>
    <w:p w14:paraId="30B90CAE" w14:textId="77777777" w:rsidR="000E2BCD" w:rsidRDefault="000E2BCD" w:rsidP="000E2BCD"/>
    <w:p w14:paraId="462839FD" w14:textId="77777777" w:rsidR="000E2BCD" w:rsidRPr="00A32AF4" w:rsidRDefault="000E2BCD" w:rsidP="000E2BCD"/>
    <w:p w14:paraId="10458364" w14:textId="77777777" w:rsidR="000E2BCD" w:rsidRPr="00A32AF4" w:rsidRDefault="000E2BCD" w:rsidP="000E2BCD">
      <w:pPr>
        <w:ind w:left="1418" w:hanging="1418"/>
        <w:rPr>
          <w:rFonts w:eastAsia="Batang"/>
          <w:lang w:eastAsia="ko-KR"/>
        </w:rPr>
      </w:pPr>
      <w:r w:rsidRPr="00A32AF4">
        <w:rPr>
          <w:rFonts w:eastAsia="Batang"/>
          <w:b/>
          <w:lang w:eastAsia="ko-KR"/>
        </w:rPr>
        <w:t>A</w:t>
      </w:r>
      <w:r w:rsidRPr="00A32AF4">
        <w:rPr>
          <w:rFonts w:eastAsia="Batang"/>
          <w:lang w:eastAsia="ko-KR"/>
        </w:rPr>
        <w:t>BC</w:t>
      </w:r>
      <w:r w:rsidRPr="00A32AF4">
        <w:rPr>
          <w:rFonts w:eastAsia="Batang"/>
          <w:lang w:eastAsia="ko-KR"/>
        </w:rPr>
        <w:tab/>
      </w:r>
      <w:r w:rsidRPr="00A32AF4">
        <w:t>Consortium pour des livres accessibles</w:t>
      </w:r>
    </w:p>
    <w:p w14:paraId="55CE5D0E" w14:textId="77777777" w:rsidR="000E2BCD" w:rsidRPr="00A32AF4" w:rsidRDefault="000E2BCD" w:rsidP="000E2BCD">
      <w:pPr>
        <w:ind w:left="1418" w:hanging="1418"/>
        <w:rPr>
          <w:rFonts w:eastAsia="Batang"/>
          <w:lang w:eastAsia="ko-KR"/>
        </w:rPr>
      </w:pPr>
      <w:r w:rsidRPr="00A32AF4">
        <w:rPr>
          <w:rFonts w:eastAsia="Batang"/>
          <w:lang w:eastAsia="ko-KR"/>
        </w:rPr>
        <w:t xml:space="preserve">ACE </w:t>
      </w:r>
      <w:r w:rsidRPr="00A32AF4">
        <w:rPr>
          <w:rFonts w:eastAsia="Batang"/>
          <w:lang w:eastAsia="ko-KR"/>
        </w:rPr>
        <w:tab/>
        <w:t>Comité consultatif sur l’application des droits</w:t>
      </w:r>
    </w:p>
    <w:p w14:paraId="68D4D819" w14:textId="77777777" w:rsidR="000E2BCD" w:rsidRPr="00A32AF4" w:rsidRDefault="000E2BCD" w:rsidP="000E2BCD">
      <w:pPr>
        <w:ind w:left="1418" w:hanging="1418"/>
        <w:rPr>
          <w:rFonts w:eastAsia="Batang"/>
          <w:lang w:eastAsia="ko-KR"/>
        </w:rPr>
      </w:pPr>
      <w:r w:rsidRPr="00A32AF4">
        <w:rPr>
          <w:rFonts w:eastAsia="Batang"/>
          <w:lang w:eastAsia="ko-KR"/>
        </w:rPr>
        <w:t>AIMS</w:t>
      </w:r>
      <w:r w:rsidRPr="00A32AF4">
        <w:rPr>
          <w:rFonts w:eastAsia="Batang"/>
          <w:lang w:eastAsia="ko-KR"/>
        </w:rPr>
        <w:tab/>
        <w:t>système de gestion de l’information administrative</w:t>
      </w:r>
    </w:p>
    <w:p w14:paraId="48731425" w14:textId="77777777" w:rsidR="000E2BCD" w:rsidRPr="00A32AF4" w:rsidRDefault="000E2BCD" w:rsidP="000E2BCD">
      <w:pPr>
        <w:ind w:left="1418" w:hanging="1418"/>
        <w:rPr>
          <w:rFonts w:eastAsia="Batang"/>
          <w:lang w:eastAsia="ko-KR"/>
        </w:rPr>
      </w:pPr>
      <w:r w:rsidRPr="00A32AF4">
        <w:rPr>
          <w:rFonts w:eastAsia="Batang"/>
          <w:lang w:eastAsia="ko-KR"/>
        </w:rPr>
        <w:t>aRDi</w:t>
      </w:r>
      <w:r w:rsidRPr="00A32AF4">
        <w:rPr>
          <w:rFonts w:eastAsia="Batang"/>
          <w:lang w:eastAsia="ko-KR"/>
        </w:rPr>
        <w:tab/>
      </w:r>
      <w:r>
        <w:rPr>
          <w:rFonts w:eastAsia="Batang"/>
          <w:lang w:eastAsia="ko-KR"/>
        </w:rPr>
        <w:t>programme d’a</w:t>
      </w:r>
      <w:r w:rsidRPr="00A32AF4">
        <w:rPr>
          <w:rFonts w:eastAsia="Batang"/>
          <w:lang w:eastAsia="ko-KR"/>
        </w:rPr>
        <w:t>ccès à la recherche pour le développement et l’innovation</w:t>
      </w:r>
    </w:p>
    <w:p w14:paraId="01D899D9" w14:textId="77777777" w:rsidR="000E2BCD" w:rsidRPr="00A32AF4" w:rsidRDefault="000E2BCD" w:rsidP="000E2BCD">
      <w:pPr>
        <w:ind w:left="1418" w:hanging="1418"/>
        <w:rPr>
          <w:rFonts w:eastAsia="Batang"/>
          <w:lang w:eastAsia="ko-KR"/>
        </w:rPr>
      </w:pPr>
      <w:r w:rsidRPr="00A32AF4">
        <w:rPr>
          <w:rFonts w:eastAsia="Batang"/>
          <w:lang w:eastAsia="ko-KR"/>
        </w:rPr>
        <w:t>ASEAN</w:t>
      </w:r>
      <w:r w:rsidRPr="00A32AF4">
        <w:rPr>
          <w:rFonts w:eastAsia="Batang"/>
          <w:lang w:eastAsia="ko-KR"/>
        </w:rPr>
        <w:tab/>
        <w:t>Association des nations de l’Asie du Sud</w:t>
      </w:r>
      <w:r w:rsidRPr="00A32AF4">
        <w:rPr>
          <w:rFonts w:eastAsia="Batang"/>
          <w:lang w:eastAsia="ko-KR"/>
        </w:rPr>
        <w:noBreakHyphen/>
        <w:t>Est</w:t>
      </w:r>
    </w:p>
    <w:p w14:paraId="6D92DB77" w14:textId="77777777" w:rsidR="000E2BCD" w:rsidRPr="00A32AF4" w:rsidRDefault="000E2BCD" w:rsidP="000E2BCD">
      <w:pPr>
        <w:ind w:left="1418" w:hanging="1418"/>
        <w:rPr>
          <w:rFonts w:eastAsia="Batang"/>
          <w:lang w:eastAsia="ko-KR"/>
        </w:rPr>
      </w:pPr>
      <w:r w:rsidRPr="00A32AF4">
        <w:rPr>
          <w:rFonts w:eastAsia="Batang"/>
          <w:lang w:eastAsia="ko-KR"/>
        </w:rPr>
        <w:t>ASPI</w:t>
      </w:r>
      <w:r w:rsidRPr="00A32AF4">
        <w:rPr>
          <w:rFonts w:eastAsia="Batang"/>
          <w:lang w:eastAsia="ko-KR"/>
        </w:rPr>
        <w:tab/>
      </w:r>
      <w:r>
        <w:rPr>
          <w:rFonts w:eastAsia="Batang"/>
          <w:lang w:eastAsia="ko-KR"/>
        </w:rPr>
        <w:t>programme d’a</w:t>
      </w:r>
      <w:r w:rsidRPr="00A32AF4">
        <w:rPr>
          <w:rFonts w:eastAsia="Batang"/>
          <w:lang w:eastAsia="ko-KR"/>
        </w:rPr>
        <w:t xml:space="preserve">ccès </w:t>
      </w:r>
      <w:r>
        <w:rPr>
          <w:rFonts w:eastAsia="Batang"/>
          <w:lang w:eastAsia="ko-KR"/>
        </w:rPr>
        <w:t>à l</w:t>
      </w:r>
      <w:r w:rsidRPr="00A32AF4">
        <w:rPr>
          <w:rFonts w:eastAsia="Batang"/>
          <w:lang w:eastAsia="ko-KR"/>
        </w:rPr>
        <w:t>’information spécialisée en matière de brevets</w:t>
      </w:r>
    </w:p>
    <w:p w14:paraId="35FA68EF" w14:textId="77777777" w:rsidR="000E2BCD" w:rsidRPr="00591A2F" w:rsidRDefault="000E2BCD" w:rsidP="000E2BCD">
      <w:pPr>
        <w:ind w:left="1418" w:hanging="1418"/>
        <w:rPr>
          <w:rFonts w:eastAsia="Batang"/>
          <w:lang w:val="en-US" w:eastAsia="ko-KR"/>
        </w:rPr>
      </w:pPr>
      <w:r w:rsidRPr="00591A2F">
        <w:rPr>
          <w:rFonts w:eastAsia="Batang"/>
          <w:lang w:val="en-US" w:eastAsia="ko-KR"/>
        </w:rPr>
        <w:t>AUTM</w:t>
      </w:r>
      <w:r w:rsidRPr="00591A2F">
        <w:rPr>
          <w:rFonts w:eastAsia="Batang"/>
          <w:lang w:val="en-US" w:eastAsia="ko-KR"/>
        </w:rPr>
        <w:tab/>
        <w:t>Association of University Technology Managers</w:t>
      </w:r>
    </w:p>
    <w:p w14:paraId="6298573D" w14:textId="77777777" w:rsidR="000E2BCD" w:rsidRDefault="000E2BCD" w:rsidP="000E2BCD">
      <w:pPr>
        <w:ind w:left="1418" w:hanging="1418"/>
        <w:rPr>
          <w:rFonts w:eastAsia="Batang"/>
          <w:lang w:eastAsia="ko-KR"/>
        </w:rPr>
      </w:pPr>
      <w:r w:rsidRPr="00A32AF4">
        <w:rPr>
          <w:rFonts w:eastAsia="Batang"/>
          <w:lang w:eastAsia="ko-KR"/>
        </w:rPr>
        <w:t>AWGIPC</w:t>
      </w:r>
      <w:r w:rsidRPr="00A32AF4">
        <w:rPr>
          <w:rFonts w:eastAsia="Batang"/>
          <w:lang w:eastAsia="ko-KR"/>
        </w:rPr>
        <w:tab/>
        <w:t>Groupe de travail de l’ASEAN sur la coopération dans le domaine de la propriété intellectuelle</w:t>
      </w:r>
    </w:p>
    <w:p w14:paraId="0957A4C4" w14:textId="77777777" w:rsidR="000E2BCD" w:rsidRPr="00A32AF4" w:rsidRDefault="000E2BCD" w:rsidP="000E2BCD">
      <w:pPr>
        <w:ind w:left="1418" w:hanging="1418"/>
        <w:rPr>
          <w:rFonts w:eastAsia="Batang"/>
          <w:lang w:eastAsia="ko-KR"/>
        </w:rPr>
      </w:pPr>
    </w:p>
    <w:p w14:paraId="0258B25F" w14:textId="77777777" w:rsidR="000E2BCD" w:rsidRPr="00A32AF4" w:rsidRDefault="000E2BCD" w:rsidP="000E2BCD">
      <w:pPr>
        <w:ind w:left="1418" w:hanging="1418"/>
        <w:rPr>
          <w:rFonts w:eastAsia="Batang"/>
          <w:lang w:eastAsia="ko-KR"/>
        </w:rPr>
      </w:pPr>
      <w:r w:rsidRPr="00A32AF4">
        <w:rPr>
          <w:rFonts w:eastAsia="Batang"/>
          <w:b/>
          <w:bCs/>
          <w:lang w:eastAsia="ko-KR"/>
        </w:rPr>
        <w:t>C</w:t>
      </w:r>
      <w:r w:rsidRPr="00A32AF4">
        <w:rPr>
          <w:rFonts w:eastAsia="Batang"/>
          <w:lang w:eastAsia="ko-KR"/>
        </w:rPr>
        <w:t xml:space="preserve">CNUCC </w:t>
      </w:r>
      <w:r w:rsidRPr="00A32AF4">
        <w:rPr>
          <w:rFonts w:eastAsia="Batang"/>
          <w:lang w:eastAsia="ko-KR"/>
        </w:rPr>
        <w:tab/>
        <w:t>Convention</w:t>
      </w:r>
      <w:r w:rsidRPr="00A32AF4">
        <w:rPr>
          <w:rFonts w:eastAsia="Batang"/>
          <w:lang w:eastAsia="ko-KR"/>
        </w:rPr>
        <w:noBreakHyphen/>
        <w:t>cadre des Nations Unies sur les changements climatiques</w:t>
      </w:r>
    </w:p>
    <w:p w14:paraId="1FBF9EB6" w14:textId="77777777" w:rsidR="000E2BCD" w:rsidRDefault="000E2BCD" w:rsidP="000E2BCD">
      <w:pPr>
        <w:ind w:left="1418" w:hanging="1418"/>
        <w:rPr>
          <w:rFonts w:eastAsia="Batang"/>
          <w:lang w:eastAsia="ko-KR"/>
        </w:rPr>
      </w:pPr>
      <w:r w:rsidRPr="00A32AF4">
        <w:rPr>
          <w:rFonts w:eastAsia="Batang"/>
          <w:lang w:eastAsia="ko-KR"/>
        </w:rPr>
        <w:t>CCS</w:t>
      </w:r>
      <w:r w:rsidRPr="00A32AF4">
        <w:rPr>
          <w:rFonts w:eastAsia="Batang"/>
          <w:lang w:eastAsia="ko-KR"/>
        </w:rPr>
        <w:tab/>
        <w:t>Conseils des chefs de Secrétariat des organismes des Nations Unies</w:t>
      </w:r>
    </w:p>
    <w:p w14:paraId="15386871" w14:textId="77777777" w:rsidR="000E2BCD" w:rsidRPr="00A32AF4" w:rsidRDefault="000E2BCD" w:rsidP="000E2BCD">
      <w:pPr>
        <w:ind w:left="1418" w:hanging="1418"/>
        <w:rPr>
          <w:rFonts w:eastAsia="Batang"/>
          <w:lang w:eastAsia="ko-KR"/>
        </w:rPr>
      </w:pPr>
      <w:r w:rsidRPr="00A32AF4">
        <w:rPr>
          <w:rFonts w:eastAsia="Batang"/>
          <w:lang w:eastAsia="ko-KR"/>
        </w:rPr>
        <w:t xml:space="preserve">ccTLD </w:t>
      </w:r>
      <w:r w:rsidRPr="00A32AF4">
        <w:rPr>
          <w:rFonts w:eastAsia="Batang"/>
          <w:lang w:eastAsia="ko-KR"/>
        </w:rPr>
        <w:tab/>
        <w:t>domaines de premier niveau qui sont des codes de pays</w:t>
      </w:r>
    </w:p>
    <w:p w14:paraId="300B63A2" w14:textId="77777777" w:rsidR="000E2BCD" w:rsidRPr="00A32AF4" w:rsidRDefault="000E2BCD" w:rsidP="000E2BCD">
      <w:pPr>
        <w:ind w:left="1418" w:hanging="1418"/>
        <w:rPr>
          <w:rFonts w:eastAsia="Batang"/>
          <w:lang w:eastAsia="ko-KR"/>
        </w:rPr>
      </w:pPr>
      <w:r w:rsidRPr="00A32AF4">
        <w:rPr>
          <w:rFonts w:eastAsia="Batang"/>
          <w:lang w:eastAsia="ko-KR"/>
        </w:rPr>
        <w:t xml:space="preserve">CDIP </w:t>
      </w:r>
      <w:r w:rsidRPr="00A32AF4">
        <w:rPr>
          <w:rFonts w:eastAsia="Batang"/>
          <w:lang w:eastAsia="ko-KR"/>
        </w:rPr>
        <w:tab/>
        <w:t>Comité du développement et de la propriété intellectuelle</w:t>
      </w:r>
    </w:p>
    <w:p w14:paraId="3FFA1A9D" w14:textId="77777777" w:rsidR="000E2BCD" w:rsidRPr="00A32AF4" w:rsidRDefault="000E2BCD" w:rsidP="000E2BCD">
      <w:pPr>
        <w:ind w:left="1418" w:hanging="1418"/>
        <w:rPr>
          <w:rFonts w:eastAsia="Batang"/>
          <w:lang w:eastAsia="ko-KR"/>
        </w:rPr>
      </w:pPr>
      <w:r w:rsidRPr="00A32AF4">
        <w:rPr>
          <w:rFonts w:eastAsia="Batang"/>
          <w:lang w:eastAsia="ko-KR"/>
        </w:rPr>
        <w:t>CEI</w:t>
      </w:r>
      <w:r w:rsidRPr="00A32AF4">
        <w:rPr>
          <w:rFonts w:eastAsia="Batang"/>
          <w:lang w:eastAsia="ko-KR"/>
        </w:rPr>
        <w:tab/>
        <w:t>Communauté des États indépendants</w:t>
      </w:r>
    </w:p>
    <w:p w14:paraId="78DBCDED" w14:textId="77777777" w:rsidR="000E2BCD" w:rsidRPr="00A32AF4" w:rsidRDefault="000E2BCD" w:rsidP="000E2BCD">
      <w:pPr>
        <w:ind w:left="1418" w:hanging="1418"/>
        <w:rPr>
          <w:rFonts w:eastAsia="Batang"/>
          <w:lang w:eastAsia="ko-KR"/>
        </w:rPr>
      </w:pPr>
      <w:r w:rsidRPr="00A32AF4">
        <w:rPr>
          <w:rFonts w:eastAsia="Batang"/>
          <w:lang w:eastAsia="ko-KR"/>
        </w:rPr>
        <w:t xml:space="preserve">CFPI </w:t>
      </w:r>
      <w:r w:rsidRPr="00A32AF4">
        <w:rPr>
          <w:rFonts w:eastAsia="Batang"/>
          <w:lang w:eastAsia="ko-KR"/>
        </w:rPr>
        <w:tab/>
        <w:t>Commission de la fonction publique internationale</w:t>
      </w:r>
    </w:p>
    <w:p w14:paraId="2377F596" w14:textId="77777777" w:rsidR="000E2BCD" w:rsidRPr="00A32AF4" w:rsidRDefault="000E2BCD" w:rsidP="000E2BCD">
      <w:pPr>
        <w:ind w:left="1418" w:hanging="1418"/>
        <w:rPr>
          <w:rFonts w:eastAsia="Batang"/>
          <w:lang w:eastAsia="ko-KR"/>
        </w:rPr>
      </w:pPr>
      <w:r w:rsidRPr="00A32AF4">
        <w:rPr>
          <w:rFonts w:eastAsia="Batang"/>
          <w:lang w:eastAsia="ko-KR"/>
        </w:rPr>
        <w:t>CIB</w:t>
      </w:r>
      <w:r w:rsidRPr="00A32AF4">
        <w:rPr>
          <w:rFonts w:eastAsia="Batang"/>
          <w:lang w:eastAsia="ko-KR"/>
        </w:rPr>
        <w:tab/>
        <w:t>classification internationale des brevets</w:t>
      </w:r>
    </w:p>
    <w:p w14:paraId="4C1531F7" w14:textId="77777777" w:rsidR="000E2BCD" w:rsidRPr="00A32AF4" w:rsidRDefault="000E2BCD" w:rsidP="000E2BCD">
      <w:pPr>
        <w:ind w:left="1418" w:hanging="1418"/>
        <w:rPr>
          <w:rFonts w:eastAsia="Batang"/>
          <w:lang w:eastAsia="ko-KR"/>
        </w:rPr>
      </w:pPr>
      <w:r>
        <w:rPr>
          <w:rFonts w:eastAsia="Batang"/>
          <w:lang w:eastAsia="ko-KR"/>
        </w:rPr>
        <w:t>CIC</w:t>
      </w:r>
      <w:r w:rsidRPr="00A32AF4">
        <w:rPr>
          <w:rFonts w:eastAsia="Batang"/>
          <w:lang w:eastAsia="ko-KR"/>
        </w:rPr>
        <w:t xml:space="preserve"> </w:t>
      </w:r>
      <w:r w:rsidRPr="00A32AF4">
        <w:rPr>
          <w:rFonts w:eastAsia="Batang"/>
          <w:lang w:eastAsia="ko-KR"/>
        </w:rPr>
        <w:tab/>
        <w:t>Centre international de calcul des Nations Unies</w:t>
      </w:r>
    </w:p>
    <w:p w14:paraId="642AAC97" w14:textId="77777777" w:rsidR="000E2BCD" w:rsidRPr="00A32AF4" w:rsidRDefault="000E2BCD" w:rsidP="000E2BCD">
      <w:pPr>
        <w:ind w:left="1418" w:hanging="1418"/>
        <w:rPr>
          <w:rFonts w:eastAsia="Batang"/>
          <w:lang w:eastAsia="ko-KR"/>
        </w:rPr>
      </w:pPr>
      <w:r w:rsidRPr="00A32AF4">
        <w:rPr>
          <w:rFonts w:eastAsia="Batang"/>
          <w:lang w:eastAsia="ko-KR"/>
        </w:rPr>
        <w:t xml:space="preserve">CLEA </w:t>
      </w:r>
      <w:r w:rsidRPr="00A32AF4">
        <w:rPr>
          <w:rFonts w:eastAsia="Batang"/>
          <w:lang w:eastAsia="ko-KR"/>
        </w:rPr>
        <w:tab/>
        <w:t>Collection de lois accessible en ligne</w:t>
      </w:r>
    </w:p>
    <w:p w14:paraId="542C1138" w14:textId="77777777" w:rsidR="000E2BCD" w:rsidRDefault="000E2BCD" w:rsidP="000E2BCD">
      <w:pPr>
        <w:ind w:left="1418" w:hanging="1418"/>
        <w:rPr>
          <w:rFonts w:eastAsia="Batang"/>
          <w:lang w:eastAsia="ko-KR"/>
        </w:rPr>
      </w:pPr>
      <w:r w:rsidRPr="00A32AF4">
        <w:rPr>
          <w:rFonts w:eastAsia="Batang"/>
          <w:lang w:eastAsia="ko-KR"/>
        </w:rPr>
        <w:t xml:space="preserve">CNUCED </w:t>
      </w:r>
      <w:r w:rsidRPr="00A32AF4">
        <w:rPr>
          <w:rFonts w:eastAsia="Batang"/>
          <w:lang w:eastAsia="ko-KR"/>
        </w:rPr>
        <w:tab/>
        <w:t>Conférence des Nations Unies sur le commerce et le développement</w:t>
      </w:r>
    </w:p>
    <w:p w14:paraId="399D6E8E" w14:textId="77777777" w:rsidR="000E2BCD" w:rsidRPr="00A32AF4" w:rsidRDefault="000E2BCD" w:rsidP="000E2BCD">
      <w:pPr>
        <w:ind w:left="1418" w:hanging="1418"/>
        <w:rPr>
          <w:rFonts w:eastAsia="Batang"/>
          <w:lang w:eastAsia="ko-KR"/>
        </w:rPr>
      </w:pPr>
    </w:p>
    <w:p w14:paraId="67A715ED" w14:textId="77777777" w:rsidR="000E2BCD" w:rsidRPr="00A32AF4" w:rsidRDefault="000E2BCD" w:rsidP="000E2BCD">
      <w:pPr>
        <w:ind w:left="1418" w:hanging="1418"/>
        <w:rPr>
          <w:rFonts w:eastAsia="Batang"/>
          <w:lang w:eastAsia="ko-KR"/>
        </w:rPr>
      </w:pPr>
      <w:r w:rsidRPr="00066B40">
        <w:rPr>
          <w:rFonts w:eastAsia="Batang"/>
          <w:b/>
          <w:lang w:eastAsia="ko-KR"/>
        </w:rPr>
        <w:t>D</w:t>
      </w:r>
      <w:r w:rsidRPr="00A32AF4">
        <w:rPr>
          <w:rFonts w:eastAsia="Batang"/>
          <w:lang w:eastAsia="ko-KR"/>
        </w:rPr>
        <w:t>AES</w:t>
      </w:r>
      <w:r w:rsidRPr="00A32AF4">
        <w:rPr>
          <w:rFonts w:eastAsia="Batang"/>
          <w:lang w:eastAsia="ko-KR"/>
        </w:rPr>
        <w:tab/>
        <w:t>Département des affaires économiques et sociales de l’ONU</w:t>
      </w:r>
    </w:p>
    <w:p w14:paraId="100104DC" w14:textId="77777777" w:rsidR="000E2BCD" w:rsidRPr="00A32AF4" w:rsidRDefault="000E2BCD" w:rsidP="000E2BCD">
      <w:pPr>
        <w:ind w:left="1418" w:hanging="1418"/>
        <w:rPr>
          <w:rFonts w:eastAsia="Batang"/>
          <w:lang w:eastAsia="ko-KR"/>
        </w:rPr>
      </w:pPr>
      <w:r w:rsidRPr="00A32AF4">
        <w:rPr>
          <w:rFonts w:eastAsia="Batang"/>
          <w:lang w:eastAsia="ko-KR"/>
        </w:rPr>
        <w:t>DAS</w:t>
      </w:r>
      <w:r w:rsidRPr="00A32AF4">
        <w:rPr>
          <w:rFonts w:eastAsia="Batang"/>
          <w:lang w:eastAsia="ko-KR"/>
        </w:rPr>
        <w:tab/>
        <w:t>Service d’accès numérique aux documents de priorité</w:t>
      </w:r>
    </w:p>
    <w:p w14:paraId="122424A5" w14:textId="77777777" w:rsidR="000E2BCD" w:rsidRPr="00A32AF4" w:rsidRDefault="000E2BCD" w:rsidP="000E2BCD">
      <w:pPr>
        <w:ind w:left="1418" w:hanging="1418"/>
        <w:rPr>
          <w:rFonts w:eastAsia="Batang"/>
          <w:lang w:eastAsia="ko-KR"/>
        </w:rPr>
      </w:pPr>
      <w:r w:rsidRPr="00066B40">
        <w:rPr>
          <w:rFonts w:eastAsia="Batang"/>
          <w:lang w:eastAsia="ko-KR"/>
        </w:rPr>
        <w:t>D</w:t>
      </w:r>
      <w:r w:rsidRPr="00A32AF4">
        <w:rPr>
          <w:rFonts w:eastAsia="Batang"/>
          <w:lang w:eastAsia="ko-KR"/>
        </w:rPr>
        <w:t xml:space="preserve">GRH </w:t>
      </w:r>
      <w:r w:rsidRPr="00A32AF4">
        <w:rPr>
          <w:rFonts w:eastAsia="Batang"/>
          <w:lang w:eastAsia="ko-KR"/>
        </w:rPr>
        <w:tab/>
        <w:t>Département de la gestion des ressources humaines</w:t>
      </w:r>
    </w:p>
    <w:p w14:paraId="0F9E94AD" w14:textId="77777777" w:rsidR="000E2BCD" w:rsidRDefault="000E2BCD" w:rsidP="000E2BCD">
      <w:pPr>
        <w:ind w:left="1418" w:hanging="1418"/>
        <w:rPr>
          <w:rFonts w:eastAsia="Batang"/>
          <w:lang w:eastAsia="ko-KR"/>
        </w:rPr>
      </w:pPr>
      <w:r w:rsidRPr="00A32AF4">
        <w:rPr>
          <w:rFonts w:eastAsia="Batang"/>
          <w:lang w:eastAsia="ko-KR"/>
        </w:rPr>
        <w:t>DSI</w:t>
      </w:r>
      <w:r w:rsidRPr="00A32AF4">
        <w:rPr>
          <w:rFonts w:eastAsia="Batang"/>
          <w:lang w:eastAsia="ko-KR"/>
        </w:rPr>
        <w:tab/>
        <w:t>Division de la supervision interne</w:t>
      </w:r>
    </w:p>
    <w:p w14:paraId="51BA764E" w14:textId="77777777" w:rsidR="000E2BCD" w:rsidRDefault="000E2BCD" w:rsidP="000E2BCD">
      <w:pPr>
        <w:ind w:left="1418" w:hanging="1418"/>
        <w:rPr>
          <w:rFonts w:eastAsia="Batang"/>
          <w:lang w:eastAsia="ko-KR"/>
        </w:rPr>
      </w:pPr>
    </w:p>
    <w:p w14:paraId="795976C8" w14:textId="77777777" w:rsidR="000E2BCD" w:rsidRDefault="000E2BCD" w:rsidP="000E2BCD">
      <w:pPr>
        <w:ind w:left="1418" w:hanging="1418"/>
        <w:rPr>
          <w:rFonts w:eastAsia="Batang"/>
          <w:lang w:eastAsia="ko-KR"/>
        </w:rPr>
      </w:pPr>
      <w:r w:rsidRPr="00963B0D">
        <w:rPr>
          <w:rFonts w:eastAsia="Batang"/>
          <w:b/>
          <w:lang w:eastAsia="ko-KR"/>
        </w:rPr>
        <w:t>E</w:t>
      </w:r>
      <w:r w:rsidRPr="00A32AF4">
        <w:rPr>
          <w:rFonts w:eastAsia="Batang"/>
          <w:lang w:eastAsia="ko-KR"/>
        </w:rPr>
        <w:t>RP</w:t>
      </w:r>
      <w:r w:rsidRPr="00A32AF4">
        <w:rPr>
          <w:rFonts w:eastAsia="Batang"/>
          <w:lang w:eastAsia="ko-KR"/>
        </w:rPr>
        <w:tab/>
        <w:t>planification des ressources de l’Organisation</w:t>
      </w:r>
    </w:p>
    <w:p w14:paraId="782EDECC" w14:textId="77777777" w:rsidR="000E2BCD" w:rsidRDefault="000E2BCD" w:rsidP="000E2BCD">
      <w:pPr>
        <w:ind w:left="1418" w:hanging="1418"/>
        <w:rPr>
          <w:rFonts w:eastAsia="Batang"/>
          <w:lang w:eastAsia="ko-KR"/>
        </w:rPr>
      </w:pPr>
    </w:p>
    <w:p w14:paraId="392639F6" w14:textId="77777777" w:rsidR="000E2BCD" w:rsidRDefault="000E2BCD" w:rsidP="000E2BCD">
      <w:pPr>
        <w:ind w:left="1418" w:hanging="1418"/>
        <w:rPr>
          <w:rFonts w:eastAsia="Batang"/>
          <w:lang w:eastAsia="ko-KR"/>
        </w:rPr>
      </w:pPr>
      <w:r w:rsidRPr="00A32AF4">
        <w:rPr>
          <w:rFonts w:eastAsia="Batang"/>
          <w:b/>
          <w:lang w:eastAsia="ko-KR"/>
        </w:rPr>
        <w:t>F</w:t>
      </w:r>
      <w:r w:rsidRPr="00A32AF4">
        <w:rPr>
          <w:rFonts w:eastAsia="Batang"/>
          <w:lang w:eastAsia="ko-KR"/>
        </w:rPr>
        <w:t xml:space="preserve">AO </w:t>
      </w:r>
      <w:r w:rsidRPr="00A32AF4">
        <w:rPr>
          <w:rFonts w:eastAsia="Batang"/>
          <w:lang w:eastAsia="ko-KR"/>
        </w:rPr>
        <w:tab/>
        <w:t>Organisation des Nations Unies pour l’alimentation et l’agriculture</w:t>
      </w:r>
    </w:p>
    <w:p w14:paraId="0A8A63F8" w14:textId="77777777" w:rsidR="000E2BCD" w:rsidRDefault="000E2BCD" w:rsidP="000E2BCD">
      <w:pPr>
        <w:ind w:left="1418" w:hanging="1418"/>
        <w:rPr>
          <w:rFonts w:eastAsia="Batang"/>
          <w:lang w:eastAsia="ko-KR"/>
        </w:rPr>
      </w:pPr>
      <w:r w:rsidRPr="00A32AF4">
        <w:rPr>
          <w:rFonts w:eastAsia="Batang"/>
          <w:b/>
          <w:bCs/>
          <w:lang w:eastAsia="ko-KR"/>
        </w:rPr>
        <w:t>g</w:t>
      </w:r>
      <w:r w:rsidRPr="00A32AF4">
        <w:rPr>
          <w:rFonts w:eastAsia="Batang"/>
          <w:lang w:eastAsia="ko-KR"/>
        </w:rPr>
        <w:t xml:space="preserve">TLD </w:t>
      </w:r>
      <w:r w:rsidRPr="00A32AF4">
        <w:rPr>
          <w:rFonts w:eastAsia="Batang"/>
          <w:lang w:eastAsia="ko-KR"/>
        </w:rPr>
        <w:tab/>
        <w:t>domaine générique de premier niveau</w:t>
      </w:r>
    </w:p>
    <w:p w14:paraId="7A29CD26" w14:textId="77777777" w:rsidR="000E2BCD" w:rsidRDefault="000E2BCD" w:rsidP="000E2BCD">
      <w:pPr>
        <w:ind w:left="1418" w:hanging="1418"/>
        <w:rPr>
          <w:rFonts w:eastAsia="Batang"/>
          <w:lang w:eastAsia="ko-KR"/>
        </w:rPr>
      </w:pPr>
    </w:p>
    <w:p w14:paraId="30B02384" w14:textId="77777777" w:rsidR="000E2BCD" w:rsidRPr="00591A2F" w:rsidRDefault="000E2BCD" w:rsidP="000E2BCD">
      <w:pPr>
        <w:ind w:left="1418" w:hanging="1418"/>
        <w:rPr>
          <w:rFonts w:eastAsia="Batang"/>
          <w:lang w:val="en-US" w:eastAsia="ko-KR"/>
        </w:rPr>
      </w:pPr>
      <w:r w:rsidRPr="00591A2F">
        <w:rPr>
          <w:rFonts w:eastAsia="Batang"/>
          <w:b/>
          <w:bCs/>
          <w:lang w:val="en-US" w:eastAsia="ko-KR"/>
        </w:rPr>
        <w:t>I</w:t>
      </w:r>
      <w:r w:rsidRPr="00591A2F">
        <w:rPr>
          <w:rFonts w:eastAsia="Batang"/>
          <w:bCs/>
          <w:lang w:val="en-US" w:eastAsia="ko-KR"/>
        </w:rPr>
        <w:t>CANN</w:t>
      </w:r>
      <w:r w:rsidRPr="00591A2F">
        <w:rPr>
          <w:rFonts w:eastAsia="Batang"/>
          <w:lang w:val="en-US" w:eastAsia="ko-KR"/>
        </w:rPr>
        <w:t xml:space="preserve"> </w:t>
      </w:r>
      <w:r w:rsidRPr="00591A2F">
        <w:rPr>
          <w:rFonts w:eastAsia="Batang"/>
          <w:lang w:val="en-US" w:eastAsia="ko-KR"/>
        </w:rPr>
        <w:tab/>
        <w:t>Internet Corporation for Assigned Names and Numbers</w:t>
      </w:r>
    </w:p>
    <w:p w14:paraId="704F4A67" w14:textId="77777777" w:rsidR="000E2BCD" w:rsidRPr="00A32AF4" w:rsidRDefault="000E2BCD" w:rsidP="000E2BCD">
      <w:pPr>
        <w:ind w:left="1418" w:hanging="1418"/>
        <w:rPr>
          <w:rFonts w:eastAsia="Batang"/>
          <w:lang w:eastAsia="ko-KR"/>
        </w:rPr>
      </w:pPr>
      <w:r w:rsidRPr="00A32AF4">
        <w:rPr>
          <w:rFonts w:eastAsia="Batang"/>
          <w:lang w:eastAsia="ko-KR"/>
        </w:rPr>
        <w:t xml:space="preserve">ICSEI </w:t>
      </w:r>
      <w:r w:rsidRPr="00A32AF4">
        <w:rPr>
          <w:rFonts w:eastAsia="Batang"/>
          <w:lang w:eastAsia="ko-KR"/>
        </w:rPr>
        <w:tab/>
        <w:t>Coopération internationale pour la recherche et l’examen des inventions</w:t>
      </w:r>
    </w:p>
    <w:p w14:paraId="2CE64E40" w14:textId="77777777" w:rsidR="000E2BCD" w:rsidRPr="00A32AF4" w:rsidRDefault="000E2BCD" w:rsidP="000E2BCD">
      <w:pPr>
        <w:ind w:left="1418" w:hanging="1418"/>
        <w:rPr>
          <w:rFonts w:eastAsia="Batang"/>
          <w:lang w:eastAsia="ko-KR"/>
        </w:rPr>
      </w:pPr>
      <w:r w:rsidRPr="00A32AF4">
        <w:rPr>
          <w:rFonts w:eastAsia="Batang"/>
          <w:lang w:eastAsia="ko-KR"/>
        </w:rPr>
        <w:t xml:space="preserve">IGC </w:t>
      </w:r>
      <w:r w:rsidRPr="00A32AF4">
        <w:rPr>
          <w:rFonts w:eastAsia="Batang"/>
          <w:lang w:eastAsia="ko-KR"/>
        </w:rPr>
        <w:tab/>
        <w:t>Comité intergouvernemental de la propriété intellectuelle relative aux ressources génétiques, aux savoirs traditionnels et au folklore</w:t>
      </w:r>
    </w:p>
    <w:p w14:paraId="1A54B868" w14:textId="77777777" w:rsidR="000E2BCD" w:rsidRPr="00A32AF4" w:rsidRDefault="000E2BCD" w:rsidP="000E2BCD">
      <w:pPr>
        <w:ind w:left="1418" w:hanging="1418"/>
        <w:rPr>
          <w:rFonts w:eastAsia="Batang"/>
          <w:bCs/>
          <w:lang w:eastAsia="ko-KR"/>
        </w:rPr>
      </w:pPr>
      <w:r w:rsidRPr="00066B40">
        <w:rPr>
          <w:rFonts w:eastAsia="Batang"/>
          <w:lang w:eastAsia="ko-KR"/>
        </w:rPr>
        <w:t>I</w:t>
      </w:r>
      <w:r w:rsidRPr="00066B40">
        <w:rPr>
          <w:rFonts w:eastAsia="Batang"/>
          <w:bCs/>
          <w:lang w:eastAsia="ko-KR"/>
        </w:rPr>
        <w:t>IA</w:t>
      </w:r>
      <w:r w:rsidRPr="00A32AF4">
        <w:rPr>
          <w:rFonts w:eastAsia="Batang"/>
          <w:bCs/>
          <w:lang w:eastAsia="ko-KR"/>
        </w:rPr>
        <w:tab/>
        <w:t>Institut des auditeurs internes</w:t>
      </w:r>
    </w:p>
    <w:p w14:paraId="3F332860" w14:textId="77777777" w:rsidR="000E2BCD" w:rsidRPr="00A32AF4" w:rsidRDefault="000E2BCD" w:rsidP="000E2BCD">
      <w:pPr>
        <w:ind w:left="1418" w:hanging="1418"/>
        <w:rPr>
          <w:rFonts w:eastAsia="Batang"/>
          <w:lang w:eastAsia="ko-KR"/>
        </w:rPr>
      </w:pPr>
      <w:r w:rsidRPr="00A32AF4">
        <w:rPr>
          <w:rFonts w:eastAsia="Batang"/>
          <w:lang w:eastAsia="ko-KR"/>
        </w:rPr>
        <w:t xml:space="preserve">IPACIS </w:t>
      </w:r>
      <w:r w:rsidRPr="00A32AF4">
        <w:rPr>
          <w:rFonts w:eastAsia="Batang"/>
          <w:lang w:eastAsia="ko-KR"/>
        </w:rPr>
        <w:tab/>
        <w:t>Assemblée interparlementaire des États membres de la CEI</w:t>
      </w:r>
    </w:p>
    <w:p w14:paraId="28A0C65D" w14:textId="77777777" w:rsidR="000E2BCD" w:rsidRPr="00A32AF4" w:rsidRDefault="000E2BCD" w:rsidP="000E2BCD">
      <w:pPr>
        <w:ind w:left="1418" w:hanging="1418"/>
        <w:rPr>
          <w:rFonts w:eastAsia="Batang"/>
          <w:lang w:eastAsia="ko-KR"/>
        </w:rPr>
      </w:pPr>
      <w:r w:rsidRPr="00A32AF4">
        <w:rPr>
          <w:rFonts w:eastAsia="Batang"/>
          <w:lang w:eastAsia="ko-KR"/>
        </w:rPr>
        <w:t>IPAG</w:t>
      </w:r>
      <w:r w:rsidRPr="00A32AF4">
        <w:rPr>
          <w:rFonts w:eastAsia="Batang"/>
          <w:lang w:eastAsia="ko-KR"/>
        </w:rPr>
        <w:tab/>
        <w:t>Intellectual Property Agreement Guide</w:t>
      </w:r>
    </w:p>
    <w:p w14:paraId="3AE6AF4F" w14:textId="77777777" w:rsidR="000E2BCD" w:rsidRPr="00A32AF4" w:rsidRDefault="000E2BCD" w:rsidP="000E2BCD">
      <w:pPr>
        <w:ind w:left="1418" w:hanging="1418"/>
        <w:rPr>
          <w:rFonts w:eastAsia="Batang"/>
          <w:lang w:eastAsia="ko-KR"/>
        </w:rPr>
      </w:pPr>
      <w:r w:rsidRPr="00A32AF4">
        <w:rPr>
          <w:rFonts w:cs="Arial"/>
        </w:rPr>
        <w:t>IP</w:t>
      </w:r>
      <w:r w:rsidRPr="00A32AF4">
        <w:rPr>
          <w:rFonts w:cs="Arial"/>
        </w:rPr>
        <w:noBreakHyphen/>
        <w:t>DMD</w:t>
      </w:r>
      <w:r w:rsidRPr="00A32AF4">
        <w:rPr>
          <w:rFonts w:eastAsia="Batang"/>
          <w:lang w:eastAsia="ko-KR"/>
        </w:rPr>
        <w:tab/>
      </w:r>
      <w:r w:rsidRPr="00A32AF4">
        <w:rPr>
          <w:rStyle w:val="st"/>
          <w:rFonts w:cs="Arial"/>
        </w:rPr>
        <w:t>base de données de mise en parallèle des besoins de développement liés à la propriété intellectuelle</w:t>
      </w:r>
    </w:p>
    <w:p w14:paraId="3EE03527" w14:textId="77777777" w:rsidR="000E2BCD" w:rsidRPr="00A32AF4" w:rsidRDefault="000E2BCD" w:rsidP="000E2BCD">
      <w:pPr>
        <w:ind w:left="1418" w:hanging="1418"/>
        <w:rPr>
          <w:rFonts w:eastAsia="Batang"/>
          <w:lang w:eastAsia="ko-KR"/>
        </w:rPr>
      </w:pPr>
      <w:r w:rsidRPr="00A32AF4">
        <w:t xml:space="preserve">IPoA </w:t>
      </w:r>
      <w:r w:rsidRPr="00A32AF4">
        <w:tab/>
        <w:t>Programme d’action d’Istanbul</w:t>
      </w:r>
    </w:p>
    <w:p w14:paraId="3A63EFA3" w14:textId="77777777" w:rsidR="000E2BCD" w:rsidRPr="00A32AF4" w:rsidRDefault="000E2BCD" w:rsidP="000E2BCD">
      <w:pPr>
        <w:ind w:left="1418" w:hanging="1418"/>
      </w:pPr>
      <w:r w:rsidRPr="00A32AF4">
        <w:t>IP</w:t>
      </w:r>
      <w:r w:rsidRPr="00A32AF4">
        <w:noBreakHyphen/>
        <w:t>ROC</w:t>
      </w:r>
      <w:r w:rsidRPr="00A32AF4">
        <w:tab/>
        <w:t>liste des consultants en matière de propriété intellectuelle</w:t>
      </w:r>
    </w:p>
    <w:p w14:paraId="26ED0B38" w14:textId="77777777" w:rsidR="000E2BCD" w:rsidRPr="00A32AF4" w:rsidRDefault="000E2BCD" w:rsidP="000E2BCD">
      <w:pPr>
        <w:ind w:left="1418" w:hanging="1418"/>
        <w:rPr>
          <w:rFonts w:eastAsia="Batang"/>
          <w:lang w:eastAsia="ko-KR"/>
        </w:rPr>
      </w:pPr>
      <w:r w:rsidRPr="00A32AF4">
        <w:rPr>
          <w:rFonts w:eastAsia="Batang"/>
          <w:lang w:eastAsia="ko-KR"/>
        </w:rPr>
        <w:t xml:space="preserve">IPSAS </w:t>
      </w:r>
      <w:r w:rsidRPr="00A32AF4">
        <w:rPr>
          <w:rFonts w:eastAsia="Batang"/>
          <w:lang w:eastAsia="ko-KR"/>
        </w:rPr>
        <w:tab/>
        <w:t>Normes comptables internationales pour le secteur public</w:t>
      </w:r>
    </w:p>
    <w:p w14:paraId="6ED4365D" w14:textId="77777777" w:rsidR="000E2BCD" w:rsidRPr="00A32AF4" w:rsidRDefault="000E2BCD" w:rsidP="000E2BCD">
      <w:pPr>
        <w:ind w:left="1418" w:hanging="1418"/>
        <w:rPr>
          <w:rFonts w:eastAsia="Batang"/>
          <w:lang w:eastAsia="ko-KR"/>
        </w:rPr>
      </w:pPr>
      <w:r w:rsidRPr="00A32AF4">
        <w:rPr>
          <w:rFonts w:eastAsia="Batang"/>
          <w:lang w:eastAsia="ko-KR"/>
        </w:rPr>
        <w:t>IP</w:t>
      </w:r>
      <w:r w:rsidRPr="00A32AF4">
        <w:rPr>
          <w:rFonts w:eastAsia="Batang"/>
          <w:lang w:eastAsia="ko-KR"/>
        </w:rPr>
        <w:noBreakHyphen/>
        <w:t>TAD</w:t>
      </w:r>
      <w:r w:rsidRPr="00A32AF4">
        <w:rPr>
          <w:rFonts w:eastAsia="Batang"/>
          <w:lang w:eastAsia="ko-KR"/>
        </w:rPr>
        <w:tab/>
        <w:t>Base de données de l’assistance technique</w:t>
      </w:r>
    </w:p>
    <w:p w14:paraId="5E367183" w14:textId="77777777" w:rsidR="000E2BCD" w:rsidRDefault="000E2BCD" w:rsidP="000E2BCD">
      <w:pPr>
        <w:ind w:left="1418" w:hanging="1418"/>
        <w:rPr>
          <w:rFonts w:eastAsia="Batang"/>
          <w:lang w:eastAsia="ko-KR"/>
        </w:rPr>
      </w:pPr>
      <w:r w:rsidRPr="00A32AF4">
        <w:rPr>
          <w:rFonts w:eastAsia="Batang"/>
          <w:lang w:eastAsia="ko-KR"/>
        </w:rPr>
        <w:t>ISO</w:t>
      </w:r>
      <w:r w:rsidRPr="00A32AF4">
        <w:rPr>
          <w:rFonts w:eastAsia="Batang"/>
          <w:lang w:eastAsia="ko-KR"/>
        </w:rPr>
        <w:tab/>
        <w:t>Organisation internationale de normalisation</w:t>
      </w:r>
    </w:p>
    <w:p w14:paraId="69ADA5CC" w14:textId="77777777" w:rsidR="000E2BCD" w:rsidRDefault="000E2BCD" w:rsidP="000E2BCD">
      <w:pPr>
        <w:ind w:left="1418" w:hanging="1418"/>
        <w:rPr>
          <w:rFonts w:eastAsia="Batang"/>
          <w:lang w:eastAsia="ko-KR"/>
        </w:rPr>
      </w:pPr>
    </w:p>
    <w:p w14:paraId="45BE82F0" w14:textId="77777777" w:rsidR="000E2BCD" w:rsidRPr="00A32AF4" w:rsidRDefault="000E2BCD" w:rsidP="000E2BCD">
      <w:pPr>
        <w:ind w:left="1418" w:hanging="1418"/>
        <w:rPr>
          <w:rFonts w:eastAsia="Batang"/>
          <w:lang w:eastAsia="ko-KR"/>
        </w:rPr>
      </w:pPr>
      <w:r>
        <w:rPr>
          <w:rFonts w:eastAsia="Batang"/>
          <w:b/>
          <w:lang w:eastAsia="ko-KR"/>
        </w:rPr>
        <w:t>O</w:t>
      </w:r>
      <w:r>
        <w:rPr>
          <w:rFonts w:eastAsia="Batang"/>
          <w:lang w:eastAsia="ko-KR"/>
        </w:rPr>
        <w:t>BPI</w:t>
      </w:r>
      <w:r w:rsidRPr="00A32AF4">
        <w:rPr>
          <w:rFonts w:eastAsia="Batang"/>
          <w:lang w:eastAsia="ko-KR"/>
        </w:rPr>
        <w:tab/>
        <w:t>Organisation Benelux de la propriété intellectuelle</w:t>
      </w:r>
    </w:p>
    <w:p w14:paraId="38B20662" w14:textId="77777777" w:rsidR="000E2BCD" w:rsidRPr="00A32AF4" w:rsidRDefault="000E2BCD" w:rsidP="000E2BCD">
      <w:pPr>
        <w:keepNext/>
        <w:keepLines/>
        <w:ind w:left="1418" w:hanging="1418"/>
        <w:rPr>
          <w:rFonts w:eastAsia="Batang"/>
          <w:lang w:eastAsia="ko-KR"/>
        </w:rPr>
      </w:pPr>
      <w:r w:rsidRPr="00066B40">
        <w:rPr>
          <w:rFonts w:eastAsia="Batang"/>
          <w:lang w:eastAsia="ko-KR"/>
        </w:rPr>
        <w:t>O</w:t>
      </w:r>
      <w:r w:rsidRPr="00A32AF4">
        <w:rPr>
          <w:rFonts w:eastAsia="Batang"/>
          <w:lang w:eastAsia="ko-KR"/>
        </w:rPr>
        <w:t>CIS</w:t>
      </w:r>
      <w:r w:rsidRPr="00A32AF4">
        <w:rPr>
          <w:rFonts w:eastAsia="Batang"/>
          <w:lang w:eastAsia="ko-KR"/>
        </w:rPr>
        <w:tab/>
        <w:t>Organe consultatif indépendant de surveillance de l’OMPI</w:t>
      </w:r>
    </w:p>
    <w:p w14:paraId="20ABA53C" w14:textId="77777777" w:rsidR="000E2BCD" w:rsidRPr="00A32AF4" w:rsidRDefault="000E2BCD" w:rsidP="000E2BCD">
      <w:pPr>
        <w:keepNext/>
        <w:keepLines/>
        <w:ind w:left="1418" w:hanging="1418"/>
        <w:rPr>
          <w:rFonts w:eastAsia="Batang"/>
          <w:lang w:eastAsia="ko-KR"/>
        </w:rPr>
      </w:pPr>
      <w:r w:rsidRPr="00A32AF4">
        <w:rPr>
          <w:rFonts w:eastAsia="Batang"/>
          <w:lang w:eastAsia="ko-KR"/>
        </w:rPr>
        <w:t xml:space="preserve">OEB </w:t>
      </w:r>
      <w:r w:rsidRPr="00A32AF4">
        <w:rPr>
          <w:rFonts w:eastAsia="Batang"/>
          <w:lang w:eastAsia="ko-KR"/>
        </w:rPr>
        <w:tab/>
        <w:t>Office européen des brevets</w:t>
      </w:r>
    </w:p>
    <w:p w14:paraId="73EEBB25" w14:textId="77777777" w:rsidR="000E2BCD" w:rsidRPr="00A32AF4" w:rsidRDefault="000E2BCD" w:rsidP="000E2BCD">
      <w:pPr>
        <w:ind w:left="1418" w:hanging="1418"/>
        <w:rPr>
          <w:rFonts w:eastAsia="Batang"/>
          <w:lang w:eastAsia="ko-KR"/>
        </w:rPr>
      </w:pPr>
      <w:r w:rsidRPr="00A32AF4">
        <w:rPr>
          <w:rFonts w:eastAsia="Batang"/>
          <w:lang w:eastAsia="ko-KR"/>
        </w:rPr>
        <w:t>OHMI</w:t>
      </w:r>
      <w:r w:rsidRPr="00A32AF4">
        <w:rPr>
          <w:rFonts w:eastAsia="Batang"/>
          <w:lang w:eastAsia="ko-KR"/>
        </w:rPr>
        <w:tab/>
        <w:t>Office de l’harmonisation dans le marché intérieur</w:t>
      </w:r>
    </w:p>
    <w:p w14:paraId="288E7E2B" w14:textId="77777777" w:rsidR="000E2BCD" w:rsidRPr="00A32AF4" w:rsidRDefault="000E2BCD" w:rsidP="000E2BCD">
      <w:pPr>
        <w:ind w:left="1418" w:hanging="1418"/>
        <w:rPr>
          <w:rFonts w:eastAsia="Batang"/>
          <w:lang w:eastAsia="ko-KR"/>
        </w:rPr>
      </w:pPr>
      <w:r w:rsidRPr="00A32AF4">
        <w:rPr>
          <w:rFonts w:eastAsia="Batang"/>
          <w:lang w:eastAsia="ko-KR"/>
        </w:rPr>
        <w:t xml:space="preserve">OMC </w:t>
      </w:r>
      <w:r w:rsidRPr="00A32AF4">
        <w:rPr>
          <w:rFonts w:eastAsia="Batang"/>
          <w:lang w:eastAsia="ko-KR"/>
        </w:rPr>
        <w:tab/>
        <w:t>Organisation mondiale du commerce</w:t>
      </w:r>
    </w:p>
    <w:p w14:paraId="7D8AF7AE" w14:textId="77777777" w:rsidR="000E2BCD" w:rsidRPr="00A32AF4" w:rsidRDefault="000E2BCD" w:rsidP="000E2BCD">
      <w:pPr>
        <w:ind w:left="1418" w:hanging="1418"/>
        <w:rPr>
          <w:rFonts w:eastAsia="Batang"/>
          <w:lang w:eastAsia="ko-KR"/>
        </w:rPr>
      </w:pPr>
      <w:r w:rsidRPr="00A32AF4">
        <w:rPr>
          <w:rFonts w:eastAsia="Batang"/>
          <w:lang w:eastAsia="ko-KR"/>
        </w:rPr>
        <w:t xml:space="preserve">OMD </w:t>
      </w:r>
      <w:r w:rsidRPr="00A32AF4">
        <w:rPr>
          <w:rFonts w:eastAsia="Batang"/>
          <w:lang w:eastAsia="ko-KR"/>
        </w:rPr>
        <w:tab/>
        <w:t>Organisation mondiale des douanes</w:t>
      </w:r>
    </w:p>
    <w:p w14:paraId="574CDA07" w14:textId="77777777" w:rsidR="000E2BCD" w:rsidRPr="00A32AF4" w:rsidRDefault="000E2BCD" w:rsidP="000E2BCD">
      <w:pPr>
        <w:ind w:left="1418" w:hanging="1418"/>
        <w:rPr>
          <w:rFonts w:eastAsia="Batang"/>
          <w:lang w:eastAsia="ko-KR"/>
        </w:rPr>
      </w:pPr>
      <w:r w:rsidRPr="00A32AF4">
        <w:rPr>
          <w:rFonts w:eastAsia="Batang"/>
          <w:lang w:eastAsia="ko-KR"/>
        </w:rPr>
        <w:t xml:space="preserve">OMS </w:t>
      </w:r>
      <w:r w:rsidRPr="00A32AF4">
        <w:rPr>
          <w:rFonts w:eastAsia="Batang"/>
          <w:lang w:eastAsia="ko-KR"/>
        </w:rPr>
        <w:tab/>
        <w:t>Organisation mondiale de la Santé</w:t>
      </w:r>
    </w:p>
    <w:p w14:paraId="3A551649" w14:textId="77777777" w:rsidR="000E2BCD" w:rsidRPr="00A32AF4" w:rsidRDefault="000E2BCD" w:rsidP="000E2BCD">
      <w:pPr>
        <w:ind w:left="1418" w:hanging="1418"/>
        <w:rPr>
          <w:rFonts w:eastAsia="Batang"/>
          <w:lang w:eastAsia="ko-KR"/>
        </w:rPr>
      </w:pPr>
      <w:r w:rsidRPr="00A32AF4">
        <w:rPr>
          <w:rFonts w:eastAsia="Batang"/>
          <w:lang w:eastAsia="ko-KR"/>
        </w:rPr>
        <w:t>ONG</w:t>
      </w:r>
      <w:r w:rsidRPr="00A32AF4">
        <w:rPr>
          <w:rFonts w:eastAsia="Batang"/>
          <w:lang w:eastAsia="ko-KR"/>
        </w:rPr>
        <w:tab/>
        <w:t>organisation non gouvernementale</w:t>
      </w:r>
    </w:p>
    <w:p w14:paraId="6D44BCE4" w14:textId="77777777" w:rsidR="000E2BCD" w:rsidRDefault="000E2BCD" w:rsidP="000E2BCD">
      <w:pPr>
        <w:ind w:left="1418" w:hanging="1418"/>
        <w:rPr>
          <w:rFonts w:eastAsia="Batang"/>
          <w:lang w:eastAsia="ko-KR"/>
        </w:rPr>
      </w:pPr>
      <w:r w:rsidRPr="00A32AF4">
        <w:rPr>
          <w:rFonts w:eastAsia="Batang"/>
          <w:lang w:eastAsia="ko-KR"/>
        </w:rPr>
        <w:t xml:space="preserve">ONUDI </w:t>
      </w:r>
      <w:r w:rsidRPr="00A32AF4">
        <w:rPr>
          <w:rFonts w:eastAsia="Batang"/>
          <w:lang w:eastAsia="ko-KR"/>
        </w:rPr>
        <w:tab/>
        <w:t>Organisation des Nations Unies pour le développement industriel</w:t>
      </w:r>
    </w:p>
    <w:p w14:paraId="010F76E2" w14:textId="77777777" w:rsidR="000E2BCD" w:rsidRDefault="000E2BCD" w:rsidP="000E2BCD">
      <w:pPr>
        <w:ind w:left="1418" w:hanging="1418"/>
        <w:rPr>
          <w:rFonts w:eastAsia="Batang"/>
          <w:lang w:eastAsia="ko-KR"/>
        </w:rPr>
      </w:pPr>
    </w:p>
    <w:p w14:paraId="49507FE9" w14:textId="77777777" w:rsidR="000E2BCD" w:rsidRPr="00A32AF4" w:rsidRDefault="000E2BCD" w:rsidP="000E2BCD">
      <w:pPr>
        <w:keepNext/>
        <w:ind w:left="1418" w:hanging="1418"/>
        <w:rPr>
          <w:rFonts w:eastAsia="Batang"/>
          <w:lang w:eastAsia="ko-KR"/>
        </w:rPr>
      </w:pPr>
      <w:r w:rsidRPr="00A32AF4">
        <w:rPr>
          <w:rFonts w:eastAsia="Batang"/>
          <w:b/>
          <w:bCs/>
          <w:lang w:eastAsia="ko-KR"/>
        </w:rPr>
        <w:lastRenderedPageBreak/>
        <w:t>P</w:t>
      </w:r>
      <w:r w:rsidRPr="00A32AF4">
        <w:rPr>
          <w:rFonts w:eastAsia="Batang"/>
          <w:lang w:eastAsia="ko-KR"/>
        </w:rPr>
        <w:t xml:space="preserve">CT </w:t>
      </w:r>
      <w:r w:rsidRPr="00A32AF4">
        <w:rPr>
          <w:rFonts w:eastAsia="Batang"/>
          <w:lang w:eastAsia="ko-KR"/>
        </w:rPr>
        <w:tab/>
        <w:t>Traité de coopération en matière de brevets</w:t>
      </w:r>
    </w:p>
    <w:p w14:paraId="3047F63F" w14:textId="77777777" w:rsidR="000E2BCD" w:rsidRPr="00A32AF4" w:rsidRDefault="000E2BCD" w:rsidP="000E2BCD">
      <w:pPr>
        <w:ind w:left="1418" w:hanging="1418"/>
        <w:rPr>
          <w:rFonts w:eastAsia="Batang"/>
          <w:lang w:eastAsia="ko-KR"/>
        </w:rPr>
      </w:pPr>
      <w:r w:rsidRPr="00A32AF4">
        <w:rPr>
          <w:rFonts w:eastAsia="Batang"/>
          <w:lang w:eastAsia="ko-KR"/>
        </w:rPr>
        <w:t xml:space="preserve">PLT </w:t>
      </w:r>
      <w:r w:rsidRPr="00A32AF4">
        <w:rPr>
          <w:rFonts w:eastAsia="Batang"/>
          <w:lang w:eastAsia="ko-KR"/>
        </w:rPr>
        <w:tab/>
        <w:t>Traité sur le droit des brevets</w:t>
      </w:r>
    </w:p>
    <w:p w14:paraId="53BEA3B4" w14:textId="77777777" w:rsidR="000E2BCD" w:rsidRPr="00A32AF4" w:rsidRDefault="000E2BCD" w:rsidP="000E2BCD">
      <w:pPr>
        <w:ind w:left="1418" w:hanging="1418"/>
        <w:rPr>
          <w:rFonts w:eastAsia="Batang"/>
          <w:lang w:eastAsia="ko-KR"/>
        </w:rPr>
      </w:pPr>
      <w:r w:rsidRPr="00A32AF4">
        <w:rPr>
          <w:rFonts w:eastAsia="Batang"/>
          <w:lang w:eastAsia="ko-KR"/>
        </w:rPr>
        <w:t xml:space="preserve">PMA </w:t>
      </w:r>
      <w:r w:rsidRPr="00A32AF4">
        <w:rPr>
          <w:rFonts w:eastAsia="Batang"/>
          <w:lang w:eastAsia="ko-KR"/>
        </w:rPr>
        <w:tab/>
        <w:t>pays les moins avancés</w:t>
      </w:r>
    </w:p>
    <w:p w14:paraId="539B21E8" w14:textId="77777777" w:rsidR="000E2BCD" w:rsidRPr="00A32AF4" w:rsidRDefault="000E2BCD" w:rsidP="000E2BCD">
      <w:pPr>
        <w:ind w:left="1418" w:hanging="1418"/>
        <w:rPr>
          <w:rFonts w:eastAsia="Batang"/>
          <w:lang w:eastAsia="ko-KR"/>
        </w:rPr>
      </w:pPr>
      <w:r w:rsidRPr="00A32AF4">
        <w:rPr>
          <w:rFonts w:eastAsia="Batang"/>
          <w:lang w:eastAsia="ko-KR"/>
        </w:rPr>
        <w:t>PME</w:t>
      </w:r>
      <w:r w:rsidRPr="00A32AF4">
        <w:rPr>
          <w:rFonts w:eastAsia="Batang"/>
          <w:lang w:eastAsia="ko-KR"/>
        </w:rPr>
        <w:tab/>
        <w:t>petites et moyennes entreprises</w:t>
      </w:r>
    </w:p>
    <w:p w14:paraId="0170A23E" w14:textId="77777777" w:rsidR="000E2BCD" w:rsidRPr="00A32AF4" w:rsidRDefault="000E2BCD" w:rsidP="000E2BCD">
      <w:pPr>
        <w:ind w:left="1418" w:hanging="1418"/>
        <w:rPr>
          <w:rFonts w:eastAsia="Batang"/>
          <w:lang w:eastAsia="ko-KR"/>
        </w:rPr>
      </w:pPr>
      <w:r w:rsidRPr="00A32AF4">
        <w:rPr>
          <w:rFonts w:eastAsia="Batang"/>
          <w:lang w:eastAsia="ko-KR"/>
        </w:rPr>
        <w:t xml:space="preserve">PMSDS </w:t>
      </w:r>
      <w:r w:rsidRPr="00A32AF4">
        <w:rPr>
          <w:rFonts w:eastAsia="Batang"/>
          <w:lang w:eastAsia="ko-KR"/>
        </w:rPr>
        <w:tab/>
        <w:t>Système de gestion des performances et de perfectionnement du personnel</w:t>
      </w:r>
    </w:p>
    <w:p w14:paraId="590CD9A5" w14:textId="77777777" w:rsidR="000E2BCD" w:rsidRPr="00A32AF4" w:rsidRDefault="000E2BCD" w:rsidP="000E2BCD">
      <w:pPr>
        <w:ind w:left="1418" w:hanging="1418"/>
        <w:rPr>
          <w:rFonts w:eastAsia="Batang"/>
          <w:lang w:eastAsia="ko-KR"/>
        </w:rPr>
      </w:pPr>
      <w:r w:rsidRPr="00A32AF4">
        <w:rPr>
          <w:rFonts w:eastAsia="Batang"/>
          <w:lang w:eastAsia="ko-KR"/>
        </w:rPr>
        <w:t xml:space="preserve">PNUE </w:t>
      </w:r>
      <w:r w:rsidRPr="00A32AF4">
        <w:rPr>
          <w:rFonts w:eastAsia="Batang"/>
          <w:lang w:eastAsia="ko-KR"/>
        </w:rPr>
        <w:tab/>
        <w:t>Programme des Nations Unies pour l’environnement</w:t>
      </w:r>
    </w:p>
    <w:p w14:paraId="5D0686D4" w14:textId="77777777" w:rsidR="000E2BCD" w:rsidRDefault="000E2BCD" w:rsidP="000E2BCD">
      <w:pPr>
        <w:ind w:left="1418" w:hanging="1418"/>
        <w:rPr>
          <w:rFonts w:eastAsia="Batang"/>
          <w:lang w:eastAsia="ko-KR"/>
        </w:rPr>
      </w:pPr>
      <w:r w:rsidRPr="00A32AF4">
        <w:rPr>
          <w:rFonts w:eastAsia="Batang"/>
          <w:lang w:eastAsia="ko-KR"/>
        </w:rPr>
        <w:t>PSMT</w:t>
      </w:r>
      <w:r w:rsidRPr="00A32AF4">
        <w:rPr>
          <w:rFonts w:eastAsia="Batang"/>
          <w:lang w:eastAsia="ko-KR"/>
        </w:rPr>
        <w:tab/>
        <w:t>Plan stratégique à moyen terme</w:t>
      </w:r>
    </w:p>
    <w:p w14:paraId="5E6F49EE" w14:textId="77777777" w:rsidR="000E2BCD" w:rsidRDefault="000E2BCD" w:rsidP="000E2BCD">
      <w:pPr>
        <w:ind w:left="1418" w:hanging="1418"/>
        <w:rPr>
          <w:rFonts w:eastAsia="Batang"/>
          <w:lang w:eastAsia="ko-KR"/>
        </w:rPr>
      </w:pPr>
    </w:p>
    <w:p w14:paraId="6E742446" w14:textId="77777777" w:rsidR="000E2BCD" w:rsidRDefault="000E2BCD" w:rsidP="000E2BCD">
      <w:pPr>
        <w:ind w:left="1418" w:hanging="1418"/>
        <w:rPr>
          <w:rFonts w:eastAsia="Batang"/>
          <w:color w:val="000000"/>
          <w:lang w:eastAsia="ko-KR"/>
        </w:rPr>
      </w:pPr>
      <w:r w:rsidRPr="00A32AF4">
        <w:rPr>
          <w:rFonts w:eastAsia="Batang"/>
          <w:b/>
          <w:bCs/>
          <w:lang w:eastAsia="ko-KR"/>
        </w:rPr>
        <w:t>R</w:t>
      </w:r>
      <w:r w:rsidRPr="00A32AF4">
        <w:rPr>
          <w:rFonts w:eastAsia="Batang"/>
          <w:color w:val="000000"/>
          <w:lang w:eastAsia="ko-KR"/>
        </w:rPr>
        <w:noBreakHyphen/>
        <w:t>D</w:t>
      </w:r>
      <w:r w:rsidRPr="00A32AF4">
        <w:rPr>
          <w:rFonts w:eastAsia="Batang"/>
          <w:color w:val="000000"/>
          <w:lang w:eastAsia="ko-KR"/>
        </w:rPr>
        <w:tab/>
        <w:t>recherche</w:t>
      </w:r>
      <w:r w:rsidRPr="00A32AF4">
        <w:rPr>
          <w:rFonts w:eastAsia="Batang"/>
          <w:color w:val="000000"/>
          <w:lang w:eastAsia="ko-KR"/>
        </w:rPr>
        <w:noBreakHyphen/>
        <w:t>développement</w:t>
      </w:r>
    </w:p>
    <w:p w14:paraId="78A07216" w14:textId="77777777" w:rsidR="000E2BCD" w:rsidRDefault="000E2BCD" w:rsidP="000E2BCD">
      <w:pPr>
        <w:ind w:left="1418" w:hanging="1418"/>
        <w:rPr>
          <w:rFonts w:eastAsia="Batang"/>
          <w:color w:val="000000"/>
          <w:lang w:eastAsia="ko-KR"/>
        </w:rPr>
      </w:pPr>
    </w:p>
    <w:p w14:paraId="3E459C1F" w14:textId="77777777" w:rsidR="000E2BCD" w:rsidRPr="00A32AF4" w:rsidRDefault="000E2BCD" w:rsidP="000E2BCD">
      <w:pPr>
        <w:ind w:left="1418" w:hanging="1418"/>
        <w:rPr>
          <w:rFonts w:eastAsia="Batang"/>
          <w:lang w:eastAsia="ko-KR"/>
        </w:rPr>
      </w:pPr>
      <w:r w:rsidRPr="00A32AF4">
        <w:rPr>
          <w:rFonts w:eastAsia="Batang"/>
          <w:b/>
          <w:lang w:eastAsia="ko-KR"/>
        </w:rPr>
        <w:t>S</w:t>
      </w:r>
      <w:r w:rsidRPr="00A32AF4">
        <w:rPr>
          <w:rFonts w:eastAsia="Batang"/>
          <w:lang w:eastAsia="ko-KR"/>
        </w:rPr>
        <w:t xml:space="preserve">CCR </w:t>
      </w:r>
      <w:r w:rsidRPr="00A32AF4">
        <w:rPr>
          <w:rFonts w:eastAsia="Batang"/>
          <w:lang w:eastAsia="ko-KR"/>
        </w:rPr>
        <w:tab/>
        <w:t>Comité permanent du droit d’auteur et des droits connexes</w:t>
      </w:r>
    </w:p>
    <w:p w14:paraId="0F831AEB" w14:textId="77777777" w:rsidR="000E2BCD" w:rsidRPr="00A32AF4" w:rsidRDefault="000E2BCD" w:rsidP="000E2BCD">
      <w:pPr>
        <w:ind w:left="1418" w:hanging="1418"/>
        <w:rPr>
          <w:rFonts w:eastAsia="Batang"/>
          <w:lang w:eastAsia="ko-KR"/>
        </w:rPr>
      </w:pPr>
      <w:r w:rsidRPr="00A32AF4">
        <w:rPr>
          <w:rFonts w:eastAsia="Batang"/>
          <w:lang w:eastAsia="ko-KR"/>
        </w:rPr>
        <w:t xml:space="preserve">SCP </w:t>
      </w:r>
      <w:r w:rsidRPr="00A32AF4">
        <w:rPr>
          <w:rFonts w:eastAsia="Batang"/>
          <w:lang w:eastAsia="ko-KR"/>
        </w:rPr>
        <w:tab/>
        <w:t>Comité permanent du droit des brevets</w:t>
      </w:r>
    </w:p>
    <w:p w14:paraId="33AC720D" w14:textId="77777777" w:rsidR="000E2BCD" w:rsidRPr="00A32AF4" w:rsidRDefault="000E2BCD" w:rsidP="000E2BCD">
      <w:pPr>
        <w:ind w:left="1418" w:hanging="1418"/>
        <w:rPr>
          <w:rFonts w:eastAsia="Batang"/>
          <w:lang w:eastAsia="ko-KR"/>
        </w:rPr>
      </w:pPr>
      <w:r w:rsidRPr="00A32AF4">
        <w:rPr>
          <w:rFonts w:eastAsia="Batang"/>
          <w:lang w:eastAsia="ko-KR"/>
        </w:rPr>
        <w:t>SCT</w:t>
      </w:r>
      <w:r w:rsidRPr="00A32AF4">
        <w:rPr>
          <w:rFonts w:eastAsia="Batang"/>
          <w:lang w:eastAsia="ko-KR"/>
        </w:rPr>
        <w:tab/>
        <w:t>Comité permanent du droit des marques, des dessins et modèles industriels et des indications géographiques</w:t>
      </w:r>
    </w:p>
    <w:p w14:paraId="79A03DE7" w14:textId="77777777" w:rsidR="000E2BCD" w:rsidRDefault="000E2BCD" w:rsidP="000E2BCD">
      <w:pPr>
        <w:ind w:left="1418" w:hanging="1418"/>
        <w:rPr>
          <w:rFonts w:eastAsia="Batang"/>
          <w:lang w:eastAsia="ko-KR"/>
        </w:rPr>
      </w:pPr>
      <w:r w:rsidRPr="00A32AF4">
        <w:rPr>
          <w:rFonts w:eastAsia="Batang"/>
          <w:lang w:eastAsia="ko-KR"/>
        </w:rPr>
        <w:t xml:space="preserve">SGED </w:t>
      </w:r>
      <w:r w:rsidRPr="00A32AF4">
        <w:rPr>
          <w:rFonts w:eastAsia="Batang"/>
          <w:lang w:eastAsia="ko-KR"/>
        </w:rPr>
        <w:tab/>
        <w:t>système de gestion électronique des documents</w:t>
      </w:r>
    </w:p>
    <w:p w14:paraId="1373B750" w14:textId="77777777" w:rsidR="000E2BCD" w:rsidRPr="00A32AF4" w:rsidRDefault="000E2BCD" w:rsidP="000E2BCD">
      <w:pPr>
        <w:ind w:left="1418" w:hanging="1418"/>
        <w:rPr>
          <w:rFonts w:eastAsia="Batang"/>
          <w:lang w:eastAsia="ko-KR"/>
        </w:rPr>
      </w:pPr>
    </w:p>
    <w:p w14:paraId="594C3D38" w14:textId="77777777" w:rsidR="000E2BCD" w:rsidRPr="00A32AF4" w:rsidRDefault="000E2BCD" w:rsidP="000E2BCD">
      <w:pPr>
        <w:ind w:left="1418" w:hanging="1418"/>
        <w:rPr>
          <w:rFonts w:eastAsia="Batang"/>
          <w:b/>
          <w:lang w:eastAsia="ko-KR"/>
        </w:rPr>
      </w:pPr>
      <w:r w:rsidRPr="00A32AF4">
        <w:rPr>
          <w:rFonts w:eastAsia="Batang"/>
          <w:b/>
          <w:lang w:eastAsia="ko-KR"/>
        </w:rPr>
        <w:t>T</w:t>
      </w:r>
      <w:r w:rsidRPr="00A32AF4">
        <w:rPr>
          <w:rFonts w:eastAsia="Batang"/>
          <w:lang w:eastAsia="ko-KR"/>
        </w:rPr>
        <w:t>AG</w:t>
      </w:r>
      <w:r w:rsidRPr="00A32AF4">
        <w:rPr>
          <w:rFonts w:eastAsia="Batang"/>
          <w:b/>
          <w:lang w:eastAsia="ko-KR"/>
        </w:rPr>
        <w:tab/>
      </w:r>
      <w:r w:rsidRPr="00A32AF4">
        <w:rPr>
          <w:rFonts w:cs="Arial"/>
        </w:rPr>
        <w:t>Norme internationale d’assurance qualité en matière de transparence, de responsabilité et de gouvernance</w:t>
      </w:r>
    </w:p>
    <w:p w14:paraId="5CD58048" w14:textId="77777777" w:rsidR="000E2BCD" w:rsidRDefault="000E2BCD" w:rsidP="000E2BCD">
      <w:pPr>
        <w:ind w:left="1418" w:hanging="1418"/>
        <w:rPr>
          <w:rFonts w:eastAsia="Batang"/>
          <w:lang w:eastAsia="ko-KR"/>
        </w:rPr>
      </w:pPr>
      <w:r w:rsidRPr="00A32AF4">
        <w:rPr>
          <w:rFonts w:eastAsia="Batang"/>
          <w:lang w:eastAsia="ko-KR"/>
        </w:rPr>
        <w:t xml:space="preserve">TIC </w:t>
      </w:r>
      <w:r w:rsidRPr="00A32AF4">
        <w:rPr>
          <w:rFonts w:eastAsia="Batang"/>
          <w:lang w:eastAsia="ko-KR"/>
        </w:rPr>
        <w:tab/>
        <w:t xml:space="preserve">technologies de l’information et </w:t>
      </w:r>
      <w:r>
        <w:rPr>
          <w:rFonts w:eastAsia="Batang"/>
          <w:lang w:eastAsia="ko-KR"/>
        </w:rPr>
        <w:t>de la</w:t>
      </w:r>
      <w:r w:rsidRPr="00A32AF4">
        <w:rPr>
          <w:rFonts w:eastAsia="Batang"/>
          <w:lang w:eastAsia="ko-KR"/>
        </w:rPr>
        <w:t xml:space="preserve"> </w:t>
      </w:r>
      <w:r>
        <w:rPr>
          <w:rFonts w:eastAsia="Batang"/>
          <w:lang w:eastAsia="ko-KR"/>
        </w:rPr>
        <w:t>communication</w:t>
      </w:r>
    </w:p>
    <w:p w14:paraId="05A73C6D" w14:textId="77777777" w:rsidR="000E2BCD" w:rsidRDefault="000E2BCD" w:rsidP="000E2BCD">
      <w:pPr>
        <w:ind w:left="1418" w:hanging="1418"/>
        <w:rPr>
          <w:rFonts w:eastAsia="Batang"/>
          <w:lang w:eastAsia="ko-KR"/>
        </w:rPr>
      </w:pPr>
    </w:p>
    <w:p w14:paraId="7BC5D525" w14:textId="77777777" w:rsidR="000E2BCD" w:rsidRPr="00A32AF4" w:rsidRDefault="000E2BCD" w:rsidP="000E2BCD">
      <w:pPr>
        <w:ind w:left="1418" w:hanging="1418"/>
        <w:rPr>
          <w:rFonts w:eastAsia="Batang"/>
          <w:lang w:eastAsia="ko-KR"/>
        </w:rPr>
      </w:pPr>
      <w:r w:rsidRPr="00A32AF4">
        <w:rPr>
          <w:rFonts w:eastAsia="Batang"/>
          <w:b/>
          <w:lang w:eastAsia="ko-KR"/>
        </w:rPr>
        <w:t>U</w:t>
      </w:r>
      <w:r w:rsidRPr="00A32AF4">
        <w:rPr>
          <w:rFonts w:eastAsia="Batang"/>
          <w:lang w:eastAsia="ko-KR"/>
        </w:rPr>
        <w:t xml:space="preserve">DRP </w:t>
      </w:r>
      <w:r w:rsidRPr="00A32AF4">
        <w:rPr>
          <w:rFonts w:eastAsia="Batang"/>
          <w:lang w:eastAsia="ko-KR"/>
        </w:rPr>
        <w:tab/>
        <w:t>principes directeurs concernant le règlement uniforme des litiges relatifs aux noms de domaine</w:t>
      </w:r>
    </w:p>
    <w:p w14:paraId="6F8EEB71" w14:textId="77777777" w:rsidR="000E2BCD" w:rsidRPr="00A32AF4" w:rsidRDefault="000E2BCD" w:rsidP="000E2BCD">
      <w:pPr>
        <w:ind w:left="1418" w:hanging="1418"/>
        <w:rPr>
          <w:rFonts w:eastAsia="Batang"/>
          <w:lang w:eastAsia="ko-KR"/>
        </w:rPr>
      </w:pPr>
      <w:r w:rsidRPr="00A32AF4">
        <w:rPr>
          <w:rFonts w:eastAsia="Batang"/>
          <w:lang w:eastAsia="ko-KR"/>
        </w:rPr>
        <w:t xml:space="preserve">UIT </w:t>
      </w:r>
      <w:r w:rsidRPr="00A32AF4">
        <w:rPr>
          <w:rFonts w:eastAsia="Batang"/>
          <w:lang w:eastAsia="ko-KR"/>
        </w:rPr>
        <w:tab/>
        <w:t>Union internationale des télécommunications</w:t>
      </w:r>
    </w:p>
    <w:p w14:paraId="58EB49C2" w14:textId="77777777" w:rsidR="000E2BCD" w:rsidRPr="00A32AF4" w:rsidRDefault="000E2BCD" w:rsidP="000E2BCD">
      <w:pPr>
        <w:ind w:left="1418" w:hanging="1418"/>
        <w:rPr>
          <w:rFonts w:eastAsia="Batang"/>
          <w:lang w:eastAsia="ko-KR"/>
        </w:rPr>
      </w:pPr>
      <w:r w:rsidRPr="00A32AF4">
        <w:rPr>
          <w:rFonts w:eastAsia="Batang"/>
          <w:lang w:eastAsia="ko-KR"/>
        </w:rPr>
        <w:t>UN H</w:t>
      </w:r>
      <w:r w:rsidRPr="00A32AF4">
        <w:rPr>
          <w:rFonts w:eastAsia="Batang"/>
          <w:lang w:eastAsia="ko-KR"/>
        </w:rPr>
        <w:noBreakHyphen/>
        <w:t xml:space="preserve">MOSS </w:t>
      </w:r>
      <w:r w:rsidRPr="00A32AF4">
        <w:rPr>
          <w:rFonts w:eastAsia="Batang"/>
          <w:lang w:eastAsia="ko-KR"/>
        </w:rPr>
        <w:tab/>
        <w:t>Normes minimales de sécurité opérationnelle recommandées par le siège des Nations Unies</w:t>
      </w:r>
    </w:p>
    <w:p w14:paraId="55796D1E" w14:textId="77777777" w:rsidR="000E2BCD" w:rsidRPr="00A32AF4" w:rsidRDefault="000E2BCD" w:rsidP="000E2BCD">
      <w:pPr>
        <w:ind w:left="1418" w:hanging="1418"/>
        <w:rPr>
          <w:rFonts w:eastAsia="Batang"/>
          <w:lang w:eastAsia="ko-KR"/>
        </w:rPr>
      </w:pPr>
      <w:r w:rsidRPr="00A32AF4">
        <w:rPr>
          <w:rFonts w:eastAsia="Batang"/>
          <w:lang w:eastAsia="ko-KR"/>
        </w:rPr>
        <w:t xml:space="preserve">UNESCO </w:t>
      </w:r>
      <w:r w:rsidRPr="00A32AF4">
        <w:rPr>
          <w:rFonts w:eastAsia="Batang"/>
          <w:lang w:eastAsia="ko-KR"/>
        </w:rPr>
        <w:tab/>
        <w:t>Organisation des Nations Unies pour l’éducation, la science et la culture</w:t>
      </w:r>
    </w:p>
    <w:p w14:paraId="2E5C0957" w14:textId="77777777" w:rsidR="000E2BCD" w:rsidRPr="00A32AF4" w:rsidRDefault="000E2BCD" w:rsidP="000E2BCD">
      <w:pPr>
        <w:ind w:left="1418" w:hanging="1418"/>
        <w:rPr>
          <w:rFonts w:eastAsia="Batang"/>
          <w:lang w:eastAsia="ko-KR"/>
        </w:rPr>
      </w:pPr>
      <w:r w:rsidRPr="00A32AF4">
        <w:rPr>
          <w:rFonts w:eastAsia="Batang"/>
          <w:lang w:eastAsia="ko-KR"/>
        </w:rPr>
        <w:t>UNOSSC</w:t>
      </w:r>
      <w:r w:rsidRPr="00A32AF4">
        <w:rPr>
          <w:rFonts w:eastAsia="Batang"/>
          <w:lang w:eastAsia="ko-KR"/>
        </w:rPr>
        <w:tab/>
        <w:t>Bureau des Nations Unies pour la coopération Sud-Sud</w:t>
      </w:r>
    </w:p>
    <w:p w14:paraId="1BDF2899" w14:textId="77777777" w:rsidR="000E2BCD" w:rsidRPr="00A32AF4" w:rsidRDefault="000E2BCD" w:rsidP="000E2BCD">
      <w:pPr>
        <w:ind w:left="1418" w:hanging="1418"/>
        <w:rPr>
          <w:rFonts w:eastAsia="Batang"/>
          <w:lang w:eastAsia="ko-KR"/>
        </w:rPr>
      </w:pPr>
      <w:r w:rsidRPr="00A32AF4">
        <w:rPr>
          <w:rFonts w:eastAsia="Batang"/>
          <w:lang w:eastAsia="ko-KR"/>
        </w:rPr>
        <w:t>UNSAS</w:t>
      </w:r>
      <w:r w:rsidRPr="00A32AF4">
        <w:rPr>
          <w:rFonts w:eastAsia="Batang"/>
          <w:lang w:eastAsia="ko-KR"/>
        </w:rPr>
        <w:tab/>
        <w:t>Normes comptables du système des Nations Unies</w:t>
      </w:r>
    </w:p>
    <w:p w14:paraId="5B252ED3" w14:textId="77777777" w:rsidR="000E2BCD" w:rsidRPr="00A32AF4" w:rsidRDefault="000E2BCD" w:rsidP="000E2BCD">
      <w:pPr>
        <w:ind w:left="1418" w:hanging="1418"/>
        <w:rPr>
          <w:rFonts w:eastAsia="Batang"/>
          <w:lang w:eastAsia="ko-KR"/>
        </w:rPr>
      </w:pPr>
      <w:r w:rsidRPr="00A32AF4">
        <w:rPr>
          <w:rFonts w:eastAsia="Batang"/>
          <w:lang w:eastAsia="ko-KR"/>
        </w:rPr>
        <w:t xml:space="preserve">UPOV </w:t>
      </w:r>
      <w:r w:rsidRPr="00A32AF4">
        <w:rPr>
          <w:rFonts w:eastAsia="Batang"/>
          <w:lang w:eastAsia="ko-KR"/>
        </w:rPr>
        <w:tab/>
        <w:t>Union internationale pour la protection des obtentions végétales</w:t>
      </w:r>
    </w:p>
    <w:p w14:paraId="3C824C2A" w14:textId="77777777" w:rsidR="000E2BCD" w:rsidRDefault="000E2BCD" w:rsidP="000E2BCD">
      <w:pPr>
        <w:ind w:left="1418" w:hanging="1418"/>
        <w:rPr>
          <w:rFonts w:eastAsia="Batang"/>
          <w:lang w:eastAsia="ko-KR"/>
        </w:rPr>
      </w:pPr>
      <w:r w:rsidRPr="00A32AF4">
        <w:rPr>
          <w:rFonts w:eastAsia="Batang"/>
          <w:lang w:eastAsia="ko-KR"/>
        </w:rPr>
        <w:t>USPTO</w:t>
      </w:r>
      <w:r w:rsidRPr="00A32AF4">
        <w:rPr>
          <w:rFonts w:eastAsia="Batang"/>
          <w:lang w:eastAsia="ko-KR"/>
        </w:rPr>
        <w:tab/>
        <w:t>Office des brevets et des marques des États</w:t>
      </w:r>
      <w:r w:rsidRPr="00A32AF4">
        <w:rPr>
          <w:rFonts w:eastAsia="Batang"/>
          <w:lang w:eastAsia="ko-KR"/>
        </w:rPr>
        <w:noBreakHyphen/>
        <w:t>Unis d’Amérique</w:t>
      </w:r>
    </w:p>
    <w:p w14:paraId="6DB0B63B" w14:textId="77777777" w:rsidR="000E2BCD" w:rsidRDefault="000E2BCD" w:rsidP="000E2BCD">
      <w:pPr>
        <w:ind w:left="1418" w:hanging="1418"/>
        <w:rPr>
          <w:rFonts w:eastAsia="Batang"/>
          <w:lang w:eastAsia="ko-KR"/>
        </w:rPr>
      </w:pPr>
    </w:p>
    <w:p w14:paraId="2F4BE082" w14:textId="77777777" w:rsidR="000E2BCD" w:rsidRPr="00A32AF4" w:rsidRDefault="000E2BCD" w:rsidP="000E2BCD">
      <w:pPr>
        <w:ind w:left="1418" w:hanging="1418"/>
        <w:rPr>
          <w:rFonts w:eastAsia="Batang"/>
          <w:lang w:eastAsia="ko-KR"/>
        </w:rPr>
      </w:pPr>
      <w:r w:rsidRPr="00066B40">
        <w:rPr>
          <w:rFonts w:eastAsia="Batang"/>
          <w:b/>
          <w:lang w:eastAsia="ko-KR"/>
        </w:rPr>
        <w:t>W</w:t>
      </w:r>
      <w:r w:rsidRPr="00A32AF4">
        <w:rPr>
          <w:rFonts w:eastAsia="Batang"/>
          <w:lang w:eastAsia="ko-KR"/>
        </w:rPr>
        <w:t>CC</w:t>
      </w:r>
      <w:r w:rsidRPr="00A32AF4">
        <w:rPr>
          <w:rFonts w:eastAsia="Batang"/>
          <w:lang w:eastAsia="ko-KR"/>
        </w:rPr>
        <w:tab/>
        <w:t>Réseau du droit d’auteur de l’OMPI</w:t>
      </w:r>
    </w:p>
    <w:p w14:paraId="0CF0A46F" w14:textId="77777777" w:rsidR="000E2BCD" w:rsidRPr="00A32AF4" w:rsidRDefault="000E2BCD" w:rsidP="000E2BCD">
      <w:pPr>
        <w:ind w:left="1418" w:hanging="1418"/>
        <w:rPr>
          <w:rFonts w:eastAsia="Batang"/>
          <w:lang w:eastAsia="ko-KR"/>
        </w:rPr>
      </w:pPr>
      <w:r w:rsidRPr="00A32AF4">
        <w:rPr>
          <w:rFonts w:eastAsia="Batang"/>
          <w:lang w:eastAsia="ko-KR"/>
        </w:rPr>
        <w:t xml:space="preserve">WCT </w:t>
      </w:r>
      <w:r w:rsidRPr="00A32AF4">
        <w:rPr>
          <w:rFonts w:eastAsia="Batang"/>
          <w:lang w:eastAsia="ko-KR"/>
        </w:rPr>
        <w:tab/>
        <w:t>Traité de l’OMPI sur le droit d’auteur</w:t>
      </w:r>
    </w:p>
    <w:p w14:paraId="06E0FB90" w14:textId="77777777" w:rsidR="000E2BCD" w:rsidRPr="00A32AF4" w:rsidRDefault="000E2BCD" w:rsidP="000E2BCD">
      <w:pPr>
        <w:ind w:left="1418" w:hanging="1418"/>
        <w:rPr>
          <w:rFonts w:eastAsia="Batang"/>
          <w:lang w:eastAsia="ko-KR"/>
        </w:rPr>
      </w:pPr>
      <w:r w:rsidRPr="00A32AF4">
        <w:rPr>
          <w:rFonts w:eastAsia="Batang"/>
          <w:lang w:eastAsia="ko-KR"/>
        </w:rPr>
        <w:t>WIPO CASE</w:t>
      </w:r>
      <w:r w:rsidRPr="00A32AF4">
        <w:rPr>
          <w:rFonts w:eastAsia="Batang"/>
          <w:b/>
          <w:lang w:eastAsia="ko-KR"/>
        </w:rPr>
        <w:tab/>
      </w:r>
      <w:r w:rsidRPr="00A32AF4">
        <w:rPr>
          <w:rFonts w:eastAsia="Batang"/>
          <w:lang w:eastAsia="ko-KR"/>
        </w:rPr>
        <w:t>Accès centralisé aux résultats de la recherche et de l’examen</w:t>
      </w:r>
      <w:r>
        <w:rPr>
          <w:rFonts w:eastAsia="Batang"/>
          <w:lang w:eastAsia="ko-KR"/>
        </w:rPr>
        <w:t xml:space="preserve"> de l’OMPI</w:t>
      </w:r>
    </w:p>
    <w:p w14:paraId="001F7080" w14:textId="77777777" w:rsidR="000E2BCD" w:rsidRPr="00066B40" w:rsidRDefault="000E2BCD" w:rsidP="000E2BCD">
      <w:pPr>
        <w:ind w:left="1418" w:hanging="1418"/>
        <w:rPr>
          <w:rFonts w:eastAsia="Batang" w:cs="Times New Roman"/>
          <w:lang w:eastAsia="ko-KR"/>
        </w:rPr>
      </w:pPr>
      <w:r w:rsidRPr="00066B40">
        <w:rPr>
          <w:rFonts w:eastAsia="Batang" w:cs="Times New Roman"/>
          <w:lang w:eastAsia="ko-KR"/>
        </w:rPr>
        <w:t>WIPOCOS</w:t>
      </w:r>
      <w:r w:rsidRPr="00066B40">
        <w:rPr>
          <w:rFonts w:eastAsia="Batang" w:cs="Times New Roman"/>
          <w:lang w:eastAsia="ko-KR"/>
        </w:rPr>
        <w:tab/>
      </w:r>
      <w:r>
        <w:rPr>
          <w:rFonts w:eastAsia="Batang"/>
          <w:lang w:eastAsia="ko-KR"/>
        </w:rPr>
        <w:t>Logiciel OMPI de gestion collective du droit d’auteur et des droits connexes</w:t>
      </w:r>
    </w:p>
    <w:p w14:paraId="512B7FEB" w14:textId="77777777" w:rsidR="000E2BCD" w:rsidRPr="00A32AF4" w:rsidRDefault="000E2BCD" w:rsidP="000E2BCD">
      <w:pPr>
        <w:ind w:left="1418" w:hanging="1418"/>
        <w:rPr>
          <w:rFonts w:eastAsia="Batang"/>
          <w:lang w:eastAsia="ko-KR"/>
        </w:rPr>
      </w:pPr>
      <w:r w:rsidRPr="00A32AF4">
        <w:rPr>
          <w:rFonts w:eastAsia="Batang"/>
          <w:lang w:eastAsia="ko-KR"/>
        </w:rPr>
        <w:t xml:space="preserve">WPPT </w:t>
      </w:r>
      <w:r w:rsidRPr="00A32AF4">
        <w:rPr>
          <w:rFonts w:eastAsia="Batang"/>
          <w:lang w:eastAsia="ko-KR"/>
        </w:rPr>
        <w:tab/>
        <w:t>Traité de l’OMPI sur les interprétations et exécutions et les phonogrammes</w:t>
      </w:r>
    </w:p>
    <w:p w14:paraId="0CD734AA" w14:textId="77777777" w:rsidR="000E2BCD" w:rsidRDefault="000E2BCD" w:rsidP="000E2BCD"/>
    <w:p w14:paraId="370C1AE6" w14:textId="77777777" w:rsidR="000E2BCD" w:rsidRDefault="000E2BCD" w:rsidP="000E2BCD"/>
    <w:p w14:paraId="6670CBC9" w14:textId="77777777" w:rsidR="000E2BCD" w:rsidRPr="00A32AF4" w:rsidRDefault="000E2BCD" w:rsidP="000E2BCD"/>
    <w:p w14:paraId="1046BCE2" w14:textId="77777777" w:rsidR="000E2BCD" w:rsidRPr="000E2BCD" w:rsidRDefault="000E2BCD" w:rsidP="000E2BCD">
      <w:pPr>
        <w:pStyle w:val="Endofdocument"/>
        <w:rPr>
          <w:rFonts w:ascii="Arial" w:hAnsi="Arial" w:cs="Arial"/>
          <w:sz w:val="22"/>
        </w:rPr>
      </w:pPr>
      <w:r w:rsidRPr="000E2BCD">
        <w:rPr>
          <w:rFonts w:ascii="Arial" w:hAnsi="Arial" w:cs="Arial"/>
          <w:sz w:val="22"/>
        </w:rPr>
        <w:t>[Fin du document]</w:t>
      </w:r>
    </w:p>
    <w:sectPr w:rsidR="000E2BCD" w:rsidRPr="000E2BCD" w:rsidSect="0060494B">
      <w:pgSz w:w="11907" w:h="16839" w:code="9"/>
      <w:pgMar w:top="567" w:right="1418" w:bottom="1418" w:left="1418" w:header="510" w:footer="10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E267A" w14:textId="77777777" w:rsidR="001C6DF3" w:rsidRDefault="001C6DF3" w:rsidP="00060B44">
      <w:r>
        <w:separator/>
      </w:r>
    </w:p>
  </w:endnote>
  <w:endnote w:type="continuationSeparator" w:id="0">
    <w:p w14:paraId="5F1DFB1C" w14:textId="77777777" w:rsidR="001C6DF3" w:rsidRDefault="001C6DF3" w:rsidP="00060B44">
      <w:r>
        <w:continuationSeparator/>
      </w:r>
    </w:p>
  </w:endnote>
  <w:endnote w:type="continuationNotice" w:id="1">
    <w:p w14:paraId="48E42C5A" w14:textId="77777777" w:rsidR="001C6DF3" w:rsidRDefault="001C6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Angsana New">
    <w:panose1 w:val="02020603050405020304"/>
    <w:charset w:val="DE"/>
    <w:family w:val="roman"/>
    <w:notTrueType/>
    <w:pitch w:val="variable"/>
    <w:sig w:usb0="01000001" w:usb1="00000000" w:usb2="00000000" w:usb3="00000000" w:csb0="0001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45942" w14:textId="3C1FDCDB" w:rsidR="001C6DF3" w:rsidRPr="00591A2F" w:rsidRDefault="001C6DF3" w:rsidP="007914A0">
    <w:pPr>
      <w:pStyle w:val="Footer"/>
      <w:tabs>
        <w:tab w:val="clear" w:pos="4680"/>
        <w:tab w:val="clear" w:pos="9360"/>
        <w:tab w:val="right" w:pos="8504"/>
      </w:tabs>
      <w:rPr>
        <w:sz w:val="16"/>
        <w:lang w:val="en-US"/>
      </w:rPr>
    </w:pPr>
    <w:r>
      <w:rPr>
        <w:sz w:val="16"/>
      </w:rPr>
      <w:fldChar w:fldCharType="begin"/>
    </w:r>
    <w:r w:rsidRPr="00591A2F">
      <w:rPr>
        <w:sz w:val="16"/>
        <w:lang w:val="en-US"/>
      </w:rPr>
      <w:instrText xml:space="preserve"> FILENAME \* Lower\p  \* MERGEFORMAT </w:instrText>
    </w:r>
    <w:r>
      <w:rPr>
        <w:sz w:val="16"/>
      </w:rPr>
      <w:fldChar w:fldCharType="separate"/>
    </w:r>
    <w:r>
      <w:rPr>
        <w:noProof/>
        <w:sz w:val="16"/>
        <w:lang w:val="en-US"/>
      </w:rPr>
      <w:t>n:\orgoiop\2007\wo pbc 26 (july 2017)\03 documents\pbc 26_3 budget\wo_pbc_26_3_41831_fr.docx</w:t>
    </w:r>
    <w:r>
      <w:rPr>
        <w:sz w:val="16"/>
      </w:rPr>
      <w:fldChar w:fldCharType="end"/>
    </w:r>
    <w:r w:rsidRPr="00591A2F">
      <w:rPr>
        <w:sz w:val="16"/>
        <w:lang w:val="en-US"/>
      </w:rPr>
      <w:t xml:space="preserve"> </w:t>
    </w:r>
    <w:r w:rsidRPr="00591A2F">
      <w:rPr>
        <w:sz w:val="16"/>
        <w:lang w:val="en-US"/>
      </w:rPr>
      <w:tab/>
      <w:t>(DB/sc/</w:t>
    </w:r>
    <w:r>
      <w:rPr>
        <w:sz w:val="16"/>
      </w:rPr>
      <w:fldChar w:fldCharType="begin"/>
    </w:r>
    <w:r>
      <w:rPr>
        <w:sz w:val="16"/>
      </w:rPr>
      <w:instrText xml:space="preserve"> TIME \@ "d-MMM-yy" </w:instrText>
    </w:r>
    <w:r>
      <w:rPr>
        <w:sz w:val="16"/>
      </w:rPr>
      <w:fldChar w:fldCharType="separate"/>
    </w:r>
    <w:r w:rsidR="00AF4A8A">
      <w:rPr>
        <w:noProof/>
        <w:sz w:val="16"/>
      </w:rPr>
      <w:t>22-mai-17</w:t>
    </w:r>
    <w:r>
      <w:rPr>
        <w:sz w:val="16"/>
      </w:rPr>
      <w:fldChar w:fldCharType="end"/>
    </w:r>
    <w:r w:rsidRPr="00591A2F">
      <w:rPr>
        <w:sz w:val="16"/>
        <w:lang w:val="en-US"/>
      </w:rPr>
      <w:t>/</w:t>
    </w:r>
    <w:r>
      <w:rPr>
        <w:sz w:val="16"/>
      </w:rPr>
      <w:fldChar w:fldCharType="begin"/>
    </w:r>
    <w:r>
      <w:rPr>
        <w:sz w:val="16"/>
      </w:rPr>
      <w:instrText xml:space="preserve"> TIME \@ "h:mm" </w:instrText>
    </w:r>
    <w:r>
      <w:rPr>
        <w:sz w:val="16"/>
      </w:rPr>
      <w:fldChar w:fldCharType="separate"/>
    </w:r>
    <w:r w:rsidR="00AF4A8A">
      <w:rPr>
        <w:noProof/>
        <w:sz w:val="16"/>
      </w:rPr>
      <w:t>1:45</w:t>
    </w:r>
    <w:r>
      <w:rPr>
        <w:sz w:val="16"/>
      </w:rPr>
      <w:fldChar w:fldCharType="end"/>
    </w:r>
    <w:r w:rsidRPr="00591A2F">
      <w:rPr>
        <w:sz w:val="16"/>
        <w:lang w:val="en-US"/>
      </w:rPr>
      <w:t>)</w:t>
    </w:r>
  </w:p>
  <w:p w14:paraId="0040923C" w14:textId="0A121A2E" w:rsidR="001C6DF3" w:rsidRPr="007914A0" w:rsidRDefault="001C6DF3" w:rsidP="007914A0">
    <w:pPr>
      <w:pStyle w:val="Footer"/>
      <w:tabs>
        <w:tab w:val="clear" w:pos="4680"/>
        <w:tab w:val="clear" w:pos="9360"/>
        <w:tab w:val="right" w:pos="8504"/>
      </w:tabs>
      <w:jc w:val="center"/>
      <w:rPr>
        <w:rFonts w:ascii="Times New Roman" w:hAnsi="Times New Roman" w:cs="Times New Roman"/>
        <w:b/>
        <w:sz w:val="24"/>
        <w:lang w:val="en-US"/>
      </w:rPr>
    </w:pPr>
    <w:r>
      <w:rPr>
        <w:rFonts w:ascii="Wingdings" w:hAnsi="Wingdings"/>
        <w:b/>
        <w:sz w:val="24"/>
      </w:rPr>
      <w:t></w:t>
    </w:r>
    <w:r>
      <w:rPr>
        <w:rFonts w:ascii="Times New Roman" w:hAnsi="Times New Roman" w:cs="Times New Roman"/>
        <w:b/>
        <w:sz w:val="24"/>
      </w:rPr>
      <w:t xml:space="preserve"> </w:t>
    </w:r>
    <w:r>
      <w:rPr>
        <w:rFonts w:ascii="Times New Roman" w:hAnsi="Times New Roman" w:cs="Times New Roman"/>
        <w:b/>
        <w:sz w:val="24"/>
        <w:lang w:val="en-US"/>
      </w:rPr>
      <w:t>TO BE RENAMED BEFORE PRINTING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2108624070"/>
      <w:docPartObj>
        <w:docPartGallery w:val="Page Numbers (Bottom of Page)"/>
        <w:docPartUnique/>
      </w:docPartObj>
    </w:sdtPr>
    <w:sdtEndPr>
      <w:rPr>
        <w:noProof/>
        <w:szCs w:val="20"/>
      </w:rPr>
    </w:sdtEndPr>
    <w:sdtContent>
      <w:p w14:paraId="22744890" w14:textId="77777777" w:rsidR="001C6DF3" w:rsidRPr="008778B5" w:rsidRDefault="001C6DF3" w:rsidP="00634B11">
        <w:pPr>
          <w:pStyle w:val="Footer"/>
          <w:jc w:val="center"/>
          <w:rPr>
            <w:rFonts w:cs="Arial"/>
            <w:szCs w:val="20"/>
          </w:rPr>
        </w:pPr>
        <w:r w:rsidRPr="008778B5">
          <w:rPr>
            <w:rFonts w:cs="Arial"/>
            <w:szCs w:val="20"/>
          </w:rPr>
          <w:fldChar w:fldCharType="begin"/>
        </w:r>
        <w:r w:rsidRPr="008778B5">
          <w:rPr>
            <w:rFonts w:cs="Arial"/>
            <w:szCs w:val="20"/>
          </w:rPr>
          <w:instrText xml:space="preserve"> PAGE   \* MERGEFORMAT </w:instrText>
        </w:r>
        <w:r w:rsidRPr="008778B5">
          <w:rPr>
            <w:rFonts w:cs="Arial"/>
            <w:szCs w:val="20"/>
          </w:rPr>
          <w:fldChar w:fldCharType="separate"/>
        </w:r>
        <w:r w:rsidR="00AF4A8A" w:rsidRPr="00AF4A8A">
          <w:rPr>
            <w:rFonts w:cs="Arial"/>
            <w:noProof/>
            <w:sz w:val="22"/>
            <w:szCs w:val="20"/>
          </w:rPr>
          <w:t>4</w:t>
        </w:r>
        <w:r w:rsidRPr="008778B5">
          <w:rPr>
            <w:rFonts w:cs="Arial"/>
            <w:noProof/>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1980953215"/>
      <w:docPartObj>
        <w:docPartGallery w:val="Page Numbers (Bottom of Page)"/>
        <w:docPartUnique/>
      </w:docPartObj>
    </w:sdtPr>
    <w:sdtEndPr>
      <w:rPr>
        <w:noProof/>
        <w:szCs w:val="20"/>
      </w:rPr>
    </w:sdtEndPr>
    <w:sdtContent>
      <w:p w14:paraId="2AF9D5BA" w14:textId="77777777" w:rsidR="001C6DF3" w:rsidRPr="008778B5" w:rsidRDefault="001C6DF3">
        <w:pPr>
          <w:pStyle w:val="Footer"/>
          <w:jc w:val="center"/>
          <w:rPr>
            <w:rFonts w:cs="Arial"/>
            <w:szCs w:val="20"/>
          </w:rPr>
        </w:pPr>
        <w:r w:rsidRPr="008778B5">
          <w:rPr>
            <w:rFonts w:cs="Arial"/>
            <w:szCs w:val="20"/>
          </w:rPr>
          <w:fldChar w:fldCharType="begin"/>
        </w:r>
        <w:r w:rsidRPr="008778B5">
          <w:rPr>
            <w:rFonts w:cs="Arial"/>
            <w:szCs w:val="20"/>
          </w:rPr>
          <w:instrText xml:space="preserve"> PAGE   \* MERGEFORMAT </w:instrText>
        </w:r>
        <w:r w:rsidRPr="008778B5">
          <w:rPr>
            <w:rFonts w:cs="Arial"/>
            <w:szCs w:val="20"/>
          </w:rPr>
          <w:fldChar w:fldCharType="separate"/>
        </w:r>
        <w:r w:rsidR="00AF4A8A" w:rsidRPr="00AF4A8A">
          <w:rPr>
            <w:rFonts w:cs="Arial"/>
            <w:noProof/>
            <w:sz w:val="22"/>
            <w:szCs w:val="20"/>
          </w:rPr>
          <w:t>249</w:t>
        </w:r>
        <w:r w:rsidRPr="008778B5">
          <w:rPr>
            <w:rFonts w:cs="Arial"/>
            <w:noProof/>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4A28D" w14:textId="77777777" w:rsidR="001C6DF3" w:rsidRDefault="001C6DF3" w:rsidP="00060B44">
      <w:r>
        <w:separator/>
      </w:r>
    </w:p>
  </w:footnote>
  <w:footnote w:type="continuationSeparator" w:id="0">
    <w:p w14:paraId="30C4561A" w14:textId="77777777" w:rsidR="001C6DF3" w:rsidRDefault="001C6DF3" w:rsidP="00060B44">
      <w:r>
        <w:continuationSeparator/>
      </w:r>
    </w:p>
  </w:footnote>
  <w:footnote w:type="continuationNotice" w:id="1">
    <w:p w14:paraId="0B74FC92" w14:textId="77777777" w:rsidR="001C6DF3" w:rsidRDefault="001C6DF3"/>
  </w:footnote>
  <w:footnote w:id="2">
    <w:p w14:paraId="41EE3172" w14:textId="2A324A40"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Document A/56/10, ainsi que les observations reçues des États membres à cet égard.</w:t>
      </w:r>
    </w:p>
  </w:footnote>
  <w:footnote w:id="3">
    <w:p w14:paraId="2EE2E916"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Voir l’appendice A sur les contributions des États membres.</w:t>
      </w:r>
    </w:p>
  </w:footnote>
  <w:footnote w:id="4">
    <w:p w14:paraId="5214BCF8"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Document WO/PBC/26/9.</w:t>
      </w:r>
    </w:p>
  </w:footnote>
  <w:footnote w:id="5">
    <w:p w14:paraId="00A256FB"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Document WO/PBC/23/8.</w:t>
      </w:r>
    </w:p>
  </w:footnote>
  <w:footnote w:id="6">
    <w:p w14:paraId="6EEF8956"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Les résultats escomptés III.3 (Intégration du Plan d’action pour le développement) et III.5 (Meilleure connaissance du Plan d’action pour le développement) ont été fusionnés et les activités ont été regroupées au niveau du résultat escompté III.3.</w:t>
      </w:r>
    </w:p>
  </w:footnote>
  <w:footnote w:id="7">
    <w:p w14:paraId="7674A43F"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À la date du 8 mars 2017.</w:t>
      </w:r>
    </w:p>
  </w:footnote>
  <w:footnote w:id="8">
    <w:p w14:paraId="413BA76B" w14:textId="26E6D6E6"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t>Dans la pratique, l’innovation contribue directement à la réalisation des objectifs de développement durable 2, 3, 6, 7, 8, 11 et 13.  L’innovation dans le cadre de l’élaboration de politiques peut contribuer à la réalisation des objectifs de développement durable 1, 8, 14 et 15.  Les objectifs de développement durable auxquels l’OMPI contribue sont illustrés à l’annexe IX.</w:t>
      </w:r>
    </w:p>
  </w:footnote>
  <w:footnote w:id="9">
    <w:p w14:paraId="1228141D" w14:textId="10A9995C"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r>
      <w:r w:rsidRPr="003268A0">
        <w:rPr>
          <w:rFonts w:ascii="Arial" w:hAnsi="Arial" w:cs="Arial"/>
          <w:b/>
          <w:sz w:val="16"/>
          <w:szCs w:val="16"/>
          <w:lang w:val="fr-CH"/>
        </w:rPr>
        <w:t>Postes</w:t>
      </w:r>
      <w:r w:rsidRPr="003268A0">
        <w:rPr>
          <w:rFonts w:ascii="Arial" w:hAnsi="Arial" w:cs="Arial"/>
          <w:sz w:val="16"/>
          <w:szCs w:val="16"/>
          <w:lang w:val="fr-CH"/>
        </w:rPr>
        <w:t xml:space="preserve"> – cette catégorie comprend les fonctionnaires titulaires d’un engagement de durée déterminée, continu ou permanent sur des postes approuvés de la catégorie des administrateurs et de la catégorie des services généraux.</w:t>
      </w:r>
    </w:p>
  </w:footnote>
  <w:footnote w:id="10">
    <w:p w14:paraId="26985CFA" w14:textId="53D4B69C"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r>
      <w:r w:rsidRPr="003268A0">
        <w:rPr>
          <w:rFonts w:ascii="Arial" w:hAnsi="Arial" w:cs="Arial"/>
          <w:b/>
          <w:sz w:val="16"/>
          <w:szCs w:val="16"/>
          <w:lang w:val="fr-CH"/>
        </w:rPr>
        <w:t>Fonctionnaires temporaires</w:t>
      </w:r>
      <w:r w:rsidRPr="003268A0">
        <w:rPr>
          <w:rFonts w:ascii="Arial" w:hAnsi="Arial" w:cs="Arial"/>
          <w:sz w:val="16"/>
          <w:szCs w:val="16"/>
          <w:lang w:val="fr-CH"/>
        </w:rPr>
        <w:t xml:space="preserve"> – cette catégorie comprend les fonctionnaires titulaires d’un engagement temporaire.</w:t>
      </w:r>
    </w:p>
  </w:footnote>
  <w:footnote w:id="11">
    <w:p w14:paraId="52DE3F75"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L’Assemblée générale a approuvé (</w:t>
      </w:r>
      <w:hyperlink r:id="rId1" w:tgtFrame="_new" w:history="1">
        <w:r w:rsidRPr="003268A0">
          <w:rPr>
            <w:rStyle w:val="Hyperlink"/>
            <w:rFonts w:ascii="Arial" w:hAnsi="Arial" w:cs="Arial"/>
            <w:color w:val="auto"/>
            <w:sz w:val="16"/>
            <w:szCs w:val="16"/>
          </w:rPr>
          <w:t>A/RES/70/244</w:t>
        </w:r>
      </w:hyperlink>
      <w:r w:rsidRPr="003268A0">
        <w:rPr>
          <w:rStyle w:val="Hyperlink"/>
          <w:rFonts w:ascii="Arial" w:hAnsi="Arial" w:cs="Arial"/>
          <w:color w:val="auto"/>
          <w:sz w:val="16"/>
          <w:szCs w:val="16"/>
        </w:rPr>
        <w:t xml:space="preserve">) </w:t>
      </w:r>
      <w:r w:rsidRPr="003268A0">
        <w:rPr>
          <w:rFonts w:ascii="Arial" w:hAnsi="Arial" w:cs="Arial"/>
          <w:sz w:val="16"/>
          <w:szCs w:val="16"/>
        </w:rPr>
        <w:t>un régime révisé de traitements et de prestations pour les administrateurs et les fonctionnaires de rang supérieur le 23 décembre 2015, sur la base des recommandations de la CFPI.</w:t>
      </w:r>
    </w:p>
  </w:footnote>
  <w:footnote w:id="12">
    <w:p w14:paraId="5D502550" w14:textId="00902544"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La définition révisée relative aux dépenses de développement est exposée en détail dans l’annexe B du document WO/GA/43/21.</w:t>
      </w:r>
    </w:p>
  </w:footnote>
  <w:footnote w:id="13">
    <w:p w14:paraId="57AEFECE" w14:textId="77777777" w:rsidR="001C6DF3" w:rsidRPr="003268A0" w:rsidRDefault="001C6DF3" w:rsidP="003268A0">
      <w:pPr>
        <w:rPr>
          <w:rFonts w:cs="Arial"/>
          <w:sz w:val="16"/>
          <w:szCs w:val="16"/>
        </w:rPr>
      </w:pPr>
      <w:r w:rsidRPr="003268A0">
        <w:rPr>
          <w:rStyle w:val="FootnoteReference"/>
          <w:rFonts w:cs="Arial"/>
          <w:sz w:val="16"/>
          <w:szCs w:val="16"/>
        </w:rPr>
        <w:footnoteRef/>
      </w:r>
      <w:r w:rsidRPr="003268A0">
        <w:rPr>
          <w:rFonts w:cs="Arial"/>
          <w:sz w:val="16"/>
          <w:szCs w:val="16"/>
        </w:rPr>
        <w:t xml:space="preserve"> </w:t>
      </w:r>
      <w:r w:rsidRPr="003268A0">
        <w:rPr>
          <w:rFonts w:cs="Arial"/>
          <w:sz w:val="16"/>
          <w:szCs w:val="16"/>
        </w:rPr>
        <w:tab/>
        <w:t>Un exemplaire original est une demande selon le PCT transmise au Bureau international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14">
    <w:p w14:paraId="6F71F9F4" w14:textId="77777777" w:rsidR="001C6DF3" w:rsidRPr="003268A0" w:rsidRDefault="001C6DF3" w:rsidP="003268A0">
      <w:pPr>
        <w:rPr>
          <w:rFonts w:cs="Arial"/>
          <w:sz w:val="16"/>
          <w:szCs w:val="16"/>
        </w:rPr>
      </w:pPr>
      <w:r w:rsidRPr="003268A0">
        <w:rPr>
          <w:rStyle w:val="FootnoteReference"/>
          <w:rFonts w:cs="Arial"/>
          <w:sz w:val="16"/>
          <w:szCs w:val="16"/>
        </w:rPr>
        <w:footnoteRef/>
      </w:r>
      <w:r w:rsidRPr="003268A0">
        <w:rPr>
          <w:rFonts w:cs="Arial"/>
          <w:sz w:val="16"/>
          <w:szCs w:val="16"/>
        </w:rPr>
        <w:t xml:space="preserve"> </w:t>
      </w:r>
      <w:r w:rsidRPr="003268A0">
        <w:rPr>
          <w:rFonts w:cs="Arial"/>
          <w:sz w:val="16"/>
          <w:szCs w:val="16"/>
        </w:rPr>
        <w:tab/>
        <w:t>D’après une étude indépendante des indicateurs d’exécution des systèmes informatiques du PCT, la définition est légèrement différente de celle qui figure dans le programme et budget pour l’exercice biennal 2014-2015.</w:t>
      </w:r>
    </w:p>
  </w:footnote>
  <w:footnote w:id="15">
    <w:p w14:paraId="035DFC89" w14:textId="77777777" w:rsidR="001C6DF3" w:rsidRPr="003268A0" w:rsidRDefault="001C6DF3" w:rsidP="003268A0">
      <w:pPr>
        <w:pStyle w:val="FootnoteText"/>
        <w:tabs>
          <w:tab w:val="left" w:pos="567"/>
        </w:tabs>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Sous réserve de l’approbation de l’Assemblée de l’Union de Madrid.</w:t>
      </w:r>
    </w:p>
  </w:footnote>
  <w:footnote w:id="16">
    <w:p w14:paraId="13F630F2"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Les données sont fournies sur la base de la date de dépôt auprès de l’office d’origine plutôt que la date de réception par le Bureau international, comme dans les précédents rapports sur l’exécution du programme.</w:t>
      </w:r>
    </w:p>
  </w:footnote>
  <w:footnote w:id="17">
    <w:p w14:paraId="66C07A58"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 nombre moyen de classes par enregistrement en 2015 s’élevait à 6,8, contre 7,7 dans le rapport sur l’exécution du programme en 2014-2015.</w:t>
      </w:r>
    </w:p>
  </w:footnote>
  <w:footnote w:id="18">
    <w:p w14:paraId="01227849"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Voir “Charge de travail globale traitée” ci-dessus.</w:t>
      </w:r>
    </w:p>
  </w:footnote>
  <w:footnote w:id="19">
    <w:p w14:paraId="226D34BB"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Voir “Charge de travail globale traitée” ci-dessus.</w:t>
      </w:r>
    </w:p>
  </w:footnote>
  <w:footnote w:id="20">
    <w:p w14:paraId="528CA3DB"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 xml:space="preserve">Le cadre de gestion de la qualité du Service d’enregistrement de Madrid peut être obtenu en écrivant à l’adresse </w:t>
      </w:r>
      <w:hyperlink r:id="rId2" w:history="1">
        <w:r w:rsidRPr="003268A0">
          <w:rPr>
            <w:rStyle w:val="Hyperlink"/>
            <w:rFonts w:ascii="Arial" w:hAnsi="Arial" w:cs="Arial"/>
            <w:color w:val="auto"/>
            <w:sz w:val="16"/>
            <w:szCs w:val="16"/>
          </w:rPr>
          <w:t>madrid.qp@wipo.int</w:t>
        </w:r>
      </w:hyperlink>
      <w:r w:rsidRPr="003268A0">
        <w:rPr>
          <w:rFonts w:ascii="Arial" w:hAnsi="Arial" w:cs="Arial"/>
          <w:sz w:val="16"/>
          <w:szCs w:val="16"/>
        </w:rPr>
        <w:t>.</w:t>
      </w:r>
    </w:p>
  </w:footnote>
  <w:footnote w:id="21">
    <w:p w14:paraId="7876D731"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Opérations comportant une ou plusieurs erreurs.</w:t>
      </w:r>
    </w:p>
  </w:footnote>
  <w:footnote w:id="22">
    <w:p w14:paraId="3CFEDA8A" w14:textId="14BF56EF"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ab/>
        <w:t>Le nombre total d’irrégularités en 2015 s’élevait à 2062, contre 2118 dans le rapport sur l’exécution du programme en 2014-2015.</w:t>
      </w:r>
    </w:p>
  </w:footnote>
  <w:footnote w:id="23">
    <w:p w14:paraId="1E5BFAD3" w14:textId="7942DA58" w:rsidR="001C6DF3" w:rsidRPr="003268A0" w:rsidRDefault="001C6DF3" w:rsidP="003268A0">
      <w:pPr>
        <w:jc w:val="both"/>
        <w:rPr>
          <w:rFonts w:cs="Arial"/>
          <w:sz w:val="16"/>
          <w:szCs w:val="16"/>
        </w:rPr>
      </w:pPr>
      <w:r w:rsidRPr="003268A0">
        <w:rPr>
          <w:rStyle w:val="FootnoteReference"/>
          <w:rFonts w:cs="Arial"/>
          <w:sz w:val="16"/>
          <w:szCs w:val="16"/>
        </w:rPr>
        <w:footnoteRef/>
      </w:r>
      <w:r w:rsidRPr="003268A0">
        <w:rPr>
          <w:rFonts w:cs="Arial"/>
          <w:sz w:val="16"/>
          <w:szCs w:val="16"/>
        </w:rPr>
        <w:t xml:space="preserve"> </w:t>
      </w:r>
      <w:r w:rsidRPr="003268A0">
        <w:rPr>
          <w:rFonts w:cs="Arial"/>
          <w:sz w:val="16"/>
          <w:szCs w:val="16"/>
        </w:rPr>
        <w:tab/>
        <w:t>En raison d’incohérences relevées dans le calcul de la part des demandes contenant des irrégularités ou des observations, les données indiquées précédemment dans le rapport sur l’exécution du programme de l’Organisation ont été corrigées pour toute la période 2012-2016.</w:t>
      </w:r>
    </w:p>
  </w:footnote>
  <w:footnote w:id="24">
    <w:p w14:paraId="49B23C8E" w14:textId="77777777" w:rsidR="001C6DF3" w:rsidRPr="003268A0" w:rsidRDefault="001C6DF3" w:rsidP="003268A0">
      <w:pPr>
        <w:pStyle w:val="FootnoteText"/>
        <w:tabs>
          <w:tab w:val="left" w:pos="567"/>
        </w:tabs>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Ces révisions étaient expliquées en détail dans le rapport sur l’exécution du programme en 2014 et consistaient notamment à aligner la méthodologie de calcul des coûts directs et indirects pour La Haye sur les méthodologies utilisées pour calculer les coûts unitaires du PCT et de Madrid.</w:t>
      </w:r>
    </w:p>
  </w:footnote>
  <w:footnote w:id="25">
    <w:p w14:paraId="55C9ED80" w14:textId="77777777" w:rsidR="001C6DF3" w:rsidRPr="003268A0" w:rsidRDefault="001C6DF3" w:rsidP="003268A0">
      <w:pPr>
        <w:pStyle w:val="FootnoteText"/>
        <w:tabs>
          <w:tab w:val="left" w:pos="567"/>
        </w:tabs>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Voir les taux concernant les demandes et les renouvellements dans la partie intitulée “Charge de travail totale”.</w:t>
      </w:r>
    </w:p>
  </w:footnote>
  <w:footnote w:id="26">
    <w:p w14:paraId="5A59FF4F"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Dans les régions visées par le programme 9.</w:t>
      </w:r>
    </w:p>
  </w:footnote>
  <w:footnote w:id="27">
    <w:p w14:paraId="49A46333"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Dans les régions visées par le programme 9.</w:t>
      </w:r>
    </w:p>
  </w:footnote>
  <w:footnote w:id="28">
    <w:p w14:paraId="427E6BC7"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Dans les régions visées par le programme 9.</w:t>
      </w:r>
    </w:p>
  </w:footnote>
  <w:footnote w:id="29">
    <w:p w14:paraId="06F97961"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Les pays en transition sont pris en considération dans le nombre total du niveau de référence.</w:t>
      </w:r>
    </w:p>
  </w:footnote>
  <w:footnote w:id="30">
    <w:p w14:paraId="2BB227AD"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Dans les régions visées par le programme 9.</w:t>
      </w:r>
    </w:p>
  </w:footnote>
  <w:footnote w:id="31">
    <w:p w14:paraId="6CA8DC7B"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Les CATI durables sont des institutions financièrement et techniquement autonomes auxquelles l’OMPI fournit des conseils sur demande.</w:t>
      </w:r>
    </w:p>
    <w:p w14:paraId="251F4336" w14:textId="77777777" w:rsidR="001C6DF3" w:rsidRPr="003268A0" w:rsidRDefault="001C6DF3" w:rsidP="003268A0">
      <w:pPr>
        <w:pStyle w:val="FootnoteText"/>
        <w:rPr>
          <w:rFonts w:ascii="Arial" w:hAnsi="Arial" w:cs="Arial"/>
          <w:sz w:val="16"/>
          <w:szCs w:val="16"/>
        </w:rPr>
      </w:pPr>
      <w:r w:rsidRPr="003268A0">
        <w:rPr>
          <w:rFonts w:ascii="Arial" w:hAnsi="Arial" w:cs="Arial"/>
          <w:sz w:val="16"/>
          <w:szCs w:val="16"/>
        </w:rPr>
        <w:t>La durabilité est évaluée par les niveaux de développement suivants :</w:t>
      </w:r>
    </w:p>
    <w:p w14:paraId="3B623114" w14:textId="20840CCE" w:rsidR="001C6DF3" w:rsidRPr="003268A0" w:rsidRDefault="001C6DF3" w:rsidP="003268A0">
      <w:pPr>
        <w:pStyle w:val="FootnoteText"/>
        <w:numPr>
          <w:ilvl w:val="0"/>
          <w:numId w:val="23"/>
        </w:numPr>
        <w:ind w:left="567" w:hanging="283"/>
        <w:rPr>
          <w:rFonts w:ascii="Arial" w:hAnsi="Arial" w:cs="Arial"/>
          <w:sz w:val="16"/>
          <w:szCs w:val="16"/>
        </w:rPr>
      </w:pPr>
      <w:r w:rsidRPr="003268A0">
        <w:rPr>
          <w:rFonts w:ascii="Arial" w:hAnsi="Arial" w:cs="Arial"/>
          <w:b/>
          <w:sz w:val="16"/>
          <w:szCs w:val="16"/>
        </w:rPr>
        <w:t xml:space="preserve">Développement niveau 1 – </w:t>
      </w:r>
      <w:r w:rsidRPr="003268A0">
        <w:rPr>
          <w:rFonts w:ascii="Arial" w:hAnsi="Arial" w:cs="Arial"/>
          <w:sz w:val="16"/>
          <w:szCs w:val="16"/>
        </w:rPr>
        <w:t>a) Signature d’un accord de niveau de services entre l’OMPI et le coordonnateur national;  b) signature d’accords institutionnels entre le coordonnateur national et les institutions hôtes des CATI;  et c) remise d’au moins un rapport annuel sur les activités du CATI au niveau national;  le développement niveau 1 est pleinement atteint avec a + b + c.</w:t>
      </w:r>
    </w:p>
    <w:p w14:paraId="4101AA87" w14:textId="77777777" w:rsidR="001C6DF3" w:rsidRPr="003268A0" w:rsidRDefault="001C6DF3" w:rsidP="003268A0">
      <w:pPr>
        <w:pStyle w:val="FootnoteText"/>
        <w:numPr>
          <w:ilvl w:val="0"/>
          <w:numId w:val="23"/>
        </w:numPr>
        <w:ind w:left="567" w:hanging="283"/>
        <w:rPr>
          <w:rFonts w:ascii="Arial" w:hAnsi="Arial" w:cs="Arial"/>
          <w:sz w:val="16"/>
          <w:szCs w:val="16"/>
        </w:rPr>
      </w:pPr>
      <w:r w:rsidRPr="003268A0">
        <w:rPr>
          <w:rFonts w:ascii="Arial" w:hAnsi="Arial" w:cs="Arial"/>
          <w:b/>
          <w:sz w:val="16"/>
          <w:szCs w:val="16"/>
        </w:rPr>
        <w:t>Développement niveau 2</w:t>
      </w:r>
      <w:r w:rsidRPr="003268A0">
        <w:rPr>
          <w:rFonts w:ascii="Arial" w:hAnsi="Arial" w:cs="Arial"/>
          <w:sz w:val="16"/>
          <w:szCs w:val="16"/>
        </w:rPr>
        <w:t xml:space="preserve"> – Les conditions du niveau de développement 1 sont remplies et des recherches sur les informations essentielles en matière de brevets sont faites, par exemple des recherches sur l’état de la technique en matière de brevets;  et</w:t>
      </w:r>
    </w:p>
    <w:p w14:paraId="77F7C3D9" w14:textId="69D9A97C" w:rsidR="001C6DF3" w:rsidRPr="003268A0" w:rsidRDefault="001C6DF3" w:rsidP="003268A0">
      <w:pPr>
        <w:pStyle w:val="FootnoteText"/>
        <w:numPr>
          <w:ilvl w:val="0"/>
          <w:numId w:val="23"/>
        </w:numPr>
        <w:ind w:left="567" w:hanging="283"/>
        <w:rPr>
          <w:rFonts w:ascii="Arial" w:hAnsi="Arial" w:cs="Arial"/>
          <w:sz w:val="16"/>
          <w:szCs w:val="16"/>
        </w:rPr>
      </w:pPr>
      <w:r w:rsidRPr="003268A0">
        <w:rPr>
          <w:rFonts w:ascii="Arial" w:hAnsi="Arial" w:cs="Arial"/>
          <w:b/>
          <w:sz w:val="16"/>
          <w:szCs w:val="16"/>
        </w:rPr>
        <w:t xml:space="preserve">Développement niveau 3 – </w:t>
      </w:r>
      <w:r w:rsidRPr="003268A0">
        <w:rPr>
          <w:rFonts w:ascii="Arial" w:hAnsi="Arial" w:cs="Arial"/>
          <w:sz w:val="16"/>
          <w:szCs w:val="16"/>
        </w:rPr>
        <w:t>Les conditions du développement niveau 2 sont remplies et des services de propriété intellectuelle à valeur ajoutée sont fournis, par exemple la rédaction de rapports panoramiques sur les brevets.</w:t>
      </w:r>
    </w:p>
  </w:footnote>
  <w:footnote w:id="32">
    <w:p w14:paraId="77214E9E"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Assistance et conseils relatifs aux services d’analyse de brevets, à la gestion et à la commercialisation des actifs de propriété intellectuelle, au programme d’aide aux inventeurs, à l’utilisation et à l’identification des inventions qui se trouvent dans le domaine public, aux services de règlement des litiges et à la rédaction de demandes de brevet.</w:t>
      </w:r>
    </w:p>
  </w:footnote>
  <w:footnote w:id="33">
    <w:p w14:paraId="1504FC8D"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 nombre de téléchargements pour le quatrième trimestre de 2016 a été extrapolé à partir des données de janvier à septembre 2016.  En septembre 2016, l’outil de statistiques sur le Web a été amélioré afin d’optimiser sa stabilité, ce qui a empêché le suivi des données pour le dernier trimestre de 2016.</w:t>
      </w:r>
    </w:p>
  </w:footnote>
  <w:footnote w:id="34">
    <w:p w14:paraId="56CF7BD7" w14:textId="2B34AC83"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t>Sous réserve de l’approbation du CDIP en 2017.</w:t>
      </w:r>
    </w:p>
  </w:footnote>
  <w:footnote w:id="35">
    <w:p w14:paraId="70CED447" w14:textId="17CBAF19"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t>Des CATI pérennes sont des institutions autonomes financièrement et techniquement auxquelles l’OMPI fournit des conseils sur demande.</w:t>
      </w:r>
    </w:p>
    <w:p w14:paraId="49B28B39" w14:textId="77777777" w:rsidR="001C6DF3" w:rsidRPr="003268A0" w:rsidRDefault="001C6DF3" w:rsidP="003268A0">
      <w:pPr>
        <w:pStyle w:val="FootnoteText"/>
        <w:rPr>
          <w:rFonts w:ascii="Arial" w:hAnsi="Arial" w:cs="Arial"/>
          <w:sz w:val="16"/>
          <w:szCs w:val="16"/>
          <w:lang w:val="fr-CH"/>
        </w:rPr>
      </w:pPr>
      <w:r w:rsidRPr="003268A0">
        <w:rPr>
          <w:rFonts w:ascii="Arial" w:hAnsi="Arial" w:cs="Arial"/>
          <w:sz w:val="16"/>
          <w:szCs w:val="16"/>
          <w:lang w:val="fr-CH"/>
        </w:rPr>
        <w:t>La pérennité est mesurée au moyen de degrés de maturité :</w:t>
      </w:r>
    </w:p>
    <w:p w14:paraId="6193E50B" w14:textId="77777777" w:rsidR="001C6DF3" w:rsidRPr="003268A0" w:rsidRDefault="001C6DF3" w:rsidP="003268A0">
      <w:pPr>
        <w:pStyle w:val="FootnoteText"/>
        <w:numPr>
          <w:ilvl w:val="0"/>
          <w:numId w:val="18"/>
        </w:numPr>
        <w:rPr>
          <w:rFonts w:ascii="Arial" w:hAnsi="Arial" w:cs="Arial"/>
          <w:sz w:val="16"/>
          <w:szCs w:val="16"/>
          <w:lang w:val="fr-CH"/>
        </w:rPr>
      </w:pPr>
      <w:r w:rsidRPr="003268A0">
        <w:rPr>
          <w:rFonts w:ascii="Arial" w:hAnsi="Arial" w:cs="Arial"/>
          <w:b/>
          <w:sz w:val="16"/>
          <w:szCs w:val="16"/>
          <w:lang w:val="fr-CH"/>
        </w:rPr>
        <w:t xml:space="preserve">Degré de maturité 1 </w:t>
      </w:r>
      <w:r w:rsidRPr="003268A0">
        <w:rPr>
          <w:rFonts w:ascii="Arial" w:hAnsi="Arial" w:cs="Arial"/>
          <w:sz w:val="16"/>
          <w:szCs w:val="16"/>
          <w:lang w:val="fr-CH"/>
        </w:rPr>
        <w:t>– a) signature d’un accord de niveau de service entre l’OMPI et le coordonnateur national;  b) signature d’accords institutionnels entre le coordonnateur national les institutions hôtes des CATI;  et c) établissement d’au moins un rapport annuel relatif aux activités des CATI.  Le degré de maturité 1 est acquis lorsque les points a), b) et c) sont remplis;</w:t>
      </w:r>
    </w:p>
    <w:p w14:paraId="01C6C0F3" w14:textId="77777777" w:rsidR="001C6DF3" w:rsidRPr="003268A0" w:rsidRDefault="001C6DF3" w:rsidP="003268A0">
      <w:pPr>
        <w:pStyle w:val="FootnoteText"/>
        <w:numPr>
          <w:ilvl w:val="0"/>
          <w:numId w:val="18"/>
        </w:numPr>
        <w:rPr>
          <w:rFonts w:ascii="Arial" w:hAnsi="Arial" w:cs="Arial"/>
          <w:sz w:val="16"/>
          <w:szCs w:val="16"/>
          <w:lang w:val="fr-CH"/>
        </w:rPr>
      </w:pPr>
      <w:r w:rsidRPr="003268A0">
        <w:rPr>
          <w:rFonts w:ascii="Arial" w:hAnsi="Arial" w:cs="Arial"/>
          <w:b/>
          <w:sz w:val="16"/>
          <w:szCs w:val="16"/>
          <w:lang w:val="fr-CH"/>
        </w:rPr>
        <w:t xml:space="preserve">Degré de maturité 2 </w:t>
      </w:r>
      <w:r w:rsidRPr="003268A0">
        <w:rPr>
          <w:rFonts w:ascii="Arial" w:hAnsi="Arial" w:cs="Arial"/>
          <w:sz w:val="16"/>
          <w:szCs w:val="16"/>
          <w:lang w:val="fr-CH"/>
        </w:rPr>
        <w:t>– les critères demandés au degré 1 ont été remplis en plus de la fourniture de fonctions de recherche d’informations fondamentales en matière de brevets, par exemple sur l’état de la technique;  et</w:t>
      </w:r>
    </w:p>
    <w:p w14:paraId="40E4D79C" w14:textId="77777777" w:rsidR="001C6DF3" w:rsidRPr="003268A0" w:rsidRDefault="001C6DF3" w:rsidP="003268A0">
      <w:pPr>
        <w:pStyle w:val="FootnoteText"/>
        <w:numPr>
          <w:ilvl w:val="0"/>
          <w:numId w:val="18"/>
        </w:numPr>
        <w:rPr>
          <w:rFonts w:ascii="Arial" w:hAnsi="Arial" w:cs="Arial"/>
          <w:sz w:val="16"/>
          <w:szCs w:val="16"/>
          <w:lang w:val="fr-CH"/>
        </w:rPr>
      </w:pPr>
      <w:r w:rsidRPr="003268A0">
        <w:rPr>
          <w:rFonts w:ascii="Arial" w:hAnsi="Arial" w:cs="Arial"/>
          <w:b/>
          <w:sz w:val="16"/>
          <w:szCs w:val="16"/>
          <w:lang w:val="fr-CH"/>
        </w:rPr>
        <w:t xml:space="preserve">Degré de maturité 3 </w:t>
      </w:r>
      <w:r w:rsidRPr="003268A0">
        <w:rPr>
          <w:rFonts w:ascii="Arial" w:hAnsi="Arial" w:cs="Arial"/>
          <w:sz w:val="16"/>
          <w:szCs w:val="16"/>
          <w:lang w:val="fr-CH"/>
        </w:rPr>
        <w:t>– les critères demandés au degré 2 ont été remplis en plus de la fourniture de services à valeur ajoutée en matière de propriété intellectuelle, par exemple la rédaction de rapports panoramiques sur les brevets.</w:t>
      </w:r>
    </w:p>
  </w:footnote>
  <w:footnote w:id="36">
    <w:p w14:paraId="26305165" w14:textId="77777777"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Appui et conseils en ce qui concerne les services d’analyse des brevets et la gestion et la commercialisation des actifs de propriété intellectuelle, programme d’aide aux inventeurs, utilisation et recensement des inventions relevant du domaine public, services relatifs au règlement des litiges, rédaction de demandes de brevet.</w:t>
      </w:r>
    </w:p>
  </w:footnote>
  <w:footnote w:id="37">
    <w:p w14:paraId="189CCFCA"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Relevant du programme 21 (Direction générale)</w:t>
      </w:r>
    </w:p>
  </w:footnote>
  <w:footnote w:id="38">
    <w:p w14:paraId="324FC685" w14:textId="29B519E8"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Les CATI durables sont des institutions financièrement et techniquement autonomes auxquelles l’OMPI fournit des conseils sur demande.</w:t>
      </w:r>
    </w:p>
  </w:footnote>
  <w:footnote w:id="39">
    <w:p w14:paraId="3340EB4C" w14:textId="37385F72"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lang w:val="fr-CH"/>
        </w:rPr>
        <w:tab/>
        <w:t>Voir le programme 20 (Relations extérieures, partenariats et bureaux extérieurs).</w:t>
      </w:r>
    </w:p>
  </w:footnote>
  <w:footnote w:id="40">
    <w:p w14:paraId="19AB8B65" w14:textId="77777777"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t>Ce taux ne tient pas compte des coûts d’assurance.</w:t>
      </w:r>
    </w:p>
  </w:footnote>
  <w:footnote w:id="41">
    <w:p w14:paraId="49C4CFF3" w14:textId="3B160157"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lang w:val="fr-CH"/>
        </w:rPr>
        <w:tab/>
        <w:t>Seuls les postes des catégories professionnelle et supérieures sont soumis à la répartition géographique.</w:t>
      </w:r>
    </w:p>
  </w:footnote>
  <w:footnote w:id="42">
    <w:p w14:paraId="0A7B36E8" w14:textId="77777777"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Dans le cas où un les dépenses directes de l’union au titre d’un programme sont réparties entre plusieurs unions, les pourcentages de répartition ont été estimés par les chefs de programme concernés (programmes 1, 2, 7, 12 et 13) ou établis sur la base des parts relatives des recettes (programmes 6 et 14).</w:t>
      </w:r>
    </w:p>
  </w:footnote>
  <w:footnote w:id="43">
    <w:p w14:paraId="33F6293D" w14:textId="08394B44" w:rsidR="001C6DF3" w:rsidRPr="003268A0" w:rsidRDefault="001C6DF3" w:rsidP="003268A0">
      <w:pPr>
        <w:pStyle w:val="FootnoteText"/>
        <w:rPr>
          <w:rFonts w:ascii="Arial" w:hAnsi="Arial" w:cs="Arial"/>
          <w:sz w:val="16"/>
          <w:szCs w:val="16"/>
        </w:rPr>
      </w:pPr>
      <w:r w:rsidRPr="003268A0">
        <w:rPr>
          <w:rStyle w:val="FootnoteReference"/>
          <w:rFonts w:ascii="Arial" w:hAnsi="Arial" w:cs="Arial"/>
          <w:sz w:val="16"/>
          <w:szCs w:val="16"/>
        </w:rPr>
        <w:footnoteRef/>
      </w:r>
      <w:r w:rsidRPr="003268A0">
        <w:rPr>
          <w:rFonts w:ascii="Arial" w:hAnsi="Arial" w:cs="Arial"/>
          <w:sz w:val="16"/>
          <w:szCs w:val="16"/>
        </w:rPr>
        <w:t xml:space="preserve"> </w:t>
      </w:r>
      <w:r>
        <w:rPr>
          <w:rFonts w:ascii="Arial" w:hAnsi="Arial" w:cs="Arial"/>
          <w:sz w:val="16"/>
          <w:szCs w:val="16"/>
        </w:rPr>
        <w:tab/>
      </w:r>
      <w:r w:rsidRPr="003268A0">
        <w:rPr>
          <w:rFonts w:ascii="Arial" w:hAnsi="Arial" w:cs="Arial"/>
          <w:sz w:val="16"/>
          <w:szCs w:val="16"/>
        </w:rPr>
        <w:t>La part des ressources dans le Cadre du Programme 6 en soutenant les opérations du système de La Haye est attribuée à l’Union de La Haye</w:t>
      </w:r>
    </w:p>
  </w:footnote>
  <w:footnote w:id="44">
    <w:p w14:paraId="2B04525B" w14:textId="77777777" w:rsidR="001C6DF3" w:rsidRPr="003268A0" w:rsidRDefault="001C6DF3" w:rsidP="003268A0">
      <w:pPr>
        <w:pStyle w:val="FootnoteText"/>
        <w:rPr>
          <w:rFonts w:ascii="Arial" w:hAnsi="Arial" w:cs="Arial"/>
          <w:sz w:val="16"/>
          <w:szCs w:val="16"/>
        </w:rPr>
      </w:pPr>
      <w:r w:rsidRPr="003268A0">
        <w:rPr>
          <w:rStyle w:val="FootnoteReference"/>
          <w:rFonts w:ascii="Arial" w:eastAsiaTheme="majorEastAsia" w:hAnsi="Arial" w:cs="Arial"/>
          <w:sz w:val="16"/>
          <w:szCs w:val="16"/>
        </w:rPr>
        <w:footnoteRef/>
      </w:r>
      <w:r w:rsidRPr="003268A0">
        <w:rPr>
          <w:rFonts w:ascii="Arial" w:hAnsi="Arial" w:cs="Arial"/>
          <w:sz w:val="16"/>
          <w:szCs w:val="16"/>
        </w:rPr>
        <w:t xml:space="preserve"> </w:t>
      </w:r>
      <w:r w:rsidRPr="003268A0">
        <w:rPr>
          <w:rFonts w:ascii="Arial" w:hAnsi="Arial" w:cs="Arial"/>
          <w:sz w:val="16"/>
          <w:szCs w:val="16"/>
        </w:rPr>
        <w:tab/>
        <w:t>Toutes les statistiques reposent sur la date de dépôt des demandes selon le PCT ou les demandes d’examen préliminaire international selon le chapitre II.</w:t>
      </w:r>
    </w:p>
  </w:footnote>
  <w:footnote w:id="45">
    <w:p w14:paraId="3DD56FFF" w14:textId="77777777" w:rsidR="001C6DF3" w:rsidRPr="003268A0" w:rsidRDefault="001C6DF3" w:rsidP="003268A0">
      <w:pPr>
        <w:pStyle w:val="FootnoteText"/>
        <w:rPr>
          <w:rFonts w:ascii="Arial" w:hAnsi="Arial" w:cs="Arial"/>
          <w:sz w:val="16"/>
          <w:szCs w:val="16"/>
          <w:lang w:val="fr-CH"/>
        </w:rPr>
      </w:pPr>
      <w:r w:rsidRPr="003268A0">
        <w:rPr>
          <w:rStyle w:val="FootnoteReference"/>
          <w:rFonts w:ascii="Arial" w:hAnsi="Arial" w:cs="Arial"/>
          <w:sz w:val="16"/>
          <w:szCs w:val="16"/>
        </w:rPr>
        <w:footnoteRef/>
      </w:r>
      <w:r w:rsidRPr="003268A0">
        <w:rPr>
          <w:rFonts w:ascii="Arial" w:hAnsi="Arial" w:cs="Arial"/>
          <w:sz w:val="16"/>
          <w:szCs w:val="16"/>
          <w:lang w:val="fr-CH"/>
        </w:rPr>
        <w:t xml:space="preserve"> </w:t>
      </w:r>
      <w:r w:rsidRPr="003268A0">
        <w:rPr>
          <w:rFonts w:ascii="Arial" w:hAnsi="Arial" w:cs="Arial"/>
          <w:sz w:val="16"/>
          <w:szCs w:val="16"/>
          <w:lang w:val="fr-CH"/>
        </w:rPr>
        <w:tab/>
        <w:t xml:space="preserve">Le 23 décembre 2015, l’Assemblée générale des Nations Unies a adopté la résolution </w:t>
      </w:r>
      <w:hyperlink r:id="rId3" w:history="1">
        <w:r w:rsidRPr="003268A0">
          <w:rPr>
            <w:rStyle w:val="Hyperlink"/>
            <w:rFonts w:ascii="Arial" w:hAnsi="Arial" w:cs="Arial"/>
            <w:color w:val="auto"/>
            <w:sz w:val="16"/>
            <w:szCs w:val="16"/>
            <w:lang w:val="fr-CH"/>
          </w:rPr>
          <w:t>A/RES/70/244</w:t>
        </w:r>
      </w:hyperlink>
      <w:r w:rsidRPr="003268A0">
        <w:rPr>
          <w:rFonts w:ascii="Arial" w:hAnsi="Arial" w:cs="Arial"/>
          <w:sz w:val="16"/>
          <w:szCs w:val="16"/>
          <w:lang w:val="fr-CH"/>
        </w:rPr>
        <w:t xml:space="preserve"> relative à l’examen du régime de prestations versées aux administrateurs et aux fonctionnaires de rang supérieur, sur la base des recommandations de la CFPI.  Le barème des traitements des administrateurs et des fonctionnaires de rang supérieur est applicable au 1</w:t>
      </w:r>
      <w:r w:rsidRPr="003268A0">
        <w:rPr>
          <w:rFonts w:ascii="Arial" w:hAnsi="Arial" w:cs="Arial"/>
          <w:sz w:val="16"/>
          <w:szCs w:val="16"/>
          <w:vertAlign w:val="superscript"/>
          <w:lang w:val="fr-CH"/>
        </w:rPr>
        <w:t>er</w:t>
      </w:r>
      <w:r w:rsidRPr="003268A0">
        <w:rPr>
          <w:rFonts w:ascii="Arial" w:hAnsi="Arial" w:cs="Arial"/>
          <w:sz w:val="16"/>
          <w:szCs w:val="16"/>
          <w:lang w:val="fr-CH"/>
        </w:rPr>
        <w:t> janvier 2017;  le barème de la rémunération considérée aux fins de la pension, au 1</w:t>
      </w:r>
      <w:r w:rsidRPr="003268A0">
        <w:rPr>
          <w:rFonts w:ascii="Arial" w:hAnsi="Arial" w:cs="Arial"/>
          <w:sz w:val="16"/>
          <w:szCs w:val="16"/>
          <w:vertAlign w:val="superscript"/>
          <w:lang w:val="fr-CH"/>
        </w:rPr>
        <w:t>er</w:t>
      </w:r>
      <w:r w:rsidRPr="003268A0">
        <w:rPr>
          <w:rFonts w:ascii="Arial" w:hAnsi="Arial" w:cs="Arial"/>
          <w:sz w:val="16"/>
          <w:szCs w:val="16"/>
          <w:lang w:val="fr-CH"/>
        </w:rPr>
        <w:t> février 2017;  les traitements annuels et indemnités des agents des services généraux et des catégories apparentées, au 1</w:t>
      </w:r>
      <w:r w:rsidRPr="003268A0">
        <w:rPr>
          <w:rFonts w:ascii="Arial" w:hAnsi="Arial" w:cs="Arial"/>
          <w:sz w:val="16"/>
          <w:szCs w:val="16"/>
          <w:vertAlign w:val="superscript"/>
          <w:lang w:val="fr-CH"/>
        </w:rPr>
        <w:t>er</w:t>
      </w:r>
      <w:r w:rsidRPr="003268A0">
        <w:rPr>
          <w:rFonts w:ascii="Arial" w:hAnsi="Arial" w:cs="Arial"/>
          <w:sz w:val="16"/>
          <w:szCs w:val="16"/>
          <w:lang w:val="fr-CH"/>
        </w:rPr>
        <w:t> avril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2E8C26AB" w:rsidR="001C6DF3" w:rsidRPr="00591A2F" w:rsidRDefault="001C6DF3" w:rsidP="00F04E0B">
    <w:pPr>
      <w:pStyle w:val="Header"/>
      <w:rPr>
        <w:rFonts w:cs="Arial"/>
        <w:b/>
        <w:sz w:val="18"/>
        <w:szCs w:val="18"/>
        <w:lang w:val="en-US"/>
      </w:rPr>
    </w:pPr>
    <w:r w:rsidRPr="00591A2F">
      <w:rPr>
        <w:rFonts w:cs="Arial"/>
        <w:b/>
        <w:sz w:val="18"/>
        <w:szCs w:val="18"/>
        <w:lang w:val="en-US"/>
      </w:rPr>
      <w:t>Proposed Program and Budget for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83DA" w14:textId="77777777" w:rsidR="001C6DF3" w:rsidRPr="0060494B" w:rsidRDefault="001C6DF3" w:rsidP="006049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489E1" w14:textId="77777777" w:rsidR="001C6DF3" w:rsidRPr="007C798E" w:rsidRDefault="001C6DF3" w:rsidP="007C79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E01CA" w14:textId="3CDF38BC" w:rsidR="001C6DF3" w:rsidRDefault="001C6DF3" w:rsidP="00350BB8">
    <w:pPr>
      <w:pStyle w:val="Header"/>
      <w:rPr>
        <w:b/>
        <w:bCs/>
        <w:sz w:val="18"/>
        <w:szCs w:val="18"/>
      </w:rPr>
    </w:pPr>
    <w:r>
      <w:rPr>
        <w:b/>
        <w:bCs/>
        <w:sz w:val="18"/>
        <w:szCs w:val="18"/>
      </w:rPr>
      <w:t>Projet de programme et budget proposé pour 2018-2019</w:t>
    </w:r>
  </w:p>
  <w:p w14:paraId="41279ACB" w14:textId="77777777" w:rsidR="001C6DF3" w:rsidRDefault="001C6DF3" w:rsidP="00350BB8">
    <w:pPr>
      <w:pStyle w:val="Header"/>
      <w:rPr>
        <w:b/>
        <w:bCs/>
        <w:sz w:val="18"/>
        <w:szCs w:val="18"/>
      </w:rPr>
    </w:pPr>
  </w:p>
  <w:p w14:paraId="276A33B1" w14:textId="77777777" w:rsidR="001C6DF3" w:rsidRPr="00B336F5" w:rsidRDefault="001C6DF3" w:rsidP="00350BB8">
    <w:pPr>
      <w:pStyle w:val="Header"/>
      <w:rPr>
        <w:b/>
        <w:bCs/>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06D55" w14:textId="71B00D59" w:rsidR="001C6DF3" w:rsidRDefault="001C6DF3" w:rsidP="00350BB8">
    <w:pPr>
      <w:pStyle w:val="Header"/>
      <w:jc w:val="right"/>
      <w:rPr>
        <w:b/>
        <w:bCs/>
        <w:sz w:val="18"/>
        <w:szCs w:val="18"/>
      </w:rPr>
    </w:pPr>
    <w:r>
      <w:rPr>
        <w:b/>
        <w:bCs/>
        <w:sz w:val="18"/>
        <w:szCs w:val="18"/>
      </w:rPr>
      <w:t>Projet de programme et budget proposé pour 2018-2019</w:t>
    </w:r>
  </w:p>
  <w:p w14:paraId="43CF36FC" w14:textId="77777777" w:rsidR="001C6DF3" w:rsidRDefault="001C6DF3" w:rsidP="00350BB8">
    <w:pPr>
      <w:pStyle w:val="Header"/>
      <w:jc w:val="right"/>
      <w:rPr>
        <w:b/>
        <w:bCs/>
        <w:sz w:val="18"/>
        <w:szCs w:val="18"/>
      </w:rPr>
    </w:pPr>
  </w:p>
  <w:p w14:paraId="7F7D4AF8" w14:textId="77777777" w:rsidR="001C6DF3" w:rsidRPr="00B336F5" w:rsidRDefault="001C6DF3" w:rsidP="00350BB8">
    <w:pPr>
      <w:pStyle w:val="Header"/>
      <w:jc w:val="right"/>
      <w:rPr>
        <w:b/>
        <w:bCs/>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90046" w14:textId="77777777" w:rsidR="001C6DF3" w:rsidRPr="00A46970" w:rsidRDefault="001C6D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C836C" w14:textId="77777777" w:rsidR="001C6DF3" w:rsidRPr="006A6398" w:rsidRDefault="001C6D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2B6D" w14:textId="1BB46A36" w:rsidR="001C6DF3" w:rsidRDefault="001C6DF3" w:rsidP="0060494B">
    <w:pPr>
      <w:pStyle w:val="Header"/>
      <w:rPr>
        <w:b/>
        <w:sz w:val="18"/>
      </w:rPr>
    </w:pPr>
    <w:r w:rsidRPr="0060494B">
      <w:rPr>
        <w:b/>
        <w:sz w:val="18"/>
      </w:rPr>
      <w:t>Projet de programme et budget proposé</w:t>
    </w:r>
    <w:r>
      <w:rPr>
        <w:b/>
        <w:sz w:val="18"/>
      </w:rPr>
      <w:t xml:space="preserve"> </w:t>
    </w:r>
    <w:r w:rsidRPr="0060494B">
      <w:rPr>
        <w:b/>
        <w:sz w:val="18"/>
      </w:rPr>
      <w:t>pour 2018</w:t>
    </w:r>
    <w:r>
      <w:rPr>
        <w:b/>
        <w:sz w:val="18"/>
      </w:rPr>
      <w:t>-</w:t>
    </w:r>
    <w:r w:rsidRPr="0060494B">
      <w:rPr>
        <w:b/>
        <w:sz w:val="18"/>
      </w:rPr>
      <w:t>2019</w:t>
    </w:r>
  </w:p>
  <w:p w14:paraId="092BE265" w14:textId="77777777" w:rsidR="001C6DF3" w:rsidRPr="0060494B" w:rsidRDefault="001C6DF3" w:rsidP="0060494B">
    <w:pPr>
      <w:pStyle w:val="Header"/>
      <w:rPr>
        <w:b/>
        <w:caps/>
        <w:sz w:val="18"/>
      </w:rPr>
    </w:pPr>
  </w:p>
  <w:p w14:paraId="1FF5CD21" w14:textId="77777777" w:rsidR="001C6DF3" w:rsidRPr="0060494B" w:rsidRDefault="001C6DF3" w:rsidP="006049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3B8D5" w14:textId="15179E6B" w:rsidR="001C6DF3" w:rsidRDefault="001C6DF3" w:rsidP="0060494B">
    <w:pPr>
      <w:pStyle w:val="Header"/>
      <w:jc w:val="right"/>
      <w:rPr>
        <w:b/>
        <w:sz w:val="18"/>
      </w:rPr>
    </w:pPr>
    <w:r w:rsidRPr="0060494B">
      <w:rPr>
        <w:b/>
        <w:sz w:val="18"/>
      </w:rPr>
      <w:t>Projet de programme et budget proposé</w:t>
    </w:r>
    <w:r>
      <w:rPr>
        <w:b/>
        <w:sz w:val="18"/>
      </w:rPr>
      <w:t xml:space="preserve"> </w:t>
    </w:r>
    <w:r w:rsidRPr="0060494B">
      <w:rPr>
        <w:b/>
        <w:sz w:val="18"/>
      </w:rPr>
      <w:t>pour 2018</w:t>
    </w:r>
    <w:r>
      <w:rPr>
        <w:b/>
        <w:sz w:val="18"/>
      </w:rPr>
      <w:t>-</w:t>
    </w:r>
    <w:r w:rsidRPr="0060494B">
      <w:rPr>
        <w:b/>
        <w:sz w:val="18"/>
      </w:rPr>
      <w:t>2019</w:t>
    </w:r>
  </w:p>
  <w:p w14:paraId="2ACA1A2A" w14:textId="77777777" w:rsidR="001C6DF3" w:rsidRDefault="001C6DF3" w:rsidP="0060494B">
    <w:pPr>
      <w:pStyle w:val="Header"/>
      <w:jc w:val="right"/>
      <w:rPr>
        <w:b/>
        <w:sz w:val="18"/>
      </w:rPr>
    </w:pPr>
  </w:p>
  <w:p w14:paraId="265A8351" w14:textId="77777777" w:rsidR="001C6DF3" w:rsidRPr="0060494B" w:rsidRDefault="001C6DF3" w:rsidP="0060494B">
    <w:pPr>
      <w:pStyle w:val="Header"/>
      <w:jc w:val="right"/>
      <w:rPr>
        <w:b/>
        <w:caps/>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219288E"/>
    <w:multiLevelType w:val="hybridMultilevel"/>
    <w:tmpl w:val="F5AC4AB8"/>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26668D"/>
    <w:multiLevelType w:val="hybridMultilevel"/>
    <w:tmpl w:val="4E5C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05120"/>
    <w:multiLevelType w:val="hybridMultilevel"/>
    <w:tmpl w:val="584E0BCC"/>
    <w:lvl w:ilvl="0" w:tplc="98AA17F4">
      <w:start w:val="5"/>
      <w:numFmt w:val="bullet"/>
      <w:lvlText w:val="–"/>
      <w:lvlJc w:val="left"/>
      <w:pPr>
        <w:ind w:left="720" w:hanging="360"/>
      </w:pPr>
      <w:rPr>
        <w:rFonts w:ascii="Arial" w:eastAsiaTheme="minorHAnsi"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526C5"/>
    <w:multiLevelType w:val="hybridMultilevel"/>
    <w:tmpl w:val="789C6DBC"/>
    <w:lvl w:ilvl="0" w:tplc="1ED88F3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C50B9A"/>
    <w:multiLevelType w:val="hybridMultilevel"/>
    <w:tmpl w:val="989E588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1A417C"/>
    <w:multiLevelType w:val="hybridMultilevel"/>
    <w:tmpl w:val="EA58C80E"/>
    <w:lvl w:ilvl="0" w:tplc="CF964E8C">
      <w:start w:val="1"/>
      <w:numFmt w:val="decimal"/>
      <w:lvlText w:val="23.%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BAC7DA4"/>
    <w:multiLevelType w:val="hybridMultilevel"/>
    <w:tmpl w:val="37949816"/>
    <w:lvl w:ilvl="0" w:tplc="FFEA7838">
      <w:start w:val="1"/>
      <w:numFmt w:val="decimal"/>
      <w:lvlText w:val="1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260B37"/>
    <w:multiLevelType w:val="hybridMultilevel"/>
    <w:tmpl w:val="E5F0D32A"/>
    <w:lvl w:ilvl="0" w:tplc="8162038C">
      <w:start w:val="1"/>
      <w:numFmt w:val="decimal"/>
      <w:lvlText w:val="1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0C1860"/>
    <w:multiLevelType w:val="hybridMultilevel"/>
    <w:tmpl w:val="90962C5C"/>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7147F6"/>
    <w:multiLevelType w:val="hybridMultilevel"/>
    <w:tmpl w:val="183AD650"/>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92077C"/>
    <w:multiLevelType w:val="hybridMultilevel"/>
    <w:tmpl w:val="99C47344"/>
    <w:lvl w:ilvl="0" w:tplc="93768F88">
      <w:start w:val="1"/>
      <w:numFmt w:val="decimal"/>
      <w:lvlText w:val="14.%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E14F0A"/>
    <w:multiLevelType w:val="hybridMultilevel"/>
    <w:tmpl w:val="31C49FC8"/>
    <w:lvl w:ilvl="0" w:tplc="58C03BE0">
      <w:start w:val="1"/>
      <w:numFmt w:val="decimal"/>
      <w:lvlText w:val="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85619B"/>
    <w:multiLevelType w:val="hybridMultilevel"/>
    <w:tmpl w:val="2E246498"/>
    <w:lvl w:ilvl="0" w:tplc="74BE3A20">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8B5A9C"/>
    <w:multiLevelType w:val="multilevel"/>
    <w:tmpl w:val="9BE89706"/>
    <w:lvl w:ilvl="0">
      <w:start w:val="1"/>
      <w:numFmt w:val="decimal"/>
      <w:lvlRestart w:val="0"/>
      <w:pStyle w:val="ONUME"/>
      <w:lvlText w:val="%1."/>
      <w:lvlJc w:val="left"/>
      <w:pPr>
        <w:tabs>
          <w:tab w:val="num" w:pos="567"/>
        </w:tabs>
        <w:ind w:left="0" w:firstLine="0"/>
      </w:pPr>
      <w:rPr>
        <w:rFonts w:hint="default"/>
        <w:b w:val="0"/>
        <w:bCs/>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18C45668"/>
    <w:multiLevelType w:val="hybridMultilevel"/>
    <w:tmpl w:val="3E360D60"/>
    <w:lvl w:ilvl="0" w:tplc="870EB244">
      <w:start w:val="1"/>
      <w:numFmt w:val="lowerRoman"/>
      <w:lvlText w:val="%1)"/>
      <w:lvlJc w:val="left"/>
      <w:pPr>
        <w:ind w:left="927" w:hanging="360"/>
      </w:pPr>
      <w:rPr>
        <w:rFonts w:hint="default"/>
      </w:rPr>
    </w:lvl>
    <w:lvl w:ilvl="1" w:tplc="8044479E">
      <w:start w:val="1"/>
      <w:numFmt w:val="bullet"/>
      <w:lvlText w:val=""/>
      <w:lvlJc w:val="left"/>
      <w:pPr>
        <w:ind w:left="1647" w:hanging="360"/>
      </w:pPr>
      <w:rPr>
        <w:rFonts w:ascii="Symbol" w:hAnsi="Symbol" w:hint="default"/>
        <w:color w:val="auto"/>
        <w:sz w:val="22"/>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1A985F24"/>
    <w:multiLevelType w:val="hybridMultilevel"/>
    <w:tmpl w:val="E102C974"/>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E66E1E"/>
    <w:multiLevelType w:val="hybridMultilevel"/>
    <w:tmpl w:val="0BB2EA1E"/>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2B350D"/>
    <w:multiLevelType w:val="hybridMultilevel"/>
    <w:tmpl w:val="F1D03784"/>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404CA8"/>
    <w:multiLevelType w:val="hybridMultilevel"/>
    <w:tmpl w:val="782237DC"/>
    <w:lvl w:ilvl="0" w:tplc="2D86D19A">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92067B8"/>
    <w:multiLevelType w:val="hybridMultilevel"/>
    <w:tmpl w:val="4D24DB40"/>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4D300E"/>
    <w:multiLevelType w:val="hybridMultilevel"/>
    <w:tmpl w:val="C3ECBA56"/>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D12452F"/>
    <w:multiLevelType w:val="hybridMultilevel"/>
    <w:tmpl w:val="922056C4"/>
    <w:lvl w:ilvl="0" w:tplc="98AA17F4">
      <w:start w:val="5"/>
      <w:numFmt w:val="bullet"/>
      <w:lvlText w:val="–"/>
      <w:lvlJc w:val="left"/>
      <w:pPr>
        <w:ind w:left="360" w:hanging="360"/>
      </w:pPr>
      <w:rPr>
        <w:rFonts w:ascii="Arial" w:eastAsiaTheme="minorHAnsi"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F676B65C">
      <w:start w:val="1"/>
      <w:numFmt w:val="bullet"/>
      <w:lvlText w:val="-"/>
      <w:lvlJc w:val="left"/>
      <w:pPr>
        <w:ind w:left="2520" w:hanging="360"/>
      </w:pPr>
      <w:rPr>
        <w:rFonts w:ascii="Arial" w:eastAsiaTheme="minorEastAsia" w:hAnsi="Arial" w:cs="Aria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ED97DE6"/>
    <w:multiLevelType w:val="hybridMultilevel"/>
    <w:tmpl w:val="9064BFFC"/>
    <w:lvl w:ilvl="0" w:tplc="CEE4878A">
      <w:start w:val="1"/>
      <w:numFmt w:val="decimal"/>
      <w:lvlText w:val="1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FD57BF"/>
    <w:multiLevelType w:val="hybridMultilevel"/>
    <w:tmpl w:val="051EBD7C"/>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E2285B"/>
    <w:multiLevelType w:val="hybridMultilevel"/>
    <w:tmpl w:val="DFA8DFB2"/>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036568E"/>
    <w:multiLevelType w:val="hybridMultilevel"/>
    <w:tmpl w:val="716A795C"/>
    <w:lvl w:ilvl="0" w:tplc="6442D226">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6B2815"/>
    <w:multiLevelType w:val="hybridMultilevel"/>
    <w:tmpl w:val="D2A835D8"/>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3613BF"/>
    <w:multiLevelType w:val="hybridMultilevel"/>
    <w:tmpl w:val="C9EC1F8A"/>
    <w:lvl w:ilvl="0" w:tplc="368E57AC">
      <w:start w:val="1"/>
      <w:numFmt w:val="bullet"/>
      <w:lvlText w:val="−"/>
      <w:lvlJc w:val="left"/>
      <w:pPr>
        <w:ind w:left="720" w:hanging="360"/>
      </w:pPr>
      <w:rPr>
        <w:rFonts w:ascii="Arial" w:eastAsiaTheme="minorEastAsia" w:hAnsi="Arial" w:cs="Arial" w:hint="default"/>
        <w:lang w:val="fr-C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36036B"/>
    <w:multiLevelType w:val="hybridMultilevel"/>
    <w:tmpl w:val="AFAAB136"/>
    <w:lvl w:ilvl="0" w:tplc="98AA17F4">
      <w:start w:val="5"/>
      <w:numFmt w:val="bullet"/>
      <w:lvlText w:val="–"/>
      <w:lvlJc w:val="left"/>
      <w:pPr>
        <w:ind w:left="720" w:hanging="360"/>
      </w:pPr>
      <w:rPr>
        <w:rFonts w:ascii="Arial" w:eastAsiaTheme="minorHAnsi"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5D52BE"/>
    <w:multiLevelType w:val="hybridMultilevel"/>
    <w:tmpl w:val="9DECD3AC"/>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8D3B92"/>
    <w:multiLevelType w:val="hybridMultilevel"/>
    <w:tmpl w:val="2AB0216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4EA3A36"/>
    <w:multiLevelType w:val="hybridMultilevel"/>
    <w:tmpl w:val="2C6CA92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7D64CF7"/>
    <w:multiLevelType w:val="hybridMultilevel"/>
    <w:tmpl w:val="75EA2200"/>
    <w:lvl w:ilvl="0" w:tplc="98AA17F4">
      <w:start w:val="5"/>
      <w:numFmt w:val="bullet"/>
      <w:lvlText w:val="–"/>
      <w:lvlJc w:val="left"/>
      <w:pPr>
        <w:ind w:left="720" w:hanging="360"/>
      </w:pPr>
      <w:rPr>
        <w:rFonts w:ascii="Arial" w:eastAsiaTheme="minorHAnsi"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5836AC"/>
    <w:multiLevelType w:val="hybridMultilevel"/>
    <w:tmpl w:val="329C01AC"/>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8BA79C9"/>
    <w:multiLevelType w:val="hybridMultilevel"/>
    <w:tmpl w:val="C100ADFE"/>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F01736"/>
    <w:multiLevelType w:val="hybridMultilevel"/>
    <w:tmpl w:val="4B10F374"/>
    <w:lvl w:ilvl="0" w:tplc="2D244166">
      <w:start w:val="1"/>
      <w:numFmt w:val="decimal"/>
      <w:lvlText w:val="24.%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nsid w:val="390A7B86"/>
    <w:multiLevelType w:val="hybridMultilevel"/>
    <w:tmpl w:val="B936FA1A"/>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2E40F1"/>
    <w:multiLevelType w:val="hybridMultilevel"/>
    <w:tmpl w:val="6798CEA6"/>
    <w:lvl w:ilvl="0" w:tplc="BFE2BDDE">
      <w:start w:val="1"/>
      <w:numFmt w:val="decimal"/>
      <w:lvlText w:val="25.%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nsid w:val="3B0A270A"/>
    <w:multiLevelType w:val="hybridMultilevel"/>
    <w:tmpl w:val="BCAA582C"/>
    <w:lvl w:ilvl="0" w:tplc="FB966992">
      <w:start w:val="1"/>
      <w:numFmt w:val="decimal"/>
      <w:lvlText w:val="22.%1"/>
      <w:lvlJc w:val="left"/>
      <w:pPr>
        <w:ind w:left="0" w:hanging="360"/>
      </w:pPr>
      <w:rPr>
        <w:rFonts w:ascii="Arial" w:hAnsi="Arial" w:hint="default"/>
        <w:b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nsid w:val="3E783AE5"/>
    <w:multiLevelType w:val="hybridMultilevel"/>
    <w:tmpl w:val="E21E570A"/>
    <w:lvl w:ilvl="0" w:tplc="A2F6311A">
      <w:start w:val="5"/>
      <w:numFmt w:val="bullet"/>
      <w:lvlText w:val="–"/>
      <w:lvlJc w:val="left"/>
      <w:pPr>
        <w:ind w:left="567" w:hanging="567"/>
      </w:pPr>
      <w:rPr>
        <w:rFonts w:ascii="Arial" w:eastAsiaTheme="minorHAnsi" w:hAnsi="Arial" w:hint="default"/>
        <w:color w:val="000000"/>
        <w:sz w:val="20"/>
      </w:rPr>
    </w:lvl>
    <w:lvl w:ilvl="1" w:tplc="A168BD4A">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00B25F7"/>
    <w:multiLevelType w:val="hybridMultilevel"/>
    <w:tmpl w:val="954E6C62"/>
    <w:lvl w:ilvl="0" w:tplc="9BB053CE">
      <w:start w:val="1"/>
      <w:numFmt w:val="decimal"/>
      <w:lvlText w:val="26.%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nsid w:val="40BE0918"/>
    <w:multiLevelType w:val="hybridMultilevel"/>
    <w:tmpl w:val="35B8473E"/>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43A74"/>
    <w:multiLevelType w:val="hybridMultilevel"/>
    <w:tmpl w:val="7CB464F0"/>
    <w:lvl w:ilvl="0" w:tplc="A6940500">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F1697D"/>
    <w:multiLevelType w:val="hybridMultilevel"/>
    <w:tmpl w:val="8CD091F2"/>
    <w:lvl w:ilvl="0" w:tplc="C8088452">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FB5133"/>
    <w:multiLevelType w:val="hybridMultilevel"/>
    <w:tmpl w:val="5CCA1C6E"/>
    <w:lvl w:ilvl="0" w:tplc="18F61F4A">
      <w:start w:val="4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8232A58"/>
    <w:multiLevelType w:val="hybridMultilevel"/>
    <w:tmpl w:val="6700E6DE"/>
    <w:lvl w:ilvl="0" w:tplc="7242CEF6">
      <w:start w:val="1"/>
      <w:numFmt w:val="decimal"/>
      <w:lvlText w:val="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173CD9"/>
    <w:multiLevelType w:val="hybridMultilevel"/>
    <w:tmpl w:val="10E21B2A"/>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DD2A20"/>
    <w:multiLevelType w:val="hybridMultilevel"/>
    <w:tmpl w:val="81C0145E"/>
    <w:lvl w:ilvl="0" w:tplc="D736B622">
      <w:start w:val="1"/>
      <w:numFmt w:val="decimal"/>
      <w:lvlText w:val="7.%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D67A2E"/>
    <w:multiLevelType w:val="hybridMultilevel"/>
    <w:tmpl w:val="65EEE3BE"/>
    <w:lvl w:ilvl="0" w:tplc="8564F7C8">
      <w:start w:val="1"/>
      <w:numFmt w:val="bullet"/>
      <w:lvlText w:val="−"/>
      <w:lvlJc w:val="left"/>
      <w:pPr>
        <w:ind w:left="567" w:hanging="567"/>
      </w:pPr>
      <w:rPr>
        <w:rFonts w:ascii="Arial" w:eastAsiaTheme="minorEastAsia" w:hAnsi="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1">
    <w:nsid w:val="515316BA"/>
    <w:multiLevelType w:val="hybridMultilevel"/>
    <w:tmpl w:val="72D0285E"/>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7DC69CE"/>
    <w:multiLevelType w:val="hybridMultilevel"/>
    <w:tmpl w:val="B45CE02C"/>
    <w:lvl w:ilvl="0" w:tplc="2D4AE1C4">
      <w:start w:val="1"/>
      <w:numFmt w:val="bullet"/>
      <w:lvlText w:val="-"/>
      <w:lvlJc w:val="left"/>
      <w:pPr>
        <w:ind w:left="135" w:hanging="360"/>
      </w:pPr>
      <w:rPr>
        <w:rFonts w:ascii="Courier New" w:hAnsi="Courier New"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64">
    <w:nsid w:val="59A14648"/>
    <w:multiLevelType w:val="hybridMultilevel"/>
    <w:tmpl w:val="81DA0B4E"/>
    <w:lvl w:ilvl="0" w:tplc="DE18C67A">
      <w:start w:val="5"/>
      <w:numFmt w:val="bullet"/>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9AB4BCB"/>
    <w:multiLevelType w:val="hybridMultilevel"/>
    <w:tmpl w:val="51F0EE7C"/>
    <w:lvl w:ilvl="0" w:tplc="CDDE7200">
      <w:start w:val="1"/>
      <w:numFmt w:val="decimal"/>
      <w:lvlText w:val="4.%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A232C8B"/>
    <w:multiLevelType w:val="hybridMultilevel"/>
    <w:tmpl w:val="9D0A3490"/>
    <w:lvl w:ilvl="0" w:tplc="75FA6534">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805791"/>
    <w:multiLevelType w:val="hybridMultilevel"/>
    <w:tmpl w:val="0C7E8CA0"/>
    <w:lvl w:ilvl="0" w:tplc="98AA17F4">
      <w:start w:val="5"/>
      <w:numFmt w:val="bullet"/>
      <w:lvlText w:val="–"/>
      <w:lvlJc w:val="left"/>
      <w:pPr>
        <w:ind w:left="720" w:hanging="360"/>
      </w:pPr>
      <w:rPr>
        <w:rFonts w:ascii="Arial" w:eastAsiaTheme="minorHAnsi"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B13EB4"/>
    <w:multiLevelType w:val="hybridMultilevel"/>
    <w:tmpl w:val="EE5AB070"/>
    <w:lvl w:ilvl="0" w:tplc="6ADE3D48">
      <w:start w:val="1"/>
      <w:numFmt w:val="decimal"/>
      <w:lvlText w:val="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8E3C14"/>
    <w:multiLevelType w:val="hybridMultilevel"/>
    <w:tmpl w:val="FF0296C6"/>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F7F6699"/>
    <w:multiLevelType w:val="hybridMultilevel"/>
    <w:tmpl w:val="89E8FFF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07A7FFE"/>
    <w:multiLevelType w:val="hybridMultilevel"/>
    <w:tmpl w:val="C7B293E8"/>
    <w:lvl w:ilvl="0" w:tplc="DE18C67A">
      <w:start w:val="5"/>
      <w:numFmt w:val="bullet"/>
      <w:lvlText w:val="–"/>
      <w:lvlJc w:val="left"/>
      <w:pPr>
        <w:ind w:left="567" w:hanging="567"/>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1E00C48"/>
    <w:multiLevelType w:val="hybridMultilevel"/>
    <w:tmpl w:val="51BC1106"/>
    <w:lvl w:ilvl="0" w:tplc="98AA17F4">
      <w:start w:val="5"/>
      <w:numFmt w:val="bullet"/>
      <w:lvlText w:val="–"/>
      <w:lvlJc w:val="left"/>
      <w:pPr>
        <w:ind w:left="360" w:hanging="360"/>
      </w:pPr>
      <w:rPr>
        <w:rFonts w:ascii="Arial" w:eastAsiaTheme="minorHAnsi" w:hAnsi="Arial" w:hint="default"/>
      </w:rPr>
    </w:lvl>
    <w:lvl w:ilvl="1" w:tplc="1F9CF7D8">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3074D36"/>
    <w:multiLevelType w:val="hybridMultilevel"/>
    <w:tmpl w:val="94A4EDF8"/>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34E799B"/>
    <w:multiLevelType w:val="hybridMultilevel"/>
    <w:tmpl w:val="20385E12"/>
    <w:lvl w:ilvl="0" w:tplc="F7842960">
      <w:start w:val="1"/>
      <w:numFmt w:val="decimal"/>
      <w:lvlText w:val="18.%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4A56B44"/>
    <w:multiLevelType w:val="hybridMultilevel"/>
    <w:tmpl w:val="DB12F48A"/>
    <w:lvl w:ilvl="0" w:tplc="9DE60590">
      <w:start w:val="1"/>
      <w:numFmt w:val="decimal"/>
      <w:lvlText w:val="1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6163792"/>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6A754E8"/>
    <w:multiLevelType w:val="hybridMultilevel"/>
    <w:tmpl w:val="D84C9226"/>
    <w:lvl w:ilvl="0" w:tplc="1EBA17CC">
      <w:start w:val="1"/>
      <w:numFmt w:val="decimal"/>
      <w:lvlText w:val="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0F4E40"/>
    <w:multiLevelType w:val="hybridMultilevel"/>
    <w:tmpl w:val="311C72FE"/>
    <w:lvl w:ilvl="0" w:tplc="10BC424A">
      <w:start w:val="1"/>
      <w:numFmt w:val="decimal"/>
      <w:lvlText w:val="3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BC2518D"/>
    <w:multiLevelType w:val="hybridMultilevel"/>
    <w:tmpl w:val="C2245978"/>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D2A2112"/>
    <w:multiLevelType w:val="hybridMultilevel"/>
    <w:tmpl w:val="74EABB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E521002"/>
    <w:multiLevelType w:val="hybridMultilevel"/>
    <w:tmpl w:val="4F221CDE"/>
    <w:lvl w:ilvl="0" w:tplc="D71250FC">
      <w:start w:val="1"/>
      <w:numFmt w:val="decimal"/>
      <w:lvlText w:val="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22103A"/>
    <w:multiLevelType w:val="hybridMultilevel"/>
    <w:tmpl w:val="ABF458C2"/>
    <w:lvl w:ilvl="0" w:tplc="3904D76A">
      <w:start w:val="5"/>
      <w:numFmt w:val="bullet"/>
      <w:lvlText w:val="–"/>
      <w:lvlJc w:val="left"/>
      <w:pPr>
        <w:ind w:left="567" w:hanging="567"/>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540437"/>
    <w:multiLevelType w:val="hybridMultilevel"/>
    <w:tmpl w:val="2598B97A"/>
    <w:lvl w:ilvl="0" w:tplc="03CCE6E2">
      <w:start w:val="1"/>
      <w:numFmt w:val="decimal"/>
      <w:lvlText w:val="28.%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7">
    <w:nsid w:val="712608A6"/>
    <w:multiLevelType w:val="hybridMultilevel"/>
    <w:tmpl w:val="602AA468"/>
    <w:lvl w:ilvl="0" w:tplc="98AA17F4">
      <w:start w:val="5"/>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6E6892"/>
    <w:multiLevelType w:val="hybridMultilevel"/>
    <w:tmpl w:val="BEAC7DDA"/>
    <w:lvl w:ilvl="0" w:tplc="9208E8CE">
      <w:start w:val="1"/>
      <w:numFmt w:val="decimal"/>
      <w:lvlText w:val="21.%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9">
    <w:nsid w:val="727013B1"/>
    <w:multiLevelType w:val="hybridMultilevel"/>
    <w:tmpl w:val="C0E80012"/>
    <w:lvl w:ilvl="0" w:tplc="98AA17F4">
      <w:start w:val="5"/>
      <w:numFmt w:val="bullet"/>
      <w:lvlText w:val="–"/>
      <w:lvlJc w:val="left"/>
      <w:pPr>
        <w:ind w:left="720" w:hanging="360"/>
      </w:pPr>
      <w:rPr>
        <w:rFonts w:ascii="Arial" w:eastAsiaTheme="minorHAnsi" w:hAnsi="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5CE2A82"/>
    <w:multiLevelType w:val="hybridMultilevel"/>
    <w:tmpl w:val="16704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nsid w:val="7697488C"/>
    <w:multiLevelType w:val="hybridMultilevel"/>
    <w:tmpl w:val="44E68D1A"/>
    <w:lvl w:ilvl="0" w:tplc="98AA17F4">
      <w:start w:val="5"/>
      <w:numFmt w:val="bullet"/>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76C2EF9"/>
    <w:multiLevelType w:val="hybridMultilevel"/>
    <w:tmpl w:val="92DA2B0C"/>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7CB0908"/>
    <w:multiLevelType w:val="hybridMultilevel"/>
    <w:tmpl w:val="4F5E5914"/>
    <w:lvl w:ilvl="0" w:tplc="EB0E10A6">
      <w:start w:val="1"/>
      <w:numFmt w:val="decimal"/>
      <w:lvlText w:val="17.%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C03453C"/>
    <w:multiLevelType w:val="hybridMultilevel"/>
    <w:tmpl w:val="322C23AC"/>
    <w:lvl w:ilvl="0" w:tplc="CE88D186">
      <w:start w:val="1"/>
      <w:numFmt w:val="decimal"/>
      <w:lvlText w:val="9.%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C1A4E5D"/>
    <w:multiLevelType w:val="hybridMultilevel"/>
    <w:tmpl w:val="B8787EF6"/>
    <w:lvl w:ilvl="0" w:tplc="B4968842">
      <w:start w:val="1"/>
      <w:numFmt w:val="decimal"/>
      <w:lvlText w:val="27.%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nsid w:val="7C552B14"/>
    <w:multiLevelType w:val="hybridMultilevel"/>
    <w:tmpl w:val="7F7E6458"/>
    <w:lvl w:ilvl="0" w:tplc="98AA17F4">
      <w:start w:val="5"/>
      <w:numFmt w:val="bullet"/>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69"/>
  </w:num>
  <w:num w:numId="4">
    <w:abstractNumId w:val="60"/>
  </w:num>
  <w:num w:numId="5">
    <w:abstractNumId w:val="73"/>
  </w:num>
  <w:num w:numId="6">
    <w:abstractNumId w:val="51"/>
  </w:num>
  <w:num w:numId="7">
    <w:abstractNumId w:val="85"/>
  </w:num>
  <w:num w:numId="8">
    <w:abstractNumId w:val="45"/>
  </w:num>
  <w:num w:numId="9">
    <w:abstractNumId w:val="38"/>
  </w:num>
  <w:num w:numId="10">
    <w:abstractNumId w:val="23"/>
  </w:num>
  <w:num w:numId="11">
    <w:abstractNumId w:val="46"/>
  </w:num>
  <w:num w:numId="12">
    <w:abstractNumId w:val="82"/>
  </w:num>
  <w:num w:numId="13">
    <w:abstractNumId w:val="40"/>
  </w:num>
  <w:num w:numId="14">
    <w:abstractNumId w:val="72"/>
  </w:num>
  <w:num w:numId="15">
    <w:abstractNumId w:val="37"/>
  </w:num>
  <w:num w:numId="16">
    <w:abstractNumId w:val="95"/>
  </w:num>
  <w:num w:numId="17">
    <w:abstractNumId w:val="56"/>
  </w:num>
  <w:num w:numId="18">
    <w:abstractNumId w:val="64"/>
  </w:num>
  <w:num w:numId="19">
    <w:abstractNumId w:val="32"/>
  </w:num>
  <w:num w:numId="20">
    <w:abstractNumId w:val="12"/>
  </w:num>
  <w:num w:numId="21">
    <w:abstractNumId w:val="53"/>
  </w:num>
  <w:num w:numId="22">
    <w:abstractNumId w:val="42"/>
  </w:num>
  <w:num w:numId="23">
    <w:abstractNumId w:val="75"/>
  </w:num>
  <w:num w:numId="24">
    <w:abstractNumId w:val="94"/>
  </w:num>
  <w:num w:numId="25">
    <w:abstractNumId w:val="63"/>
  </w:num>
  <w:num w:numId="26">
    <w:abstractNumId w:val="70"/>
  </w:num>
  <w:num w:numId="27">
    <w:abstractNumId w:val="4"/>
  </w:num>
  <w:num w:numId="28">
    <w:abstractNumId w:val="81"/>
  </w:num>
  <w:num w:numId="29">
    <w:abstractNumId w:val="71"/>
  </w:num>
  <w:num w:numId="30">
    <w:abstractNumId w:val="15"/>
  </w:num>
  <w:num w:numId="31">
    <w:abstractNumId w:val="99"/>
  </w:num>
  <w:num w:numId="32">
    <w:abstractNumId w:val="43"/>
  </w:num>
  <w:num w:numId="33">
    <w:abstractNumId w:val="55"/>
  </w:num>
  <w:num w:numId="34">
    <w:abstractNumId w:val="11"/>
  </w:num>
  <w:num w:numId="35">
    <w:abstractNumId w:val="22"/>
  </w:num>
  <w:num w:numId="36">
    <w:abstractNumId w:val="25"/>
  </w:num>
  <w:num w:numId="37">
    <w:abstractNumId w:val="2"/>
  </w:num>
  <w:num w:numId="38">
    <w:abstractNumId w:val="36"/>
  </w:num>
  <w:num w:numId="39">
    <w:abstractNumId w:val="89"/>
  </w:num>
  <w:num w:numId="40">
    <w:abstractNumId w:val="34"/>
  </w:num>
  <w:num w:numId="41">
    <w:abstractNumId w:val="26"/>
  </w:num>
  <w:num w:numId="42">
    <w:abstractNumId w:val="7"/>
  </w:num>
  <w:num w:numId="43">
    <w:abstractNumId w:val="33"/>
  </w:num>
  <w:num w:numId="44">
    <w:abstractNumId w:val="21"/>
  </w:num>
  <w:num w:numId="45">
    <w:abstractNumId w:val="44"/>
  </w:num>
  <w:num w:numId="46">
    <w:abstractNumId w:val="91"/>
  </w:num>
  <w:num w:numId="47">
    <w:abstractNumId w:val="100"/>
  </w:num>
  <w:num w:numId="48">
    <w:abstractNumId w:val="66"/>
  </w:num>
  <w:num w:numId="49">
    <w:abstractNumId w:val="6"/>
  </w:num>
  <w:num w:numId="50">
    <w:abstractNumId w:val="28"/>
  </w:num>
  <w:num w:numId="51">
    <w:abstractNumId w:val="39"/>
  </w:num>
  <w:num w:numId="52">
    <w:abstractNumId w:val="74"/>
  </w:num>
  <w:num w:numId="53">
    <w:abstractNumId w:val="41"/>
  </w:num>
  <w:num w:numId="54">
    <w:abstractNumId w:val="61"/>
  </w:num>
  <w:num w:numId="55">
    <w:abstractNumId w:val="87"/>
  </w:num>
  <w:num w:numId="56">
    <w:abstractNumId w:val="48"/>
  </w:num>
  <w:num w:numId="57">
    <w:abstractNumId w:val="20"/>
  </w:num>
  <w:num w:numId="58">
    <w:abstractNumId w:val="92"/>
  </w:num>
  <w:num w:numId="59">
    <w:abstractNumId w:val="83"/>
  </w:num>
  <w:num w:numId="60">
    <w:abstractNumId w:val="16"/>
  </w:num>
  <w:num w:numId="61">
    <w:abstractNumId w:val="84"/>
  </w:num>
  <w:num w:numId="62">
    <w:abstractNumId w:val="57"/>
  </w:num>
  <w:num w:numId="63">
    <w:abstractNumId w:val="65"/>
  </w:num>
  <w:num w:numId="64">
    <w:abstractNumId w:val="68"/>
  </w:num>
  <w:num w:numId="65">
    <w:abstractNumId w:val="90"/>
  </w:num>
  <w:num w:numId="66">
    <w:abstractNumId w:val="62"/>
  </w:num>
  <w:num w:numId="67">
    <w:abstractNumId w:val="24"/>
  </w:num>
  <w:num w:numId="68">
    <w:abstractNumId w:val="59"/>
  </w:num>
  <w:num w:numId="69">
    <w:abstractNumId w:val="79"/>
  </w:num>
  <w:num w:numId="70">
    <w:abstractNumId w:val="97"/>
  </w:num>
  <w:num w:numId="71">
    <w:abstractNumId w:val="31"/>
  </w:num>
  <w:num w:numId="72">
    <w:abstractNumId w:val="17"/>
  </w:num>
  <w:num w:numId="73">
    <w:abstractNumId w:val="80"/>
  </w:num>
  <w:num w:numId="74">
    <w:abstractNumId w:val="9"/>
  </w:num>
  <w:num w:numId="75">
    <w:abstractNumId w:val="35"/>
  </w:num>
  <w:num w:numId="76">
    <w:abstractNumId w:val="14"/>
  </w:num>
  <w:num w:numId="77">
    <w:abstractNumId w:val="10"/>
  </w:num>
  <w:num w:numId="78">
    <w:abstractNumId w:val="54"/>
  </w:num>
  <w:num w:numId="79">
    <w:abstractNumId w:val="96"/>
  </w:num>
  <w:num w:numId="80">
    <w:abstractNumId w:val="76"/>
  </w:num>
  <w:num w:numId="81">
    <w:abstractNumId w:val="77"/>
  </w:num>
  <w:num w:numId="82">
    <w:abstractNumId w:val="93"/>
  </w:num>
  <w:num w:numId="83">
    <w:abstractNumId w:val="88"/>
  </w:num>
  <w:num w:numId="84">
    <w:abstractNumId w:val="50"/>
  </w:num>
  <w:num w:numId="85">
    <w:abstractNumId w:val="8"/>
  </w:num>
  <w:num w:numId="86">
    <w:abstractNumId w:val="47"/>
  </w:num>
  <w:num w:numId="87">
    <w:abstractNumId w:val="49"/>
  </w:num>
  <w:num w:numId="88">
    <w:abstractNumId w:val="52"/>
  </w:num>
  <w:num w:numId="89">
    <w:abstractNumId w:val="98"/>
  </w:num>
  <w:num w:numId="90">
    <w:abstractNumId w:val="86"/>
  </w:num>
  <w:num w:numId="91">
    <w:abstractNumId w:val="67"/>
  </w:num>
  <w:num w:numId="92">
    <w:abstractNumId w:val="27"/>
  </w:num>
  <w:num w:numId="93">
    <w:abstractNumId w:val="30"/>
  </w:num>
  <w:num w:numId="94">
    <w:abstractNumId w:val="5"/>
  </w:num>
  <w:num w:numId="95">
    <w:abstractNumId w:val="3"/>
  </w:num>
  <w:num w:numId="96">
    <w:abstractNumId w:val="29"/>
  </w:num>
  <w:num w:numId="97">
    <w:abstractNumId w:val="58"/>
  </w:num>
  <w:num w:numId="98">
    <w:abstractNumId w:val="19"/>
  </w:num>
  <w:num w:numId="99">
    <w:abstractNumId w:val="78"/>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567"/>
  <w:hyphenationZone w:val="425"/>
  <w:evenAndOddHeaders/>
  <w:characterSpacingControl w:val="doNotCompress"/>
  <w:hdrShapeDefaults>
    <o:shapedefaults v:ext="edit" spidmax="15667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18C141-62DF-4433-A17D-1F065B90E0C4}"/>
    <w:docVar w:name="dgnword-eventsink" w:val="493877800"/>
    <w:docVar w:name="SourceLng" w:val="eng"/>
    <w:docVar w:name="TargetLng" w:val="fra"/>
    <w:docVar w:name="TermBases" w:val="DB|TRADTERM"/>
    <w:docVar w:name="TermBaseURL" w:val="empty"/>
    <w:docVar w:name="TextBases" w:val="Team Server TMs\French|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UPOV\TGs|TextBase TMs\WorkspaceFTS\UPOV\UPOV|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TextBase TMs\WorkspaceFTS\xLegacy\UPOV"/>
    <w:docVar w:name="TextBaseURL" w:val="empty"/>
    <w:docVar w:name="UILng" w:val="en"/>
  </w:docVars>
  <w:rsids>
    <w:rsidRoot w:val="00745B6A"/>
    <w:rsid w:val="000049A4"/>
    <w:rsid w:val="00004FD4"/>
    <w:rsid w:val="00005557"/>
    <w:rsid w:val="000063C9"/>
    <w:rsid w:val="000108C1"/>
    <w:rsid w:val="00010CEF"/>
    <w:rsid w:val="00012963"/>
    <w:rsid w:val="000159A3"/>
    <w:rsid w:val="00015BFF"/>
    <w:rsid w:val="00024020"/>
    <w:rsid w:val="000255C2"/>
    <w:rsid w:val="00027A6C"/>
    <w:rsid w:val="000310E9"/>
    <w:rsid w:val="00031299"/>
    <w:rsid w:val="00036259"/>
    <w:rsid w:val="00036559"/>
    <w:rsid w:val="000404F6"/>
    <w:rsid w:val="00042D7B"/>
    <w:rsid w:val="000442E9"/>
    <w:rsid w:val="00044E9A"/>
    <w:rsid w:val="00050BAA"/>
    <w:rsid w:val="00051C3C"/>
    <w:rsid w:val="00051E73"/>
    <w:rsid w:val="00052E4C"/>
    <w:rsid w:val="00053C3E"/>
    <w:rsid w:val="00053F1C"/>
    <w:rsid w:val="00055D38"/>
    <w:rsid w:val="0005653D"/>
    <w:rsid w:val="00057B48"/>
    <w:rsid w:val="00060B44"/>
    <w:rsid w:val="00061680"/>
    <w:rsid w:val="00062517"/>
    <w:rsid w:val="00063B73"/>
    <w:rsid w:val="00063BB1"/>
    <w:rsid w:val="00064132"/>
    <w:rsid w:val="00072C10"/>
    <w:rsid w:val="00073412"/>
    <w:rsid w:val="00073F3E"/>
    <w:rsid w:val="00073FB6"/>
    <w:rsid w:val="00074B69"/>
    <w:rsid w:val="00081691"/>
    <w:rsid w:val="000819B7"/>
    <w:rsid w:val="000877C4"/>
    <w:rsid w:val="00093750"/>
    <w:rsid w:val="00093A8F"/>
    <w:rsid w:val="00094172"/>
    <w:rsid w:val="00094A7D"/>
    <w:rsid w:val="00097BBE"/>
    <w:rsid w:val="000A3927"/>
    <w:rsid w:val="000A401E"/>
    <w:rsid w:val="000A6B21"/>
    <w:rsid w:val="000B1931"/>
    <w:rsid w:val="000B1950"/>
    <w:rsid w:val="000B5017"/>
    <w:rsid w:val="000B5A29"/>
    <w:rsid w:val="000B5E17"/>
    <w:rsid w:val="000B5ED8"/>
    <w:rsid w:val="000B7550"/>
    <w:rsid w:val="000C037F"/>
    <w:rsid w:val="000C24AB"/>
    <w:rsid w:val="000C277A"/>
    <w:rsid w:val="000C48E0"/>
    <w:rsid w:val="000C4B20"/>
    <w:rsid w:val="000C537C"/>
    <w:rsid w:val="000D1ADC"/>
    <w:rsid w:val="000D2655"/>
    <w:rsid w:val="000D2666"/>
    <w:rsid w:val="000D2861"/>
    <w:rsid w:val="000D3DC0"/>
    <w:rsid w:val="000D7862"/>
    <w:rsid w:val="000D7992"/>
    <w:rsid w:val="000D7C57"/>
    <w:rsid w:val="000E09BC"/>
    <w:rsid w:val="000E2BCD"/>
    <w:rsid w:val="000E530D"/>
    <w:rsid w:val="000E7798"/>
    <w:rsid w:val="000F0F77"/>
    <w:rsid w:val="000F5A12"/>
    <w:rsid w:val="000F6BE2"/>
    <w:rsid w:val="000F7AFD"/>
    <w:rsid w:val="0010092D"/>
    <w:rsid w:val="00102279"/>
    <w:rsid w:val="0010526D"/>
    <w:rsid w:val="00110CB1"/>
    <w:rsid w:val="001161EB"/>
    <w:rsid w:val="00117C7E"/>
    <w:rsid w:val="0012063D"/>
    <w:rsid w:val="00120CA8"/>
    <w:rsid w:val="0012156E"/>
    <w:rsid w:val="001219BE"/>
    <w:rsid w:val="00123A82"/>
    <w:rsid w:val="00125302"/>
    <w:rsid w:val="00127F78"/>
    <w:rsid w:val="001339CA"/>
    <w:rsid w:val="00134BB8"/>
    <w:rsid w:val="0013655C"/>
    <w:rsid w:val="0013773A"/>
    <w:rsid w:val="001403F8"/>
    <w:rsid w:val="0014197A"/>
    <w:rsid w:val="0014319A"/>
    <w:rsid w:val="00151AB0"/>
    <w:rsid w:val="00153641"/>
    <w:rsid w:val="00155E4B"/>
    <w:rsid w:val="00160A9E"/>
    <w:rsid w:val="00165703"/>
    <w:rsid w:val="00165F8F"/>
    <w:rsid w:val="001668A8"/>
    <w:rsid w:val="00167E05"/>
    <w:rsid w:val="00171C12"/>
    <w:rsid w:val="00172C2F"/>
    <w:rsid w:val="001736A1"/>
    <w:rsid w:val="00174C9C"/>
    <w:rsid w:val="00177388"/>
    <w:rsid w:val="001820C0"/>
    <w:rsid w:val="001859D8"/>
    <w:rsid w:val="00186C16"/>
    <w:rsid w:val="00186D1C"/>
    <w:rsid w:val="00187E88"/>
    <w:rsid w:val="00191706"/>
    <w:rsid w:val="0019359F"/>
    <w:rsid w:val="001944E7"/>
    <w:rsid w:val="001966D2"/>
    <w:rsid w:val="00197045"/>
    <w:rsid w:val="001A05EB"/>
    <w:rsid w:val="001A07FB"/>
    <w:rsid w:val="001A0918"/>
    <w:rsid w:val="001A3887"/>
    <w:rsid w:val="001A5ED9"/>
    <w:rsid w:val="001A722F"/>
    <w:rsid w:val="001B3D70"/>
    <w:rsid w:val="001B7766"/>
    <w:rsid w:val="001B78C9"/>
    <w:rsid w:val="001B7BDB"/>
    <w:rsid w:val="001C3BF3"/>
    <w:rsid w:val="001C41D6"/>
    <w:rsid w:val="001C4D1B"/>
    <w:rsid w:val="001C5045"/>
    <w:rsid w:val="001C6DF3"/>
    <w:rsid w:val="001D0244"/>
    <w:rsid w:val="001D0C84"/>
    <w:rsid w:val="001D5DB6"/>
    <w:rsid w:val="001E2323"/>
    <w:rsid w:val="001E2B15"/>
    <w:rsid w:val="001E6F3B"/>
    <w:rsid w:val="00203A39"/>
    <w:rsid w:val="002047DA"/>
    <w:rsid w:val="002117DB"/>
    <w:rsid w:val="00212448"/>
    <w:rsid w:val="002171A2"/>
    <w:rsid w:val="002200ED"/>
    <w:rsid w:val="002216DB"/>
    <w:rsid w:val="00225D2B"/>
    <w:rsid w:val="00225EF7"/>
    <w:rsid w:val="0022677E"/>
    <w:rsid w:val="0023034B"/>
    <w:rsid w:val="00231373"/>
    <w:rsid w:val="0023213C"/>
    <w:rsid w:val="00235AAC"/>
    <w:rsid w:val="002362ED"/>
    <w:rsid w:val="002415E8"/>
    <w:rsid w:val="0024401F"/>
    <w:rsid w:val="00244232"/>
    <w:rsid w:val="002452E0"/>
    <w:rsid w:val="00246CC5"/>
    <w:rsid w:val="00250CF8"/>
    <w:rsid w:val="002523FB"/>
    <w:rsid w:val="0025458F"/>
    <w:rsid w:val="002546A4"/>
    <w:rsid w:val="00255FD8"/>
    <w:rsid w:val="00256534"/>
    <w:rsid w:val="00260AD8"/>
    <w:rsid w:val="0026354A"/>
    <w:rsid w:val="002639E0"/>
    <w:rsid w:val="002668E0"/>
    <w:rsid w:val="0026733A"/>
    <w:rsid w:val="00276022"/>
    <w:rsid w:val="0027684D"/>
    <w:rsid w:val="00277197"/>
    <w:rsid w:val="0027749A"/>
    <w:rsid w:val="002809D4"/>
    <w:rsid w:val="00286CAF"/>
    <w:rsid w:val="0028730D"/>
    <w:rsid w:val="0029112B"/>
    <w:rsid w:val="00292B80"/>
    <w:rsid w:val="00292FCD"/>
    <w:rsid w:val="00293332"/>
    <w:rsid w:val="00296298"/>
    <w:rsid w:val="002979C6"/>
    <w:rsid w:val="00297FE1"/>
    <w:rsid w:val="002A368D"/>
    <w:rsid w:val="002A4E58"/>
    <w:rsid w:val="002A654B"/>
    <w:rsid w:val="002A7E0F"/>
    <w:rsid w:val="002B052A"/>
    <w:rsid w:val="002B31EF"/>
    <w:rsid w:val="002B6D96"/>
    <w:rsid w:val="002B754A"/>
    <w:rsid w:val="002C0714"/>
    <w:rsid w:val="002C1B9F"/>
    <w:rsid w:val="002C21D4"/>
    <w:rsid w:val="002E58DF"/>
    <w:rsid w:val="002F070A"/>
    <w:rsid w:val="002F0934"/>
    <w:rsid w:val="002F14B9"/>
    <w:rsid w:val="002F39FE"/>
    <w:rsid w:val="002F58D0"/>
    <w:rsid w:val="002F75BB"/>
    <w:rsid w:val="003013AB"/>
    <w:rsid w:val="00307AC6"/>
    <w:rsid w:val="00310671"/>
    <w:rsid w:val="0031700C"/>
    <w:rsid w:val="003201C7"/>
    <w:rsid w:val="00323229"/>
    <w:rsid w:val="00323604"/>
    <w:rsid w:val="0032473C"/>
    <w:rsid w:val="003256B2"/>
    <w:rsid w:val="003268A0"/>
    <w:rsid w:val="00327926"/>
    <w:rsid w:val="0033064E"/>
    <w:rsid w:val="00331368"/>
    <w:rsid w:val="003313BC"/>
    <w:rsid w:val="0033554A"/>
    <w:rsid w:val="00335977"/>
    <w:rsid w:val="003376F4"/>
    <w:rsid w:val="003421CE"/>
    <w:rsid w:val="00345FD7"/>
    <w:rsid w:val="00346A33"/>
    <w:rsid w:val="00346B63"/>
    <w:rsid w:val="0035078D"/>
    <w:rsid w:val="003509E1"/>
    <w:rsid w:val="00350AA3"/>
    <w:rsid w:val="00350BB8"/>
    <w:rsid w:val="003530B5"/>
    <w:rsid w:val="00355559"/>
    <w:rsid w:val="00356514"/>
    <w:rsid w:val="00357038"/>
    <w:rsid w:val="0036187D"/>
    <w:rsid w:val="00361CAD"/>
    <w:rsid w:val="00362D57"/>
    <w:rsid w:val="00365BD3"/>
    <w:rsid w:val="003714BA"/>
    <w:rsid w:val="00371BF2"/>
    <w:rsid w:val="00371CD9"/>
    <w:rsid w:val="003736E0"/>
    <w:rsid w:val="0037373D"/>
    <w:rsid w:val="003751B8"/>
    <w:rsid w:val="003765BE"/>
    <w:rsid w:val="0037778C"/>
    <w:rsid w:val="003822EB"/>
    <w:rsid w:val="00383169"/>
    <w:rsid w:val="003866D2"/>
    <w:rsid w:val="003971D8"/>
    <w:rsid w:val="003974DF"/>
    <w:rsid w:val="00397D32"/>
    <w:rsid w:val="003A2BC9"/>
    <w:rsid w:val="003A4446"/>
    <w:rsid w:val="003B1039"/>
    <w:rsid w:val="003B57BC"/>
    <w:rsid w:val="003B756D"/>
    <w:rsid w:val="003B7F81"/>
    <w:rsid w:val="003C1247"/>
    <w:rsid w:val="003C2E0B"/>
    <w:rsid w:val="003D0FD7"/>
    <w:rsid w:val="003D2BD8"/>
    <w:rsid w:val="003D4CB7"/>
    <w:rsid w:val="003D65C6"/>
    <w:rsid w:val="003E0261"/>
    <w:rsid w:val="003E1571"/>
    <w:rsid w:val="003E305D"/>
    <w:rsid w:val="003E3D30"/>
    <w:rsid w:val="003E3E0F"/>
    <w:rsid w:val="003E4415"/>
    <w:rsid w:val="003E4F5B"/>
    <w:rsid w:val="003F14A6"/>
    <w:rsid w:val="003F19F4"/>
    <w:rsid w:val="003F24B1"/>
    <w:rsid w:val="003F5036"/>
    <w:rsid w:val="003F740F"/>
    <w:rsid w:val="003F7D3D"/>
    <w:rsid w:val="00400877"/>
    <w:rsid w:val="00400E47"/>
    <w:rsid w:val="00403934"/>
    <w:rsid w:val="00406A7B"/>
    <w:rsid w:val="004078AB"/>
    <w:rsid w:val="00407A40"/>
    <w:rsid w:val="004104B3"/>
    <w:rsid w:val="00413F4B"/>
    <w:rsid w:val="00414DB1"/>
    <w:rsid w:val="00415A3B"/>
    <w:rsid w:val="00416ECB"/>
    <w:rsid w:val="00420790"/>
    <w:rsid w:val="00420985"/>
    <w:rsid w:val="00421CA2"/>
    <w:rsid w:val="00425BAB"/>
    <w:rsid w:val="004264B7"/>
    <w:rsid w:val="00426A7C"/>
    <w:rsid w:val="00427798"/>
    <w:rsid w:val="0043286E"/>
    <w:rsid w:val="00432AFA"/>
    <w:rsid w:val="00433347"/>
    <w:rsid w:val="0043390E"/>
    <w:rsid w:val="00433AA7"/>
    <w:rsid w:val="00433EE7"/>
    <w:rsid w:val="00436751"/>
    <w:rsid w:val="00436970"/>
    <w:rsid w:val="00436D87"/>
    <w:rsid w:val="004439C9"/>
    <w:rsid w:val="004457DB"/>
    <w:rsid w:val="00447770"/>
    <w:rsid w:val="00452592"/>
    <w:rsid w:val="00457074"/>
    <w:rsid w:val="0045785B"/>
    <w:rsid w:val="00457C73"/>
    <w:rsid w:val="00466359"/>
    <w:rsid w:val="0047090A"/>
    <w:rsid w:val="00470EF3"/>
    <w:rsid w:val="004805AA"/>
    <w:rsid w:val="004807F0"/>
    <w:rsid w:val="0048141E"/>
    <w:rsid w:val="0048537A"/>
    <w:rsid w:val="004860A2"/>
    <w:rsid w:val="00486550"/>
    <w:rsid w:val="00487F03"/>
    <w:rsid w:val="00492372"/>
    <w:rsid w:val="00494C79"/>
    <w:rsid w:val="00494C85"/>
    <w:rsid w:val="004A1188"/>
    <w:rsid w:val="004A34C4"/>
    <w:rsid w:val="004A34C9"/>
    <w:rsid w:val="004A4C1C"/>
    <w:rsid w:val="004A5103"/>
    <w:rsid w:val="004A53D0"/>
    <w:rsid w:val="004A6094"/>
    <w:rsid w:val="004A6C16"/>
    <w:rsid w:val="004B0027"/>
    <w:rsid w:val="004B040B"/>
    <w:rsid w:val="004B0F54"/>
    <w:rsid w:val="004B1807"/>
    <w:rsid w:val="004B1D31"/>
    <w:rsid w:val="004B4125"/>
    <w:rsid w:val="004B6987"/>
    <w:rsid w:val="004C341C"/>
    <w:rsid w:val="004D0754"/>
    <w:rsid w:val="004D0C02"/>
    <w:rsid w:val="004D0C42"/>
    <w:rsid w:val="004D21CD"/>
    <w:rsid w:val="004D3E01"/>
    <w:rsid w:val="004D6CBF"/>
    <w:rsid w:val="004D6FCE"/>
    <w:rsid w:val="004E4A2E"/>
    <w:rsid w:val="004E671F"/>
    <w:rsid w:val="004F09D6"/>
    <w:rsid w:val="004F2AD1"/>
    <w:rsid w:val="004F3F15"/>
    <w:rsid w:val="004F51AB"/>
    <w:rsid w:val="004F6EF1"/>
    <w:rsid w:val="004F798C"/>
    <w:rsid w:val="00500901"/>
    <w:rsid w:val="00502473"/>
    <w:rsid w:val="00511015"/>
    <w:rsid w:val="0051185A"/>
    <w:rsid w:val="005154AB"/>
    <w:rsid w:val="00516D2C"/>
    <w:rsid w:val="0051741A"/>
    <w:rsid w:val="00517572"/>
    <w:rsid w:val="00520134"/>
    <w:rsid w:val="00522CE6"/>
    <w:rsid w:val="0052313E"/>
    <w:rsid w:val="00524085"/>
    <w:rsid w:val="00531D77"/>
    <w:rsid w:val="00533A0B"/>
    <w:rsid w:val="005363E7"/>
    <w:rsid w:val="0053770F"/>
    <w:rsid w:val="00537742"/>
    <w:rsid w:val="00540851"/>
    <w:rsid w:val="005412E8"/>
    <w:rsid w:val="00541CA8"/>
    <w:rsid w:val="00544380"/>
    <w:rsid w:val="005444F9"/>
    <w:rsid w:val="005464B4"/>
    <w:rsid w:val="00550487"/>
    <w:rsid w:val="00552612"/>
    <w:rsid w:val="00553946"/>
    <w:rsid w:val="00553AC2"/>
    <w:rsid w:val="005544D2"/>
    <w:rsid w:val="005546DD"/>
    <w:rsid w:val="005548F2"/>
    <w:rsid w:val="005550E4"/>
    <w:rsid w:val="005551E9"/>
    <w:rsid w:val="00557F93"/>
    <w:rsid w:val="00560330"/>
    <w:rsid w:val="005607A5"/>
    <w:rsid w:val="005632A7"/>
    <w:rsid w:val="0056581C"/>
    <w:rsid w:val="00566D0E"/>
    <w:rsid w:val="00566FDC"/>
    <w:rsid w:val="005706BE"/>
    <w:rsid w:val="00571BD7"/>
    <w:rsid w:val="005723BD"/>
    <w:rsid w:val="005738EB"/>
    <w:rsid w:val="0057462B"/>
    <w:rsid w:val="00581BFB"/>
    <w:rsid w:val="005840A7"/>
    <w:rsid w:val="00584485"/>
    <w:rsid w:val="00584F84"/>
    <w:rsid w:val="00585678"/>
    <w:rsid w:val="00585B3C"/>
    <w:rsid w:val="0058771A"/>
    <w:rsid w:val="005903A1"/>
    <w:rsid w:val="00590DB9"/>
    <w:rsid w:val="00591A2F"/>
    <w:rsid w:val="005925B1"/>
    <w:rsid w:val="0059279F"/>
    <w:rsid w:val="00592800"/>
    <w:rsid w:val="00592830"/>
    <w:rsid w:val="00592947"/>
    <w:rsid w:val="00593E9C"/>
    <w:rsid w:val="00593F35"/>
    <w:rsid w:val="005A1F7F"/>
    <w:rsid w:val="005A234B"/>
    <w:rsid w:val="005A3F4B"/>
    <w:rsid w:val="005A4015"/>
    <w:rsid w:val="005A4F9B"/>
    <w:rsid w:val="005A64E3"/>
    <w:rsid w:val="005A7FDC"/>
    <w:rsid w:val="005B0A1C"/>
    <w:rsid w:val="005B1488"/>
    <w:rsid w:val="005B6685"/>
    <w:rsid w:val="005C0B8F"/>
    <w:rsid w:val="005C0E4A"/>
    <w:rsid w:val="005C2A6F"/>
    <w:rsid w:val="005C4062"/>
    <w:rsid w:val="005C728F"/>
    <w:rsid w:val="005D3241"/>
    <w:rsid w:val="005D3486"/>
    <w:rsid w:val="005D4F01"/>
    <w:rsid w:val="005D60B3"/>
    <w:rsid w:val="005D613B"/>
    <w:rsid w:val="005D689C"/>
    <w:rsid w:val="005E1670"/>
    <w:rsid w:val="005E30D2"/>
    <w:rsid w:val="005E5844"/>
    <w:rsid w:val="005E6C4D"/>
    <w:rsid w:val="005F1F3E"/>
    <w:rsid w:val="005F1F8F"/>
    <w:rsid w:val="005F2354"/>
    <w:rsid w:val="005F46DE"/>
    <w:rsid w:val="005F5C77"/>
    <w:rsid w:val="005F6F18"/>
    <w:rsid w:val="0060494B"/>
    <w:rsid w:val="00614B77"/>
    <w:rsid w:val="00616BD1"/>
    <w:rsid w:val="00616FD3"/>
    <w:rsid w:val="00617FF9"/>
    <w:rsid w:val="00620E38"/>
    <w:rsid w:val="006236BC"/>
    <w:rsid w:val="00631C5D"/>
    <w:rsid w:val="00632222"/>
    <w:rsid w:val="006332D8"/>
    <w:rsid w:val="00633448"/>
    <w:rsid w:val="006342AC"/>
    <w:rsid w:val="00634A29"/>
    <w:rsid w:val="00634B11"/>
    <w:rsid w:val="00637026"/>
    <w:rsid w:val="0064046E"/>
    <w:rsid w:val="006412DA"/>
    <w:rsid w:val="00644426"/>
    <w:rsid w:val="00645E70"/>
    <w:rsid w:val="00646618"/>
    <w:rsid w:val="00650483"/>
    <w:rsid w:val="00650803"/>
    <w:rsid w:val="00653890"/>
    <w:rsid w:val="00653B48"/>
    <w:rsid w:val="00655AF8"/>
    <w:rsid w:val="00656EEF"/>
    <w:rsid w:val="00661BCF"/>
    <w:rsid w:val="006625C5"/>
    <w:rsid w:val="00662FB6"/>
    <w:rsid w:val="0066466A"/>
    <w:rsid w:val="00664CD3"/>
    <w:rsid w:val="00666E19"/>
    <w:rsid w:val="00667C4B"/>
    <w:rsid w:val="00672EEF"/>
    <w:rsid w:val="00674550"/>
    <w:rsid w:val="006748A0"/>
    <w:rsid w:val="006773FE"/>
    <w:rsid w:val="00681660"/>
    <w:rsid w:val="00681CC7"/>
    <w:rsid w:val="00685A18"/>
    <w:rsid w:val="00685AB3"/>
    <w:rsid w:val="006912DD"/>
    <w:rsid w:val="006919D4"/>
    <w:rsid w:val="00693947"/>
    <w:rsid w:val="006944A2"/>
    <w:rsid w:val="00695C1D"/>
    <w:rsid w:val="00696159"/>
    <w:rsid w:val="00697986"/>
    <w:rsid w:val="006A08A2"/>
    <w:rsid w:val="006A2734"/>
    <w:rsid w:val="006A4764"/>
    <w:rsid w:val="006A78BA"/>
    <w:rsid w:val="006B1E69"/>
    <w:rsid w:val="006B3B76"/>
    <w:rsid w:val="006B45D9"/>
    <w:rsid w:val="006B69E5"/>
    <w:rsid w:val="006C1162"/>
    <w:rsid w:val="006C2469"/>
    <w:rsid w:val="006C5FEE"/>
    <w:rsid w:val="006D1E38"/>
    <w:rsid w:val="006D5504"/>
    <w:rsid w:val="006D631E"/>
    <w:rsid w:val="006D7F13"/>
    <w:rsid w:val="006E030C"/>
    <w:rsid w:val="006E1BC6"/>
    <w:rsid w:val="006E3C1D"/>
    <w:rsid w:val="006E526F"/>
    <w:rsid w:val="006F07BE"/>
    <w:rsid w:val="006F3A00"/>
    <w:rsid w:val="006F7033"/>
    <w:rsid w:val="006F79DD"/>
    <w:rsid w:val="00701F92"/>
    <w:rsid w:val="00702F63"/>
    <w:rsid w:val="00706960"/>
    <w:rsid w:val="00707BA0"/>
    <w:rsid w:val="00707DCE"/>
    <w:rsid w:val="007100C9"/>
    <w:rsid w:val="007103EB"/>
    <w:rsid w:val="00710C01"/>
    <w:rsid w:val="00710CEA"/>
    <w:rsid w:val="007120C6"/>
    <w:rsid w:val="007142A5"/>
    <w:rsid w:val="007146B2"/>
    <w:rsid w:val="007155BE"/>
    <w:rsid w:val="00717231"/>
    <w:rsid w:val="007202F3"/>
    <w:rsid w:val="00722480"/>
    <w:rsid w:val="00722C22"/>
    <w:rsid w:val="00722EEB"/>
    <w:rsid w:val="00723542"/>
    <w:rsid w:val="00724C5C"/>
    <w:rsid w:val="007306E3"/>
    <w:rsid w:val="00731B70"/>
    <w:rsid w:val="007321C3"/>
    <w:rsid w:val="00733738"/>
    <w:rsid w:val="00734F09"/>
    <w:rsid w:val="00737393"/>
    <w:rsid w:val="007379DC"/>
    <w:rsid w:val="00744022"/>
    <w:rsid w:val="00745B6A"/>
    <w:rsid w:val="007460A0"/>
    <w:rsid w:val="00746A78"/>
    <w:rsid w:val="00750BF2"/>
    <w:rsid w:val="00750C9F"/>
    <w:rsid w:val="00751EA6"/>
    <w:rsid w:val="00752079"/>
    <w:rsid w:val="0075239B"/>
    <w:rsid w:val="007536CC"/>
    <w:rsid w:val="00754D6A"/>
    <w:rsid w:val="00754E40"/>
    <w:rsid w:val="00757237"/>
    <w:rsid w:val="00757C7E"/>
    <w:rsid w:val="00763F27"/>
    <w:rsid w:val="007644FB"/>
    <w:rsid w:val="00764DA3"/>
    <w:rsid w:val="00764EE8"/>
    <w:rsid w:val="0076547C"/>
    <w:rsid w:val="0076793D"/>
    <w:rsid w:val="00767B79"/>
    <w:rsid w:val="00770C06"/>
    <w:rsid w:val="007737CF"/>
    <w:rsid w:val="00775672"/>
    <w:rsid w:val="007824BC"/>
    <w:rsid w:val="0078708F"/>
    <w:rsid w:val="00790705"/>
    <w:rsid w:val="007914A0"/>
    <w:rsid w:val="00791FEF"/>
    <w:rsid w:val="00792AD4"/>
    <w:rsid w:val="0079358B"/>
    <w:rsid w:val="00794B2A"/>
    <w:rsid w:val="007979F6"/>
    <w:rsid w:val="007A12FA"/>
    <w:rsid w:val="007A45E0"/>
    <w:rsid w:val="007A5A68"/>
    <w:rsid w:val="007A6F2D"/>
    <w:rsid w:val="007A7A77"/>
    <w:rsid w:val="007B1990"/>
    <w:rsid w:val="007B4126"/>
    <w:rsid w:val="007B5015"/>
    <w:rsid w:val="007B6E08"/>
    <w:rsid w:val="007C1198"/>
    <w:rsid w:val="007C274A"/>
    <w:rsid w:val="007C2B42"/>
    <w:rsid w:val="007C3038"/>
    <w:rsid w:val="007C6CCA"/>
    <w:rsid w:val="007C798E"/>
    <w:rsid w:val="007D0D32"/>
    <w:rsid w:val="007D3B04"/>
    <w:rsid w:val="007D51CF"/>
    <w:rsid w:val="007D728A"/>
    <w:rsid w:val="007D76DC"/>
    <w:rsid w:val="007D7D6A"/>
    <w:rsid w:val="007E1546"/>
    <w:rsid w:val="007E19DB"/>
    <w:rsid w:val="007E4924"/>
    <w:rsid w:val="007F0502"/>
    <w:rsid w:val="007F0669"/>
    <w:rsid w:val="007F1DFA"/>
    <w:rsid w:val="007F22AC"/>
    <w:rsid w:val="008030BF"/>
    <w:rsid w:val="0080330B"/>
    <w:rsid w:val="00804716"/>
    <w:rsid w:val="008049E6"/>
    <w:rsid w:val="00805253"/>
    <w:rsid w:val="0080613E"/>
    <w:rsid w:val="008107B9"/>
    <w:rsid w:val="00811796"/>
    <w:rsid w:val="00815757"/>
    <w:rsid w:val="00815E96"/>
    <w:rsid w:val="008172F4"/>
    <w:rsid w:val="008219F1"/>
    <w:rsid w:val="00824164"/>
    <w:rsid w:val="00824636"/>
    <w:rsid w:val="008256AB"/>
    <w:rsid w:val="0082581D"/>
    <w:rsid w:val="00825CDD"/>
    <w:rsid w:val="00830412"/>
    <w:rsid w:val="008433F2"/>
    <w:rsid w:val="00847732"/>
    <w:rsid w:val="00851CC8"/>
    <w:rsid w:val="008547D7"/>
    <w:rsid w:val="00855738"/>
    <w:rsid w:val="00865AEC"/>
    <w:rsid w:val="00866E9D"/>
    <w:rsid w:val="008710A7"/>
    <w:rsid w:val="00871D8A"/>
    <w:rsid w:val="008771A6"/>
    <w:rsid w:val="008776A0"/>
    <w:rsid w:val="008778B5"/>
    <w:rsid w:val="00886CE4"/>
    <w:rsid w:val="00893F56"/>
    <w:rsid w:val="008964F2"/>
    <w:rsid w:val="008A1B16"/>
    <w:rsid w:val="008B0282"/>
    <w:rsid w:val="008B075D"/>
    <w:rsid w:val="008B0FB8"/>
    <w:rsid w:val="008B26BE"/>
    <w:rsid w:val="008B3772"/>
    <w:rsid w:val="008B3CED"/>
    <w:rsid w:val="008B4CD5"/>
    <w:rsid w:val="008C21BB"/>
    <w:rsid w:val="008C4584"/>
    <w:rsid w:val="008D0DE4"/>
    <w:rsid w:val="008D184A"/>
    <w:rsid w:val="008D1E5D"/>
    <w:rsid w:val="008D2A0B"/>
    <w:rsid w:val="008D3EC2"/>
    <w:rsid w:val="008D4CE9"/>
    <w:rsid w:val="008D76DE"/>
    <w:rsid w:val="008D7C43"/>
    <w:rsid w:val="008D7E6A"/>
    <w:rsid w:val="008E0346"/>
    <w:rsid w:val="008E1651"/>
    <w:rsid w:val="008E554C"/>
    <w:rsid w:val="008E568A"/>
    <w:rsid w:val="008E5ED4"/>
    <w:rsid w:val="008E6294"/>
    <w:rsid w:val="008E7FF2"/>
    <w:rsid w:val="008F04D5"/>
    <w:rsid w:val="008F082B"/>
    <w:rsid w:val="008F1BEA"/>
    <w:rsid w:val="008F3633"/>
    <w:rsid w:val="008F39FF"/>
    <w:rsid w:val="008F6661"/>
    <w:rsid w:val="008F77D9"/>
    <w:rsid w:val="00901665"/>
    <w:rsid w:val="009018F2"/>
    <w:rsid w:val="009023D4"/>
    <w:rsid w:val="0090584C"/>
    <w:rsid w:val="009071B9"/>
    <w:rsid w:val="009079FE"/>
    <w:rsid w:val="00911E98"/>
    <w:rsid w:val="00913F4F"/>
    <w:rsid w:val="00916CF7"/>
    <w:rsid w:val="00920B3A"/>
    <w:rsid w:val="00925533"/>
    <w:rsid w:val="00927B86"/>
    <w:rsid w:val="00934E17"/>
    <w:rsid w:val="00940746"/>
    <w:rsid w:val="00940C27"/>
    <w:rsid w:val="00941AB6"/>
    <w:rsid w:val="00941AC0"/>
    <w:rsid w:val="00945A90"/>
    <w:rsid w:val="00947755"/>
    <w:rsid w:val="009539C7"/>
    <w:rsid w:val="00954EE5"/>
    <w:rsid w:val="00955F53"/>
    <w:rsid w:val="009624B8"/>
    <w:rsid w:val="00963C41"/>
    <w:rsid w:val="00964B92"/>
    <w:rsid w:val="00964EB8"/>
    <w:rsid w:val="00967F64"/>
    <w:rsid w:val="00971567"/>
    <w:rsid w:val="00971715"/>
    <w:rsid w:val="00971C84"/>
    <w:rsid w:val="00972CF5"/>
    <w:rsid w:val="00974839"/>
    <w:rsid w:val="00976F9F"/>
    <w:rsid w:val="00980DDD"/>
    <w:rsid w:val="00981175"/>
    <w:rsid w:val="00982D92"/>
    <w:rsid w:val="009832C2"/>
    <w:rsid w:val="009843A4"/>
    <w:rsid w:val="009846BC"/>
    <w:rsid w:val="0098497F"/>
    <w:rsid w:val="00984A77"/>
    <w:rsid w:val="00984F70"/>
    <w:rsid w:val="00986700"/>
    <w:rsid w:val="009879E4"/>
    <w:rsid w:val="0099282B"/>
    <w:rsid w:val="00992C5E"/>
    <w:rsid w:val="0099440C"/>
    <w:rsid w:val="00994F76"/>
    <w:rsid w:val="009950B9"/>
    <w:rsid w:val="009961D3"/>
    <w:rsid w:val="00997275"/>
    <w:rsid w:val="009972E3"/>
    <w:rsid w:val="009A0E18"/>
    <w:rsid w:val="009A1D0F"/>
    <w:rsid w:val="009A2E90"/>
    <w:rsid w:val="009B0708"/>
    <w:rsid w:val="009B4A78"/>
    <w:rsid w:val="009B57F9"/>
    <w:rsid w:val="009B6DCE"/>
    <w:rsid w:val="009B6E57"/>
    <w:rsid w:val="009C13C7"/>
    <w:rsid w:val="009C165B"/>
    <w:rsid w:val="009C51EF"/>
    <w:rsid w:val="009C6413"/>
    <w:rsid w:val="009D40F3"/>
    <w:rsid w:val="009D5750"/>
    <w:rsid w:val="009D5B88"/>
    <w:rsid w:val="009D7A18"/>
    <w:rsid w:val="009E2D75"/>
    <w:rsid w:val="009E3929"/>
    <w:rsid w:val="009E460B"/>
    <w:rsid w:val="009E725A"/>
    <w:rsid w:val="009F13A9"/>
    <w:rsid w:val="009F209D"/>
    <w:rsid w:val="009F5813"/>
    <w:rsid w:val="009F63F3"/>
    <w:rsid w:val="00A00E63"/>
    <w:rsid w:val="00A03CCB"/>
    <w:rsid w:val="00A13708"/>
    <w:rsid w:val="00A14AC0"/>
    <w:rsid w:val="00A1518B"/>
    <w:rsid w:val="00A15309"/>
    <w:rsid w:val="00A1569D"/>
    <w:rsid w:val="00A15C14"/>
    <w:rsid w:val="00A17AC2"/>
    <w:rsid w:val="00A21D1B"/>
    <w:rsid w:val="00A226D5"/>
    <w:rsid w:val="00A22F7E"/>
    <w:rsid w:val="00A2699E"/>
    <w:rsid w:val="00A26AF2"/>
    <w:rsid w:val="00A2772E"/>
    <w:rsid w:val="00A306EE"/>
    <w:rsid w:val="00A32B86"/>
    <w:rsid w:val="00A344C0"/>
    <w:rsid w:val="00A3500F"/>
    <w:rsid w:val="00A355DD"/>
    <w:rsid w:val="00A35F8B"/>
    <w:rsid w:val="00A4010E"/>
    <w:rsid w:val="00A4166C"/>
    <w:rsid w:val="00A42BA1"/>
    <w:rsid w:val="00A42BFB"/>
    <w:rsid w:val="00A52130"/>
    <w:rsid w:val="00A52A22"/>
    <w:rsid w:val="00A55BB0"/>
    <w:rsid w:val="00A60A1B"/>
    <w:rsid w:val="00A6543C"/>
    <w:rsid w:val="00A7266D"/>
    <w:rsid w:val="00A72EDD"/>
    <w:rsid w:val="00A74116"/>
    <w:rsid w:val="00A7528A"/>
    <w:rsid w:val="00A80F94"/>
    <w:rsid w:val="00A81184"/>
    <w:rsid w:val="00A819CE"/>
    <w:rsid w:val="00A81CD5"/>
    <w:rsid w:val="00A828C4"/>
    <w:rsid w:val="00A836C7"/>
    <w:rsid w:val="00A84144"/>
    <w:rsid w:val="00A861A4"/>
    <w:rsid w:val="00A91929"/>
    <w:rsid w:val="00A9302A"/>
    <w:rsid w:val="00A93A3C"/>
    <w:rsid w:val="00A9508B"/>
    <w:rsid w:val="00A970C5"/>
    <w:rsid w:val="00A97FA0"/>
    <w:rsid w:val="00AA007C"/>
    <w:rsid w:val="00AA1BB5"/>
    <w:rsid w:val="00AA3215"/>
    <w:rsid w:val="00AA4946"/>
    <w:rsid w:val="00AA49D8"/>
    <w:rsid w:val="00AA62DF"/>
    <w:rsid w:val="00AA73B9"/>
    <w:rsid w:val="00AB2DBE"/>
    <w:rsid w:val="00AB421C"/>
    <w:rsid w:val="00AB5AA7"/>
    <w:rsid w:val="00AC267B"/>
    <w:rsid w:val="00AC3B37"/>
    <w:rsid w:val="00AD1FB5"/>
    <w:rsid w:val="00AD5F2C"/>
    <w:rsid w:val="00AD6316"/>
    <w:rsid w:val="00AE1093"/>
    <w:rsid w:val="00AE1D37"/>
    <w:rsid w:val="00AE288C"/>
    <w:rsid w:val="00AE4E4A"/>
    <w:rsid w:val="00AE6922"/>
    <w:rsid w:val="00AE7435"/>
    <w:rsid w:val="00AF07A2"/>
    <w:rsid w:val="00AF1C3D"/>
    <w:rsid w:val="00AF3731"/>
    <w:rsid w:val="00AF390D"/>
    <w:rsid w:val="00AF4A8A"/>
    <w:rsid w:val="00AF5A57"/>
    <w:rsid w:val="00AF618F"/>
    <w:rsid w:val="00B0098E"/>
    <w:rsid w:val="00B026FC"/>
    <w:rsid w:val="00B042D4"/>
    <w:rsid w:val="00B0461F"/>
    <w:rsid w:val="00B051CC"/>
    <w:rsid w:val="00B05CA6"/>
    <w:rsid w:val="00B07684"/>
    <w:rsid w:val="00B105EE"/>
    <w:rsid w:val="00B10EF3"/>
    <w:rsid w:val="00B12A21"/>
    <w:rsid w:val="00B1363F"/>
    <w:rsid w:val="00B14A09"/>
    <w:rsid w:val="00B1536A"/>
    <w:rsid w:val="00B20524"/>
    <w:rsid w:val="00B2097D"/>
    <w:rsid w:val="00B22662"/>
    <w:rsid w:val="00B261CD"/>
    <w:rsid w:val="00B26CA4"/>
    <w:rsid w:val="00B30215"/>
    <w:rsid w:val="00B3195F"/>
    <w:rsid w:val="00B31F59"/>
    <w:rsid w:val="00B345FA"/>
    <w:rsid w:val="00B34F97"/>
    <w:rsid w:val="00B3629C"/>
    <w:rsid w:val="00B441CA"/>
    <w:rsid w:val="00B44576"/>
    <w:rsid w:val="00B44918"/>
    <w:rsid w:val="00B450B9"/>
    <w:rsid w:val="00B46DD7"/>
    <w:rsid w:val="00B46E15"/>
    <w:rsid w:val="00B472A8"/>
    <w:rsid w:val="00B50DBE"/>
    <w:rsid w:val="00B511F2"/>
    <w:rsid w:val="00B54887"/>
    <w:rsid w:val="00B55ECC"/>
    <w:rsid w:val="00B5770D"/>
    <w:rsid w:val="00B604D7"/>
    <w:rsid w:val="00B606F3"/>
    <w:rsid w:val="00B629E6"/>
    <w:rsid w:val="00B62F81"/>
    <w:rsid w:val="00B637CD"/>
    <w:rsid w:val="00B63BE4"/>
    <w:rsid w:val="00B64DA0"/>
    <w:rsid w:val="00B65F7B"/>
    <w:rsid w:val="00B66294"/>
    <w:rsid w:val="00B66615"/>
    <w:rsid w:val="00B66A4A"/>
    <w:rsid w:val="00B67D0A"/>
    <w:rsid w:val="00B70B7D"/>
    <w:rsid w:val="00B70F0D"/>
    <w:rsid w:val="00B712FB"/>
    <w:rsid w:val="00B72218"/>
    <w:rsid w:val="00B7224E"/>
    <w:rsid w:val="00B72EB9"/>
    <w:rsid w:val="00B734C5"/>
    <w:rsid w:val="00B735C6"/>
    <w:rsid w:val="00B739A5"/>
    <w:rsid w:val="00B749A5"/>
    <w:rsid w:val="00B80C17"/>
    <w:rsid w:val="00B818C0"/>
    <w:rsid w:val="00B81E77"/>
    <w:rsid w:val="00B82832"/>
    <w:rsid w:val="00B830D6"/>
    <w:rsid w:val="00B902AD"/>
    <w:rsid w:val="00B90B19"/>
    <w:rsid w:val="00B932D5"/>
    <w:rsid w:val="00BA432B"/>
    <w:rsid w:val="00BA43A0"/>
    <w:rsid w:val="00BA4FE4"/>
    <w:rsid w:val="00BA5725"/>
    <w:rsid w:val="00BA67BA"/>
    <w:rsid w:val="00BA6E61"/>
    <w:rsid w:val="00BA7527"/>
    <w:rsid w:val="00BB169D"/>
    <w:rsid w:val="00BB3BF5"/>
    <w:rsid w:val="00BB4CB0"/>
    <w:rsid w:val="00BB512E"/>
    <w:rsid w:val="00BB73B7"/>
    <w:rsid w:val="00BC15CA"/>
    <w:rsid w:val="00BC57C8"/>
    <w:rsid w:val="00BC77A3"/>
    <w:rsid w:val="00BD5F3D"/>
    <w:rsid w:val="00BD7B08"/>
    <w:rsid w:val="00BE2490"/>
    <w:rsid w:val="00BE2600"/>
    <w:rsid w:val="00BE3F1B"/>
    <w:rsid w:val="00BE4112"/>
    <w:rsid w:val="00BE49CE"/>
    <w:rsid w:val="00BE4C5D"/>
    <w:rsid w:val="00BE6CE1"/>
    <w:rsid w:val="00BE6F94"/>
    <w:rsid w:val="00BF239C"/>
    <w:rsid w:val="00BF4CC1"/>
    <w:rsid w:val="00BF4DDC"/>
    <w:rsid w:val="00BF5BD2"/>
    <w:rsid w:val="00BF5C6B"/>
    <w:rsid w:val="00BF5EAA"/>
    <w:rsid w:val="00C04245"/>
    <w:rsid w:val="00C04D5B"/>
    <w:rsid w:val="00C06401"/>
    <w:rsid w:val="00C116BA"/>
    <w:rsid w:val="00C11878"/>
    <w:rsid w:val="00C143A3"/>
    <w:rsid w:val="00C15235"/>
    <w:rsid w:val="00C1764C"/>
    <w:rsid w:val="00C2153C"/>
    <w:rsid w:val="00C21B9B"/>
    <w:rsid w:val="00C224D6"/>
    <w:rsid w:val="00C23022"/>
    <w:rsid w:val="00C240B2"/>
    <w:rsid w:val="00C2428A"/>
    <w:rsid w:val="00C25CF7"/>
    <w:rsid w:val="00C2748E"/>
    <w:rsid w:val="00C309AE"/>
    <w:rsid w:val="00C3170B"/>
    <w:rsid w:val="00C32A40"/>
    <w:rsid w:val="00C32EC8"/>
    <w:rsid w:val="00C368CC"/>
    <w:rsid w:val="00C36C02"/>
    <w:rsid w:val="00C47D43"/>
    <w:rsid w:val="00C51FE4"/>
    <w:rsid w:val="00C52B8B"/>
    <w:rsid w:val="00C53E9A"/>
    <w:rsid w:val="00C54593"/>
    <w:rsid w:val="00C5507E"/>
    <w:rsid w:val="00C56569"/>
    <w:rsid w:val="00C60563"/>
    <w:rsid w:val="00C614B4"/>
    <w:rsid w:val="00C61B8D"/>
    <w:rsid w:val="00C61D11"/>
    <w:rsid w:val="00C65FE0"/>
    <w:rsid w:val="00C67B65"/>
    <w:rsid w:val="00C70311"/>
    <w:rsid w:val="00C71CBF"/>
    <w:rsid w:val="00C73096"/>
    <w:rsid w:val="00C74442"/>
    <w:rsid w:val="00C776E2"/>
    <w:rsid w:val="00C83962"/>
    <w:rsid w:val="00C84440"/>
    <w:rsid w:val="00C84C62"/>
    <w:rsid w:val="00C84D9D"/>
    <w:rsid w:val="00C871DB"/>
    <w:rsid w:val="00C87CC8"/>
    <w:rsid w:val="00C87FF1"/>
    <w:rsid w:val="00C906DC"/>
    <w:rsid w:val="00C90AAF"/>
    <w:rsid w:val="00C90BCA"/>
    <w:rsid w:val="00C923B6"/>
    <w:rsid w:val="00C946CD"/>
    <w:rsid w:val="00C95D81"/>
    <w:rsid w:val="00C95E0C"/>
    <w:rsid w:val="00C9789B"/>
    <w:rsid w:val="00CA09B5"/>
    <w:rsid w:val="00CA0FE8"/>
    <w:rsid w:val="00CA3243"/>
    <w:rsid w:val="00CA42D8"/>
    <w:rsid w:val="00CB11FC"/>
    <w:rsid w:val="00CB2022"/>
    <w:rsid w:val="00CB2CFC"/>
    <w:rsid w:val="00CB32BD"/>
    <w:rsid w:val="00CB4716"/>
    <w:rsid w:val="00CB7861"/>
    <w:rsid w:val="00CC035C"/>
    <w:rsid w:val="00CC543A"/>
    <w:rsid w:val="00CC569D"/>
    <w:rsid w:val="00CD2918"/>
    <w:rsid w:val="00CD4750"/>
    <w:rsid w:val="00CD4ED7"/>
    <w:rsid w:val="00CD5C63"/>
    <w:rsid w:val="00CD682C"/>
    <w:rsid w:val="00CD69D9"/>
    <w:rsid w:val="00CD75A8"/>
    <w:rsid w:val="00CE3CC7"/>
    <w:rsid w:val="00CE3E59"/>
    <w:rsid w:val="00CF4788"/>
    <w:rsid w:val="00CF6859"/>
    <w:rsid w:val="00CF7658"/>
    <w:rsid w:val="00D00815"/>
    <w:rsid w:val="00D02920"/>
    <w:rsid w:val="00D03C58"/>
    <w:rsid w:val="00D049E6"/>
    <w:rsid w:val="00D05C3F"/>
    <w:rsid w:val="00D06C7D"/>
    <w:rsid w:val="00D11ACD"/>
    <w:rsid w:val="00D123FF"/>
    <w:rsid w:val="00D14485"/>
    <w:rsid w:val="00D150FD"/>
    <w:rsid w:val="00D16C71"/>
    <w:rsid w:val="00D21BE2"/>
    <w:rsid w:val="00D2539F"/>
    <w:rsid w:val="00D256C3"/>
    <w:rsid w:val="00D27EAE"/>
    <w:rsid w:val="00D31B6A"/>
    <w:rsid w:val="00D337E0"/>
    <w:rsid w:val="00D3563F"/>
    <w:rsid w:val="00D356B6"/>
    <w:rsid w:val="00D410A0"/>
    <w:rsid w:val="00D42529"/>
    <w:rsid w:val="00D445EF"/>
    <w:rsid w:val="00D45F27"/>
    <w:rsid w:val="00D5028B"/>
    <w:rsid w:val="00D50719"/>
    <w:rsid w:val="00D537BC"/>
    <w:rsid w:val="00D5445B"/>
    <w:rsid w:val="00D54BE8"/>
    <w:rsid w:val="00D55DBD"/>
    <w:rsid w:val="00D62A6A"/>
    <w:rsid w:val="00D634E2"/>
    <w:rsid w:val="00D655F5"/>
    <w:rsid w:val="00D656E4"/>
    <w:rsid w:val="00D65E4D"/>
    <w:rsid w:val="00D7361F"/>
    <w:rsid w:val="00D76EB7"/>
    <w:rsid w:val="00D77796"/>
    <w:rsid w:val="00D77958"/>
    <w:rsid w:val="00D77D43"/>
    <w:rsid w:val="00D80270"/>
    <w:rsid w:val="00D828DA"/>
    <w:rsid w:val="00D852D8"/>
    <w:rsid w:val="00D86441"/>
    <w:rsid w:val="00D868C7"/>
    <w:rsid w:val="00D86D26"/>
    <w:rsid w:val="00D870DF"/>
    <w:rsid w:val="00D9129C"/>
    <w:rsid w:val="00D9793A"/>
    <w:rsid w:val="00DA0D82"/>
    <w:rsid w:val="00DA1D56"/>
    <w:rsid w:val="00DA2DA6"/>
    <w:rsid w:val="00DA3F93"/>
    <w:rsid w:val="00DA434C"/>
    <w:rsid w:val="00DB4F15"/>
    <w:rsid w:val="00DB67E7"/>
    <w:rsid w:val="00DC0E8F"/>
    <w:rsid w:val="00DC2E3C"/>
    <w:rsid w:val="00DC57BC"/>
    <w:rsid w:val="00DC5AFF"/>
    <w:rsid w:val="00DC5BCD"/>
    <w:rsid w:val="00DC7798"/>
    <w:rsid w:val="00DD22EC"/>
    <w:rsid w:val="00DD2EF8"/>
    <w:rsid w:val="00DD40DE"/>
    <w:rsid w:val="00DD4E5E"/>
    <w:rsid w:val="00DD6D99"/>
    <w:rsid w:val="00DE1B2D"/>
    <w:rsid w:val="00DE3C84"/>
    <w:rsid w:val="00DE4B1A"/>
    <w:rsid w:val="00DE7315"/>
    <w:rsid w:val="00DF040C"/>
    <w:rsid w:val="00DF28E6"/>
    <w:rsid w:val="00DF2E88"/>
    <w:rsid w:val="00DF5D9A"/>
    <w:rsid w:val="00E01DCC"/>
    <w:rsid w:val="00E01FB9"/>
    <w:rsid w:val="00E02613"/>
    <w:rsid w:val="00E034AC"/>
    <w:rsid w:val="00E065D1"/>
    <w:rsid w:val="00E07A5F"/>
    <w:rsid w:val="00E136ED"/>
    <w:rsid w:val="00E14DFF"/>
    <w:rsid w:val="00E2087F"/>
    <w:rsid w:val="00E23B7D"/>
    <w:rsid w:val="00E2419A"/>
    <w:rsid w:val="00E25826"/>
    <w:rsid w:val="00E25DB8"/>
    <w:rsid w:val="00E27FB7"/>
    <w:rsid w:val="00E27FBC"/>
    <w:rsid w:val="00E31A62"/>
    <w:rsid w:val="00E33078"/>
    <w:rsid w:val="00E34525"/>
    <w:rsid w:val="00E347D4"/>
    <w:rsid w:val="00E358DF"/>
    <w:rsid w:val="00E37749"/>
    <w:rsid w:val="00E379D9"/>
    <w:rsid w:val="00E40974"/>
    <w:rsid w:val="00E41F70"/>
    <w:rsid w:val="00E426AE"/>
    <w:rsid w:val="00E43F51"/>
    <w:rsid w:val="00E516AC"/>
    <w:rsid w:val="00E53C36"/>
    <w:rsid w:val="00E57011"/>
    <w:rsid w:val="00E61AC7"/>
    <w:rsid w:val="00E641D8"/>
    <w:rsid w:val="00E646FF"/>
    <w:rsid w:val="00E66A2C"/>
    <w:rsid w:val="00E67C4A"/>
    <w:rsid w:val="00E67EF7"/>
    <w:rsid w:val="00E726CE"/>
    <w:rsid w:val="00E73B07"/>
    <w:rsid w:val="00E74993"/>
    <w:rsid w:val="00E81087"/>
    <w:rsid w:val="00E82B8A"/>
    <w:rsid w:val="00E833DE"/>
    <w:rsid w:val="00E85E73"/>
    <w:rsid w:val="00E92173"/>
    <w:rsid w:val="00E92683"/>
    <w:rsid w:val="00EA057A"/>
    <w:rsid w:val="00EA0EA5"/>
    <w:rsid w:val="00EA14EE"/>
    <w:rsid w:val="00EA1595"/>
    <w:rsid w:val="00EA3A00"/>
    <w:rsid w:val="00EA697C"/>
    <w:rsid w:val="00EB2496"/>
    <w:rsid w:val="00EB35A3"/>
    <w:rsid w:val="00EB392E"/>
    <w:rsid w:val="00EB3C9D"/>
    <w:rsid w:val="00EB549B"/>
    <w:rsid w:val="00EB61B8"/>
    <w:rsid w:val="00EC30AE"/>
    <w:rsid w:val="00EC3E4D"/>
    <w:rsid w:val="00ED2725"/>
    <w:rsid w:val="00ED5891"/>
    <w:rsid w:val="00ED6FE3"/>
    <w:rsid w:val="00EE0227"/>
    <w:rsid w:val="00EE027A"/>
    <w:rsid w:val="00EE5019"/>
    <w:rsid w:val="00EE57D1"/>
    <w:rsid w:val="00EE5BA3"/>
    <w:rsid w:val="00EE5DC7"/>
    <w:rsid w:val="00EE5E86"/>
    <w:rsid w:val="00EF0C08"/>
    <w:rsid w:val="00EF0E49"/>
    <w:rsid w:val="00EF13C4"/>
    <w:rsid w:val="00EF37CE"/>
    <w:rsid w:val="00EF3D75"/>
    <w:rsid w:val="00EF3F43"/>
    <w:rsid w:val="00EF41B6"/>
    <w:rsid w:val="00EF472A"/>
    <w:rsid w:val="00EF55BC"/>
    <w:rsid w:val="00EF5AEB"/>
    <w:rsid w:val="00EF6E20"/>
    <w:rsid w:val="00F00AF5"/>
    <w:rsid w:val="00F01245"/>
    <w:rsid w:val="00F02301"/>
    <w:rsid w:val="00F02482"/>
    <w:rsid w:val="00F02564"/>
    <w:rsid w:val="00F0432F"/>
    <w:rsid w:val="00F04559"/>
    <w:rsid w:val="00F04E0B"/>
    <w:rsid w:val="00F052CF"/>
    <w:rsid w:val="00F0548F"/>
    <w:rsid w:val="00F07555"/>
    <w:rsid w:val="00F11D86"/>
    <w:rsid w:val="00F1532E"/>
    <w:rsid w:val="00F23671"/>
    <w:rsid w:val="00F27148"/>
    <w:rsid w:val="00F311F4"/>
    <w:rsid w:val="00F32563"/>
    <w:rsid w:val="00F32CE7"/>
    <w:rsid w:val="00F33E49"/>
    <w:rsid w:val="00F35FAB"/>
    <w:rsid w:val="00F36128"/>
    <w:rsid w:val="00F36E7A"/>
    <w:rsid w:val="00F42A1C"/>
    <w:rsid w:val="00F43622"/>
    <w:rsid w:val="00F4553A"/>
    <w:rsid w:val="00F47745"/>
    <w:rsid w:val="00F51335"/>
    <w:rsid w:val="00F5497C"/>
    <w:rsid w:val="00F557EB"/>
    <w:rsid w:val="00F56680"/>
    <w:rsid w:val="00F66122"/>
    <w:rsid w:val="00F66697"/>
    <w:rsid w:val="00F66CAF"/>
    <w:rsid w:val="00F67876"/>
    <w:rsid w:val="00F7225F"/>
    <w:rsid w:val="00F73275"/>
    <w:rsid w:val="00F753C1"/>
    <w:rsid w:val="00F76487"/>
    <w:rsid w:val="00F77D4B"/>
    <w:rsid w:val="00F83DA0"/>
    <w:rsid w:val="00F83FB6"/>
    <w:rsid w:val="00F850AF"/>
    <w:rsid w:val="00F85B25"/>
    <w:rsid w:val="00F85ED0"/>
    <w:rsid w:val="00F87E08"/>
    <w:rsid w:val="00F912ED"/>
    <w:rsid w:val="00F94AE2"/>
    <w:rsid w:val="00F95C34"/>
    <w:rsid w:val="00F95D12"/>
    <w:rsid w:val="00F968FD"/>
    <w:rsid w:val="00FA1094"/>
    <w:rsid w:val="00FA17AB"/>
    <w:rsid w:val="00FA2135"/>
    <w:rsid w:val="00FA383A"/>
    <w:rsid w:val="00FA49DB"/>
    <w:rsid w:val="00FA5FD2"/>
    <w:rsid w:val="00FB0B18"/>
    <w:rsid w:val="00FB1525"/>
    <w:rsid w:val="00FB5519"/>
    <w:rsid w:val="00FB583B"/>
    <w:rsid w:val="00FB68E0"/>
    <w:rsid w:val="00FC0422"/>
    <w:rsid w:val="00FC0DA7"/>
    <w:rsid w:val="00FC1018"/>
    <w:rsid w:val="00FC41DE"/>
    <w:rsid w:val="00FD3C38"/>
    <w:rsid w:val="00FD3DD2"/>
    <w:rsid w:val="00FD3ECD"/>
    <w:rsid w:val="00FD46E4"/>
    <w:rsid w:val="00FD48A8"/>
    <w:rsid w:val="00FD64AE"/>
    <w:rsid w:val="00FD67D6"/>
    <w:rsid w:val="00FD7047"/>
    <w:rsid w:val="00FE1138"/>
    <w:rsid w:val="00FE3211"/>
    <w:rsid w:val="00FF01D6"/>
    <w:rsid w:val="00FF403C"/>
    <w:rsid w:val="00FF6B56"/>
    <w:rsid w:val="00FF7E7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6673"/>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4A0"/>
    <w:rPr>
      <w:rFonts w:ascii="Arial" w:hAnsi="Arial"/>
      <w:sz w:val="20"/>
      <w:lang w:val="fr-FR"/>
    </w:rPr>
  </w:style>
  <w:style w:type="paragraph" w:styleId="Heading1">
    <w:name w:val="heading 1"/>
    <w:basedOn w:val="Normal"/>
    <w:next w:val="Normal"/>
    <w:link w:val="Heading1Char"/>
    <w:qFormat/>
    <w:rsid w:val="00DF040C"/>
    <w:pPr>
      <w:keepNext/>
      <w:tabs>
        <w:tab w:val="left" w:pos="567"/>
      </w:tabs>
      <w:spacing w:before="240" w:after="60"/>
      <w:ind w:left="2268" w:hanging="2268"/>
      <w:outlineLvl w:val="0"/>
    </w:pPr>
    <w:rPr>
      <w:rFonts w:ascii="Arial Bold" w:eastAsia="SimSun" w:hAnsi="Arial Bold" w:cs="Arial"/>
      <w:b/>
      <w:bCs/>
      <w:caps/>
      <w:kern w:val="32"/>
      <w:sz w:val="22"/>
      <w:szCs w:val="32"/>
      <w:lang w:eastAsia="en-US"/>
    </w:rPr>
  </w:style>
  <w:style w:type="paragraph" w:styleId="Heading2">
    <w:name w:val="heading 2"/>
    <w:basedOn w:val="Normal"/>
    <w:next w:val="Normal"/>
    <w:link w:val="Heading2Char"/>
    <w:unhideWhenUsed/>
    <w:qFormat/>
    <w:rsid w:val="0060494B"/>
    <w:pPr>
      <w:ind w:left="2268" w:hanging="2268"/>
      <w:outlineLvl w:val="1"/>
    </w:pPr>
    <w:rPr>
      <w:b/>
      <w:caps/>
      <w:sz w:val="22"/>
    </w:rPr>
  </w:style>
  <w:style w:type="paragraph" w:styleId="Heading3">
    <w:name w:val="heading 3"/>
    <w:basedOn w:val="Normal"/>
    <w:next w:val="Normal"/>
    <w:link w:val="Heading3Char"/>
    <w:unhideWhenUsed/>
    <w:qFormat/>
    <w:rsid w:val="0060494B"/>
    <w:pPr>
      <w:outlineLvl w:val="2"/>
    </w:pPr>
    <w:rPr>
      <w:b/>
      <w:i/>
      <w:sz w:val="22"/>
    </w:rPr>
  </w:style>
  <w:style w:type="paragraph" w:styleId="Heading4">
    <w:name w:val="heading 4"/>
    <w:basedOn w:val="Normal"/>
    <w:next w:val="Normal"/>
    <w:link w:val="Heading4Char"/>
    <w:qFormat/>
    <w:rsid w:val="00DF040C"/>
    <w:pPr>
      <w:ind w:left="3402" w:hanging="3402"/>
      <w:outlineLvl w:val="3"/>
    </w:pPr>
    <w:rPr>
      <w:b/>
      <w:caps/>
      <w:sz w:val="22"/>
    </w:rPr>
  </w:style>
  <w:style w:type="paragraph" w:styleId="Heading5">
    <w:name w:val="heading 5"/>
    <w:basedOn w:val="Heading4"/>
    <w:next w:val="Normal"/>
    <w:link w:val="Heading5Char"/>
    <w:qFormat/>
    <w:rsid w:val="002523FB"/>
    <w:pPr>
      <w:tabs>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iPriority w:val="99"/>
    <w:unhideWhenUsed/>
    <w:rsid w:val="00060B44"/>
    <w:pPr>
      <w:tabs>
        <w:tab w:val="center" w:pos="4680"/>
        <w:tab w:val="right" w:pos="9360"/>
      </w:tabs>
    </w:pPr>
  </w:style>
  <w:style w:type="character" w:customStyle="1" w:styleId="FooterChar">
    <w:name w:val="Footer Char"/>
    <w:basedOn w:val="DefaultParagraphFont"/>
    <w:link w:val="Footer"/>
    <w:uiPriority w:val="99"/>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tabs>
        <w:tab w:val="left" w:pos="1985"/>
      </w:tabs>
    </w:pPr>
    <w:rPr>
      <w:rFonts w:eastAsia="Times New Roman" w:cs="Arial"/>
      <w:bCs/>
      <w:iCs/>
      <w:caps/>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60494B"/>
    <w:rPr>
      <w:rFonts w:ascii="Arial" w:hAnsi="Arial"/>
      <w:b/>
      <w:i/>
      <w:lang w:val="fr-FR"/>
    </w:rPr>
  </w:style>
  <w:style w:type="character" w:customStyle="1" w:styleId="Heading1Char">
    <w:name w:val="Heading 1 Char"/>
    <w:basedOn w:val="DefaultParagraphFont"/>
    <w:link w:val="Heading1"/>
    <w:rsid w:val="00DF040C"/>
    <w:rPr>
      <w:rFonts w:ascii="Arial Bold" w:eastAsia="SimSun" w:hAnsi="Arial Bold" w:cs="Arial"/>
      <w:b/>
      <w:bCs/>
      <w:caps/>
      <w:kern w:val="32"/>
      <w:szCs w:val="32"/>
      <w:lang w:val="fr-FR" w:eastAsia="en-US"/>
    </w:rPr>
  </w:style>
  <w:style w:type="paragraph" w:styleId="BodyText">
    <w:name w:val="Body Text"/>
    <w:basedOn w:val="Normal"/>
    <w:link w:val="BodyTextChar"/>
    <w:qFormat/>
    <w:rsid w:val="00CC543A"/>
    <w:pPr>
      <w:spacing w:after="220"/>
    </w:pPr>
    <w:rPr>
      <w:rFonts w:eastAsia="Times New Roman"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B739A5"/>
    <w:pPr>
      <w:tabs>
        <w:tab w:val="left" w:pos="567"/>
        <w:tab w:val="left" w:pos="2269"/>
        <w:tab w:val="right" w:leader="dot" w:pos="9072"/>
      </w:tabs>
      <w:spacing w:after="100"/>
      <w:ind w:left="1701" w:hanging="1701"/>
    </w:pPr>
    <w:rPr>
      <w:rFonts w:ascii="Arial Bold" w:hAnsi="Arial Bold"/>
      <w:b/>
      <w:caps/>
      <w:noProof/>
    </w:rPr>
  </w:style>
  <w:style w:type="paragraph" w:styleId="TOC3">
    <w:name w:val="toc 3"/>
    <w:basedOn w:val="Normal"/>
    <w:next w:val="Normal"/>
    <w:autoRedefine/>
    <w:uiPriority w:val="39"/>
    <w:unhideWhenUsed/>
    <w:qFormat/>
    <w:rsid w:val="0051185A"/>
    <w:pPr>
      <w:tabs>
        <w:tab w:val="right" w:leader="dot" w:pos="9072"/>
      </w:tabs>
      <w:spacing w:after="100"/>
      <w:ind w:left="2835" w:hanging="2268"/>
    </w:pPr>
    <w:rPr>
      <w:rFonts w:eastAsia="SimSun"/>
      <w:i/>
      <w:noProof/>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eastAsiaTheme="minorHAnsi"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widowControl w:val="0"/>
      <w:tabs>
        <w:tab w:val="num" w:pos="567"/>
      </w:tabs>
      <w:spacing w:line="300" w:lineRule="atLeast"/>
      <w:ind w:left="567" w:hanging="567"/>
      <w:jc w:val="center"/>
    </w:pPr>
    <w:rPr>
      <w:rFonts w:ascii="Arial Bold" w:eastAsia="Times New Roman" w:hAnsi="Arial Bold"/>
      <w:iCs/>
      <w:caps w:val="0"/>
      <w:sz w:val="24"/>
      <w:szCs w:val="28"/>
      <w:lang w:val="en-GB" w:eastAsia="da-DK"/>
    </w:rPr>
  </w:style>
  <w:style w:type="character" w:customStyle="1" w:styleId="Heading2Char">
    <w:name w:val="Heading 2 Char"/>
    <w:basedOn w:val="DefaultParagraphFont"/>
    <w:link w:val="Heading2"/>
    <w:rsid w:val="0060494B"/>
    <w:rPr>
      <w:rFonts w:ascii="Arial" w:hAnsi="Arial"/>
      <w:b/>
      <w:caps/>
      <w:lang w:val="fr-FR"/>
    </w:rPr>
  </w:style>
  <w:style w:type="paragraph" w:styleId="TOC2">
    <w:name w:val="toc 2"/>
    <w:basedOn w:val="Normal"/>
    <w:next w:val="Normal"/>
    <w:autoRedefine/>
    <w:uiPriority w:val="39"/>
    <w:unhideWhenUsed/>
    <w:qFormat/>
    <w:rsid w:val="00616FD3"/>
    <w:pPr>
      <w:tabs>
        <w:tab w:val="right" w:leader="dot" w:pos="9072"/>
      </w:tabs>
      <w:spacing w:after="120"/>
      <w:ind w:left="2269" w:right="567" w:hanging="1985"/>
    </w:pPr>
    <w:rPr>
      <w:caps/>
      <w:noProof/>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DF040C"/>
    <w:rPr>
      <w:rFonts w:ascii="Arial" w:hAnsi="Arial"/>
      <w:b/>
      <w:caps/>
      <w:lang w:val="fr-FR"/>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Cs w:val="20"/>
      <w:lang w:val="en-GB" w:eastAsia="en-US"/>
    </w:rPr>
  </w:style>
  <w:style w:type="paragraph" w:customStyle="1" w:styleId="NormalArial">
    <w:name w:val="Normal + Arial"/>
    <w:aliases w:val="10 pt"/>
    <w:basedOn w:val="ListParagraph"/>
    <w:rsid w:val="002523FB"/>
    <w:pPr>
      <w:ind w:left="-28"/>
      <w:contextualSpacing w:val="0"/>
    </w:pPr>
    <w:rPr>
      <w:rFonts w:eastAsia="MS Mincho" w:cs="Arial"/>
      <w:bCs/>
      <w:szCs w:val="20"/>
    </w:rPr>
  </w:style>
  <w:style w:type="paragraph" w:customStyle="1" w:styleId="Normal6">
    <w:name w:val="Normal+6"/>
    <w:basedOn w:val="Normal"/>
    <w:next w:val="Normal"/>
    <w:rsid w:val="002523FB"/>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eastAsia="Times New Roman" w:cs="Times New Roman"/>
      <w:snapToGrid w:val="0"/>
      <w:color w:val="00000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uiPriority w:val="22"/>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eastAsia="Times New Roman" w:cs="Times New Roman"/>
      <w:i/>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eastAsia="Times New Roman"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eastAsia="Times New Roman"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eastAsia="Times New Roman"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2"/>
      </w:numPr>
    </w:pPr>
    <w:rPr>
      <w:rFonts w:ascii="Times New Roman" w:eastAsia="Times New Roman" w:hAnsi="Times New Roman" w:cs="Times New Roman"/>
      <w:sz w:val="24"/>
      <w:szCs w:val="20"/>
      <w:lang w:eastAsia="en-US"/>
    </w:rPr>
  </w:style>
  <w:style w:type="character" w:styleId="FollowedHyperlink">
    <w:name w:val="FollowedHyperlink"/>
    <w:uiPriority w:val="99"/>
    <w:rsid w:val="002523FB"/>
    <w:rPr>
      <w:color w:val="606420"/>
      <w:u w:val="single"/>
    </w:rPr>
  </w:style>
  <w:style w:type="paragraph" w:customStyle="1" w:styleId="ONUMFS">
    <w:name w:val="ONUM FS"/>
    <w:basedOn w:val="BodyText"/>
    <w:rsid w:val="002523FB"/>
    <w:pPr>
      <w:numPr>
        <w:numId w:val="3"/>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1"/>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val="fr-FR"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eastAsia="SimSun" w:cs="Arial"/>
      <w:szCs w:val="20"/>
      <w:lang w:eastAsia="zh-CN"/>
    </w:rPr>
  </w:style>
  <w:style w:type="paragraph" w:customStyle="1" w:styleId="StyleHeading3BoldNounderline">
    <w:name w:val="Style Heading 3 + Bold No underline"/>
    <w:basedOn w:val="Heading3"/>
    <w:rsid w:val="0010526D"/>
    <w:pPr>
      <w:spacing w:before="240" w:after="60"/>
    </w:pPr>
    <w:rPr>
      <w:rFonts w:eastAsia="SimSun" w:cs="Arial"/>
      <w:b w:val="0"/>
      <w:i w:val="0"/>
      <w:szCs w:val="26"/>
      <w:lang w:val="en-US" w:eastAsia="en-US"/>
    </w:rPr>
  </w:style>
  <w:style w:type="paragraph" w:styleId="TOC4">
    <w:name w:val="toc 4"/>
    <w:basedOn w:val="Normal"/>
    <w:next w:val="Normal"/>
    <w:autoRedefine/>
    <w:uiPriority w:val="39"/>
    <w:unhideWhenUsed/>
    <w:rsid w:val="00E41F70"/>
    <w:pPr>
      <w:tabs>
        <w:tab w:val="left" w:pos="3402"/>
        <w:tab w:val="right" w:leader="dot" w:pos="9061"/>
      </w:tabs>
      <w:spacing w:after="100"/>
      <w:ind w:left="3402" w:hanging="3118"/>
    </w:pPr>
    <w:rPr>
      <w:b/>
      <w:caps/>
      <w:noProof/>
    </w:rPr>
  </w:style>
  <w:style w:type="paragraph" w:customStyle="1" w:styleId="Paragraphedeliste1">
    <w:name w:val="Paragraphe de liste1"/>
    <w:autoRedefine/>
    <w:rsid w:val="00D21BE2"/>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StyleStyleHeading3ComplexItalicLatin">
    <w:name w:val="Style Style Heading 3 + (Complex) Italic + (Latin)"/>
    <w:basedOn w:val="StyleHeading3ComplexItalic"/>
    <w:link w:val="StyleStyleHeading3ComplexItalicLatinChar"/>
    <w:rsid w:val="00616FD3"/>
    <w:pPr>
      <w:keepNext/>
      <w:tabs>
        <w:tab w:val="clear" w:pos="1985"/>
        <w:tab w:val="left" w:pos="2835"/>
      </w:tabs>
      <w:ind w:left="2835" w:hanging="2835"/>
    </w:pPr>
    <w:rPr>
      <w:rFonts w:eastAsia="SimSun"/>
      <w:i w:val="0"/>
      <w:iCs w:val="0"/>
      <w:caps w:val="0"/>
      <w:lang w:val="en-US"/>
    </w:rPr>
  </w:style>
  <w:style w:type="character" w:customStyle="1" w:styleId="StyleStyleHeading3ComplexItalicLatinChar">
    <w:name w:val="Style Style Heading 3 + (Complex) Italic + (Latin) Char"/>
    <w:basedOn w:val="StyleHeading3ComplexItalicChar"/>
    <w:link w:val="StyleStyleHeading3ComplexItalicLatin"/>
    <w:rsid w:val="00616FD3"/>
    <w:rPr>
      <w:rFonts w:ascii="Arial" w:eastAsia="SimSun" w:hAnsi="Arial" w:cs="Arial"/>
      <w:b/>
      <w:bCs/>
      <w:iCs w:val="0"/>
      <w:caps w:val="0"/>
      <w:lang w:eastAsia="en-US"/>
    </w:rPr>
  </w:style>
  <w:style w:type="paragraph" w:styleId="TOC5">
    <w:name w:val="toc 5"/>
    <w:basedOn w:val="Normal"/>
    <w:next w:val="Normal"/>
    <w:autoRedefine/>
    <w:uiPriority w:val="39"/>
    <w:rsid w:val="00616FD3"/>
    <w:pPr>
      <w:spacing w:after="100"/>
      <w:ind w:left="567"/>
    </w:pPr>
    <w:rPr>
      <w:rFonts w:eastAsia="SimSun" w:cs="Arial"/>
      <w:i/>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4A0"/>
    <w:rPr>
      <w:rFonts w:ascii="Arial" w:hAnsi="Arial"/>
      <w:sz w:val="20"/>
      <w:lang w:val="fr-FR"/>
    </w:rPr>
  </w:style>
  <w:style w:type="paragraph" w:styleId="Heading1">
    <w:name w:val="heading 1"/>
    <w:basedOn w:val="Normal"/>
    <w:next w:val="Normal"/>
    <w:link w:val="Heading1Char"/>
    <w:qFormat/>
    <w:rsid w:val="00DF040C"/>
    <w:pPr>
      <w:keepNext/>
      <w:tabs>
        <w:tab w:val="left" w:pos="567"/>
      </w:tabs>
      <w:spacing w:before="240" w:after="60"/>
      <w:ind w:left="2268" w:hanging="2268"/>
      <w:outlineLvl w:val="0"/>
    </w:pPr>
    <w:rPr>
      <w:rFonts w:ascii="Arial Bold" w:eastAsia="SimSun" w:hAnsi="Arial Bold" w:cs="Arial"/>
      <w:b/>
      <w:bCs/>
      <w:caps/>
      <w:kern w:val="32"/>
      <w:sz w:val="22"/>
      <w:szCs w:val="32"/>
      <w:lang w:eastAsia="en-US"/>
    </w:rPr>
  </w:style>
  <w:style w:type="paragraph" w:styleId="Heading2">
    <w:name w:val="heading 2"/>
    <w:basedOn w:val="Normal"/>
    <w:next w:val="Normal"/>
    <w:link w:val="Heading2Char"/>
    <w:unhideWhenUsed/>
    <w:qFormat/>
    <w:rsid w:val="0060494B"/>
    <w:pPr>
      <w:ind w:left="2268" w:hanging="2268"/>
      <w:outlineLvl w:val="1"/>
    </w:pPr>
    <w:rPr>
      <w:b/>
      <w:caps/>
      <w:sz w:val="22"/>
    </w:rPr>
  </w:style>
  <w:style w:type="paragraph" w:styleId="Heading3">
    <w:name w:val="heading 3"/>
    <w:basedOn w:val="Normal"/>
    <w:next w:val="Normal"/>
    <w:link w:val="Heading3Char"/>
    <w:unhideWhenUsed/>
    <w:qFormat/>
    <w:rsid w:val="0060494B"/>
    <w:pPr>
      <w:outlineLvl w:val="2"/>
    </w:pPr>
    <w:rPr>
      <w:b/>
      <w:i/>
      <w:sz w:val="22"/>
    </w:rPr>
  </w:style>
  <w:style w:type="paragraph" w:styleId="Heading4">
    <w:name w:val="heading 4"/>
    <w:basedOn w:val="Normal"/>
    <w:next w:val="Normal"/>
    <w:link w:val="Heading4Char"/>
    <w:qFormat/>
    <w:rsid w:val="00DF040C"/>
    <w:pPr>
      <w:ind w:left="3402" w:hanging="3402"/>
      <w:outlineLvl w:val="3"/>
    </w:pPr>
    <w:rPr>
      <w:b/>
      <w:caps/>
      <w:sz w:val="22"/>
    </w:rPr>
  </w:style>
  <w:style w:type="paragraph" w:styleId="Heading5">
    <w:name w:val="heading 5"/>
    <w:basedOn w:val="Heading4"/>
    <w:next w:val="Normal"/>
    <w:link w:val="Heading5Char"/>
    <w:qFormat/>
    <w:rsid w:val="002523FB"/>
    <w:pPr>
      <w:tabs>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iPriority w:val="99"/>
    <w:unhideWhenUsed/>
    <w:rsid w:val="00060B44"/>
    <w:pPr>
      <w:tabs>
        <w:tab w:val="center" w:pos="4680"/>
        <w:tab w:val="right" w:pos="9360"/>
      </w:tabs>
    </w:pPr>
  </w:style>
  <w:style w:type="character" w:customStyle="1" w:styleId="FooterChar">
    <w:name w:val="Footer Char"/>
    <w:basedOn w:val="DefaultParagraphFont"/>
    <w:link w:val="Footer"/>
    <w:uiPriority w:val="99"/>
    <w:rsid w:val="00060B44"/>
  </w:style>
  <w:style w:type="paragraph" w:styleId="BalloonText">
    <w:name w:val="Balloon Text"/>
    <w:basedOn w:val="Normal"/>
    <w:link w:val="BalloonTextChar"/>
    <w:unhideWhenUsed/>
    <w:rsid w:val="005706BE"/>
    <w:rPr>
      <w:rFonts w:ascii="Tahoma" w:hAnsi="Tahoma" w:cs="Tahoma"/>
      <w:sz w:val="16"/>
      <w:szCs w:val="16"/>
    </w:rPr>
  </w:style>
  <w:style w:type="character" w:customStyle="1" w:styleId="BalloonTextChar">
    <w:name w:val="Balloon Text Char"/>
    <w:basedOn w:val="DefaultParagraphFont"/>
    <w:link w:val="BalloonText"/>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tabs>
        <w:tab w:val="left" w:pos="1985"/>
      </w:tabs>
    </w:pPr>
    <w:rPr>
      <w:rFonts w:eastAsia="Times New Roman" w:cs="Arial"/>
      <w:bCs/>
      <w:iCs/>
      <w:caps/>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60494B"/>
    <w:rPr>
      <w:rFonts w:ascii="Arial" w:hAnsi="Arial"/>
      <w:b/>
      <w:i/>
      <w:lang w:val="fr-FR"/>
    </w:rPr>
  </w:style>
  <w:style w:type="character" w:customStyle="1" w:styleId="Heading1Char">
    <w:name w:val="Heading 1 Char"/>
    <w:basedOn w:val="DefaultParagraphFont"/>
    <w:link w:val="Heading1"/>
    <w:rsid w:val="00DF040C"/>
    <w:rPr>
      <w:rFonts w:ascii="Arial Bold" w:eastAsia="SimSun" w:hAnsi="Arial Bold" w:cs="Arial"/>
      <w:b/>
      <w:bCs/>
      <w:caps/>
      <w:kern w:val="32"/>
      <w:szCs w:val="32"/>
      <w:lang w:val="fr-FR" w:eastAsia="en-US"/>
    </w:rPr>
  </w:style>
  <w:style w:type="paragraph" w:styleId="BodyText">
    <w:name w:val="Body Text"/>
    <w:basedOn w:val="Normal"/>
    <w:link w:val="BodyTextChar"/>
    <w:qFormat/>
    <w:rsid w:val="00CC543A"/>
    <w:pPr>
      <w:spacing w:after="220"/>
    </w:pPr>
    <w:rPr>
      <w:rFonts w:eastAsia="Times New Roman"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B739A5"/>
    <w:pPr>
      <w:tabs>
        <w:tab w:val="left" w:pos="567"/>
        <w:tab w:val="left" w:pos="2269"/>
        <w:tab w:val="right" w:leader="dot" w:pos="9072"/>
      </w:tabs>
      <w:spacing w:after="100"/>
      <w:ind w:left="1701" w:hanging="1701"/>
    </w:pPr>
    <w:rPr>
      <w:rFonts w:ascii="Arial Bold" w:hAnsi="Arial Bold"/>
      <w:b/>
      <w:caps/>
      <w:noProof/>
    </w:rPr>
  </w:style>
  <w:style w:type="paragraph" w:styleId="TOC3">
    <w:name w:val="toc 3"/>
    <w:basedOn w:val="Normal"/>
    <w:next w:val="Normal"/>
    <w:autoRedefine/>
    <w:uiPriority w:val="39"/>
    <w:unhideWhenUsed/>
    <w:qFormat/>
    <w:rsid w:val="0051185A"/>
    <w:pPr>
      <w:tabs>
        <w:tab w:val="right" w:leader="dot" w:pos="9072"/>
      </w:tabs>
      <w:spacing w:after="100"/>
      <w:ind w:left="2835" w:hanging="2268"/>
    </w:pPr>
    <w:rPr>
      <w:rFonts w:eastAsia="SimSun"/>
      <w:i/>
      <w:noProof/>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eastAsiaTheme="minorHAnsi"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widowControl w:val="0"/>
      <w:tabs>
        <w:tab w:val="num" w:pos="567"/>
      </w:tabs>
      <w:spacing w:line="300" w:lineRule="atLeast"/>
      <w:ind w:left="567" w:hanging="567"/>
      <w:jc w:val="center"/>
    </w:pPr>
    <w:rPr>
      <w:rFonts w:ascii="Arial Bold" w:eastAsia="Times New Roman" w:hAnsi="Arial Bold"/>
      <w:iCs/>
      <w:caps w:val="0"/>
      <w:sz w:val="24"/>
      <w:szCs w:val="28"/>
      <w:lang w:val="en-GB" w:eastAsia="da-DK"/>
    </w:rPr>
  </w:style>
  <w:style w:type="character" w:customStyle="1" w:styleId="Heading2Char">
    <w:name w:val="Heading 2 Char"/>
    <w:basedOn w:val="DefaultParagraphFont"/>
    <w:link w:val="Heading2"/>
    <w:rsid w:val="0060494B"/>
    <w:rPr>
      <w:rFonts w:ascii="Arial" w:hAnsi="Arial"/>
      <w:b/>
      <w:caps/>
      <w:lang w:val="fr-FR"/>
    </w:rPr>
  </w:style>
  <w:style w:type="paragraph" w:styleId="TOC2">
    <w:name w:val="toc 2"/>
    <w:basedOn w:val="Normal"/>
    <w:next w:val="Normal"/>
    <w:autoRedefine/>
    <w:uiPriority w:val="39"/>
    <w:unhideWhenUsed/>
    <w:qFormat/>
    <w:rsid w:val="00616FD3"/>
    <w:pPr>
      <w:tabs>
        <w:tab w:val="right" w:leader="dot" w:pos="9072"/>
      </w:tabs>
      <w:spacing w:after="120"/>
      <w:ind w:left="2269" w:right="567" w:hanging="1985"/>
    </w:pPr>
    <w:rPr>
      <w:caps/>
      <w:noProof/>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DF040C"/>
    <w:rPr>
      <w:rFonts w:ascii="Arial" w:hAnsi="Arial"/>
      <w:b/>
      <w:caps/>
      <w:lang w:val="fr-FR"/>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Cs w:val="20"/>
      <w:lang w:val="en-GB" w:eastAsia="en-US"/>
    </w:rPr>
  </w:style>
  <w:style w:type="paragraph" w:customStyle="1" w:styleId="NormalArial">
    <w:name w:val="Normal + Arial"/>
    <w:aliases w:val="10 pt"/>
    <w:basedOn w:val="ListParagraph"/>
    <w:rsid w:val="002523FB"/>
    <w:pPr>
      <w:ind w:left="-28"/>
      <w:contextualSpacing w:val="0"/>
    </w:pPr>
    <w:rPr>
      <w:rFonts w:eastAsia="MS Mincho" w:cs="Arial"/>
      <w:bCs/>
      <w:szCs w:val="20"/>
    </w:rPr>
  </w:style>
  <w:style w:type="paragraph" w:customStyle="1" w:styleId="Normal6">
    <w:name w:val="Normal+6"/>
    <w:basedOn w:val="Normal"/>
    <w:next w:val="Normal"/>
    <w:rsid w:val="002523FB"/>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eastAsia="Times New Roman" w:cs="Times New Roman"/>
      <w:snapToGrid w:val="0"/>
      <w:color w:val="00000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uiPriority w:val="22"/>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eastAsia="Times New Roman" w:cs="Times New Roman"/>
      <w:i/>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eastAsia="Times New Roman"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eastAsia="Times New Roman"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eastAsia="Times New Roman"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2"/>
      </w:numPr>
    </w:pPr>
    <w:rPr>
      <w:rFonts w:ascii="Times New Roman" w:eastAsia="Times New Roman" w:hAnsi="Times New Roman" w:cs="Times New Roman"/>
      <w:sz w:val="24"/>
      <w:szCs w:val="20"/>
      <w:lang w:eastAsia="en-US"/>
    </w:rPr>
  </w:style>
  <w:style w:type="character" w:styleId="FollowedHyperlink">
    <w:name w:val="FollowedHyperlink"/>
    <w:uiPriority w:val="99"/>
    <w:rsid w:val="002523FB"/>
    <w:rPr>
      <w:color w:val="606420"/>
      <w:u w:val="single"/>
    </w:rPr>
  </w:style>
  <w:style w:type="paragraph" w:customStyle="1" w:styleId="ONUMFS">
    <w:name w:val="ONUM FS"/>
    <w:basedOn w:val="BodyText"/>
    <w:rsid w:val="002523FB"/>
    <w:pPr>
      <w:numPr>
        <w:numId w:val="3"/>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1"/>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val="fr-FR"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eastAsia="SimSun" w:cs="Arial"/>
      <w:szCs w:val="20"/>
      <w:lang w:eastAsia="zh-CN"/>
    </w:rPr>
  </w:style>
  <w:style w:type="paragraph" w:customStyle="1" w:styleId="StyleHeading3BoldNounderline">
    <w:name w:val="Style Heading 3 + Bold No underline"/>
    <w:basedOn w:val="Heading3"/>
    <w:rsid w:val="0010526D"/>
    <w:pPr>
      <w:spacing w:before="240" w:after="60"/>
    </w:pPr>
    <w:rPr>
      <w:rFonts w:eastAsia="SimSun" w:cs="Arial"/>
      <w:b w:val="0"/>
      <w:i w:val="0"/>
      <w:szCs w:val="26"/>
      <w:lang w:val="en-US" w:eastAsia="en-US"/>
    </w:rPr>
  </w:style>
  <w:style w:type="paragraph" w:styleId="TOC4">
    <w:name w:val="toc 4"/>
    <w:basedOn w:val="Normal"/>
    <w:next w:val="Normal"/>
    <w:autoRedefine/>
    <w:uiPriority w:val="39"/>
    <w:unhideWhenUsed/>
    <w:rsid w:val="00E41F70"/>
    <w:pPr>
      <w:tabs>
        <w:tab w:val="left" w:pos="3402"/>
        <w:tab w:val="right" w:leader="dot" w:pos="9061"/>
      </w:tabs>
      <w:spacing w:after="100"/>
      <w:ind w:left="3402" w:hanging="3118"/>
    </w:pPr>
    <w:rPr>
      <w:b/>
      <w:caps/>
      <w:noProof/>
    </w:rPr>
  </w:style>
  <w:style w:type="paragraph" w:customStyle="1" w:styleId="Paragraphedeliste1">
    <w:name w:val="Paragraphe de liste1"/>
    <w:autoRedefine/>
    <w:rsid w:val="00D21BE2"/>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StyleStyleHeading3ComplexItalicLatin">
    <w:name w:val="Style Style Heading 3 + (Complex) Italic + (Latin)"/>
    <w:basedOn w:val="StyleHeading3ComplexItalic"/>
    <w:link w:val="StyleStyleHeading3ComplexItalicLatinChar"/>
    <w:rsid w:val="00616FD3"/>
    <w:pPr>
      <w:keepNext/>
      <w:tabs>
        <w:tab w:val="clear" w:pos="1985"/>
        <w:tab w:val="left" w:pos="2835"/>
      </w:tabs>
      <w:ind w:left="2835" w:hanging="2835"/>
    </w:pPr>
    <w:rPr>
      <w:rFonts w:eastAsia="SimSun"/>
      <w:i w:val="0"/>
      <w:iCs w:val="0"/>
      <w:caps w:val="0"/>
      <w:lang w:val="en-US"/>
    </w:rPr>
  </w:style>
  <w:style w:type="character" w:customStyle="1" w:styleId="StyleStyleHeading3ComplexItalicLatinChar">
    <w:name w:val="Style Style Heading 3 + (Complex) Italic + (Latin) Char"/>
    <w:basedOn w:val="StyleHeading3ComplexItalicChar"/>
    <w:link w:val="StyleStyleHeading3ComplexItalicLatin"/>
    <w:rsid w:val="00616FD3"/>
    <w:rPr>
      <w:rFonts w:ascii="Arial" w:eastAsia="SimSun" w:hAnsi="Arial" w:cs="Arial"/>
      <w:b/>
      <w:bCs/>
      <w:iCs w:val="0"/>
      <w:caps w:val="0"/>
      <w:lang w:eastAsia="en-US"/>
    </w:rPr>
  </w:style>
  <w:style w:type="paragraph" w:styleId="TOC5">
    <w:name w:val="toc 5"/>
    <w:basedOn w:val="Normal"/>
    <w:next w:val="Normal"/>
    <w:autoRedefine/>
    <w:uiPriority w:val="39"/>
    <w:rsid w:val="00616FD3"/>
    <w:pPr>
      <w:spacing w:after="100"/>
      <w:ind w:left="567"/>
    </w:pPr>
    <w:rPr>
      <w:rFonts w:eastAsia="SimSun" w:cs="Arial"/>
      <w:i/>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00717">
      <w:bodyDiv w:val="1"/>
      <w:marLeft w:val="0"/>
      <w:marRight w:val="0"/>
      <w:marTop w:val="0"/>
      <w:marBottom w:val="0"/>
      <w:divBdr>
        <w:top w:val="none" w:sz="0" w:space="0" w:color="auto"/>
        <w:left w:val="none" w:sz="0" w:space="0" w:color="auto"/>
        <w:bottom w:val="none" w:sz="0" w:space="0" w:color="auto"/>
        <w:right w:val="none" w:sz="0" w:space="0" w:color="auto"/>
      </w:divBdr>
    </w:div>
    <w:div w:id="375088258">
      <w:bodyDiv w:val="1"/>
      <w:marLeft w:val="0"/>
      <w:marRight w:val="0"/>
      <w:marTop w:val="0"/>
      <w:marBottom w:val="0"/>
      <w:divBdr>
        <w:top w:val="none" w:sz="0" w:space="0" w:color="auto"/>
        <w:left w:val="none" w:sz="0" w:space="0" w:color="auto"/>
        <w:bottom w:val="none" w:sz="0" w:space="0" w:color="auto"/>
        <w:right w:val="none" w:sz="0" w:space="0" w:color="auto"/>
      </w:divBdr>
    </w:div>
    <w:div w:id="431359318">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578946676">
      <w:bodyDiv w:val="1"/>
      <w:marLeft w:val="0"/>
      <w:marRight w:val="0"/>
      <w:marTop w:val="0"/>
      <w:marBottom w:val="0"/>
      <w:divBdr>
        <w:top w:val="none" w:sz="0" w:space="0" w:color="auto"/>
        <w:left w:val="none" w:sz="0" w:space="0" w:color="auto"/>
        <w:bottom w:val="none" w:sz="0" w:space="0" w:color="auto"/>
        <w:right w:val="none" w:sz="0" w:space="0" w:color="auto"/>
      </w:divBdr>
    </w:div>
    <w:div w:id="671026873">
      <w:bodyDiv w:val="1"/>
      <w:marLeft w:val="0"/>
      <w:marRight w:val="0"/>
      <w:marTop w:val="0"/>
      <w:marBottom w:val="0"/>
      <w:divBdr>
        <w:top w:val="none" w:sz="0" w:space="0" w:color="auto"/>
        <w:left w:val="none" w:sz="0" w:space="0" w:color="auto"/>
        <w:bottom w:val="none" w:sz="0" w:space="0" w:color="auto"/>
        <w:right w:val="none" w:sz="0" w:space="0" w:color="auto"/>
      </w:divBdr>
    </w:div>
    <w:div w:id="83495857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999650043">
          <w:marLeft w:val="547"/>
          <w:marRight w:val="0"/>
          <w:marTop w:val="0"/>
          <w:marBottom w:val="0"/>
          <w:divBdr>
            <w:top w:val="none" w:sz="0" w:space="0" w:color="auto"/>
            <w:left w:val="none" w:sz="0" w:space="0" w:color="auto"/>
            <w:bottom w:val="none" w:sz="0" w:space="0" w:color="auto"/>
            <w:right w:val="none" w:sz="0" w:space="0" w:color="auto"/>
          </w:divBdr>
        </w:div>
        <w:div w:id="1071468288">
          <w:marLeft w:val="547"/>
          <w:marRight w:val="0"/>
          <w:marTop w:val="0"/>
          <w:marBottom w:val="0"/>
          <w:divBdr>
            <w:top w:val="none" w:sz="0" w:space="0" w:color="auto"/>
            <w:left w:val="none" w:sz="0" w:space="0" w:color="auto"/>
            <w:bottom w:val="none" w:sz="0" w:space="0" w:color="auto"/>
            <w:right w:val="none" w:sz="0" w:space="0" w:color="auto"/>
          </w:divBdr>
        </w:div>
      </w:divsChild>
    </w:div>
    <w:div w:id="887184606">
      <w:bodyDiv w:val="1"/>
      <w:marLeft w:val="0"/>
      <w:marRight w:val="0"/>
      <w:marTop w:val="0"/>
      <w:marBottom w:val="0"/>
      <w:divBdr>
        <w:top w:val="none" w:sz="0" w:space="0" w:color="auto"/>
        <w:left w:val="none" w:sz="0" w:space="0" w:color="auto"/>
        <w:bottom w:val="none" w:sz="0" w:space="0" w:color="auto"/>
        <w:right w:val="none" w:sz="0" w:space="0" w:color="auto"/>
      </w:divBdr>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4380131">
      <w:bodyDiv w:val="1"/>
      <w:marLeft w:val="0"/>
      <w:marRight w:val="0"/>
      <w:marTop w:val="0"/>
      <w:marBottom w:val="0"/>
      <w:divBdr>
        <w:top w:val="none" w:sz="0" w:space="0" w:color="auto"/>
        <w:left w:val="none" w:sz="0" w:space="0" w:color="auto"/>
        <w:bottom w:val="none" w:sz="0" w:space="0" w:color="auto"/>
        <w:right w:val="none" w:sz="0" w:space="0" w:color="auto"/>
      </w:divBdr>
      <w:divsChild>
        <w:div w:id="1329796181">
          <w:marLeft w:val="547"/>
          <w:marRight w:val="0"/>
          <w:marTop w:val="0"/>
          <w:marBottom w:val="0"/>
          <w:divBdr>
            <w:top w:val="none" w:sz="0" w:space="0" w:color="auto"/>
            <w:left w:val="none" w:sz="0" w:space="0" w:color="auto"/>
            <w:bottom w:val="none" w:sz="0" w:space="0" w:color="auto"/>
            <w:right w:val="none" w:sz="0" w:space="0" w:color="auto"/>
          </w:divBdr>
        </w:div>
        <w:div w:id="1324091248">
          <w:marLeft w:val="547"/>
          <w:marRight w:val="0"/>
          <w:marTop w:val="0"/>
          <w:marBottom w:val="0"/>
          <w:divBdr>
            <w:top w:val="none" w:sz="0" w:space="0" w:color="auto"/>
            <w:left w:val="none" w:sz="0" w:space="0" w:color="auto"/>
            <w:bottom w:val="none" w:sz="0" w:space="0" w:color="auto"/>
            <w:right w:val="none" w:sz="0" w:space="0" w:color="auto"/>
          </w:divBdr>
        </w:div>
        <w:div w:id="776798822">
          <w:marLeft w:val="547"/>
          <w:marRight w:val="0"/>
          <w:marTop w:val="0"/>
          <w:marBottom w:val="0"/>
          <w:divBdr>
            <w:top w:val="none" w:sz="0" w:space="0" w:color="auto"/>
            <w:left w:val="none" w:sz="0" w:space="0" w:color="auto"/>
            <w:bottom w:val="none" w:sz="0" w:space="0" w:color="auto"/>
            <w:right w:val="none" w:sz="0" w:space="0" w:color="auto"/>
          </w:divBdr>
        </w:div>
        <w:div w:id="987629608">
          <w:marLeft w:val="547"/>
          <w:marRight w:val="0"/>
          <w:marTop w:val="0"/>
          <w:marBottom w:val="0"/>
          <w:divBdr>
            <w:top w:val="none" w:sz="0" w:space="0" w:color="auto"/>
            <w:left w:val="none" w:sz="0" w:space="0" w:color="auto"/>
            <w:bottom w:val="none" w:sz="0" w:space="0" w:color="auto"/>
            <w:right w:val="none" w:sz="0" w:space="0" w:color="auto"/>
          </w:divBdr>
        </w:div>
        <w:div w:id="941106223">
          <w:marLeft w:val="547"/>
          <w:marRight w:val="0"/>
          <w:marTop w:val="0"/>
          <w:marBottom w:val="0"/>
          <w:divBdr>
            <w:top w:val="none" w:sz="0" w:space="0" w:color="auto"/>
            <w:left w:val="none" w:sz="0" w:space="0" w:color="auto"/>
            <w:bottom w:val="none" w:sz="0" w:space="0" w:color="auto"/>
            <w:right w:val="none" w:sz="0" w:space="0" w:color="auto"/>
          </w:divBdr>
        </w:div>
        <w:div w:id="528494833">
          <w:marLeft w:val="547"/>
          <w:marRight w:val="0"/>
          <w:marTop w:val="0"/>
          <w:marBottom w:val="0"/>
          <w:divBdr>
            <w:top w:val="none" w:sz="0" w:space="0" w:color="auto"/>
            <w:left w:val="none" w:sz="0" w:space="0" w:color="auto"/>
            <w:bottom w:val="none" w:sz="0" w:space="0" w:color="auto"/>
            <w:right w:val="none" w:sz="0" w:space="0" w:color="auto"/>
          </w:divBdr>
        </w:div>
        <w:div w:id="1847134550">
          <w:marLeft w:val="547"/>
          <w:marRight w:val="0"/>
          <w:marTop w:val="0"/>
          <w:marBottom w:val="0"/>
          <w:divBdr>
            <w:top w:val="none" w:sz="0" w:space="0" w:color="auto"/>
            <w:left w:val="none" w:sz="0" w:space="0" w:color="auto"/>
            <w:bottom w:val="none" w:sz="0" w:space="0" w:color="auto"/>
            <w:right w:val="none" w:sz="0" w:space="0" w:color="auto"/>
          </w:divBdr>
        </w:div>
        <w:div w:id="1484393661">
          <w:marLeft w:val="547"/>
          <w:marRight w:val="0"/>
          <w:marTop w:val="0"/>
          <w:marBottom w:val="0"/>
          <w:divBdr>
            <w:top w:val="none" w:sz="0" w:space="0" w:color="auto"/>
            <w:left w:val="none" w:sz="0" w:space="0" w:color="auto"/>
            <w:bottom w:val="none" w:sz="0" w:space="0" w:color="auto"/>
            <w:right w:val="none" w:sz="0" w:space="0" w:color="auto"/>
          </w:divBdr>
        </w:div>
      </w:divsChild>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467355940">
      <w:bodyDiv w:val="1"/>
      <w:marLeft w:val="0"/>
      <w:marRight w:val="0"/>
      <w:marTop w:val="0"/>
      <w:marBottom w:val="0"/>
      <w:divBdr>
        <w:top w:val="none" w:sz="0" w:space="0" w:color="auto"/>
        <w:left w:val="none" w:sz="0" w:space="0" w:color="auto"/>
        <w:bottom w:val="none" w:sz="0" w:space="0" w:color="auto"/>
        <w:right w:val="none" w:sz="0" w:space="0" w:color="auto"/>
      </w:divBdr>
    </w:div>
    <w:div w:id="1527401704">
      <w:bodyDiv w:val="1"/>
      <w:marLeft w:val="0"/>
      <w:marRight w:val="0"/>
      <w:marTop w:val="0"/>
      <w:marBottom w:val="0"/>
      <w:divBdr>
        <w:top w:val="none" w:sz="0" w:space="0" w:color="auto"/>
        <w:left w:val="none" w:sz="0" w:space="0" w:color="auto"/>
        <w:bottom w:val="none" w:sz="0" w:space="0" w:color="auto"/>
        <w:right w:val="none" w:sz="0" w:space="0" w:color="auto"/>
      </w:divBdr>
    </w:div>
    <w:div w:id="1604410876">
      <w:bodyDiv w:val="1"/>
      <w:marLeft w:val="0"/>
      <w:marRight w:val="0"/>
      <w:marTop w:val="0"/>
      <w:marBottom w:val="0"/>
      <w:divBdr>
        <w:top w:val="none" w:sz="0" w:space="0" w:color="auto"/>
        <w:left w:val="none" w:sz="0" w:space="0" w:color="auto"/>
        <w:bottom w:val="none" w:sz="0" w:space="0" w:color="auto"/>
        <w:right w:val="none" w:sz="0" w:space="0" w:color="auto"/>
      </w:divBdr>
    </w:div>
    <w:div w:id="1803965401">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 w:id="2014985561">
      <w:bodyDiv w:val="1"/>
      <w:marLeft w:val="0"/>
      <w:marRight w:val="0"/>
      <w:marTop w:val="0"/>
      <w:marBottom w:val="0"/>
      <w:divBdr>
        <w:top w:val="none" w:sz="0" w:space="0" w:color="auto"/>
        <w:left w:val="none" w:sz="0" w:space="0" w:color="auto"/>
        <w:bottom w:val="none" w:sz="0" w:space="0" w:color="auto"/>
        <w:right w:val="none" w:sz="0" w:space="0" w:color="auto"/>
      </w:divBdr>
    </w:div>
    <w:div w:id="2045666215">
      <w:bodyDiv w:val="1"/>
      <w:marLeft w:val="0"/>
      <w:marRight w:val="0"/>
      <w:marTop w:val="0"/>
      <w:marBottom w:val="0"/>
      <w:divBdr>
        <w:top w:val="none" w:sz="0" w:space="0" w:color="auto"/>
        <w:left w:val="none" w:sz="0" w:space="0" w:color="auto"/>
        <w:bottom w:val="none" w:sz="0" w:space="0" w:color="auto"/>
        <w:right w:val="none" w:sz="0" w:space="0" w:color="auto"/>
      </w:divBdr>
    </w:div>
    <w:div w:id="204906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emf"/><Relationship Id="rId21" Type="http://schemas.openxmlformats.org/officeDocument/2006/relationships/image" Target="media/image7.emf"/><Relationship Id="rId42" Type="http://schemas.openxmlformats.org/officeDocument/2006/relationships/image" Target="media/image24.emf"/><Relationship Id="rId63" Type="http://schemas.openxmlformats.org/officeDocument/2006/relationships/image" Target="media/image45.emf"/><Relationship Id="rId84" Type="http://schemas.openxmlformats.org/officeDocument/2006/relationships/image" Target="media/image66.emf"/><Relationship Id="rId138" Type="http://schemas.openxmlformats.org/officeDocument/2006/relationships/image" Target="media/image120.emf"/><Relationship Id="rId159" Type="http://schemas.openxmlformats.org/officeDocument/2006/relationships/image" Target="media/image141.emf"/><Relationship Id="rId170" Type="http://schemas.openxmlformats.org/officeDocument/2006/relationships/image" Target="media/image152.emf"/><Relationship Id="rId191" Type="http://schemas.openxmlformats.org/officeDocument/2006/relationships/image" Target="media/image173.emf"/><Relationship Id="rId205" Type="http://schemas.openxmlformats.org/officeDocument/2006/relationships/image" Target="media/image187.emf"/><Relationship Id="rId226" Type="http://schemas.openxmlformats.org/officeDocument/2006/relationships/image" Target="media/image206.emf"/><Relationship Id="rId247" Type="http://schemas.openxmlformats.org/officeDocument/2006/relationships/image" Target="media/image227.emf"/><Relationship Id="rId107" Type="http://schemas.openxmlformats.org/officeDocument/2006/relationships/image" Target="media/image89.emf"/><Relationship Id="rId268"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image" Target="media/image14.emf"/><Relationship Id="rId53" Type="http://schemas.openxmlformats.org/officeDocument/2006/relationships/image" Target="media/image35.emf"/><Relationship Id="rId74" Type="http://schemas.openxmlformats.org/officeDocument/2006/relationships/image" Target="media/image56.emf"/><Relationship Id="rId128" Type="http://schemas.openxmlformats.org/officeDocument/2006/relationships/image" Target="media/image110.emf"/><Relationship Id="rId149" Type="http://schemas.openxmlformats.org/officeDocument/2006/relationships/image" Target="media/image131.emf"/><Relationship Id="rId5" Type="http://schemas.openxmlformats.org/officeDocument/2006/relationships/settings" Target="settings.xml"/><Relationship Id="rId95" Type="http://schemas.openxmlformats.org/officeDocument/2006/relationships/image" Target="media/image77.emf"/><Relationship Id="rId160" Type="http://schemas.openxmlformats.org/officeDocument/2006/relationships/image" Target="media/image142.emf"/><Relationship Id="rId181" Type="http://schemas.openxmlformats.org/officeDocument/2006/relationships/image" Target="media/image163.emf"/><Relationship Id="rId216" Type="http://schemas.openxmlformats.org/officeDocument/2006/relationships/image" Target="media/image196.emf"/><Relationship Id="rId237" Type="http://schemas.openxmlformats.org/officeDocument/2006/relationships/image" Target="media/image217.emf"/><Relationship Id="rId258" Type="http://schemas.openxmlformats.org/officeDocument/2006/relationships/image" Target="media/image238.emf"/><Relationship Id="rId22" Type="http://schemas.openxmlformats.org/officeDocument/2006/relationships/header" Target="header4.xml"/><Relationship Id="rId43" Type="http://schemas.openxmlformats.org/officeDocument/2006/relationships/image" Target="media/image25.emf"/><Relationship Id="rId64" Type="http://schemas.openxmlformats.org/officeDocument/2006/relationships/image" Target="media/image46.emf"/><Relationship Id="rId118" Type="http://schemas.openxmlformats.org/officeDocument/2006/relationships/image" Target="media/image100.emf"/><Relationship Id="rId139" Type="http://schemas.openxmlformats.org/officeDocument/2006/relationships/image" Target="media/image121.emf"/><Relationship Id="rId85" Type="http://schemas.openxmlformats.org/officeDocument/2006/relationships/image" Target="media/image67.emf"/><Relationship Id="rId150" Type="http://schemas.openxmlformats.org/officeDocument/2006/relationships/image" Target="media/image132.emf"/><Relationship Id="rId171" Type="http://schemas.openxmlformats.org/officeDocument/2006/relationships/image" Target="media/image153.emf"/><Relationship Id="rId192" Type="http://schemas.openxmlformats.org/officeDocument/2006/relationships/image" Target="media/image174.emf"/><Relationship Id="rId206" Type="http://schemas.openxmlformats.org/officeDocument/2006/relationships/image" Target="media/image188.emf"/><Relationship Id="rId227" Type="http://schemas.openxmlformats.org/officeDocument/2006/relationships/image" Target="media/image207.emf"/><Relationship Id="rId248" Type="http://schemas.openxmlformats.org/officeDocument/2006/relationships/image" Target="media/image228.emf"/><Relationship Id="rId269"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image" Target="media/image15.emf"/><Relationship Id="rId108" Type="http://schemas.openxmlformats.org/officeDocument/2006/relationships/image" Target="media/image90.emf"/><Relationship Id="rId129" Type="http://schemas.openxmlformats.org/officeDocument/2006/relationships/image" Target="media/image111.emf"/><Relationship Id="rId54" Type="http://schemas.openxmlformats.org/officeDocument/2006/relationships/image" Target="media/image36.emf"/><Relationship Id="rId75" Type="http://schemas.openxmlformats.org/officeDocument/2006/relationships/image" Target="media/image57.emf"/><Relationship Id="rId96" Type="http://schemas.openxmlformats.org/officeDocument/2006/relationships/image" Target="media/image78.emf"/><Relationship Id="rId140" Type="http://schemas.openxmlformats.org/officeDocument/2006/relationships/image" Target="media/image122.emf"/><Relationship Id="rId161" Type="http://schemas.openxmlformats.org/officeDocument/2006/relationships/image" Target="media/image143.emf"/><Relationship Id="rId182" Type="http://schemas.openxmlformats.org/officeDocument/2006/relationships/image" Target="media/image164.emf"/><Relationship Id="rId217" Type="http://schemas.openxmlformats.org/officeDocument/2006/relationships/image" Target="media/image197.emf"/><Relationship Id="rId6" Type="http://schemas.openxmlformats.org/officeDocument/2006/relationships/webSettings" Target="webSettings.xml"/><Relationship Id="rId238" Type="http://schemas.openxmlformats.org/officeDocument/2006/relationships/image" Target="media/image218.emf"/><Relationship Id="rId259" Type="http://schemas.openxmlformats.org/officeDocument/2006/relationships/image" Target="media/image239.emf"/><Relationship Id="rId23" Type="http://schemas.openxmlformats.org/officeDocument/2006/relationships/header" Target="header5.xml"/><Relationship Id="rId28" Type="http://schemas.openxmlformats.org/officeDocument/2006/relationships/image" Target="media/image12.jpeg"/><Relationship Id="rId49" Type="http://schemas.openxmlformats.org/officeDocument/2006/relationships/image" Target="media/image31.emf"/><Relationship Id="rId114" Type="http://schemas.openxmlformats.org/officeDocument/2006/relationships/image" Target="media/image96.emf"/><Relationship Id="rId119" Type="http://schemas.openxmlformats.org/officeDocument/2006/relationships/image" Target="media/image101.emf"/><Relationship Id="rId270" Type="http://schemas.openxmlformats.org/officeDocument/2006/relationships/theme" Target="theme/theme1.xml"/><Relationship Id="rId44" Type="http://schemas.openxmlformats.org/officeDocument/2006/relationships/image" Target="media/image26.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130" Type="http://schemas.openxmlformats.org/officeDocument/2006/relationships/image" Target="media/image112.emf"/><Relationship Id="rId135" Type="http://schemas.openxmlformats.org/officeDocument/2006/relationships/image" Target="media/image117.emf"/><Relationship Id="rId151" Type="http://schemas.openxmlformats.org/officeDocument/2006/relationships/image" Target="media/image133.emf"/><Relationship Id="rId156" Type="http://schemas.openxmlformats.org/officeDocument/2006/relationships/image" Target="media/image138.emf"/><Relationship Id="rId177" Type="http://schemas.openxmlformats.org/officeDocument/2006/relationships/image" Target="media/image159.emf"/><Relationship Id="rId198" Type="http://schemas.openxmlformats.org/officeDocument/2006/relationships/image" Target="media/image180.emf"/><Relationship Id="rId172" Type="http://schemas.openxmlformats.org/officeDocument/2006/relationships/image" Target="media/image154.emf"/><Relationship Id="rId193" Type="http://schemas.openxmlformats.org/officeDocument/2006/relationships/image" Target="media/image175.emf"/><Relationship Id="rId202" Type="http://schemas.openxmlformats.org/officeDocument/2006/relationships/image" Target="media/image184.emf"/><Relationship Id="rId207" Type="http://schemas.openxmlformats.org/officeDocument/2006/relationships/image" Target="media/image189.emf"/><Relationship Id="rId223" Type="http://schemas.openxmlformats.org/officeDocument/2006/relationships/image" Target="media/image203.emf"/><Relationship Id="rId228" Type="http://schemas.openxmlformats.org/officeDocument/2006/relationships/image" Target="media/image208.emf"/><Relationship Id="rId244" Type="http://schemas.openxmlformats.org/officeDocument/2006/relationships/image" Target="media/image224.emf"/><Relationship Id="rId249" Type="http://schemas.openxmlformats.org/officeDocument/2006/relationships/image" Target="media/image229.emf"/><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image" Target="media/image21.emf"/><Relationship Id="rId109" Type="http://schemas.openxmlformats.org/officeDocument/2006/relationships/image" Target="media/image91.emf"/><Relationship Id="rId260" Type="http://schemas.openxmlformats.org/officeDocument/2006/relationships/image" Target="media/image240.emf"/><Relationship Id="rId265" Type="http://schemas.openxmlformats.org/officeDocument/2006/relationships/image" Target="media/image245.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emf"/><Relationship Id="rId141" Type="http://schemas.openxmlformats.org/officeDocument/2006/relationships/image" Target="media/image123.emf"/><Relationship Id="rId146" Type="http://schemas.openxmlformats.org/officeDocument/2006/relationships/image" Target="media/image128.emf"/><Relationship Id="rId167" Type="http://schemas.openxmlformats.org/officeDocument/2006/relationships/image" Target="media/image149.emf"/><Relationship Id="rId188" Type="http://schemas.openxmlformats.org/officeDocument/2006/relationships/image" Target="media/image170.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162" Type="http://schemas.openxmlformats.org/officeDocument/2006/relationships/image" Target="media/image144.emf"/><Relationship Id="rId183" Type="http://schemas.openxmlformats.org/officeDocument/2006/relationships/image" Target="media/image165.emf"/><Relationship Id="rId213" Type="http://schemas.openxmlformats.org/officeDocument/2006/relationships/header" Target="header9.xml"/><Relationship Id="rId218" Type="http://schemas.openxmlformats.org/officeDocument/2006/relationships/image" Target="media/image198.emf"/><Relationship Id="rId234" Type="http://schemas.openxmlformats.org/officeDocument/2006/relationships/image" Target="media/image214.emf"/><Relationship Id="rId239" Type="http://schemas.openxmlformats.org/officeDocument/2006/relationships/image" Target="media/image219.emf"/><Relationship Id="rId2" Type="http://schemas.openxmlformats.org/officeDocument/2006/relationships/numbering" Target="numbering.xml"/><Relationship Id="rId29" Type="http://schemas.openxmlformats.org/officeDocument/2006/relationships/header" Target="header6.xml"/><Relationship Id="rId250" Type="http://schemas.openxmlformats.org/officeDocument/2006/relationships/image" Target="media/image230.emf"/><Relationship Id="rId255" Type="http://schemas.openxmlformats.org/officeDocument/2006/relationships/image" Target="media/image235.emf"/><Relationship Id="rId24" Type="http://schemas.openxmlformats.org/officeDocument/2006/relationships/image" Target="media/image8.jpe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emf"/><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image" Target="media/image139.emf"/><Relationship Id="rId178" Type="http://schemas.openxmlformats.org/officeDocument/2006/relationships/image" Target="media/image160.emf"/><Relationship Id="rId61" Type="http://schemas.openxmlformats.org/officeDocument/2006/relationships/image" Target="media/image43.emf"/><Relationship Id="rId82" Type="http://schemas.openxmlformats.org/officeDocument/2006/relationships/image" Target="media/image64.emf"/><Relationship Id="rId152" Type="http://schemas.openxmlformats.org/officeDocument/2006/relationships/image" Target="media/image134.emf"/><Relationship Id="rId173" Type="http://schemas.openxmlformats.org/officeDocument/2006/relationships/image" Target="media/image155.emf"/><Relationship Id="rId194" Type="http://schemas.openxmlformats.org/officeDocument/2006/relationships/image" Target="media/image176.emf"/><Relationship Id="rId199" Type="http://schemas.openxmlformats.org/officeDocument/2006/relationships/image" Target="media/image181.emf"/><Relationship Id="rId203" Type="http://schemas.openxmlformats.org/officeDocument/2006/relationships/image" Target="media/image185.emf"/><Relationship Id="rId208" Type="http://schemas.openxmlformats.org/officeDocument/2006/relationships/image" Target="media/image190.emf"/><Relationship Id="rId229" Type="http://schemas.openxmlformats.org/officeDocument/2006/relationships/image" Target="media/image209.emf"/><Relationship Id="rId19" Type="http://schemas.openxmlformats.org/officeDocument/2006/relationships/image" Target="media/image5.emf"/><Relationship Id="rId224" Type="http://schemas.openxmlformats.org/officeDocument/2006/relationships/image" Target="media/image204.emf"/><Relationship Id="rId240" Type="http://schemas.openxmlformats.org/officeDocument/2006/relationships/image" Target="media/image220.emf"/><Relationship Id="rId245" Type="http://schemas.openxmlformats.org/officeDocument/2006/relationships/image" Target="media/image225.emf"/><Relationship Id="rId261" Type="http://schemas.openxmlformats.org/officeDocument/2006/relationships/image" Target="media/image241.emf"/><Relationship Id="rId266" Type="http://schemas.openxmlformats.org/officeDocument/2006/relationships/image" Target="media/image246.emf"/><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image" Target="media/image108.emf"/><Relationship Id="rId147" Type="http://schemas.openxmlformats.org/officeDocument/2006/relationships/image" Target="media/image129.emf"/><Relationship Id="rId168" Type="http://schemas.openxmlformats.org/officeDocument/2006/relationships/image" Target="media/image150.emf"/><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3.emf"/><Relationship Id="rId142" Type="http://schemas.openxmlformats.org/officeDocument/2006/relationships/image" Target="media/image124.emf"/><Relationship Id="rId163" Type="http://schemas.openxmlformats.org/officeDocument/2006/relationships/image" Target="media/image145.emf"/><Relationship Id="rId184" Type="http://schemas.openxmlformats.org/officeDocument/2006/relationships/image" Target="media/image166.emf"/><Relationship Id="rId189" Type="http://schemas.openxmlformats.org/officeDocument/2006/relationships/image" Target="media/image171.emf"/><Relationship Id="rId219" Type="http://schemas.openxmlformats.org/officeDocument/2006/relationships/image" Target="media/image199.emf"/><Relationship Id="rId3" Type="http://schemas.openxmlformats.org/officeDocument/2006/relationships/styles" Target="styles.xml"/><Relationship Id="rId214" Type="http://schemas.openxmlformats.org/officeDocument/2006/relationships/image" Target="media/image194.emf"/><Relationship Id="rId230" Type="http://schemas.openxmlformats.org/officeDocument/2006/relationships/image" Target="media/image210.emf"/><Relationship Id="rId235" Type="http://schemas.openxmlformats.org/officeDocument/2006/relationships/image" Target="media/image215.emf"/><Relationship Id="rId251" Type="http://schemas.openxmlformats.org/officeDocument/2006/relationships/image" Target="media/image231.emf"/><Relationship Id="rId256" Type="http://schemas.openxmlformats.org/officeDocument/2006/relationships/image" Target="media/image236.emf"/><Relationship Id="rId25" Type="http://schemas.openxmlformats.org/officeDocument/2006/relationships/image" Target="media/image9.jpeg"/><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image" Target="media/image98.emf"/><Relationship Id="rId137" Type="http://schemas.openxmlformats.org/officeDocument/2006/relationships/image" Target="media/image119.emf"/><Relationship Id="rId158" Type="http://schemas.openxmlformats.org/officeDocument/2006/relationships/image" Target="media/image140.emf"/><Relationship Id="rId20" Type="http://schemas.openxmlformats.org/officeDocument/2006/relationships/image" Target="media/image6.emf"/><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93.emf"/><Relationship Id="rId132" Type="http://schemas.openxmlformats.org/officeDocument/2006/relationships/image" Target="media/image114.emf"/><Relationship Id="rId153" Type="http://schemas.openxmlformats.org/officeDocument/2006/relationships/image" Target="media/image135.emf"/><Relationship Id="rId174" Type="http://schemas.openxmlformats.org/officeDocument/2006/relationships/image" Target="media/image156.emf"/><Relationship Id="rId179" Type="http://schemas.openxmlformats.org/officeDocument/2006/relationships/image" Target="media/image161.emf"/><Relationship Id="rId195" Type="http://schemas.openxmlformats.org/officeDocument/2006/relationships/image" Target="media/image177.emf"/><Relationship Id="rId209" Type="http://schemas.openxmlformats.org/officeDocument/2006/relationships/image" Target="media/image191.emf"/><Relationship Id="rId190" Type="http://schemas.openxmlformats.org/officeDocument/2006/relationships/image" Target="media/image172.emf"/><Relationship Id="rId204" Type="http://schemas.openxmlformats.org/officeDocument/2006/relationships/image" Target="media/image186.emf"/><Relationship Id="rId220" Type="http://schemas.openxmlformats.org/officeDocument/2006/relationships/image" Target="media/image200.emf"/><Relationship Id="rId225" Type="http://schemas.openxmlformats.org/officeDocument/2006/relationships/image" Target="media/image205.emf"/><Relationship Id="rId241" Type="http://schemas.openxmlformats.org/officeDocument/2006/relationships/image" Target="media/image221.emf"/><Relationship Id="rId246" Type="http://schemas.openxmlformats.org/officeDocument/2006/relationships/image" Target="media/image226.emf"/><Relationship Id="rId267" Type="http://schemas.openxmlformats.org/officeDocument/2006/relationships/image" Target="media/image247.emf"/><Relationship Id="rId15" Type="http://schemas.openxmlformats.org/officeDocument/2006/relationships/footer" Target="footer3.xml"/><Relationship Id="rId36" Type="http://schemas.openxmlformats.org/officeDocument/2006/relationships/image" Target="media/image18.emf"/><Relationship Id="rId57" Type="http://schemas.openxmlformats.org/officeDocument/2006/relationships/image" Target="media/image39.emf"/><Relationship Id="rId106" Type="http://schemas.openxmlformats.org/officeDocument/2006/relationships/image" Target="media/image88.emf"/><Relationship Id="rId127" Type="http://schemas.openxmlformats.org/officeDocument/2006/relationships/image" Target="media/image109.emf"/><Relationship Id="rId262" Type="http://schemas.openxmlformats.org/officeDocument/2006/relationships/image" Target="media/image242.emf"/><Relationship Id="rId10" Type="http://schemas.openxmlformats.org/officeDocument/2006/relationships/header" Target="header1.xml"/><Relationship Id="rId31" Type="http://schemas.openxmlformats.org/officeDocument/2006/relationships/image" Target="media/image13.emf"/><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emf"/><Relationship Id="rId143" Type="http://schemas.openxmlformats.org/officeDocument/2006/relationships/image" Target="media/image125.emf"/><Relationship Id="rId148" Type="http://schemas.openxmlformats.org/officeDocument/2006/relationships/image" Target="media/image130.emf"/><Relationship Id="rId164" Type="http://schemas.openxmlformats.org/officeDocument/2006/relationships/image" Target="media/image146.emf"/><Relationship Id="rId169" Type="http://schemas.openxmlformats.org/officeDocument/2006/relationships/image" Target="media/image151.emf"/><Relationship Id="rId185" Type="http://schemas.openxmlformats.org/officeDocument/2006/relationships/image" Target="media/image167.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2.emf"/><Relationship Id="rId210" Type="http://schemas.openxmlformats.org/officeDocument/2006/relationships/image" Target="media/image192.emf"/><Relationship Id="rId215" Type="http://schemas.openxmlformats.org/officeDocument/2006/relationships/image" Target="media/image195.emf"/><Relationship Id="rId236" Type="http://schemas.openxmlformats.org/officeDocument/2006/relationships/image" Target="media/image216.emf"/><Relationship Id="rId257" Type="http://schemas.openxmlformats.org/officeDocument/2006/relationships/image" Target="media/image237.emf"/><Relationship Id="rId26" Type="http://schemas.openxmlformats.org/officeDocument/2006/relationships/image" Target="media/image10.jpeg"/><Relationship Id="rId231" Type="http://schemas.openxmlformats.org/officeDocument/2006/relationships/image" Target="media/image211.emf"/><Relationship Id="rId252" Type="http://schemas.openxmlformats.org/officeDocument/2006/relationships/image" Target="media/image232.emf"/><Relationship Id="rId47" Type="http://schemas.openxmlformats.org/officeDocument/2006/relationships/image" Target="media/image29.emf"/><Relationship Id="rId68" Type="http://schemas.openxmlformats.org/officeDocument/2006/relationships/image" Target="media/image50.emf"/><Relationship Id="rId89" Type="http://schemas.openxmlformats.org/officeDocument/2006/relationships/image" Target="media/image71.emf"/><Relationship Id="rId112" Type="http://schemas.openxmlformats.org/officeDocument/2006/relationships/image" Target="media/image94.emf"/><Relationship Id="rId133" Type="http://schemas.openxmlformats.org/officeDocument/2006/relationships/image" Target="media/image115.emf"/><Relationship Id="rId154" Type="http://schemas.openxmlformats.org/officeDocument/2006/relationships/image" Target="media/image136.emf"/><Relationship Id="rId175" Type="http://schemas.openxmlformats.org/officeDocument/2006/relationships/image" Target="media/image157.emf"/><Relationship Id="rId196" Type="http://schemas.openxmlformats.org/officeDocument/2006/relationships/image" Target="media/image178.emf"/><Relationship Id="rId200" Type="http://schemas.openxmlformats.org/officeDocument/2006/relationships/image" Target="media/image182.emf"/><Relationship Id="rId16" Type="http://schemas.openxmlformats.org/officeDocument/2006/relationships/image" Target="media/image2.emf"/><Relationship Id="rId221" Type="http://schemas.openxmlformats.org/officeDocument/2006/relationships/image" Target="media/image201.emf"/><Relationship Id="rId242" Type="http://schemas.openxmlformats.org/officeDocument/2006/relationships/image" Target="media/image222.emf"/><Relationship Id="rId263" Type="http://schemas.openxmlformats.org/officeDocument/2006/relationships/image" Target="media/image243.emf"/><Relationship Id="rId37" Type="http://schemas.openxmlformats.org/officeDocument/2006/relationships/image" Target="media/image19.emf"/><Relationship Id="rId58" Type="http://schemas.openxmlformats.org/officeDocument/2006/relationships/image" Target="media/image40.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5.emf"/><Relationship Id="rId144" Type="http://schemas.openxmlformats.org/officeDocument/2006/relationships/image" Target="media/image126.emf"/><Relationship Id="rId90" Type="http://schemas.openxmlformats.org/officeDocument/2006/relationships/image" Target="media/image72.emf"/><Relationship Id="rId165" Type="http://schemas.openxmlformats.org/officeDocument/2006/relationships/image" Target="media/image147.emf"/><Relationship Id="rId186" Type="http://schemas.openxmlformats.org/officeDocument/2006/relationships/image" Target="media/image168.emf"/><Relationship Id="rId211" Type="http://schemas.openxmlformats.org/officeDocument/2006/relationships/image" Target="media/image193.emf"/><Relationship Id="rId232" Type="http://schemas.openxmlformats.org/officeDocument/2006/relationships/image" Target="media/image212.emf"/><Relationship Id="rId253" Type="http://schemas.openxmlformats.org/officeDocument/2006/relationships/image" Target="media/image233.emf"/><Relationship Id="rId27" Type="http://schemas.openxmlformats.org/officeDocument/2006/relationships/image" Target="media/image11.jpeg"/><Relationship Id="rId48" Type="http://schemas.openxmlformats.org/officeDocument/2006/relationships/image" Target="media/image30.emf"/><Relationship Id="rId69" Type="http://schemas.openxmlformats.org/officeDocument/2006/relationships/image" Target="media/image51.emf"/><Relationship Id="rId113" Type="http://schemas.openxmlformats.org/officeDocument/2006/relationships/image" Target="media/image95.emf"/><Relationship Id="rId134" Type="http://schemas.openxmlformats.org/officeDocument/2006/relationships/image" Target="media/image116.emf"/><Relationship Id="rId80" Type="http://schemas.openxmlformats.org/officeDocument/2006/relationships/image" Target="media/image62.emf"/><Relationship Id="rId155" Type="http://schemas.openxmlformats.org/officeDocument/2006/relationships/image" Target="media/image137.emf"/><Relationship Id="rId176" Type="http://schemas.openxmlformats.org/officeDocument/2006/relationships/image" Target="media/image158.emf"/><Relationship Id="rId197" Type="http://schemas.openxmlformats.org/officeDocument/2006/relationships/image" Target="media/image179.emf"/><Relationship Id="rId201" Type="http://schemas.openxmlformats.org/officeDocument/2006/relationships/image" Target="media/image183.emf"/><Relationship Id="rId222" Type="http://schemas.openxmlformats.org/officeDocument/2006/relationships/image" Target="media/image202.emf"/><Relationship Id="rId243" Type="http://schemas.openxmlformats.org/officeDocument/2006/relationships/image" Target="media/image223.emf"/><Relationship Id="rId264" Type="http://schemas.openxmlformats.org/officeDocument/2006/relationships/image" Target="media/image244.emf"/><Relationship Id="rId17" Type="http://schemas.openxmlformats.org/officeDocument/2006/relationships/image" Target="media/image3.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24" Type="http://schemas.openxmlformats.org/officeDocument/2006/relationships/image" Target="media/image106.emf"/><Relationship Id="rId70" Type="http://schemas.openxmlformats.org/officeDocument/2006/relationships/image" Target="media/image52.emf"/><Relationship Id="rId91" Type="http://schemas.openxmlformats.org/officeDocument/2006/relationships/image" Target="media/image73.emf"/><Relationship Id="rId145" Type="http://schemas.openxmlformats.org/officeDocument/2006/relationships/image" Target="media/image127.emf"/><Relationship Id="rId166" Type="http://schemas.openxmlformats.org/officeDocument/2006/relationships/image" Target="media/image148.emf"/><Relationship Id="rId187" Type="http://schemas.openxmlformats.org/officeDocument/2006/relationships/image" Target="media/image169.emf"/><Relationship Id="rId1" Type="http://schemas.openxmlformats.org/officeDocument/2006/relationships/customXml" Target="../customXml/item1.xml"/><Relationship Id="rId212" Type="http://schemas.openxmlformats.org/officeDocument/2006/relationships/header" Target="header8.xml"/><Relationship Id="rId233" Type="http://schemas.openxmlformats.org/officeDocument/2006/relationships/image" Target="media/image213.emf"/><Relationship Id="rId254" Type="http://schemas.openxmlformats.org/officeDocument/2006/relationships/image" Target="media/image234.emf"/></Relationships>
</file>

<file path=word/_rels/footnotes.xml.rels><?xml version="1.0" encoding="UTF-8" standalone="yes"?>
<Relationships xmlns="http://schemas.openxmlformats.org/package/2006/relationships"><Relationship Id="rId3" Type="http://schemas.openxmlformats.org/officeDocument/2006/relationships/hyperlink" Target="https://documents-dds-ny.un.org/doc/UNDOC/GEN/N15/458/92/pdf/N1545892.pdf?OpenElement" TargetMode="External"/><Relationship Id="rId2" Type="http://schemas.openxmlformats.org/officeDocument/2006/relationships/hyperlink" Target="mailto:madrid.qp@wipo.int" TargetMode="External"/><Relationship Id="rId1" Type="http://schemas.openxmlformats.org/officeDocument/2006/relationships/hyperlink" Target="http://www.un.org/fr/ga/search/view_doc.asp?symbol=A/RES/70/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78AF-978C-4F3F-8E08-7A6B763DE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281</Pages>
  <Words>76353</Words>
  <Characters>435217</Characters>
  <Application>Microsoft Office Word</Application>
  <DocSecurity>0</DocSecurity>
  <Lines>3626</Lines>
  <Paragraphs>1021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510549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keywords>DB/sc</cp:keywords>
  <cp:lastModifiedBy>ZEBARJADI-SAR Nahal</cp:lastModifiedBy>
  <cp:revision>5</cp:revision>
  <cp:lastPrinted>2017-05-22T08:22:00Z</cp:lastPrinted>
  <dcterms:created xsi:type="dcterms:W3CDTF">2017-05-19T16:05:00Z</dcterms:created>
  <dcterms:modified xsi:type="dcterms:W3CDTF">2017-05-22T11:45:00Z</dcterms:modified>
</cp:coreProperties>
</file>