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45EB8" w:rsidRPr="009C24E6" w:rsidTr="005002C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C3870" w:rsidRPr="009C24E6" w:rsidRDefault="000C3870" w:rsidP="00645EB8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C3870" w:rsidRPr="009C24E6" w:rsidRDefault="000C3870" w:rsidP="00645EB8">
            <w:pPr>
              <w:rPr>
                <w:lang w:val="fr-FR"/>
              </w:rPr>
            </w:pPr>
            <w:r w:rsidRPr="009C24E6">
              <w:rPr>
                <w:noProof/>
                <w:lang w:eastAsia="en-US"/>
              </w:rPr>
              <w:drawing>
                <wp:inline distT="0" distB="0" distL="0" distR="0" wp14:anchorId="12A4ED2F" wp14:editId="5C2BE5C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C3870" w:rsidRPr="009C24E6" w:rsidRDefault="000C3870" w:rsidP="00645EB8">
            <w:pPr>
              <w:jc w:val="right"/>
              <w:rPr>
                <w:lang w:val="fr-FR"/>
              </w:rPr>
            </w:pPr>
            <w:r w:rsidRPr="009C24E6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45EB8" w:rsidRPr="009C24E6" w:rsidTr="005002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C3870" w:rsidRPr="009C24E6" w:rsidRDefault="000C3870" w:rsidP="00645EB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C24E6">
              <w:rPr>
                <w:rFonts w:ascii="Arial Black" w:hAnsi="Arial Black"/>
                <w:caps/>
                <w:sz w:val="15"/>
                <w:lang w:val="fr-FR"/>
              </w:rPr>
              <w:t>wo/pbc/24/</w:t>
            </w:r>
            <w:bookmarkStart w:id="0" w:name="Code"/>
            <w:bookmarkEnd w:id="0"/>
            <w:r w:rsidRPr="009C24E6">
              <w:rPr>
                <w:rFonts w:ascii="Arial Black" w:hAnsi="Arial Black"/>
                <w:caps/>
                <w:sz w:val="15"/>
                <w:lang w:val="fr-FR"/>
              </w:rPr>
              <w:t xml:space="preserve">12 </w:t>
            </w:r>
          </w:p>
        </w:tc>
      </w:tr>
      <w:tr w:rsidR="00645EB8" w:rsidRPr="009C24E6" w:rsidTr="005002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C3870" w:rsidRPr="009C24E6" w:rsidRDefault="000C3870" w:rsidP="00645EB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C24E6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CC129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9C24E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9C24E6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0C3870" w:rsidRPr="009C24E6" w:rsidTr="005002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C3870" w:rsidRPr="009C24E6" w:rsidRDefault="000C3870" w:rsidP="00645EB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C24E6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CC129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9C24E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9C24E6">
              <w:rPr>
                <w:rFonts w:ascii="Arial Black" w:hAnsi="Arial Black"/>
                <w:caps/>
                <w:sz w:val="15"/>
                <w:lang w:val="fr-FR"/>
              </w:rPr>
              <w:t>10 juillet 2015</w:t>
            </w:r>
          </w:p>
        </w:tc>
      </w:tr>
    </w:tbl>
    <w:p w:rsidR="000C3870" w:rsidRPr="009C24E6" w:rsidRDefault="000C3870" w:rsidP="00645EB8">
      <w:pPr>
        <w:rPr>
          <w:lang w:val="fr-FR"/>
        </w:rPr>
      </w:pPr>
    </w:p>
    <w:p w:rsidR="000C3870" w:rsidRPr="009C24E6" w:rsidRDefault="000C3870" w:rsidP="00645EB8">
      <w:pPr>
        <w:rPr>
          <w:lang w:val="fr-FR"/>
        </w:rPr>
      </w:pPr>
    </w:p>
    <w:p w:rsidR="000C3870" w:rsidRPr="009C24E6" w:rsidRDefault="000C3870" w:rsidP="00645EB8">
      <w:pPr>
        <w:rPr>
          <w:lang w:val="fr-FR"/>
        </w:rPr>
      </w:pPr>
    </w:p>
    <w:p w:rsidR="000C3870" w:rsidRPr="009C24E6" w:rsidRDefault="000C3870" w:rsidP="00645EB8">
      <w:pPr>
        <w:rPr>
          <w:lang w:val="fr-FR"/>
        </w:rPr>
      </w:pPr>
    </w:p>
    <w:p w:rsidR="000C3870" w:rsidRPr="009C24E6" w:rsidRDefault="000C3870" w:rsidP="00645EB8">
      <w:pPr>
        <w:rPr>
          <w:lang w:val="fr-FR"/>
        </w:rPr>
      </w:pPr>
    </w:p>
    <w:p w:rsidR="000C3870" w:rsidRPr="009C24E6" w:rsidRDefault="000C3870" w:rsidP="00645EB8">
      <w:pPr>
        <w:rPr>
          <w:lang w:val="fr-FR"/>
        </w:rPr>
      </w:pPr>
      <w:r w:rsidRPr="009C24E6">
        <w:rPr>
          <w:b/>
          <w:sz w:val="28"/>
          <w:szCs w:val="28"/>
          <w:lang w:val="fr-FR"/>
        </w:rPr>
        <w:t>Comité du programme et budget</w:t>
      </w:r>
    </w:p>
    <w:p w:rsidR="000C3870" w:rsidRPr="009C24E6" w:rsidRDefault="000C3870" w:rsidP="00645EB8">
      <w:pPr>
        <w:rPr>
          <w:lang w:val="fr-FR"/>
        </w:rPr>
      </w:pPr>
    </w:p>
    <w:p w:rsidR="000C3870" w:rsidRPr="009C24E6" w:rsidRDefault="000C3870" w:rsidP="00645EB8">
      <w:pPr>
        <w:rPr>
          <w:lang w:val="fr-FR"/>
        </w:rPr>
      </w:pPr>
    </w:p>
    <w:p w:rsidR="000C3870" w:rsidRPr="009C24E6" w:rsidRDefault="000C3870" w:rsidP="00645EB8">
      <w:pPr>
        <w:rPr>
          <w:b/>
          <w:sz w:val="24"/>
          <w:szCs w:val="24"/>
          <w:lang w:val="fr-FR"/>
        </w:rPr>
      </w:pPr>
      <w:r w:rsidRPr="009C24E6">
        <w:rPr>
          <w:b/>
          <w:sz w:val="24"/>
          <w:szCs w:val="24"/>
          <w:lang w:val="fr-FR"/>
        </w:rPr>
        <w:t>Vingt</w:t>
      </w:r>
      <w:r w:rsidR="00BA7504">
        <w:rPr>
          <w:b/>
          <w:sz w:val="24"/>
          <w:szCs w:val="24"/>
          <w:lang w:val="fr-FR"/>
        </w:rPr>
        <w:noBreakHyphen/>
      </w:r>
      <w:r w:rsidRPr="009C24E6">
        <w:rPr>
          <w:b/>
          <w:sz w:val="24"/>
          <w:szCs w:val="24"/>
          <w:lang w:val="fr-FR"/>
        </w:rPr>
        <w:t>quatrième</w:t>
      </w:r>
      <w:r w:rsidR="00CC1295">
        <w:rPr>
          <w:b/>
          <w:sz w:val="24"/>
          <w:szCs w:val="24"/>
          <w:lang w:val="fr-FR"/>
        </w:rPr>
        <w:t> </w:t>
      </w:r>
      <w:r w:rsidRPr="009C24E6">
        <w:rPr>
          <w:b/>
          <w:sz w:val="24"/>
          <w:szCs w:val="24"/>
          <w:lang w:val="fr-FR"/>
        </w:rPr>
        <w:t>session</w:t>
      </w:r>
    </w:p>
    <w:p w:rsidR="000C3870" w:rsidRPr="009C24E6" w:rsidRDefault="000C3870" w:rsidP="00645EB8">
      <w:pPr>
        <w:rPr>
          <w:lang w:val="fr-FR"/>
        </w:rPr>
      </w:pPr>
      <w:r w:rsidRPr="009C24E6">
        <w:rPr>
          <w:b/>
          <w:sz w:val="24"/>
          <w:szCs w:val="24"/>
          <w:lang w:val="fr-FR"/>
        </w:rPr>
        <w:t>Genève, 14 – 1</w:t>
      </w:r>
      <w:r w:rsidR="009C24E6" w:rsidRPr="009C24E6">
        <w:rPr>
          <w:b/>
          <w:sz w:val="24"/>
          <w:szCs w:val="24"/>
          <w:lang w:val="fr-FR"/>
        </w:rPr>
        <w:t>8</w:t>
      </w:r>
      <w:r w:rsidR="009C24E6">
        <w:rPr>
          <w:b/>
          <w:sz w:val="24"/>
          <w:szCs w:val="24"/>
          <w:lang w:val="fr-FR"/>
        </w:rPr>
        <w:t> </w:t>
      </w:r>
      <w:r w:rsidR="009C24E6" w:rsidRPr="009C24E6">
        <w:rPr>
          <w:b/>
          <w:sz w:val="24"/>
          <w:szCs w:val="24"/>
          <w:lang w:val="fr-FR"/>
        </w:rPr>
        <w:t>septembre</w:t>
      </w:r>
      <w:r w:rsidR="009C24E6">
        <w:rPr>
          <w:b/>
          <w:sz w:val="24"/>
          <w:szCs w:val="24"/>
          <w:lang w:val="fr-FR"/>
        </w:rPr>
        <w:t> </w:t>
      </w:r>
      <w:r w:rsidR="009C24E6" w:rsidRPr="009C24E6">
        <w:rPr>
          <w:b/>
          <w:sz w:val="24"/>
          <w:szCs w:val="24"/>
          <w:lang w:val="fr-FR"/>
        </w:rPr>
        <w:t>20</w:t>
      </w:r>
      <w:r w:rsidRPr="009C24E6">
        <w:rPr>
          <w:b/>
          <w:sz w:val="24"/>
          <w:szCs w:val="24"/>
          <w:lang w:val="fr-FR"/>
        </w:rPr>
        <w:t>15</w:t>
      </w:r>
    </w:p>
    <w:p w:rsidR="000C3870" w:rsidRPr="009C24E6" w:rsidRDefault="000C3870" w:rsidP="00645EB8">
      <w:pPr>
        <w:rPr>
          <w:lang w:val="fr-FR"/>
        </w:rPr>
      </w:pPr>
    </w:p>
    <w:p w:rsidR="000C3870" w:rsidRPr="009C24E6" w:rsidRDefault="000C3870" w:rsidP="00645EB8">
      <w:pPr>
        <w:rPr>
          <w:lang w:val="fr-FR"/>
        </w:rPr>
      </w:pPr>
    </w:p>
    <w:p w:rsidR="00626796" w:rsidRPr="009C24E6" w:rsidRDefault="00192E9A" w:rsidP="00645EB8">
      <w:pPr>
        <w:rPr>
          <w:caps/>
          <w:sz w:val="24"/>
          <w:lang w:val="fr-FR"/>
        </w:rPr>
      </w:pPr>
      <w:r w:rsidRPr="009C24E6">
        <w:rPr>
          <w:caps/>
          <w:sz w:val="24"/>
          <w:lang w:val="fr-FR"/>
        </w:rPr>
        <w:t>RAPPORT FINAL SUR LE PROJET RELATIF AU RENFORCEMENT DES NORMES DE SÛRETÉ ET DE SÉCURITÉ POUR LES BÂTIMENTS EXISTANTS DE L</w:t>
      </w:r>
      <w:r w:rsidR="009C24E6">
        <w:rPr>
          <w:caps/>
          <w:sz w:val="24"/>
          <w:lang w:val="fr-FR"/>
        </w:rPr>
        <w:t>’</w:t>
      </w:r>
      <w:r w:rsidRPr="009C24E6">
        <w:rPr>
          <w:caps/>
          <w:sz w:val="24"/>
          <w:lang w:val="fr-FR"/>
        </w:rPr>
        <w:t>OMPI</w:t>
      </w:r>
    </w:p>
    <w:p w:rsidR="00626796" w:rsidRPr="009C24E6" w:rsidRDefault="00626796" w:rsidP="00645EB8">
      <w:pPr>
        <w:rPr>
          <w:i/>
          <w:szCs w:val="22"/>
          <w:lang w:val="fr-FR"/>
        </w:rPr>
      </w:pPr>
      <w:bookmarkStart w:id="3" w:name="Prepared"/>
      <w:bookmarkEnd w:id="3"/>
    </w:p>
    <w:p w:rsidR="00626796" w:rsidRPr="009C24E6" w:rsidRDefault="00192E9A" w:rsidP="00645EB8">
      <w:pPr>
        <w:rPr>
          <w:lang w:val="fr-FR"/>
        </w:rPr>
      </w:pPr>
      <w:proofErr w:type="gramStart"/>
      <w:r w:rsidRPr="009C24E6">
        <w:rPr>
          <w:i/>
          <w:lang w:val="fr-FR"/>
        </w:rPr>
        <w:t>établi</w:t>
      </w:r>
      <w:proofErr w:type="gramEnd"/>
      <w:r w:rsidRPr="009C24E6">
        <w:rPr>
          <w:i/>
          <w:lang w:val="fr-FR"/>
        </w:rPr>
        <w:t xml:space="preserve"> par le Secrétariat</w:t>
      </w:r>
    </w:p>
    <w:p w:rsidR="00626796" w:rsidRPr="009C24E6" w:rsidRDefault="00626796" w:rsidP="00645EB8">
      <w:pPr>
        <w:rPr>
          <w:lang w:val="fr-FR"/>
        </w:rPr>
      </w:pPr>
    </w:p>
    <w:p w:rsidR="00626796" w:rsidRPr="009C24E6" w:rsidRDefault="00626796" w:rsidP="00645EB8">
      <w:pPr>
        <w:rPr>
          <w:lang w:val="fr-FR"/>
        </w:rPr>
      </w:pPr>
    </w:p>
    <w:p w:rsidR="00626796" w:rsidRPr="009C24E6" w:rsidRDefault="00626796" w:rsidP="00645EB8">
      <w:pPr>
        <w:rPr>
          <w:lang w:val="fr-FR"/>
        </w:rPr>
      </w:pPr>
    </w:p>
    <w:p w:rsidR="00626796" w:rsidRPr="009C24E6" w:rsidRDefault="00626796" w:rsidP="00645EB8">
      <w:pPr>
        <w:rPr>
          <w:lang w:val="fr-FR"/>
        </w:rPr>
      </w:pPr>
    </w:p>
    <w:p w:rsidR="00626796" w:rsidRPr="009C24E6" w:rsidRDefault="004E46DF" w:rsidP="00645EB8">
      <w:pPr>
        <w:pStyle w:val="Heading1"/>
        <w:keepNext w:val="0"/>
        <w:keepLines w:val="0"/>
        <w:spacing w:before="0"/>
        <w:rPr>
          <w:color w:val="auto"/>
          <w:lang w:val="fr-FR"/>
        </w:rPr>
      </w:pPr>
      <w:r w:rsidRPr="009C24E6">
        <w:rPr>
          <w:color w:val="auto"/>
          <w:lang w:val="fr-FR"/>
        </w:rPr>
        <w:t>HISTORIQUE</w:t>
      </w:r>
    </w:p>
    <w:p w:rsidR="00F76C7A" w:rsidRPr="009C24E6" w:rsidRDefault="00F76C7A" w:rsidP="00645EB8">
      <w:pPr>
        <w:pStyle w:val="ONUME"/>
        <w:spacing w:after="0"/>
        <w:rPr>
          <w:lang w:val="fr-FR"/>
        </w:rPr>
      </w:pPr>
    </w:p>
    <w:p w:rsidR="00626796" w:rsidRPr="009C24E6" w:rsidRDefault="009C5DA1" w:rsidP="00645EB8">
      <w:pPr>
        <w:pStyle w:val="ONUMFS"/>
        <w:rPr>
          <w:lang w:val="fr-FR"/>
        </w:rPr>
      </w:pPr>
      <w:r w:rsidRPr="009C24E6">
        <w:rPr>
          <w:lang w:val="fr-FR"/>
        </w:rPr>
        <w:t>La quarante</w:t>
      </w:r>
      <w:r w:rsidR="00BA7504">
        <w:rPr>
          <w:lang w:val="fr-FR"/>
        </w:rPr>
        <w:noBreakHyphen/>
      </w:r>
      <w:r w:rsidRPr="009C24E6">
        <w:rPr>
          <w:lang w:val="fr-FR"/>
        </w:rPr>
        <w:t>sixième</w:t>
      </w:r>
      <w:r w:rsidR="004E46DF" w:rsidRPr="009C24E6">
        <w:rPr>
          <w:lang w:val="fr-FR"/>
        </w:rPr>
        <w:t> </w:t>
      </w:r>
      <w:r w:rsidRPr="009C24E6">
        <w:rPr>
          <w:lang w:val="fr-FR"/>
        </w:rPr>
        <w:t>série de réunions des assemblées des États membres de l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OMPI en septembre 2008 a approuvé la proposition du Secrétariat </w:t>
      </w:r>
      <w:r w:rsidR="00867384" w:rsidRPr="009C24E6">
        <w:rPr>
          <w:lang w:val="fr-FR"/>
        </w:rPr>
        <w:t>relative au</w:t>
      </w:r>
      <w:r w:rsidRPr="009C24E6">
        <w:rPr>
          <w:lang w:val="fr-FR"/>
        </w:rPr>
        <w:t xml:space="preserve"> renforce</w:t>
      </w:r>
      <w:r w:rsidR="00867384" w:rsidRPr="009C24E6">
        <w:rPr>
          <w:lang w:val="fr-FR"/>
        </w:rPr>
        <w:t>ment d</w:t>
      </w:r>
      <w:r w:rsidRPr="009C24E6">
        <w:rPr>
          <w:lang w:val="fr-FR"/>
        </w:rPr>
        <w:t>es normes de sûreté et de sécurité pour les bâtiments existants de l</w:t>
      </w:r>
      <w:r w:rsidR="009C24E6">
        <w:rPr>
          <w:lang w:val="fr-FR"/>
        </w:rPr>
        <w:t>’</w:t>
      </w:r>
      <w:r w:rsidRPr="009C24E6">
        <w:rPr>
          <w:lang w:val="fr-FR"/>
        </w:rPr>
        <w:t>OMPI (documents WO/PBC/13/6(a) et A/46/10), l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objectif étant </w:t>
      </w:r>
      <w:r w:rsidR="003E2700" w:rsidRPr="009C24E6">
        <w:rPr>
          <w:lang w:val="fr-FR"/>
        </w:rPr>
        <w:t>d</w:t>
      </w:r>
      <w:r w:rsidR="009C24E6">
        <w:rPr>
          <w:lang w:val="fr-FR"/>
        </w:rPr>
        <w:t>’</w:t>
      </w:r>
      <w:r w:rsidR="003E2700" w:rsidRPr="009C24E6">
        <w:rPr>
          <w:lang w:val="fr-FR"/>
        </w:rPr>
        <w:t>assurer la conformité des normes de sûreté et de sécurité appliquées aux bâtiments de l</w:t>
      </w:r>
      <w:r w:rsidR="009C24E6">
        <w:rPr>
          <w:lang w:val="fr-FR"/>
        </w:rPr>
        <w:t>’</w:t>
      </w:r>
      <w:r w:rsidR="003E2700" w:rsidRPr="009C24E6">
        <w:rPr>
          <w:lang w:val="fr-FR"/>
        </w:rPr>
        <w:t xml:space="preserve">OMPI avec les normes minimales </w:t>
      </w:r>
      <w:r w:rsidR="00867384" w:rsidRPr="009C24E6">
        <w:rPr>
          <w:lang w:val="fr-FR"/>
        </w:rPr>
        <w:t>de sécurité opérationnelle pour les villes sièges (</w:t>
      </w:r>
      <w:r w:rsidR="003E2700" w:rsidRPr="009C24E6">
        <w:rPr>
          <w:lang w:val="fr-FR"/>
        </w:rPr>
        <w:t>UN</w:t>
      </w:r>
      <w:r w:rsidR="00867384" w:rsidRPr="009C24E6">
        <w:rPr>
          <w:lang w:val="fr-FR"/>
        </w:rPr>
        <w:t> </w:t>
      </w:r>
      <w:r w:rsidR="003E2700" w:rsidRPr="009C24E6">
        <w:rPr>
          <w:lang w:val="fr-FR"/>
        </w:rPr>
        <w:t>H</w:t>
      </w:r>
      <w:r w:rsidR="003E2700" w:rsidRPr="009C24E6">
        <w:rPr>
          <w:rFonts w:ascii="MS Gothic" w:eastAsia="MS Gothic" w:hAnsi="MS Gothic" w:cs="MS Gothic"/>
          <w:lang w:val="fr-FR"/>
        </w:rPr>
        <w:t>‑</w:t>
      </w:r>
      <w:r w:rsidR="003E2700" w:rsidRPr="009C24E6">
        <w:rPr>
          <w:lang w:val="fr-FR"/>
        </w:rPr>
        <w:t>MOSS</w:t>
      </w:r>
      <w:r w:rsidR="00867384" w:rsidRPr="009C24E6">
        <w:rPr>
          <w:lang w:val="fr-FR"/>
        </w:rPr>
        <w:t>)</w:t>
      </w:r>
      <w:r w:rsidR="003E2700" w:rsidRPr="009C24E6">
        <w:rPr>
          <w:lang w:val="fr-FR"/>
        </w:rPr>
        <w:t xml:space="preserve">.  </w:t>
      </w:r>
      <w:r w:rsidRPr="009C24E6">
        <w:rPr>
          <w:lang w:val="fr-FR"/>
        </w:rPr>
        <w:t>Ces normes ont inspiré l</w:t>
      </w:r>
      <w:r w:rsidR="00D35DFF" w:rsidRPr="009C24E6">
        <w:rPr>
          <w:lang w:val="fr-FR"/>
        </w:rPr>
        <w:t>es</w:t>
      </w:r>
      <w:r w:rsidRPr="009C24E6">
        <w:rPr>
          <w:lang w:val="fr-FR"/>
        </w:rPr>
        <w:t xml:space="preserve"> recommandations </w:t>
      </w:r>
      <w:r w:rsidR="00D35DFF" w:rsidRPr="009C24E6">
        <w:rPr>
          <w:lang w:val="fr-FR"/>
        </w:rPr>
        <w:t>formulées dans</w:t>
      </w:r>
      <w:r w:rsidRPr="009C24E6">
        <w:rPr>
          <w:lang w:val="fr-FR"/>
        </w:rPr>
        <w:t xml:space="preserve"> l</w:t>
      </w:r>
      <w:r w:rsidR="009C24E6">
        <w:rPr>
          <w:lang w:val="fr-FR"/>
        </w:rPr>
        <w:t>’</w:t>
      </w:r>
      <w:r w:rsidRPr="009C24E6">
        <w:rPr>
          <w:lang w:val="fr-FR"/>
        </w:rPr>
        <w:t>évaluation des conditions de sécurité réalisée par un expert indépendant pour le siège de l</w:t>
      </w:r>
      <w:r w:rsidR="009C24E6">
        <w:rPr>
          <w:lang w:val="fr-FR"/>
        </w:rPr>
        <w:t>’</w:t>
      </w:r>
      <w:r w:rsidRPr="009C24E6">
        <w:rPr>
          <w:lang w:val="fr-FR"/>
        </w:rPr>
        <w:t>OMPI en</w:t>
      </w:r>
      <w:r w:rsidR="004E46DF" w:rsidRPr="009C24E6">
        <w:rPr>
          <w:lang w:val="fr-FR"/>
        </w:rPr>
        <w:t> </w:t>
      </w:r>
      <w:r w:rsidRPr="009C24E6">
        <w:rPr>
          <w:lang w:val="fr-FR"/>
        </w:rPr>
        <w:t>2006.</w:t>
      </w:r>
    </w:p>
    <w:p w:rsidR="00626796" w:rsidRPr="009C24E6" w:rsidRDefault="004E46DF" w:rsidP="00645EB8">
      <w:pPr>
        <w:pStyle w:val="ONUMFS"/>
        <w:rPr>
          <w:lang w:val="fr-FR"/>
        </w:rPr>
      </w:pPr>
      <w:r w:rsidRPr="009C24E6">
        <w:rPr>
          <w:lang w:val="fr-FR"/>
        </w:rPr>
        <w:t>À</w:t>
      </w:r>
      <w:r w:rsidR="005B5346" w:rsidRPr="009C24E6">
        <w:rPr>
          <w:lang w:val="fr-FR"/>
        </w:rPr>
        <w:t xml:space="preserve"> sa vingt</w:t>
      </w:r>
      <w:r w:rsidR="00F76C7A" w:rsidRPr="009C24E6">
        <w:rPr>
          <w:lang w:val="fr-FR"/>
        </w:rPr>
        <w:t> et un</w:t>
      </w:r>
      <w:r w:rsidR="005B5346" w:rsidRPr="009C24E6">
        <w:rPr>
          <w:lang w:val="fr-FR"/>
        </w:rPr>
        <w:t>ième</w:t>
      </w:r>
      <w:r w:rsidRPr="009C24E6">
        <w:rPr>
          <w:lang w:val="fr-FR"/>
        </w:rPr>
        <w:t> </w:t>
      </w:r>
      <w:r w:rsidR="005B5346" w:rsidRPr="009C24E6">
        <w:rPr>
          <w:lang w:val="fr-FR"/>
        </w:rPr>
        <w:t xml:space="preserve">session, le Comité du programme et budget (PBC) a été </w:t>
      </w:r>
      <w:r w:rsidR="003E2700" w:rsidRPr="009C24E6">
        <w:rPr>
          <w:lang w:val="fr-FR"/>
        </w:rPr>
        <w:t xml:space="preserve">tenu </w:t>
      </w:r>
      <w:r w:rsidR="005B5346" w:rsidRPr="009C24E6">
        <w:rPr>
          <w:lang w:val="fr-FR"/>
        </w:rPr>
        <w:t>informé de l</w:t>
      </w:r>
      <w:r w:rsidR="009C24E6">
        <w:rPr>
          <w:lang w:val="fr-FR"/>
        </w:rPr>
        <w:t>’</w:t>
      </w:r>
      <w:r w:rsidR="005B5346" w:rsidRPr="009C24E6">
        <w:rPr>
          <w:lang w:val="fr-FR"/>
        </w:rPr>
        <w:t>état d</w:t>
      </w:r>
      <w:r w:rsidR="009C24E6">
        <w:rPr>
          <w:lang w:val="fr-FR"/>
        </w:rPr>
        <w:t>’</w:t>
      </w:r>
      <w:r w:rsidR="005B5346" w:rsidRPr="009C24E6">
        <w:rPr>
          <w:lang w:val="fr-FR"/>
        </w:rPr>
        <w:t>avancement de ce projet (document WO/PBC/21/9)</w:t>
      </w:r>
      <w:r w:rsidR="00D35DFF" w:rsidRPr="009C24E6">
        <w:rPr>
          <w:lang w:val="fr-FR"/>
        </w:rPr>
        <w:t>, l</w:t>
      </w:r>
      <w:r w:rsidR="009C24E6">
        <w:rPr>
          <w:lang w:val="fr-FR"/>
        </w:rPr>
        <w:t>’</w:t>
      </w:r>
      <w:r w:rsidR="00D35DFF" w:rsidRPr="009C24E6">
        <w:rPr>
          <w:lang w:val="fr-FR"/>
        </w:rPr>
        <w:t>attention étant appelée sur la modification du projet</w:t>
      </w:r>
      <w:r w:rsidR="005B5346" w:rsidRPr="009C24E6">
        <w:rPr>
          <w:lang w:val="fr-FR"/>
        </w:rPr>
        <w:t>, notamment l</w:t>
      </w:r>
      <w:r w:rsidR="00D35DFF" w:rsidRPr="009C24E6">
        <w:rPr>
          <w:lang w:val="fr-FR"/>
        </w:rPr>
        <w:t>e</w:t>
      </w:r>
      <w:r w:rsidR="005B5346" w:rsidRPr="009C24E6">
        <w:rPr>
          <w:lang w:val="fr-FR"/>
        </w:rPr>
        <w:t xml:space="preserve"> financement supplémentaire pour le Centre d</w:t>
      </w:r>
      <w:r w:rsidR="009C24E6">
        <w:rPr>
          <w:lang w:val="fr-FR"/>
        </w:rPr>
        <w:t>’</w:t>
      </w:r>
      <w:r w:rsidR="005B5346" w:rsidRPr="009C24E6">
        <w:rPr>
          <w:lang w:val="fr-FR"/>
        </w:rPr>
        <w:t>accès et la modification du cahier des charges relatif au périmètre de sécurité</w:t>
      </w:r>
      <w:r w:rsidRPr="009C24E6">
        <w:rPr>
          <w:lang w:val="fr-FR"/>
        </w:rPr>
        <w:t>,</w:t>
      </w:r>
      <w:r w:rsidR="005B5346" w:rsidRPr="009C24E6">
        <w:rPr>
          <w:lang w:val="fr-FR"/>
        </w:rPr>
        <w:t xml:space="preserve"> après consultation avec le pays hôte en juin</w:t>
      </w:r>
      <w:r w:rsidRPr="009C24E6">
        <w:rPr>
          <w:lang w:val="fr-FR"/>
        </w:rPr>
        <w:t> </w:t>
      </w:r>
      <w:r w:rsidR="005B5346" w:rsidRPr="009C24E6">
        <w:rPr>
          <w:lang w:val="fr-FR"/>
        </w:rPr>
        <w:t>2011.</w:t>
      </w:r>
      <w:r w:rsidR="005B0E20" w:rsidRPr="009C24E6">
        <w:rPr>
          <w:lang w:val="fr-FR"/>
        </w:rPr>
        <w:t xml:space="preserve"> </w:t>
      </w:r>
      <w:r w:rsidR="00DE1561" w:rsidRPr="009C24E6">
        <w:rPr>
          <w:lang w:val="fr-FR"/>
        </w:rPr>
        <w:t xml:space="preserve"> </w:t>
      </w:r>
      <w:r w:rsidR="005B5346" w:rsidRPr="009C24E6">
        <w:rPr>
          <w:lang w:val="fr-FR"/>
        </w:rPr>
        <w:t xml:space="preserve">Il est également rappelé dans le rapport </w:t>
      </w:r>
      <w:r w:rsidRPr="009C24E6">
        <w:rPr>
          <w:lang w:val="fr-FR"/>
        </w:rPr>
        <w:t>présenté</w:t>
      </w:r>
      <w:r w:rsidR="005972C1" w:rsidRPr="009C24E6">
        <w:rPr>
          <w:lang w:val="fr-FR"/>
        </w:rPr>
        <w:t xml:space="preserve"> au PBC</w:t>
      </w:r>
      <w:r w:rsidR="005B5346" w:rsidRPr="009C24E6">
        <w:rPr>
          <w:lang w:val="fr-FR"/>
        </w:rPr>
        <w:t xml:space="preserve"> qu</w:t>
      </w:r>
      <w:r w:rsidR="009C24E6">
        <w:rPr>
          <w:lang w:val="fr-FR"/>
        </w:rPr>
        <w:t>’</w:t>
      </w:r>
      <w:r w:rsidR="005B5346" w:rsidRPr="009C24E6">
        <w:rPr>
          <w:lang w:val="fr-FR"/>
        </w:rPr>
        <w:t>une analyse a été réalisée pour réévaluer le risque et modifier l</w:t>
      </w:r>
      <w:r w:rsidR="00DE3F08" w:rsidRPr="009C24E6">
        <w:rPr>
          <w:lang w:val="fr-FR"/>
        </w:rPr>
        <w:t>e</w:t>
      </w:r>
      <w:r w:rsidR="005B5346" w:rsidRPr="009C24E6">
        <w:rPr>
          <w:lang w:val="fr-FR"/>
        </w:rPr>
        <w:t xml:space="preserve"> pr</w:t>
      </w:r>
      <w:r w:rsidR="00DE3F08" w:rsidRPr="009C24E6">
        <w:rPr>
          <w:lang w:val="fr-FR"/>
        </w:rPr>
        <w:t xml:space="preserve">ojet </w:t>
      </w:r>
      <w:r w:rsidR="005B5346" w:rsidRPr="009C24E6">
        <w:rPr>
          <w:lang w:val="fr-FR"/>
        </w:rPr>
        <w:t>initial sans compromettre le résultat escompté des mesures de sûreté et de sécurité mises en œuvre.</w:t>
      </w:r>
      <w:r w:rsidR="00701082" w:rsidRPr="009C24E6">
        <w:rPr>
          <w:lang w:val="fr-FR"/>
        </w:rPr>
        <w:t xml:space="preserve">  Ce rapport a également été présenté à la cinquante et unième série de réunions des assemblées des États membres de l</w:t>
      </w:r>
      <w:r w:rsidR="009C24E6">
        <w:rPr>
          <w:lang w:val="fr-FR"/>
        </w:rPr>
        <w:t>’</w:t>
      </w:r>
      <w:r w:rsidR="00701082" w:rsidRPr="009C24E6">
        <w:rPr>
          <w:lang w:val="fr-FR"/>
        </w:rPr>
        <w:t>OMPI (document A/51/10) en septembre 2013.</w:t>
      </w:r>
    </w:p>
    <w:p w:rsidR="005972C1" w:rsidRPr="009C24E6" w:rsidRDefault="00FB1E30" w:rsidP="00645EB8">
      <w:pPr>
        <w:pStyle w:val="ONUMFS"/>
        <w:rPr>
          <w:lang w:val="fr-FR"/>
        </w:rPr>
      </w:pPr>
      <w:r w:rsidRPr="009C24E6">
        <w:rPr>
          <w:lang w:val="fr-FR"/>
        </w:rPr>
        <w:t>Le présent rapport final complète les précédents rapports sur l</w:t>
      </w:r>
      <w:r w:rsidR="009C24E6">
        <w:rPr>
          <w:lang w:val="fr-FR"/>
        </w:rPr>
        <w:t>’</w:t>
      </w:r>
      <w:r w:rsidRPr="009C24E6">
        <w:rPr>
          <w:lang w:val="fr-FR"/>
        </w:rPr>
        <w:t>état d</w:t>
      </w:r>
      <w:r w:rsidR="009C24E6">
        <w:rPr>
          <w:lang w:val="fr-FR"/>
        </w:rPr>
        <w:t>’</w:t>
      </w:r>
      <w:r w:rsidRPr="009C24E6">
        <w:rPr>
          <w:lang w:val="fr-FR"/>
        </w:rPr>
        <w:t>avancement</w:t>
      </w:r>
      <w:r w:rsidR="003E2700" w:rsidRPr="009C24E6">
        <w:rPr>
          <w:lang w:val="fr-FR"/>
        </w:rPr>
        <w:t xml:space="preserve"> des projets soumis</w:t>
      </w:r>
      <w:r w:rsidR="005972C1" w:rsidRPr="009C24E6">
        <w:rPr>
          <w:lang w:val="fr-FR"/>
        </w:rPr>
        <w:t xml:space="preserve"> au PBC</w:t>
      </w:r>
      <w:r w:rsidRPr="009C24E6">
        <w:rPr>
          <w:lang w:val="fr-FR"/>
        </w:rPr>
        <w:t xml:space="preserve"> (le plus récent étant le document WO/PBC/22/9), en </w:t>
      </w:r>
      <w:r w:rsidR="004E46DF" w:rsidRPr="009C24E6">
        <w:rPr>
          <w:lang w:val="fr-FR"/>
        </w:rPr>
        <w:t>d</w:t>
      </w:r>
      <w:r w:rsidRPr="009C24E6">
        <w:rPr>
          <w:lang w:val="fr-FR"/>
        </w:rPr>
        <w:t>o</w:t>
      </w:r>
      <w:r w:rsidR="004E46DF" w:rsidRPr="009C24E6">
        <w:rPr>
          <w:lang w:val="fr-FR"/>
        </w:rPr>
        <w:t>nn</w:t>
      </w:r>
      <w:r w:rsidRPr="009C24E6">
        <w:rPr>
          <w:lang w:val="fr-FR"/>
        </w:rPr>
        <w:t xml:space="preserve">ant aux </w:t>
      </w:r>
      <w:r w:rsidR="004E46DF" w:rsidRPr="009C24E6">
        <w:rPr>
          <w:lang w:val="fr-FR"/>
        </w:rPr>
        <w:t>É</w:t>
      </w:r>
      <w:r w:rsidRPr="009C24E6">
        <w:rPr>
          <w:lang w:val="fr-FR"/>
        </w:rPr>
        <w:t>tats membres un</w:t>
      </w:r>
      <w:r w:rsidR="003E2700" w:rsidRPr="009C24E6">
        <w:rPr>
          <w:lang w:val="fr-FR"/>
        </w:rPr>
        <w:t xml:space="preserve"> aperçu </w:t>
      </w:r>
      <w:r w:rsidRPr="009C24E6">
        <w:rPr>
          <w:lang w:val="fr-FR"/>
        </w:rPr>
        <w:t>des progrès accomplis, des étapes franchies et d</w:t>
      </w:r>
      <w:r w:rsidR="00DE3F08" w:rsidRPr="009C24E6">
        <w:rPr>
          <w:lang w:val="fr-FR"/>
        </w:rPr>
        <w:t>e l</w:t>
      </w:r>
      <w:r w:rsidR="009C24E6">
        <w:rPr>
          <w:lang w:val="fr-FR"/>
        </w:rPr>
        <w:t>’</w:t>
      </w:r>
      <w:r w:rsidR="00DE3F08" w:rsidRPr="009C24E6">
        <w:rPr>
          <w:lang w:val="fr-FR"/>
        </w:rPr>
        <w:t xml:space="preserve">utilisation du budget au titre </w:t>
      </w:r>
      <w:r w:rsidRPr="009C24E6">
        <w:rPr>
          <w:lang w:val="fr-FR"/>
        </w:rPr>
        <w:t>du projet de “Renforcement des normes de sûreté et de sécurité pour les bâtiments existants de l</w:t>
      </w:r>
      <w:r w:rsidR="009C24E6">
        <w:rPr>
          <w:lang w:val="fr-FR"/>
        </w:rPr>
        <w:t>’</w:t>
      </w:r>
      <w:r w:rsidRPr="009C24E6">
        <w:rPr>
          <w:lang w:val="fr-FR"/>
        </w:rPr>
        <w:t>OMPI” (projet H</w:t>
      </w:r>
      <w:r w:rsidR="00BA7504">
        <w:rPr>
          <w:lang w:val="fr-FR"/>
        </w:rPr>
        <w:noBreakHyphen/>
      </w:r>
      <w:r w:rsidRPr="009C24E6">
        <w:rPr>
          <w:lang w:val="fr-FR"/>
        </w:rPr>
        <w:t>MOSS) d</w:t>
      </w:r>
      <w:r w:rsidR="00701082" w:rsidRPr="009C24E6">
        <w:rPr>
          <w:lang w:val="fr-FR"/>
        </w:rPr>
        <w:t>epuis</w:t>
      </w:r>
      <w:r w:rsidR="003E2700" w:rsidRPr="009C24E6">
        <w:rPr>
          <w:lang w:val="fr-FR"/>
        </w:rPr>
        <w:t xml:space="preserve"> ju</w:t>
      </w:r>
      <w:r w:rsidRPr="009C24E6">
        <w:rPr>
          <w:lang w:val="fr-FR"/>
        </w:rPr>
        <w:t>illet</w:t>
      </w:r>
      <w:r w:rsidR="004E46DF" w:rsidRPr="009C24E6">
        <w:rPr>
          <w:lang w:val="fr-FR"/>
        </w:rPr>
        <w:t> </w:t>
      </w:r>
      <w:r w:rsidRPr="009C24E6">
        <w:rPr>
          <w:lang w:val="fr-FR"/>
        </w:rPr>
        <w:t>2014.</w:t>
      </w:r>
    </w:p>
    <w:p w:rsidR="00626796" w:rsidRPr="009C24E6" w:rsidRDefault="0002235B" w:rsidP="00645EB8">
      <w:pPr>
        <w:spacing w:after="200"/>
        <w:rPr>
          <w:b/>
          <w:bCs/>
          <w:iCs/>
          <w:caps/>
          <w:szCs w:val="22"/>
          <w:lang w:val="fr-FR"/>
        </w:rPr>
      </w:pPr>
      <w:r w:rsidRPr="009C24E6">
        <w:rPr>
          <w:b/>
          <w:bCs/>
          <w:lang w:val="fr-FR"/>
        </w:rPr>
        <w:lastRenderedPageBreak/>
        <w:t>APER</w:t>
      </w:r>
      <w:r w:rsidR="001822F0" w:rsidRPr="009C24E6">
        <w:rPr>
          <w:lang w:val="fr-FR"/>
        </w:rPr>
        <w:t>Ç</w:t>
      </w:r>
      <w:r w:rsidR="00CB0169" w:rsidRPr="009C24E6">
        <w:rPr>
          <w:b/>
          <w:bCs/>
          <w:lang w:val="fr-FR"/>
        </w:rPr>
        <w:t>U DE L</w:t>
      </w:r>
      <w:r w:rsidR="009C24E6">
        <w:rPr>
          <w:b/>
          <w:bCs/>
          <w:lang w:val="fr-FR"/>
        </w:rPr>
        <w:t>’</w:t>
      </w:r>
      <w:r w:rsidR="00E2216D" w:rsidRPr="009C24E6">
        <w:rPr>
          <w:b/>
          <w:bCs/>
          <w:lang w:val="fr-FR"/>
        </w:rPr>
        <w:t>É</w:t>
      </w:r>
      <w:r w:rsidRPr="009C24E6">
        <w:rPr>
          <w:b/>
          <w:bCs/>
          <w:lang w:val="fr-FR"/>
        </w:rPr>
        <w:t>TAT D</w:t>
      </w:r>
      <w:r w:rsidR="009C24E6">
        <w:rPr>
          <w:b/>
          <w:bCs/>
          <w:lang w:val="fr-FR"/>
        </w:rPr>
        <w:t>’</w:t>
      </w:r>
      <w:r w:rsidRPr="009C24E6">
        <w:rPr>
          <w:b/>
          <w:bCs/>
          <w:lang w:val="fr-FR"/>
        </w:rPr>
        <w:t>AVANCEMENT</w:t>
      </w:r>
      <w:r w:rsidR="00CB0169" w:rsidRPr="009C24E6">
        <w:rPr>
          <w:b/>
          <w:bCs/>
          <w:lang w:val="fr-FR"/>
        </w:rPr>
        <w:t xml:space="preserve"> DU PROJET</w:t>
      </w:r>
    </w:p>
    <w:p w:rsidR="00626796" w:rsidRPr="009C24E6" w:rsidRDefault="00CB0169" w:rsidP="00645EB8">
      <w:pPr>
        <w:pStyle w:val="ONUMFS"/>
        <w:rPr>
          <w:lang w:val="fr-FR"/>
        </w:rPr>
      </w:pPr>
      <w:r w:rsidRPr="009C24E6">
        <w:rPr>
          <w:lang w:val="fr-FR"/>
        </w:rPr>
        <w:t>Le projet H</w:t>
      </w:r>
      <w:r w:rsidR="00BA7504">
        <w:rPr>
          <w:lang w:val="fr-FR"/>
        </w:rPr>
        <w:noBreakHyphen/>
      </w:r>
      <w:r w:rsidRPr="009C24E6">
        <w:rPr>
          <w:lang w:val="fr-FR"/>
        </w:rPr>
        <w:t xml:space="preserve">MOSS </w:t>
      </w:r>
      <w:r w:rsidR="00E2216D" w:rsidRPr="009C24E6">
        <w:rPr>
          <w:lang w:val="fr-FR"/>
        </w:rPr>
        <w:t>prév</w:t>
      </w:r>
      <w:r w:rsidRPr="009C24E6">
        <w:rPr>
          <w:lang w:val="fr-FR"/>
        </w:rPr>
        <w:t>o</w:t>
      </w:r>
      <w:r w:rsidR="00E2216D" w:rsidRPr="009C24E6">
        <w:rPr>
          <w:lang w:val="fr-FR"/>
        </w:rPr>
        <w:t>y</w:t>
      </w:r>
      <w:r w:rsidRPr="009C24E6">
        <w:rPr>
          <w:lang w:val="fr-FR"/>
        </w:rPr>
        <w:t>ait trois</w:t>
      </w:r>
      <w:r w:rsidR="004E46DF" w:rsidRPr="009C24E6">
        <w:rPr>
          <w:lang w:val="fr-FR"/>
        </w:rPr>
        <w:t> </w:t>
      </w:r>
      <w:r w:rsidRPr="009C24E6">
        <w:rPr>
          <w:lang w:val="fr-FR"/>
        </w:rPr>
        <w:t xml:space="preserve">grandes phases de mise en </w:t>
      </w:r>
      <w:r w:rsidR="004E46DF" w:rsidRPr="009C24E6">
        <w:rPr>
          <w:lang w:val="fr-FR"/>
        </w:rPr>
        <w:t>œuvre </w:t>
      </w:r>
      <w:r w:rsidRPr="009C24E6">
        <w:rPr>
          <w:lang w:val="fr-FR"/>
        </w:rPr>
        <w:t>:</w:t>
      </w:r>
    </w:p>
    <w:p w:rsidR="00626796" w:rsidRPr="009C24E6" w:rsidRDefault="0037155C" w:rsidP="00645EB8">
      <w:pPr>
        <w:pStyle w:val="ListParagraph"/>
        <w:keepNext/>
        <w:keepLines/>
        <w:numPr>
          <w:ilvl w:val="0"/>
          <w:numId w:val="6"/>
        </w:numPr>
        <w:ind w:left="1134" w:hanging="567"/>
        <w:rPr>
          <w:rFonts w:eastAsiaTheme="minorHAnsi"/>
          <w:szCs w:val="22"/>
          <w:lang w:val="fr-FR" w:eastAsia="en-US"/>
        </w:rPr>
      </w:pPr>
      <w:r w:rsidRPr="009C24E6">
        <w:rPr>
          <w:rFonts w:eastAsiaTheme="minorHAnsi"/>
          <w:b/>
          <w:szCs w:val="22"/>
          <w:lang w:val="fr-FR" w:eastAsia="en-US"/>
        </w:rPr>
        <w:t>Phase</w:t>
      </w:r>
      <w:r w:rsidR="004E46DF" w:rsidRPr="009C24E6">
        <w:rPr>
          <w:rFonts w:eastAsiaTheme="minorHAnsi"/>
          <w:b/>
          <w:szCs w:val="22"/>
          <w:lang w:val="fr-FR" w:eastAsia="en-US"/>
        </w:rPr>
        <w:t> </w:t>
      </w:r>
      <w:r w:rsidRPr="009C24E6">
        <w:rPr>
          <w:rFonts w:eastAsiaTheme="minorHAnsi"/>
          <w:b/>
          <w:szCs w:val="22"/>
          <w:lang w:val="fr-FR" w:eastAsia="en-US"/>
        </w:rPr>
        <w:t>I</w:t>
      </w:r>
      <w:r w:rsidRPr="009C24E6">
        <w:rPr>
          <w:rFonts w:eastAsiaTheme="minorHAnsi"/>
          <w:szCs w:val="22"/>
          <w:lang w:val="fr-FR" w:eastAsia="en-US"/>
        </w:rPr>
        <w:t xml:space="preserve"> – Conception et mise au point d</w:t>
      </w:r>
      <w:r w:rsidR="009C24E6">
        <w:rPr>
          <w:rFonts w:eastAsiaTheme="minorHAnsi"/>
          <w:szCs w:val="22"/>
          <w:lang w:val="fr-FR" w:eastAsia="en-US"/>
        </w:rPr>
        <w:t>’</w:t>
      </w:r>
      <w:r w:rsidRPr="009C24E6">
        <w:rPr>
          <w:rFonts w:eastAsiaTheme="minorHAnsi"/>
          <w:szCs w:val="22"/>
          <w:lang w:val="fr-FR" w:eastAsia="en-US"/>
        </w:rPr>
        <w:t>un cadre global pour la sûreté et la sécurité, répondant aux exigences de l</w:t>
      </w:r>
      <w:r w:rsidR="009C24E6">
        <w:rPr>
          <w:rFonts w:eastAsiaTheme="minorHAnsi"/>
          <w:szCs w:val="22"/>
          <w:lang w:val="fr-FR" w:eastAsia="en-US"/>
        </w:rPr>
        <w:t>’</w:t>
      </w:r>
      <w:r w:rsidRPr="009C24E6">
        <w:rPr>
          <w:rFonts w:eastAsiaTheme="minorHAnsi"/>
          <w:szCs w:val="22"/>
          <w:lang w:val="fr-FR" w:eastAsia="en-US"/>
        </w:rPr>
        <w:t>OMPI fondées sur l</w:t>
      </w:r>
      <w:r w:rsidR="009C24E6">
        <w:rPr>
          <w:rFonts w:eastAsiaTheme="minorHAnsi"/>
          <w:szCs w:val="22"/>
          <w:lang w:val="fr-FR" w:eastAsia="en-US"/>
        </w:rPr>
        <w:t>’</w:t>
      </w:r>
      <w:r w:rsidRPr="009C24E6">
        <w:rPr>
          <w:rFonts w:eastAsiaTheme="minorHAnsi"/>
          <w:szCs w:val="22"/>
          <w:lang w:val="fr-FR" w:eastAsia="en-US"/>
        </w:rPr>
        <w:t>application de principes de gestion des risques</w:t>
      </w:r>
      <w:r w:rsidR="00E2216D" w:rsidRPr="009C24E6">
        <w:rPr>
          <w:rFonts w:eastAsiaTheme="minorHAnsi"/>
          <w:szCs w:val="22"/>
          <w:lang w:val="fr-FR" w:eastAsia="en-US"/>
        </w:rPr>
        <w:t xml:space="preserve"> efficaces</w:t>
      </w:r>
      <w:r w:rsidRPr="009C24E6">
        <w:rPr>
          <w:rFonts w:eastAsiaTheme="minorHAnsi"/>
          <w:szCs w:val="22"/>
          <w:lang w:val="fr-FR" w:eastAsia="en-US"/>
        </w:rPr>
        <w:t>, l</w:t>
      </w:r>
      <w:r w:rsidR="009C24E6">
        <w:rPr>
          <w:rFonts w:eastAsiaTheme="minorHAnsi"/>
          <w:szCs w:val="22"/>
          <w:lang w:val="fr-FR" w:eastAsia="en-US"/>
        </w:rPr>
        <w:t>’</w:t>
      </w:r>
      <w:r w:rsidRPr="009C24E6">
        <w:rPr>
          <w:rFonts w:eastAsiaTheme="minorHAnsi"/>
          <w:szCs w:val="22"/>
          <w:lang w:val="fr-FR" w:eastAsia="en-US"/>
        </w:rPr>
        <w:t>établissement de partenariats avec les acteurs internes et externes, et l</w:t>
      </w:r>
      <w:r w:rsidR="009C24E6">
        <w:rPr>
          <w:rFonts w:eastAsiaTheme="minorHAnsi"/>
          <w:szCs w:val="22"/>
          <w:lang w:val="fr-FR" w:eastAsia="en-US"/>
        </w:rPr>
        <w:t>’</w:t>
      </w:r>
      <w:r w:rsidRPr="009C24E6">
        <w:rPr>
          <w:rFonts w:eastAsiaTheme="minorHAnsi"/>
          <w:szCs w:val="22"/>
          <w:lang w:val="fr-FR" w:eastAsia="en-US"/>
        </w:rPr>
        <w:t>évaluation de</w:t>
      </w:r>
      <w:r w:rsidR="00E2216D" w:rsidRPr="009C24E6">
        <w:rPr>
          <w:rFonts w:eastAsiaTheme="minorHAnsi"/>
          <w:szCs w:val="22"/>
          <w:lang w:val="fr-FR" w:eastAsia="en-US"/>
        </w:rPr>
        <w:t>s</w:t>
      </w:r>
      <w:r w:rsidRPr="009C24E6">
        <w:rPr>
          <w:rFonts w:eastAsiaTheme="minorHAnsi"/>
          <w:szCs w:val="22"/>
          <w:lang w:val="fr-FR" w:eastAsia="en-US"/>
        </w:rPr>
        <w:t xml:space="preserve"> systèmes techniques </w:t>
      </w:r>
      <w:r w:rsidR="00E2216D" w:rsidRPr="009C24E6">
        <w:rPr>
          <w:rFonts w:eastAsiaTheme="minorHAnsi"/>
          <w:szCs w:val="22"/>
          <w:lang w:val="fr-FR" w:eastAsia="en-US"/>
        </w:rPr>
        <w:t>approprié</w:t>
      </w:r>
      <w:r w:rsidRPr="009C24E6">
        <w:rPr>
          <w:rFonts w:eastAsiaTheme="minorHAnsi"/>
          <w:szCs w:val="22"/>
          <w:lang w:val="fr-FR" w:eastAsia="en-US"/>
        </w:rPr>
        <w:t>s, notamment en ce qui concerne la compatibilité infrastructure</w:t>
      </w:r>
      <w:r w:rsidR="00E2216D" w:rsidRPr="009C24E6">
        <w:rPr>
          <w:rFonts w:eastAsiaTheme="minorHAnsi"/>
          <w:szCs w:val="22"/>
          <w:lang w:val="fr-FR" w:eastAsia="en-US"/>
        </w:rPr>
        <w:t>lle</w:t>
      </w:r>
      <w:r w:rsidRPr="009C24E6">
        <w:rPr>
          <w:rFonts w:eastAsiaTheme="minorHAnsi"/>
          <w:szCs w:val="22"/>
          <w:lang w:val="fr-FR" w:eastAsia="en-US"/>
        </w:rPr>
        <w:t xml:space="preserve"> et la conformité avec les normes H</w:t>
      </w:r>
      <w:r w:rsidR="00BA7504">
        <w:rPr>
          <w:rFonts w:eastAsiaTheme="minorHAnsi"/>
          <w:szCs w:val="22"/>
          <w:lang w:val="fr-FR" w:eastAsia="en-US"/>
        </w:rPr>
        <w:noBreakHyphen/>
      </w:r>
      <w:r w:rsidRPr="009C24E6">
        <w:rPr>
          <w:rFonts w:eastAsiaTheme="minorHAnsi"/>
          <w:szCs w:val="22"/>
          <w:lang w:val="fr-FR" w:eastAsia="en-US"/>
        </w:rPr>
        <w:t xml:space="preserve">MOSS recommandées par le Département de la sûreté et de la sécurité des </w:t>
      </w:r>
      <w:r w:rsidR="009C24E6">
        <w:rPr>
          <w:rFonts w:eastAsiaTheme="minorHAnsi"/>
          <w:szCs w:val="22"/>
          <w:lang w:val="fr-FR" w:eastAsia="en-US"/>
        </w:rPr>
        <w:t>Nations Unies</w:t>
      </w:r>
      <w:r w:rsidR="00CC30E5" w:rsidRPr="009C24E6">
        <w:rPr>
          <w:rFonts w:eastAsiaTheme="minorHAnsi"/>
          <w:szCs w:val="22"/>
          <w:lang w:val="fr-FR" w:eastAsia="en-US"/>
        </w:rPr>
        <w:t xml:space="preserve"> </w:t>
      </w:r>
      <w:r w:rsidRPr="009C24E6">
        <w:rPr>
          <w:rFonts w:eastAsiaTheme="minorHAnsi"/>
          <w:szCs w:val="22"/>
          <w:lang w:val="fr-FR" w:eastAsia="en-US"/>
        </w:rPr>
        <w:t>(achevée)</w:t>
      </w:r>
      <w:r w:rsidR="004E46DF" w:rsidRPr="009C24E6">
        <w:rPr>
          <w:rFonts w:eastAsiaTheme="minorHAnsi"/>
          <w:szCs w:val="22"/>
          <w:lang w:val="fr-FR" w:eastAsia="en-US"/>
        </w:rPr>
        <w:t>;</w:t>
      </w:r>
    </w:p>
    <w:p w:rsidR="00626796" w:rsidRPr="009C24E6" w:rsidRDefault="00626796" w:rsidP="00645EB8">
      <w:pPr>
        <w:pStyle w:val="ListParagraph"/>
        <w:rPr>
          <w:lang w:val="fr-FR"/>
        </w:rPr>
      </w:pPr>
    </w:p>
    <w:p w:rsidR="00626796" w:rsidRPr="009C24E6" w:rsidRDefault="00DF2337" w:rsidP="00645EB8">
      <w:pPr>
        <w:pStyle w:val="ListParagraph"/>
        <w:keepNext/>
        <w:keepLines/>
        <w:numPr>
          <w:ilvl w:val="0"/>
          <w:numId w:val="6"/>
        </w:numPr>
        <w:ind w:left="1134" w:hanging="567"/>
        <w:rPr>
          <w:lang w:val="fr-FR"/>
        </w:rPr>
      </w:pPr>
      <w:r w:rsidRPr="009C24E6">
        <w:rPr>
          <w:rFonts w:eastAsiaTheme="minorHAnsi"/>
          <w:b/>
          <w:szCs w:val="22"/>
          <w:lang w:val="fr-FR" w:eastAsia="en-US"/>
        </w:rPr>
        <w:t>Phase</w:t>
      </w:r>
      <w:r w:rsidR="004E46DF" w:rsidRPr="009C24E6">
        <w:rPr>
          <w:b/>
          <w:lang w:val="fr-FR"/>
        </w:rPr>
        <w:t> </w:t>
      </w:r>
      <w:r w:rsidRPr="009C24E6">
        <w:rPr>
          <w:b/>
          <w:lang w:val="fr-FR"/>
        </w:rPr>
        <w:t>II</w:t>
      </w:r>
      <w:r w:rsidRPr="009C24E6">
        <w:rPr>
          <w:lang w:val="fr-FR"/>
        </w:rPr>
        <w:t xml:space="preserve"> – Planification et conception détaillée, incluant l</w:t>
      </w:r>
      <w:r w:rsidR="009C24E6">
        <w:rPr>
          <w:lang w:val="fr-FR"/>
        </w:rPr>
        <w:t>’</w:t>
      </w:r>
      <w:r w:rsidRPr="009C24E6">
        <w:rPr>
          <w:lang w:val="fr-FR"/>
        </w:rPr>
        <w:t>établissement d</w:t>
      </w:r>
      <w:r w:rsidR="004E46DF" w:rsidRPr="009C24E6">
        <w:rPr>
          <w:lang w:val="fr-FR"/>
        </w:rPr>
        <w:t>es</w:t>
      </w:r>
      <w:r w:rsidRPr="009C24E6">
        <w:rPr>
          <w:lang w:val="fr-FR"/>
        </w:rPr>
        <w:t xml:space="preserve"> cahier</w:t>
      </w:r>
      <w:r w:rsidR="004E46DF" w:rsidRPr="009C24E6">
        <w:rPr>
          <w:lang w:val="fr-FR"/>
        </w:rPr>
        <w:t>s</w:t>
      </w:r>
      <w:r w:rsidRPr="009C24E6">
        <w:rPr>
          <w:lang w:val="fr-FR"/>
        </w:rPr>
        <w:t xml:space="preserve"> des charges, la réalisation des appels d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offres, la </w:t>
      </w:r>
      <w:r w:rsidR="00242BC3" w:rsidRPr="009C24E6">
        <w:rPr>
          <w:lang w:val="fr-FR"/>
        </w:rPr>
        <w:t>passat</w:t>
      </w:r>
      <w:r w:rsidRPr="009C24E6">
        <w:rPr>
          <w:lang w:val="fr-FR"/>
        </w:rPr>
        <w:t xml:space="preserve">ion de contrats avec les entreprises de construction et les autres prestataires en vue de fournir et de gérer ces systèmes de sûreté et de sécurité </w:t>
      </w:r>
      <w:r w:rsidR="00242BC3" w:rsidRPr="009C24E6">
        <w:rPr>
          <w:lang w:val="fr-FR"/>
        </w:rPr>
        <w:t>à la pointe du progrès</w:t>
      </w:r>
      <w:r w:rsidRPr="009C24E6">
        <w:rPr>
          <w:lang w:val="fr-FR"/>
        </w:rPr>
        <w:t>, ainsi que l</w:t>
      </w:r>
      <w:r w:rsidR="00242BC3" w:rsidRPr="009C24E6">
        <w:rPr>
          <w:lang w:val="fr-FR"/>
        </w:rPr>
        <w:t>es</w:t>
      </w:r>
      <w:r w:rsidRPr="009C24E6">
        <w:rPr>
          <w:lang w:val="fr-FR"/>
        </w:rPr>
        <w:t xml:space="preserve"> systèmes </w:t>
      </w:r>
      <w:r w:rsidR="00242BC3" w:rsidRPr="009C24E6">
        <w:rPr>
          <w:lang w:val="fr-FR"/>
        </w:rPr>
        <w:t>d</w:t>
      </w:r>
      <w:r w:rsidR="009C24E6">
        <w:rPr>
          <w:lang w:val="fr-FR"/>
        </w:rPr>
        <w:t>’</w:t>
      </w:r>
      <w:r w:rsidR="00242BC3" w:rsidRPr="009C24E6">
        <w:rPr>
          <w:lang w:val="fr-FR"/>
        </w:rPr>
        <w:t xml:space="preserve">appui en matière </w:t>
      </w:r>
      <w:r w:rsidRPr="009C24E6">
        <w:rPr>
          <w:lang w:val="fr-FR"/>
        </w:rPr>
        <w:t>de communications et de connexion</w:t>
      </w:r>
      <w:r w:rsidR="004B3892" w:rsidRPr="009C24E6">
        <w:rPr>
          <w:lang w:val="fr-FR"/>
        </w:rPr>
        <w:t xml:space="preserve"> </w:t>
      </w:r>
      <w:r w:rsidRPr="009C24E6">
        <w:rPr>
          <w:lang w:val="fr-FR"/>
        </w:rPr>
        <w:t>(achevée)</w:t>
      </w:r>
      <w:r w:rsidR="004E46DF" w:rsidRPr="009C24E6">
        <w:rPr>
          <w:lang w:val="fr-FR"/>
        </w:rPr>
        <w:t>;</w:t>
      </w:r>
    </w:p>
    <w:p w:rsidR="00626796" w:rsidRPr="009C24E6" w:rsidRDefault="00626796" w:rsidP="00645EB8">
      <w:pPr>
        <w:rPr>
          <w:lang w:val="fr-FR"/>
        </w:rPr>
      </w:pPr>
    </w:p>
    <w:p w:rsidR="00626796" w:rsidRPr="009C24E6" w:rsidRDefault="007A2029" w:rsidP="00645EB8">
      <w:pPr>
        <w:pStyle w:val="ListParagraph"/>
        <w:keepNext/>
        <w:keepLines/>
        <w:numPr>
          <w:ilvl w:val="0"/>
          <w:numId w:val="6"/>
        </w:numPr>
        <w:ind w:left="1134" w:hanging="567"/>
        <w:rPr>
          <w:lang w:val="fr-FR" w:eastAsia="en-US"/>
        </w:rPr>
      </w:pPr>
      <w:r w:rsidRPr="009C24E6">
        <w:rPr>
          <w:rFonts w:eastAsiaTheme="minorHAnsi"/>
          <w:b/>
          <w:szCs w:val="22"/>
          <w:lang w:val="fr-FR" w:eastAsia="en-US"/>
        </w:rPr>
        <w:t>Phase</w:t>
      </w:r>
      <w:r w:rsidR="004E46DF" w:rsidRPr="009C24E6">
        <w:rPr>
          <w:b/>
          <w:lang w:val="fr-FR" w:eastAsia="en-US"/>
        </w:rPr>
        <w:t> </w:t>
      </w:r>
      <w:r w:rsidRPr="009C24E6">
        <w:rPr>
          <w:b/>
          <w:lang w:val="fr-FR" w:eastAsia="en-US"/>
        </w:rPr>
        <w:t>III</w:t>
      </w:r>
      <w:r w:rsidRPr="009C24E6">
        <w:rPr>
          <w:lang w:val="fr-FR" w:eastAsia="en-US"/>
        </w:rPr>
        <w:t xml:space="preserve"> – Mise en </w:t>
      </w:r>
      <w:r w:rsidR="004E46DF" w:rsidRPr="009C24E6">
        <w:rPr>
          <w:lang w:val="fr-FR" w:eastAsia="en-US"/>
        </w:rPr>
        <w:t>œuvre</w:t>
      </w:r>
      <w:r w:rsidRPr="009C24E6">
        <w:rPr>
          <w:lang w:val="fr-FR" w:eastAsia="en-US"/>
        </w:rPr>
        <w:t xml:space="preserve">, </w:t>
      </w:r>
      <w:r w:rsidR="0039743C" w:rsidRPr="009C24E6">
        <w:rPr>
          <w:lang w:val="fr-FR" w:eastAsia="en-US"/>
        </w:rPr>
        <w:t>e</w:t>
      </w:r>
      <w:r w:rsidRPr="009C24E6">
        <w:rPr>
          <w:lang w:val="fr-FR" w:eastAsia="en-US"/>
        </w:rPr>
        <w:t>ssai</w:t>
      </w:r>
      <w:r w:rsidR="0039743C" w:rsidRPr="009C24E6">
        <w:rPr>
          <w:lang w:val="fr-FR" w:eastAsia="en-US"/>
        </w:rPr>
        <w:t>s</w:t>
      </w:r>
      <w:r w:rsidRPr="009C24E6">
        <w:rPr>
          <w:lang w:val="fr-FR" w:eastAsia="en-US"/>
        </w:rPr>
        <w:t xml:space="preserve"> et formation axée sur l</w:t>
      </w:r>
      <w:r w:rsidR="009C24E6">
        <w:rPr>
          <w:lang w:val="fr-FR" w:eastAsia="en-US"/>
        </w:rPr>
        <w:t>’</w:t>
      </w:r>
      <w:r w:rsidRPr="009C24E6">
        <w:rPr>
          <w:lang w:val="fr-FR" w:eastAsia="en-US"/>
        </w:rPr>
        <w:t>interopérabilité</w:t>
      </w:r>
      <w:r w:rsidR="002C1336" w:rsidRPr="009C24E6">
        <w:rPr>
          <w:lang w:val="fr-FR" w:eastAsia="en-US"/>
        </w:rPr>
        <w:t xml:space="preserve"> et</w:t>
      </w:r>
      <w:r w:rsidRPr="009C24E6">
        <w:rPr>
          <w:lang w:val="fr-FR" w:eastAsia="en-US"/>
        </w:rPr>
        <w:t xml:space="preserve"> les fonction</w:t>
      </w:r>
      <w:r w:rsidR="00242BC3" w:rsidRPr="009C24E6">
        <w:rPr>
          <w:lang w:val="fr-FR" w:eastAsia="en-US"/>
        </w:rPr>
        <w:t>nalité</w:t>
      </w:r>
      <w:r w:rsidRPr="009C24E6">
        <w:rPr>
          <w:lang w:val="fr-FR" w:eastAsia="en-US"/>
        </w:rPr>
        <w:t xml:space="preserve">s des systèmes, les processus de suivi actif, la clôture du cahier des charges </w:t>
      </w:r>
      <w:r w:rsidR="00242BC3" w:rsidRPr="009C24E6">
        <w:rPr>
          <w:lang w:val="fr-FR" w:eastAsia="en-US"/>
        </w:rPr>
        <w:t>et la livraison du projet</w:t>
      </w:r>
      <w:r w:rsidRPr="009C24E6">
        <w:rPr>
          <w:lang w:val="fr-FR" w:eastAsia="en-US"/>
        </w:rPr>
        <w:t xml:space="preserve"> </w:t>
      </w:r>
      <w:r w:rsidR="00242BC3" w:rsidRPr="009C24E6">
        <w:rPr>
          <w:lang w:val="fr-FR" w:eastAsia="en-US"/>
        </w:rPr>
        <w:t xml:space="preserve">à </w:t>
      </w:r>
      <w:r w:rsidRPr="009C24E6">
        <w:rPr>
          <w:lang w:val="fr-FR" w:eastAsia="en-US"/>
        </w:rPr>
        <w:t>l</w:t>
      </w:r>
      <w:r w:rsidR="009C24E6">
        <w:rPr>
          <w:lang w:val="fr-FR" w:eastAsia="en-US"/>
        </w:rPr>
        <w:t>’</w:t>
      </w:r>
      <w:r w:rsidRPr="009C24E6">
        <w:rPr>
          <w:lang w:val="fr-FR" w:eastAsia="en-US"/>
        </w:rPr>
        <w:t>OMPI (achèvement en septembre</w:t>
      </w:r>
      <w:r w:rsidR="004E46DF" w:rsidRPr="009C24E6">
        <w:rPr>
          <w:lang w:val="fr-FR" w:eastAsia="en-US"/>
        </w:rPr>
        <w:t> </w:t>
      </w:r>
      <w:r w:rsidRPr="009C24E6">
        <w:rPr>
          <w:lang w:val="fr-FR" w:eastAsia="en-US"/>
        </w:rPr>
        <w:t>2015)</w:t>
      </w:r>
      <w:r w:rsidR="004E46DF" w:rsidRPr="009C24E6">
        <w:rPr>
          <w:lang w:val="fr-FR" w:eastAsia="en-US"/>
        </w:rPr>
        <w:t>.</w:t>
      </w:r>
    </w:p>
    <w:p w:rsidR="00626796" w:rsidRPr="009C24E6" w:rsidRDefault="00626796" w:rsidP="00645EB8">
      <w:pPr>
        <w:rPr>
          <w:rFonts w:eastAsiaTheme="minorHAnsi"/>
          <w:szCs w:val="22"/>
          <w:lang w:val="fr-FR" w:eastAsia="en-US"/>
        </w:rPr>
      </w:pPr>
    </w:p>
    <w:p w:rsidR="005972C1" w:rsidRPr="009C24E6" w:rsidRDefault="00804391" w:rsidP="00645EB8">
      <w:pPr>
        <w:pStyle w:val="ONUMFS"/>
        <w:rPr>
          <w:lang w:val="fr-FR"/>
        </w:rPr>
      </w:pPr>
      <w:r w:rsidRPr="009C24E6">
        <w:rPr>
          <w:lang w:val="fr-FR"/>
        </w:rPr>
        <w:t>Au moment de l</w:t>
      </w:r>
      <w:r w:rsidR="00242BC3" w:rsidRPr="009C24E6">
        <w:rPr>
          <w:lang w:val="fr-FR"/>
        </w:rPr>
        <w:t>a r</w:t>
      </w:r>
      <w:r w:rsidRPr="009C24E6">
        <w:rPr>
          <w:lang w:val="fr-FR"/>
        </w:rPr>
        <w:t>é</w:t>
      </w:r>
      <w:r w:rsidR="00242BC3" w:rsidRPr="009C24E6">
        <w:rPr>
          <w:lang w:val="fr-FR"/>
        </w:rPr>
        <w:t>d</w:t>
      </w:r>
      <w:r w:rsidRPr="009C24E6">
        <w:rPr>
          <w:lang w:val="fr-FR"/>
        </w:rPr>
        <w:t>a</w:t>
      </w:r>
      <w:r w:rsidR="00242BC3" w:rsidRPr="009C24E6">
        <w:rPr>
          <w:lang w:val="fr-FR"/>
        </w:rPr>
        <w:t>c</w:t>
      </w:r>
      <w:r w:rsidRPr="009C24E6">
        <w:rPr>
          <w:lang w:val="fr-FR"/>
        </w:rPr>
        <w:t>t</w:t>
      </w:r>
      <w:r w:rsidR="00242BC3" w:rsidRPr="009C24E6">
        <w:rPr>
          <w:lang w:val="fr-FR"/>
        </w:rPr>
        <w:t>ion</w:t>
      </w:r>
      <w:r w:rsidRPr="009C24E6">
        <w:rPr>
          <w:lang w:val="fr-FR"/>
        </w:rPr>
        <w:t xml:space="preserve"> du présent rapport, le projet H</w:t>
      </w:r>
      <w:r w:rsidR="00BA7504">
        <w:rPr>
          <w:lang w:val="fr-FR"/>
        </w:rPr>
        <w:noBreakHyphen/>
      </w:r>
      <w:r w:rsidRPr="009C24E6">
        <w:rPr>
          <w:lang w:val="fr-FR"/>
        </w:rPr>
        <w:t xml:space="preserve">MOSS était achevé à presque 98%, tous les résultats </w:t>
      </w:r>
      <w:r w:rsidR="00242BC3" w:rsidRPr="009C24E6">
        <w:rPr>
          <w:lang w:val="fr-FR"/>
        </w:rPr>
        <w:t>escompté</w:t>
      </w:r>
      <w:r w:rsidRPr="009C24E6">
        <w:rPr>
          <w:lang w:val="fr-FR"/>
        </w:rPr>
        <w:t>s du projet devant être atteints d</w:t>
      </w:r>
      <w:r w:rsidR="009C24E6">
        <w:rPr>
          <w:lang w:val="fr-FR"/>
        </w:rPr>
        <w:t>’</w:t>
      </w:r>
      <w:r w:rsidRPr="009C24E6">
        <w:rPr>
          <w:lang w:val="fr-FR"/>
        </w:rPr>
        <w:t>ici septembre</w:t>
      </w:r>
      <w:r w:rsidR="004E46DF" w:rsidRPr="009C24E6">
        <w:rPr>
          <w:lang w:val="fr-FR"/>
        </w:rPr>
        <w:t> </w:t>
      </w:r>
      <w:r w:rsidRPr="009C24E6">
        <w:rPr>
          <w:lang w:val="fr-FR"/>
        </w:rPr>
        <w:t>2015.</w:t>
      </w:r>
      <w:r w:rsidR="00007E9E" w:rsidRPr="009C24E6">
        <w:rPr>
          <w:lang w:val="fr-FR"/>
        </w:rPr>
        <w:t xml:space="preserve"> </w:t>
      </w:r>
      <w:r w:rsidR="004E46DF" w:rsidRPr="009C24E6">
        <w:rPr>
          <w:lang w:val="fr-FR"/>
        </w:rPr>
        <w:t xml:space="preserve"> </w:t>
      </w:r>
      <w:r w:rsidRPr="009C24E6">
        <w:rPr>
          <w:lang w:val="fr-FR"/>
        </w:rPr>
        <w:t>Le</w:t>
      </w:r>
      <w:r w:rsidR="004E46DF" w:rsidRPr="009C24E6">
        <w:rPr>
          <w:lang w:val="fr-FR"/>
        </w:rPr>
        <w:t> </w:t>
      </w:r>
      <w:r w:rsidRPr="009C24E6">
        <w:rPr>
          <w:lang w:val="fr-FR"/>
        </w:rPr>
        <w:t>tableau ci</w:t>
      </w:r>
      <w:r w:rsidR="00BA7504">
        <w:rPr>
          <w:lang w:val="fr-FR"/>
        </w:rPr>
        <w:noBreakHyphen/>
      </w:r>
      <w:r w:rsidRPr="009C24E6">
        <w:rPr>
          <w:lang w:val="fr-FR"/>
        </w:rPr>
        <w:t xml:space="preserve">après montre les progrès réalisés concernant les principaux éléments du projet et les </w:t>
      </w:r>
      <w:r w:rsidR="00AF4CB6" w:rsidRPr="009C24E6">
        <w:rPr>
          <w:lang w:val="fr-FR"/>
        </w:rPr>
        <w:t>échéances</w:t>
      </w:r>
      <w:r w:rsidR="004E46DF" w:rsidRPr="009C24E6">
        <w:rPr>
          <w:lang w:val="fr-FR"/>
        </w:rPr>
        <w:t xml:space="preserve"> </w:t>
      </w:r>
      <w:r w:rsidRPr="009C24E6">
        <w:rPr>
          <w:lang w:val="fr-FR"/>
        </w:rPr>
        <w:t>prévues.</w:t>
      </w:r>
    </w:p>
    <w:p w:rsidR="0068498C" w:rsidRPr="009C24E6" w:rsidRDefault="0068498C" w:rsidP="00645EB8">
      <w:pPr>
        <w:outlineLvl w:val="1"/>
        <w:rPr>
          <w:lang w:val="fr-FR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140"/>
        <w:gridCol w:w="2340"/>
        <w:gridCol w:w="2218"/>
      </w:tblGrid>
      <w:tr w:rsidR="00645EB8" w:rsidRPr="009C24E6" w:rsidTr="003C24B9">
        <w:trPr>
          <w:trHeight w:val="577"/>
        </w:trPr>
        <w:tc>
          <w:tcPr>
            <w:tcW w:w="4140" w:type="dxa"/>
          </w:tcPr>
          <w:p w:rsidR="0068498C" w:rsidRPr="009C24E6" w:rsidRDefault="00804391" w:rsidP="00645EB8">
            <w:pPr>
              <w:contextualSpacing/>
              <w:jc w:val="center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Éléments du projet</w:t>
            </w:r>
          </w:p>
        </w:tc>
        <w:tc>
          <w:tcPr>
            <w:tcW w:w="2340" w:type="dxa"/>
          </w:tcPr>
          <w:p w:rsidR="0068498C" w:rsidRPr="009C24E6" w:rsidRDefault="00AF4CB6" w:rsidP="00645EB8">
            <w:pPr>
              <w:ind w:left="34"/>
              <w:contextualSpacing/>
              <w:jc w:val="center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Situation</w:t>
            </w:r>
            <w:r w:rsidR="00804391" w:rsidRPr="009C24E6">
              <w:rPr>
                <w:rFonts w:eastAsiaTheme="minorHAnsi"/>
                <w:b/>
                <w:lang w:val="fr-FR" w:eastAsia="en-US"/>
              </w:rPr>
              <w:t xml:space="preserve"> actuel</w:t>
            </w:r>
            <w:r w:rsidRPr="009C24E6">
              <w:rPr>
                <w:rFonts w:eastAsiaTheme="minorHAnsi"/>
                <w:b/>
                <w:lang w:val="fr-FR" w:eastAsia="en-US"/>
              </w:rPr>
              <w:t>le</w:t>
            </w:r>
          </w:p>
        </w:tc>
        <w:tc>
          <w:tcPr>
            <w:tcW w:w="2218" w:type="dxa"/>
          </w:tcPr>
          <w:p w:rsidR="0068498C" w:rsidRPr="009C24E6" w:rsidRDefault="00AF4CB6" w:rsidP="00645EB8">
            <w:pPr>
              <w:contextualSpacing/>
              <w:jc w:val="center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Calendrier</w:t>
            </w:r>
            <w:r w:rsidR="00804391" w:rsidRPr="009C24E6">
              <w:rPr>
                <w:rFonts w:eastAsiaTheme="minorHAnsi"/>
                <w:b/>
                <w:lang w:val="fr-FR" w:eastAsia="en-US"/>
              </w:rPr>
              <w:t xml:space="preserve"> </w:t>
            </w:r>
            <w:r w:rsidR="004E46DF" w:rsidRPr="009C24E6">
              <w:rPr>
                <w:rFonts w:eastAsiaTheme="minorHAnsi"/>
                <w:b/>
                <w:lang w:val="fr-FR" w:eastAsia="en-US"/>
              </w:rPr>
              <w:t>d</w:t>
            </w:r>
            <w:r w:rsidR="009C24E6">
              <w:rPr>
                <w:rFonts w:eastAsiaTheme="minorHAnsi"/>
                <w:b/>
                <w:lang w:val="fr-FR" w:eastAsia="en-US"/>
              </w:rPr>
              <w:t>’</w:t>
            </w:r>
            <w:r w:rsidR="004E46DF" w:rsidRPr="009C24E6">
              <w:rPr>
                <w:rFonts w:eastAsiaTheme="minorHAnsi"/>
                <w:b/>
                <w:lang w:val="fr-FR" w:eastAsia="en-US"/>
              </w:rPr>
              <w:t>ex</w:t>
            </w:r>
            <w:r w:rsidR="00804391" w:rsidRPr="009C24E6">
              <w:rPr>
                <w:rFonts w:eastAsiaTheme="minorHAnsi"/>
                <w:b/>
                <w:lang w:val="fr-FR" w:eastAsia="en-US"/>
              </w:rPr>
              <w:t>é</w:t>
            </w:r>
            <w:r w:rsidR="004E46DF" w:rsidRPr="009C24E6">
              <w:rPr>
                <w:rFonts w:eastAsiaTheme="minorHAnsi"/>
                <w:b/>
                <w:lang w:val="fr-FR" w:eastAsia="en-US"/>
              </w:rPr>
              <w:t>cu</w:t>
            </w:r>
            <w:r w:rsidR="00804391" w:rsidRPr="009C24E6">
              <w:rPr>
                <w:rFonts w:eastAsiaTheme="minorHAnsi"/>
                <w:b/>
                <w:lang w:val="fr-FR" w:eastAsia="en-US"/>
              </w:rPr>
              <w:t>tion</w:t>
            </w:r>
          </w:p>
        </w:tc>
      </w:tr>
      <w:tr w:rsidR="00645EB8" w:rsidRPr="009C24E6" w:rsidTr="003C24B9">
        <w:trPr>
          <w:trHeight w:val="577"/>
        </w:trPr>
        <w:tc>
          <w:tcPr>
            <w:tcW w:w="4140" w:type="dxa"/>
          </w:tcPr>
          <w:p w:rsidR="005972C1" w:rsidRPr="009C24E6" w:rsidRDefault="00AF4CB6" w:rsidP="00645EB8">
            <w:pPr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S</w:t>
            </w:r>
            <w:r w:rsidR="00804391" w:rsidRPr="009C24E6">
              <w:rPr>
                <w:rFonts w:eastAsiaTheme="minorHAnsi"/>
                <w:lang w:val="fr-FR" w:eastAsia="en-US"/>
              </w:rPr>
              <w:t>écuri</w:t>
            </w:r>
            <w:r w:rsidRPr="009C24E6">
              <w:rPr>
                <w:rFonts w:eastAsiaTheme="minorHAnsi"/>
                <w:lang w:val="fr-FR" w:eastAsia="en-US"/>
              </w:rPr>
              <w:t>té interne</w:t>
            </w:r>
            <w:r w:rsidR="00804391" w:rsidRPr="009C24E6">
              <w:rPr>
                <w:rFonts w:eastAsiaTheme="minorHAnsi"/>
                <w:lang w:val="fr-FR" w:eastAsia="en-US"/>
              </w:rPr>
              <w:t xml:space="preserve"> (OMPI)</w:t>
            </w:r>
          </w:p>
          <w:p w:rsidR="00626796" w:rsidRPr="009C24E6" w:rsidRDefault="00B61C41" w:rsidP="00645EB8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fr-FR" w:eastAsia="en-US"/>
              </w:rPr>
            </w:pPr>
            <w:r w:rsidRPr="009C24E6">
              <w:rPr>
                <w:rFonts w:eastAsiaTheme="minorHAnsi"/>
                <w:sz w:val="20"/>
                <w:lang w:val="fr-FR" w:eastAsia="en-US"/>
              </w:rPr>
              <w:t>Systèmes de vidéosurveillance</w:t>
            </w:r>
          </w:p>
          <w:p w:rsidR="00626796" w:rsidRPr="009C24E6" w:rsidRDefault="00B61C41" w:rsidP="00645EB8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fr-FR" w:eastAsia="en-US"/>
              </w:rPr>
            </w:pPr>
            <w:r w:rsidRPr="009C24E6">
              <w:rPr>
                <w:rFonts w:eastAsiaTheme="minorHAnsi"/>
                <w:sz w:val="20"/>
                <w:lang w:val="fr-FR" w:eastAsia="en-US"/>
              </w:rPr>
              <w:t>Systèmes de contrôle d</w:t>
            </w:r>
            <w:r w:rsidR="009C24E6">
              <w:rPr>
                <w:rFonts w:eastAsiaTheme="minorHAnsi"/>
                <w:sz w:val="20"/>
                <w:lang w:val="fr-FR" w:eastAsia="en-US"/>
              </w:rPr>
              <w:t>’</w:t>
            </w:r>
            <w:r w:rsidRPr="009C24E6">
              <w:rPr>
                <w:rFonts w:eastAsiaTheme="minorHAnsi"/>
                <w:sz w:val="20"/>
                <w:lang w:val="fr-FR" w:eastAsia="en-US"/>
              </w:rPr>
              <w:t>accès</w:t>
            </w:r>
          </w:p>
          <w:p w:rsidR="00626796" w:rsidRPr="009C24E6" w:rsidRDefault="00B61C41" w:rsidP="00645EB8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fr-FR" w:eastAsia="en-US"/>
              </w:rPr>
            </w:pPr>
            <w:r w:rsidRPr="009C24E6">
              <w:rPr>
                <w:rFonts w:eastAsiaTheme="minorHAnsi"/>
                <w:sz w:val="20"/>
                <w:lang w:val="fr-FR" w:eastAsia="en-US"/>
              </w:rPr>
              <w:t>Centre d</w:t>
            </w:r>
            <w:r w:rsidR="009C24E6">
              <w:rPr>
                <w:rFonts w:eastAsiaTheme="minorHAnsi"/>
                <w:sz w:val="20"/>
                <w:lang w:val="fr-FR" w:eastAsia="en-US"/>
              </w:rPr>
              <w:t>’</w:t>
            </w:r>
            <w:r w:rsidRPr="009C24E6">
              <w:rPr>
                <w:rFonts w:eastAsiaTheme="minorHAnsi"/>
                <w:sz w:val="20"/>
                <w:lang w:val="fr-FR" w:eastAsia="en-US"/>
              </w:rPr>
              <w:t>accès</w:t>
            </w:r>
          </w:p>
          <w:p w:rsidR="00626796" w:rsidRPr="009C24E6" w:rsidRDefault="004E46DF" w:rsidP="00645EB8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fr-FR" w:eastAsia="en-US"/>
              </w:rPr>
            </w:pPr>
            <w:r w:rsidRPr="009C24E6">
              <w:rPr>
                <w:rFonts w:eastAsiaTheme="minorHAnsi"/>
                <w:sz w:val="20"/>
                <w:lang w:val="fr-FR" w:eastAsia="en-US"/>
              </w:rPr>
              <w:t xml:space="preserve">Réseau </w:t>
            </w:r>
            <w:r w:rsidR="00B61C41" w:rsidRPr="009C24E6">
              <w:rPr>
                <w:rFonts w:eastAsiaTheme="minorHAnsi"/>
                <w:sz w:val="20"/>
                <w:lang w:val="fr-FR" w:eastAsia="en-US"/>
              </w:rPr>
              <w:t>de sécurité</w:t>
            </w:r>
            <w:r w:rsidRPr="009C24E6">
              <w:rPr>
                <w:rFonts w:eastAsiaTheme="minorHAnsi"/>
                <w:sz w:val="20"/>
                <w:lang w:val="fr-FR" w:eastAsia="en-US"/>
              </w:rPr>
              <w:t xml:space="preserve"> </w:t>
            </w:r>
            <w:r w:rsidR="00AF4CB6" w:rsidRPr="009C24E6">
              <w:rPr>
                <w:rFonts w:eastAsiaTheme="minorHAnsi"/>
                <w:sz w:val="20"/>
                <w:lang w:val="fr-FR" w:eastAsia="en-US"/>
              </w:rPr>
              <w:t>local (</w:t>
            </w:r>
            <w:r w:rsidRPr="009C24E6">
              <w:rPr>
                <w:rFonts w:eastAsiaTheme="minorHAnsi"/>
                <w:sz w:val="20"/>
                <w:lang w:val="fr-FR" w:eastAsia="en-US"/>
              </w:rPr>
              <w:t>LAN</w:t>
            </w:r>
            <w:r w:rsidR="00AF4CB6" w:rsidRPr="009C24E6">
              <w:rPr>
                <w:rFonts w:eastAsiaTheme="minorHAnsi"/>
                <w:sz w:val="20"/>
                <w:lang w:val="fr-FR" w:eastAsia="en-US"/>
              </w:rPr>
              <w:t>)</w:t>
            </w:r>
          </w:p>
          <w:p w:rsidR="00626796" w:rsidRPr="009C24E6" w:rsidRDefault="00B61C41" w:rsidP="00645EB8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fr-FR" w:eastAsia="en-US"/>
              </w:rPr>
            </w:pPr>
            <w:r w:rsidRPr="009C24E6">
              <w:rPr>
                <w:rFonts w:eastAsiaTheme="minorHAnsi"/>
                <w:sz w:val="20"/>
                <w:lang w:val="fr-FR" w:eastAsia="en-US"/>
              </w:rPr>
              <w:t>Centre de</w:t>
            </w:r>
            <w:r w:rsidR="00AF4CB6" w:rsidRPr="009C24E6">
              <w:rPr>
                <w:rFonts w:eastAsiaTheme="minorHAnsi"/>
                <w:sz w:val="20"/>
                <w:lang w:val="fr-FR" w:eastAsia="en-US"/>
              </w:rPr>
              <w:t>s opérations de sécurité</w:t>
            </w:r>
          </w:p>
          <w:p w:rsidR="00050996" w:rsidRPr="009C24E6" w:rsidRDefault="00B61C41" w:rsidP="00645EB8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fr-FR" w:eastAsia="en-US"/>
              </w:rPr>
            </w:pPr>
            <w:r w:rsidRPr="009C24E6">
              <w:rPr>
                <w:rFonts w:eastAsiaTheme="minorHAnsi"/>
                <w:sz w:val="20"/>
                <w:lang w:val="fr-FR" w:eastAsia="en-US"/>
              </w:rPr>
              <w:t>Systèmes de détection des incendies</w:t>
            </w:r>
          </w:p>
        </w:tc>
        <w:tc>
          <w:tcPr>
            <w:tcW w:w="2340" w:type="dxa"/>
          </w:tcPr>
          <w:p w:rsidR="00050996" w:rsidRPr="009C24E6" w:rsidRDefault="00B61C41" w:rsidP="00645EB8">
            <w:pPr>
              <w:ind w:left="34"/>
              <w:contextualSpacing/>
              <w:jc w:val="center"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Phase</w:t>
            </w:r>
            <w:r w:rsidR="004E46DF" w:rsidRPr="009C24E6">
              <w:rPr>
                <w:rFonts w:eastAsiaTheme="minorHAnsi"/>
                <w:lang w:val="fr-FR" w:eastAsia="en-US"/>
              </w:rPr>
              <w:t> </w:t>
            </w:r>
            <w:r w:rsidRPr="009C24E6">
              <w:rPr>
                <w:rFonts w:eastAsiaTheme="minorHAnsi"/>
                <w:lang w:val="fr-FR" w:eastAsia="en-US"/>
              </w:rPr>
              <w:t>III</w:t>
            </w:r>
            <w:r w:rsidR="00050996" w:rsidRPr="009C24E6">
              <w:rPr>
                <w:rFonts w:eastAsiaTheme="minorHAnsi"/>
                <w:lang w:val="fr-FR" w:eastAsia="en-US"/>
              </w:rPr>
              <w:t xml:space="preserve"> </w:t>
            </w:r>
          </w:p>
        </w:tc>
        <w:tc>
          <w:tcPr>
            <w:tcW w:w="2218" w:type="dxa"/>
          </w:tcPr>
          <w:p w:rsidR="00050996" w:rsidRPr="009C24E6" w:rsidRDefault="004E46DF" w:rsidP="00645EB8">
            <w:pPr>
              <w:contextualSpacing/>
              <w:jc w:val="center"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achevé</w:t>
            </w:r>
            <w:r w:rsidR="00050996" w:rsidRPr="009C24E6">
              <w:rPr>
                <w:rFonts w:eastAsiaTheme="minorHAnsi"/>
                <w:lang w:val="fr-FR" w:eastAsia="en-US"/>
              </w:rPr>
              <w:t xml:space="preserve"> </w:t>
            </w:r>
            <w:r w:rsidRPr="009C24E6">
              <w:rPr>
                <w:rFonts w:eastAsiaTheme="minorHAnsi"/>
                <w:lang w:val="fr-FR" w:eastAsia="en-US"/>
              </w:rPr>
              <w:t>en</w:t>
            </w:r>
            <w:r w:rsidRPr="009C24E6">
              <w:rPr>
                <w:rFonts w:eastAsiaTheme="minorHAnsi"/>
                <w:lang w:val="fr-FR" w:eastAsia="en-US"/>
              </w:rPr>
              <w:br/>
              <w:t>j</w:t>
            </w:r>
            <w:r w:rsidR="00050996" w:rsidRPr="009C24E6">
              <w:rPr>
                <w:rFonts w:eastAsiaTheme="minorHAnsi"/>
                <w:lang w:val="fr-FR" w:eastAsia="en-US"/>
              </w:rPr>
              <w:t>an</w:t>
            </w:r>
            <w:r w:rsidRPr="009C24E6">
              <w:rPr>
                <w:rFonts w:eastAsiaTheme="minorHAnsi"/>
                <w:lang w:val="fr-FR" w:eastAsia="en-US"/>
              </w:rPr>
              <w:t>vier </w:t>
            </w:r>
            <w:r w:rsidR="00050996" w:rsidRPr="009C24E6">
              <w:rPr>
                <w:rFonts w:eastAsiaTheme="minorHAnsi"/>
                <w:lang w:val="fr-FR" w:eastAsia="en-US"/>
              </w:rPr>
              <w:t xml:space="preserve">2015 </w:t>
            </w:r>
          </w:p>
        </w:tc>
      </w:tr>
      <w:tr w:rsidR="00645EB8" w:rsidRPr="009C24E6" w:rsidTr="003C24B9">
        <w:tc>
          <w:tcPr>
            <w:tcW w:w="4140" w:type="dxa"/>
            <w:vAlign w:val="center"/>
          </w:tcPr>
          <w:p w:rsidR="00626796" w:rsidRPr="009C24E6" w:rsidRDefault="00AF4CB6" w:rsidP="00645EB8">
            <w:pPr>
              <w:contextualSpacing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S</w:t>
            </w:r>
            <w:r w:rsidR="00B61C41" w:rsidRPr="009C24E6">
              <w:rPr>
                <w:rFonts w:eastAsiaTheme="minorHAnsi"/>
                <w:lang w:val="fr-FR" w:eastAsia="en-US"/>
              </w:rPr>
              <w:t>écurisation du périmètre de l</w:t>
            </w:r>
            <w:r w:rsidR="009C24E6">
              <w:rPr>
                <w:rFonts w:eastAsiaTheme="minorHAnsi"/>
                <w:lang w:val="fr-FR" w:eastAsia="en-US"/>
              </w:rPr>
              <w:t>’</w:t>
            </w:r>
            <w:r w:rsidR="00B61C41" w:rsidRPr="009C24E6">
              <w:rPr>
                <w:rFonts w:eastAsiaTheme="minorHAnsi"/>
                <w:lang w:val="fr-FR" w:eastAsia="en-US"/>
              </w:rPr>
              <w:t>OMPI (FIPOI)</w:t>
            </w:r>
          </w:p>
          <w:p w:rsidR="00626796" w:rsidRPr="009C24E6" w:rsidRDefault="00B61C41" w:rsidP="00645EB8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fr-FR" w:eastAsia="en-US"/>
              </w:rPr>
            </w:pPr>
            <w:r w:rsidRPr="009C24E6">
              <w:rPr>
                <w:rFonts w:eastAsiaTheme="minorHAnsi"/>
                <w:sz w:val="20"/>
                <w:lang w:val="fr-FR" w:eastAsia="en-US"/>
              </w:rPr>
              <w:t>Obstacles anti</w:t>
            </w:r>
            <w:r w:rsidR="00BA7504">
              <w:rPr>
                <w:rFonts w:eastAsiaTheme="minorHAnsi"/>
                <w:sz w:val="20"/>
                <w:lang w:val="fr-FR" w:eastAsia="en-US"/>
              </w:rPr>
              <w:noBreakHyphen/>
            </w:r>
            <w:r w:rsidRPr="009C24E6">
              <w:rPr>
                <w:rFonts w:eastAsiaTheme="minorHAnsi"/>
                <w:sz w:val="20"/>
                <w:lang w:val="fr-FR" w:eastAsia="en-US"/>
              </w:rPr>
              <w:t>véhicules</w:t>
            </w:r>
          </w:p>
          <w:p w:rsidR="00626796" w:rsidRPr="009C24E6" w:rsidRDefault="003E2700" w:rsidP="00645EB8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fr-FR" w:eastAsia="en-US"/>
              </w:rPr>
            </w:pPr>
            <w:r w:rsidRPr="009C24E6">
              <w:rPr>
                <w:rFonts w:eastAsiaTheme="minorHAnsi"/>
                <w:sz w:val="20"/>
                <w:lang w:val="fr-FR" w:eastAsia="en-US"/>
              </w:rPr>
              <w:t>Obstacles a</w:t>
            </w:r>
            <w:r w:rsidR="00050996" w:rsidRPr="009C24E6">
              <w:rPr>
                <w:rFonts w:eastAsiaTheme="minorHAnsi"/>
                <w:sz w:val="20"/>
                <w:lang w:val="fr-FR" w:eastAsia="en-US"/>
              </w:rPr>
              <w:t>nti</w:t>
            </w:r>
            <w:r w:rsidR="00BA7504">
              <w:rPr>
                <w:rFonts w:eastAsiaTheme="minorHAnsi"/>
                <w:sz w:val="20"/>
                <w:lang w:val="fr-FR" w:eastAsia="en-US"/>
              </w:rPr>
              <w:noBreakHyphen/>
            </w:r>
            <w:r w:rsidR="00050996" w:rsidRPr="009C24E6">
              <w:rPr>
                <w:rFonts w:eastAsiaTheme="minorHAnsi"/>
                <w:sz w:val="20"/>
                <w:lang w:val="fr-FR" w:eastAsia="en-US"/>
              </w:rPr>
              <w:t>p</w:t>
            </w:r>
            <w:r w:rsidRPr="009C24E6">
              <w:rPr>
                <w:rFonts w:eastAsiaTheme="minorHAnsi"/>
                <w:sz w:val="20"/>
                <w:lang w:val="fr-FR" w:eastAsia="en-US"/>
              </w:rPr>
              <w:t>iéton</w:t>
            </w:r>
            <w:r w:rsidR="00050996" w:rsidRPr="009C24E6">
              <w:rPr>
                <w:rFonts w:eastAsiaTheme="minorHAnsi"/>
                <w:sz w:val="20"/>
                <w:lang w:val="fr-FR" w:eastAsia="en-US"/>
              </w:rPr>
              <w:t>s (</w:t>
            </w:r>
            <w:r w:rsidR="0058017C" w:rsidRPr="009C24E6">
              <w:rPr>
                <w:rFonts w:eastAsiaTheme="minorHAnsi"/>
                <w:sz w:val="20"/>
                <w:lang w:val="fr-FR" w:eastAsia="en-US"/>
              </w:rPr>
              <w:t>p</w:t>
            </w:r>
            <w:r w:rsidR="002A7BD7" w:rsidRPr="009C24E6">
              <w:rPr>
                <w:rFonts w:eastAsiaTheme="minorHAnsi"/>
                <w:sz w:val="20"/>
                <w:lang w:val="fr-FR" w:eastAsia="en-US"/>
              </w:rPr>
              <w:t>r</w:t>
            </w:r>
            <w:r w:rsidR="0058017C" w:rsidRPr="009C24E6">
              <w:rPr>
                <w:rFonts w:eastAsiaTheme="minorHAnsi"/>
                <w:sz w:val="20"/>
                <w:lang w:val="fr-FR" w:eastAsia="en-US"/>
              </w:rPr>
              <w:t>o</w:t>
            </w:r>
            <w:r w:rsidR="002A7BD7" w:rsidRPr="009C24E6">
              <w:rPr>
                <w:rFonts w:eastAsiaTheme="minorHAnsi"/>
                <w:sz w:val="20"/>
                <w:lang w:val="fr-FR" w:eastAsia="en-US"/>
              </w:rPr>
              <w:t>jet</w:t>
            </w:r>
            <w:r w:rsidR="0058017C" w:rsidRPr="009C24E6">
              <w:rPr>
                <w:rFonts w:eastAsiaTheme="minorHAnsi"/>
                <w:sz w:val="20"/>
                <w:lang w:val="fr-FR" w:eastAsia="en-US"/>
              </w:rPr>
              <w:t xml:space="preserve"> modifié</w:t>
            </w:r>
            <w:r w:rsidR="00050996" w:rsidRPr="009C24E6">
              <w:rPr>
                <w:rFonts w:eastAsiaTheme="minorHAnsi"/>
                <w:sz w:val="20"/>
                <w:lang w:val="fr-FR" w:eastAsia="en-US"/>
              </w:rPr>
              <w:t>)</w:t>
            </w:r>
          </w:p>
          <w:p w:rsidR="00626796" w:rsidRPr="009C24E6" w:rsidRDefault="006545AB" w:rsidP="00645EB8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fr-FR" w:eastAsia="en-US"/>
              </w:rPr>
            </w:pPr>
            <w:r w:rsidRPr="009C24E6">
              <w:rPr>
                <w:rFonts w:eastAsiaTheme="minorHAnsi"/>
                <w:sz w:val="20"/>
                <w:lang w:val="fr-FR" w:eastAsia="en-US"/>
              </w:rPr>
              <w:t>Guérite</w:t>
            </w:r>
            <w:r w:rsidR="002A7BD7" w:rsidRPr="009C24E6">
              <w:rPr>
                <w:rFonts w:eastAsiaTheme="minorHAnsi"/>
                <w:sz w:val="20"/>
                <w:lang w:val="fr-FR" w:eastAsia="en-US"/>
              </w:rPr>
              <w:t>s</w:t>
            </w:r>
            <w:r w:rsidR="0058017C" w:rsidRPr="009C24E6">
              <w:rPr>
                <w:rFonts w:eastAsiaTheme="minorHAnsi"/>
                <w:sz w:val="20"/>
                <w:lang w:val="fr-FR" w:eastAsia="en-US"/>
              </w:rPr>
              <w:t>/</w:t>
            </w:r>
            <w:r w:rsidRPr="009C24E6">
              <w:rPr>
                <w:rFonts w:eastAsiaTheme="minorHAnsi"/>
                <w:sz w:val="20"/>
                <w:lang w:val="fr-FR" w:eastAsia="en-US"/>
              </w:rPr>
              <w:t>loge</w:t>
            </w:r>
            <w:r w:rsidR="0058017C" w:rsidRPr="009C24E6">
              <w:rPr>
                <w:rFonts w:eastAsiaTheme="minorHAnsi"/>
                <w:sz w:val="20"/>
                <w:lang w:val="fr-FR" w:eastAsia="en-US"/>
              </w:rPr>
              <w:t xml:space="preserve"> des agents de sécurité</w:t>
            </w:r>
          </w:p>
          <w:p w:rsidR="00050996" w:rsidRPr="009C24E6" w:rsidRDefault="005B1FBB" w:rsidP="00645EB8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Dispositifs anti</w:t>
            </w:r>
            <w:r w:rsidR="00BA7504">
              <w:rPr>
                <w:rFonts w:eastAsiaTheme="minorHAnsi"/>
                <w:lang w:val="fr-FR" w:eastAsia="en-US"/>
              </w:rPr>
              <w:noBreakHyphen/>
            </w:r>
            <w:r w:rsidRPr="009C24E6">
              <w:rPr>
                <w:rFonts w:eastAsiaTheme="minorHAnsi"/>
                <w:lang w:val="fr-FR" w:eastAsia="en-US"/>
              </w:rPr>
              <w:t>intrusion</w:t>
            </w:r>
          </w:p>
        </w:tc>
        <w:tc>
          <w:tcPr>
            <w:tcW w:w="2340" w:type="dxa"/>
          </w:tcPr>
          <w:p w:rsidR="00050996" w:rsidRPr="009C24E6" w:rsidRDefault="005B1FBB" w:rsidP="00645EB8">
            <w:pPr>
              <w:ind w:left="34"/>
              <w:contextualSpacing/>
              <w:jc w:val="center"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Phase</w:t>
            </w:r>
            <w:r w:rsidR="004E46DF" w:rsidRPr="009C24E6">
              <w:rPr>
                <w:rFonts w:eastAsiaTheme="minorHAnsi"/>
                <w:lang w:val="fr-FR" w:eastAsia="en-US"/>
              </w:rPr>
              <w:t> </w:t>
            </w:r>
            <w:r w:rsidRPr="009C24E6">
              <w:rPr>
                <w:rFonts w:eastAsiaTheme="minorHAnsi"/>
                <w:lang w:val="fr-FR" w:eastAsia="en-US"/>
              </w:rPr>
              <w:t>III</w:t>
            </w:r>
          </w:p>
        </w:tc>
        <w:tc>
          <w:tcPr>
            <w:tcW w:w="2218" w:type="dxa"/>
          </w:tcPr>
          <w:p w:rsidR="00050996" w:rsidRPr="009C24E6" w:rsidRDefault="003E2700" w:rsidP="00645EB8">
            <w:pPr>
              <w:contextualSpacing/>
              <w:jc w:val="center"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achèvement prévu</w:t>
            </w:r>
            <w:r w:rsidR="00050996" w:rsidRPr="009C24E6">
              <w:rPr>
                <w:rFonts w:eastAsiaTheme="minorHAnsi"/>
                <w:lang w:val="fr-FR" w:eastAsia="en-US"/>
              </w:rPr>
              <w:br/>
            </w:r>
            <w:r w:rsidRPr="009C24E6">
              <w:rPr>
                <w:rFonts w:eastAsiaTheme="minorHAnsi"/>
                <w:lang w:val="fr-FR" w:eastAsia="en-US"/>
              </w:rPr>
              <w:t xml:space="preserve">en </w:t>
            </w:r>
            <w:r w:rsidR="004E46DF" w:rsidRPr="009C24E6">
              <w:rPr>
                <w:rFonts w:eastAsiaTheme="minorHAnsi"/>
                <w:lang w:val="fr-FR" w:eastAsia="en-US"/>
              </w:rPr>
              <w:t>août </w:t>
            </w:r>
            <w:r w:rsidR="00050996" w:rsidRPr="009C24E6">
              <w:rPr>
                <w:rFonts w:eastAsiaTheme="minorHAnsi"/>
                <w:lang w:val="fr-FR" w:eastAsia="en-US"/>
              </w:rPr>
              <w:t xml:space="preserve">2015 </w:t>
            </w:r>
          </w:p>
        </w:tc>
      </w:tr>
      <w:tr w:rsidR="00050996" w:rsidRPr="009C24E6" w:rsidTr="003C24B9">
        <w:tc>
          <w:tcPr>
            <w:tcW w:w="4140" w:type="dxa"/>
          </w:tcPr>
          <w:p w:rsidR="00050996" w:rsidRPr="009C24E6" w:rsidRDefault="005B1FBB" w:rsidP="00645EB8">
            <w:pPr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Systèmes de détection des intrusions pour la salle de conférence de l</w:t>
            </w:r>
            <w:r w:rsidR="009C24E6">
              <w:rPr>
                <w:rFonts w:eastAsiaTheme="minorHAnsi"/>
                <w:lang w:val="fr-FR" w:eastAsia="en-US"/>
              </w:rPr>
              <w:t>’</w:t>
            </w:r>
            <w:r w:rsidRPr="009C24E6">
              <w:rPr>
                <w:rFonts w:eastAsiaTheme="minorHAnsi"/>
                <w:lang w:val="fr-FR" w:eastAsia="en-US"/>
              </w:rPr>
              <w:t>OMPI</w:t>
            </w:r>
          </w:p>
        </w:tc>
        <w:tc>
          <w:tcPr>
            <w:tcW w:w="2340" w:type="dxa"/>
          </w:tcPr>
          <w:p w:rsidR="00050996" w:rsidRPr="009C24E6" w:rsidRDefault="005B1FBB" w:rsidP="00645EB8">
            <w:pPr>
              <w:ind w:left="34"/>
              <w:contextualSpacing/>
              <w:jc w:val="center"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Phase</w:t>
            </w:r>
            <w:r w:rsidR="004E46DF" w:rsidRPr="009C24E6">
              <w:rPr>
                <w:rFonts w:eastAsiaTheme="minorHAnsi"/>
                <w:lang w:val="fr-FR" w:eastAsia="en-US"/>
              </w:rPr>
              <w:t> </w:t>
            </w:r>
            <w:r w:rsidRPr="009C24E6">
              <w:rPr>
                <w:rFonts w:eastAsiaTheme="minorHAnsi"/>
                <w:lang w:val="fr-FR" w:eastAsia="en-US"/>
              </w:rPr>
              <w:t>III</w:t>
            </w:r>
          </w:p>
        </w:tc>
        <w:tc>
          <w:tcPr>
            <w:tcW w:w="2218" w:type="dxa"/>
          </w:tcPr>
          <w:p w:rsidR="00050996" w:rsidRPr="009C24E6" w:rsidRDefault="003E2700" w:rsidP="00645EB8">
            <w:pPr>
              <w:contextualSpacing/>
              <w:jc w:val="center"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achèvement prévu en septembre </w:t>
            </w:r>
            <w:r w:rsidR="00050996" w:rsidRPr="009C24E6">
              <w:rPr>
                <w:rFonts w:eastAsiaTheme="minorHAnsi"/>
                <w:lang w:val="fr-FR" w:eastAsia="en-US"/>
              </w:rPr>
              <w:t xml:space="preserve">2015 </w:t>
            </w:r>
          </w:p>
        </w:tc>
      </w:tr>
    </w:tbl>
    <w:p w:rsidR="00626796" w:rsidRPr="009C24E6" w:rsidRDefault="00626796" w:rsidP="00645EB8">
      <w:pPr>
        <w:rPr>
          <w:rFonts w:eastAsiaTheme="minorHAnsi"/>
          <w:b/>
          <w:szCs w:val="22"/>
          <w:lang w:val="fr-FR" w:eastAsia="en-US"/>
        </w:rPr>
      </w:pPr>
    </w:p>
    <w:p w:rsidR="00626796" w:rsidRPr="009C24E6" w:rsidRDefault="00626796" w:rsidP="00645EB8">
      <w:pPr>
        <w:rPr>
          <w:rFonts w:eastAsiaTheme="minorHAnsi"/>
          <w:b/>
          <w:sz w:val="20"/>
          <w:szCs w:val="22"/>
          <w:lang w:val="fr-FR" w:eastAsia="en-US"/>
        </w:rPr>
      </w:pPr>
    </w:p>
    <w:p w:rsidR="005972C1" w:rsidRPr="009C24E6" w:rsidRDefault="00543BD6" w:rsidP="00645EB8">
      <w:pPr>
        <w:pStyle w:val="ONUMFS"/>
        <w:rPr>
          <w:lang w:val="fr-FR"/>
        </w:rPr>
      </w:pPr>
      <w:r w:rsidRPr="009C24E6">
        <w:rPr>
          <w:lang w:val="fr-FR"/>
        </w:rPr>
        <w:t>Il convient de rappeler que le précédent rapport sur l</w:t>
      </w:r>
      <w:r w:rsidR="009C24E6">
        <w:rPr>
          <w:lang w:val="fr-FR"/>
        </w:rPr>
        <w:t>’</w:t>
      </w:r>
      <w:r w:rsidRPr="009C24E6">
        <w:rPr>
          <w:lang w:val="fr-FR"/>
        </w:rPr>
        <w:t>état d</w:t>
      </w:r>
      <w:r w:rsidR="009C24E6">
        <w:rPr>
          <w:lang w:val="fr-FR"/>
        </w:rPr>
        <w:t>’</w:t>
      </w:r>
      <w:r w:rsidRPr="009C24E6">
        <w:rPr>
          <w:lang w:val="fr-FR"/>
        </w:rPr>
        <w:t>avancement d</w:t>
      </w:r>
      <w:r w:rsidR="002A7BD7" w:rsidRPr="009C24E6">
        <w:rPr>
          <w:lang w:val="fr-FR"/>
        </w:rPr>
        <w:t>u projet</w:t>
      </w:r>
      <w:r w:rsidRPr="009C24E6">
        <w:rPr>
          <w:lang w:val="fr-FR"/>
        </w:rPr>
        <w:t xml:space="preserve"> (document WO/PBC/22/13) indiquait que la construction de la salle de conférence </w:t>
      </w:r>
      <w:r w:rsidR="002A7BD7" w:rsidRPr="009C24E6">
        <w:rPr>
          <w:lang w:val="fr-FR"/>
        </w:rPr>
        <w:t>de l</w:t>
      </w:r>
      <w:r w:rsidR="009C24E6">
        <w:rPr>
          <w:lang w:val="fr-FR"/>
        </w:rPr>
        <w:t>’</w:t>
      </w:r>
      <w:r w:rsidR="002A7BD7" w:rsidRPr="009C24E6">
        <w:rPr>
          <w:lang w:val="fr-FR"/>
        </w:rPr>
        <w:t xml:space="preserve">OMPI </w:t>
      </w:r>
      <w:r w:rsidRPr="009C24E6">
        <w:rPr>
          <w:lang w:val="fr-FR"/>
        </w:rPr>
        <w:t>et du Centre d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accès avait </w:t>
      </w:r>
      <w:r w:rsidR="002A7BD7" w:rsidRPr="009C24E6">
        <w:rPr>
          <w:lang w:val="fr-FR"/>
        </w:rPr>
        <w:t>affecté</w:t>
      </w:r>
      <w:r w:rsidRPr="009C24E6">
        <w:rPr>
          <w:lang w:val="fr-FR"/>
        </w:rPr>
        <w:t xml:space="preserve"> l</w:t>
      </w:r>
      <w:r w:rsidR="009C24E6">
        <w:rPr>
          <w:lang w:val="fr-FR"/>
        </w:rPr>
        <w:t>’</w:t>
      </w:r>
      <w:r w:rsidRPr="009C24E6">
        <w:rPr>
          <w:lang w:val="fr-FR"/>
        </w:rPr>
        <w:t>application progressive des mesures de sécurisation du périmètre, l</w:t>
      </w:r>
      <w:r w:rsidR="002A7BD7" w:rsidRPr="009C24E6">
        <w:rPr>
          <w:lang w:val="fr-FR"/>
        </w:rPr>
        <w:t xml:space="preserve">a dernière main devant être apportée aux travaux </w:t>
      </w:r>
      <w:r w:rsidRPr="009C24E6">
        <w:rPr>
          <w:lang w:val="fr-FR"/>
        </w:rPr>
        <w:t>d</w:t>
      </w:r>
      <w:r w:rsidR="009C24E6">
        <w:rPr>
          <w:lang w:val="fr-FR"/>
        </w:rPr>
        <w:t>’</w:t>
      </w:r>
      <w:r w:rsidRPr="009C24E6">
        <w:rPr>
          <w:lang w:val="fr-FR"/>
        </w:rPr>
        <w:t>ici septembre</w:t>
      </w:r>
      <w:r w:rsidR="002A7BD7" w:rsidRPr="009C24E6">
        <w:rPr>
          <w:lang w:val="fr-FR"/>
        </w:rPr>
        <w:t> </w:t>
      </w:r>
      <w:r w:rsidRPr="009C24E6">
        <w:rPr>
          <w:lang w:val="fr-FR"/>
        </w:rPr>
        <w:t>2015.</w:t>
      </w:r>
      <w:r w:rsidR="004213E5" w:rsidRPr="009C24E6">
        <w:rPr>
          <w:lang w:val="fr-FR"/>
        </w:rPr>
        <w:t xml:space="preserve"> </w:t>
      </w:r>
      <w:r w:rsidR="00DE1561" w:rsidRPr="009C24E6">
        <w:rPr>
          <w:lang w:val="fr-FR"/>
        </w:rPr>
        <w:t xml:space="preserve"> </w:t>
      </w:r>
      <w:r w:rsidR="004365CC" w:rsidRPr="009C24E6">
        <w:rPr>
          <w:lang w:val="fr-FR"/>
        </w:rPr>
        <w:t>Pour des raisons techniques et de gestion, l</w:t>
      </w:r>
      <w:r w:rsidR="009C24E6">
        <w:rPr>
          <w:lang w:val="fr-FR"/>
        </w:rPr>
        <w:t>’</w:t>
      </w:r>
      <w:r w:rsidR="004365CC" w:rsidRPr="009C24E6">
        <w:rPr>
          <w:lang w:val="fr-FR"/>
        </w:rPr>
        <w:t>achèvement de la salle de conférence et du Centre d</w:t>
      </w:r>
      <w:r w:rsidR="009C24E6">
        <w:rPr>
          <w:lang w:val="fr-FR"/>
        </w:rPr>
        <w:t>’</w:t>
      </w:r>
      <w:r w:rsidR="004365CC" w:rsidRPr="009C24E6">
        <w:rPr>
          <w:lang w:val="fr-FR"/>
        </w:rPr>
        <w:t xml:space="preserve">accès était </w:t>
      </w:r>
      <w:r w:rsidR="002A7BD7" w:rsidRPr="009C24E6">
        <w:rPr>
          <w:lang w:val="fr-FR"/>
        </w:rPr>
        <w:t xml:space="preserve">généralement une condition </w:t>
      </w:r>
      <w:r w:rsidR="004365CC" w:rsidRPr="009C24E6">
        <w:rPr>
          <w:lang w:val="fr-FR"/>
        </w:rPr>
        <w:t>essentiel</w:t>
      </w:r>
      <w:r w:rsidR="002A7BD7" w:rsidRPr="009C24E6">
        <w:rPr>
          <w:lang w:val="fr-FR"/>
        </w:rPr>
        <w:t>le</w:t>
      </w:r>
      <w:r w:rsidR="004365CC" w:rsidRPr="009C24E6">
        <w:rPr>
          <w:lang w:val="fr-FR"/>
        </w:rPr>
        <w:t xml:space="preserve"> pour permettre la mise en </w:t>
      </w:r>
      <w:r w:rsidR="002A7BD7" w:rsidRPr="009C24E6">
        <w:rPr>
          <w:lang w:val="fr-FR"/>
        </w:rPr>
        <w:t xml:space="preserve">œuvre </w:t>
      </w:r>
      <w:r w:rsidR="004365CC" w:rsidRPr="009C24E6">
        <w:rPr>
          <w:lang w:val="fr-FR"/>
        </w:rPr>
        <w:t xml:space="preserve">de la plupart des éléments de sûreté et de sécurité </w:t>
      </w:r>
      <w:r w:rsidR="002A7BD7" w:rsidRPr="009C24E6">
        <w:rPr>
          <w:lang w:val="fr-FR"/>
        </w:rPr>
        <w:t>matéri</w:t>
      </w:r>
      <w:r w:rsidR="004365CC" w:rsidRPr="009C24E6">
        <w:rPr>
          <w:lang w:val="fr-FR"/>
        </w:rPr>
        <w:t>e</w:t>
      </w:r>
      <w:r w:rsidR="002A7BD7" w:rsidRPr="009C24E6">
        <w:rPr>
          <w:lang w:val="fr-FR"/>
        </w:rPr>
        <w:t>l</w:t>
      </w:r>
      <w:r w:rsidR="004365CC" w:rsidRPr="009C24E6">
        <w:rPr>
          <w:lang w:val="fr-FR"/>
        </w:rPr>
        <w:t>s du projet.</w:t>
      </w:r>
    </w:p>
    <w:p w:rsidR="005972C1" w:rsidRPr="009C24E6" w:rsidRDefault="004365CC" w:rsidP="00645EB8">
      <w:pPr>
        <w:pStyle w:val="ONUMFS"/>
        <w:spacing w:after="0"/>
        <w:rPr>
          <w:lang w:val="fr-FR"/>
        </w:rPr>
      </w:pPr>
      <w:r w:rsidRPr="009C24E6">
        <w:rPr>
          <w:lang w:val="fr-FR"/>
        </w:rPr>
        <w:lastRenderedPageBreak/>
        <w:t xml:space="preserve">Le système </w:t>
      </w:r>
      <w:r w:rsidR="002C1336" w:rsidRPr="009C24E6">
        <w:rPr>
          <w:lang w:val="fr-FR"/>
        </w:rPr>
        <w:t xml:space="preserve">de détection </w:t>
      </w:r>
      <w:r w:rsidRPr="009C24E6">
        <w:rPr>
          <w:lang w:val="fr-FR"/>
        </w:rPr>
        <w:t>anti</w:t>
      </w:r>
      <w:r w:rsidR="00BA7504">
        <w:rPr>
          <w:lang w:val="fr-FR"/>
        </w:rPr>
        <w:noBreakHyphen/>
      </w:r>
      <w:r w:rsidRPr="009C24E6">
        <w:rPr>
          <w:lang w:val="fr-FR"/>
        </w:rPr>
        <w:t>intrusion de l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OMPI </w:t>
      </w:r>
      <w:r w:rsidR="00DC2645" w:rsidRPr="009C24E6">
        <w:rPr>
          <w:lang w:val="fr-FR"/>
        </w:rPr>
        <w:t xml:space="preserve">se </w:t>
      </w:r>
      <w:r w:rsidRPr="009C24E6">
        <w:rPr>
          <w:lang w:val="fr-FR"/>
        </w:rPr>
        <w:t>comp</w:t>
      </w:r>
      <w:r w:rsidR="00DC2645" w:rsidRPr="009C24E6">
        <w:rPr>
          <w:lang w:val="fr-FR"/>
        </w:rPr>
        <w:t>ose</w:t>
      </w:r>
      <w:r w:rsidRPr="009C24E6">
        <w:rPr>
          <w:lang w:val="fr-FR"/>
        </w:rPr>
        <w:t xml:space="preserve"> </w:t>
      </w:r>
      <w:r w:rsidR="00DC2645" w:rsidRPr="009C24E6">
        <w:rPr>
          <w:lang w:val="fr-FR"/>
        </w:rPr>
        <w:t xml:space="preserve">de </w:t>
      </w:r>
      <w:r w:rsidRPr="009C24E6">
        <w:rPr>
          <w:lang w:val="fr-FR"/>
        </w:rPr>
        <w:t>deux</w:t>
      </w:r>
      <w:r w:rsidR="002A7BD7" w:rsidRPr="009C24E6">
        <w:rPr>
          <w:lang w:val="fr-FR"/>
        </w:rPr>
        <w:t> </w:t>
      </w:r>
      <w:r w:rsidRPr="009C24E6">
        <w:rPr>
          <w:lang w:val="fr-FR"/>
        </w:rPr>
        <w:t>éléments fondamentaux</w:t>
      </w:r>
      <w:r w:rsidR="002A7BD7" w:rsidRPr="009C24E6">
        <w:rPr>
          <w:lang w:val="fr-FR"/>
        </w:rPr>
        <w:t> </w:t>
      </w:r>
      <w:r w:rsidRPr="009C24E6">
        <w:rPr>
          <w:lang w:val="fr-FR"/>
        </w:rPr>
        <w:t>: la</w:t>
      </w:r>
      <w:r w:rsidR="002A7BD7" w:rsidRPr="009C24E6">
        <w:rPr>
          <w:lang w:val="fr-FR"/>
        </w:rPr>
        <w:t> </w:t>
      </w:r>
      <w:r w:rsidRPr="009C24E6">
        <w:rPr>
          <w:lang w:val="fr-FR"/>
        </w:rPr>
        <w:t>couverture par laser des installations, achevée en janvier</w:t>
      </w:r>
      <w:r w:rsidR="00DC2645" w:rsidRPr="009C24E6">
        <w:rPr>
          <w:lang w:val="fr-FR"/>
        </w:rPr>
        <w:t> </w:t>
      </w:r>
      <w:r w:rsidRPr="009C24E6">
        <w:rPr>
          <w:lang w:val="fr-FR"/>
        </w:rPr>
        <w:t>2015, et le système de capteur</w:t>
      </w:r>
      <w:r w:rsidR="00DC2645" w:rsidRPr="009C24E6">
        <w:rPr>
          <w:lang w:val="fr-FR"/>
        </w:rPr>
        <w:t>s</w:t>
      </w:r>
      <w:r w:rsidRPr="009C24E6">
        <w:rPr>
          <w:lang w:val="fr-FR"/>
        </w:rPr>
        <w:t xml:space="preserve"> au sol </w:t>
      </w:r>
      <w:proofErr w:type="spellStart"/>
      <w:r w:rsidRPr="009C24E6">
        <w:rPr>
          <w:lang w:val="fr-FR"/>
        </w:rPr>
        <w:t>Omnitrax</w:t>
      </w:r>
      <w:proofErr w:type="spellEnd"/>
      <w:r w:rsidRPr="009C24E6">
        <w:rPr>
          <w:lang w:val="fr-FR"/>
        </w:rPr>
        <w:t>, qui sera achevé en septembre</w:t>
      </w:r>
      <w:r w:rsidR="00DC2645" w:rsidRPr="009C24E6">
        <w:rPr>
          <w:lang w:val="fr-FR"/>
        </w:rPr>
        <w:t> </w:t>
      </w:r>
      <w:r w:rsidRPr="009C24E6">
        <w:rPr>
          <w:lang w:val="fr-FR"/>
        </w:rPr>
        <w:t>2015.</w:t>
      </w:r>
    </w:p>
    <w:p w:rsidR="001822F0" w:rsidRPr="009C24E6" w:rsidRDefault="001822F0" w:rsidP="00645EB8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626796" w:rsidRPr="009C24E6" w:rsidRDefault="004365CC" w:rsidP="00645EB8">
      <w:pPr>
        <w:pStyle w:val="Heading1"/>
        <w:keepNext w:val="0"/>
        <w:keepLines w:val="0"/>
        <w:spacing w:before="0"/>
        <w:rPr>
          <w:rFonts w:eastAsiaTheme="minorHAnsi"/>
          <w:color w:val="auto"/>
          <w:lang w:val="fr-FR" w:eastAsia="en-US"/>
        </w:rPr>
      </w:pPr>
      <w:r w:rsidRPr="009C24E6">
        <w:rPr>
          <w:rFonts w:eastAsiaTheme="minorHAnsi"/>
          <w:color w:val="auto"/>
          <w:lang w:val="fr-FR" w:eastAsia="en-US"/>
        </w:rPr>
        <w:t>OBJECTIFS ATTEINTS D</w:t>
      </w:r>
      <w:r w:rsidR="002C1336" w:rsidRPr="009C24E6">
        <w:rPr>
          <w:rFonts w:eastAsiaTheme="minorHAnsi"/>
          <w:color w:val="auto"/>
          <w:lang w:val="fr-FR" w:eastAsia="en-US"/>
        </w:rPr>
        <w:t>EP</w:t>
      </w:r>
      <w:r w:rsidRPr="009C24E6">
        <w:rPr>
          <w:rFonts w:eastAsiaTheme="minorHAnsi"/>
          <w:color w:val="auto"/>
          <w:lang w:val="fr-FR" w:eastAsia="en-US"/>
        </w:rPr>
        <w:t>U</w:t>
      </w:r>
      <w:r w:rsidR="002C1336" w:rsidRPr="009C24E6">
        <w:rPr>
          <w:rFonts w:eastAsiaTheme="minorHAnsi"/>
          <w:color w:val="auto"/>
          <w:lang w:val="fr-FR" w:eastAsia="en-US"/>
        </w:rPr>
        <w:t xml:space="preserve">IS </w:t>
      </w:r>
      <w:r w:rsidRPr="009C24E6">
        <w:rPr>
          <w:rFonts w:eastAsiaTheme="minorHAnsi"/>
          <w:color w:val="auto"/>
          <w:lang w:val="fr-FR" w:eastAsia="en-US"/>
        </w:rPr>
        <w:t>LA P</w:t>
      </w:r>
      <w:r w:rsidR="00DC2645" w:rsidRPr="009C24E6">
        <w:rPr>
          <w:rFonts w:eastAsiaTheme="minorHAnsi"/>
          <w:color w:val="auto"/>
          <w:lang w:val="fr-FR" w:eastAsia="en-US"/>
        </w:rPr>
        <w:t>É</w:t>
      </w:r>
      <w:r w:rsidRPr="009C24E6">
        <w:rPr>
          <w:rFonts w:eastAsiaTheme="minorHAnsi"/>
          <w:color w:val="auto"/>
          <w:lang w:val="fr-FR" w:eastAsia="en-US"/>
        </w:rPr>
        <w:t xml:space="preserve">RIODE </w:t>
      </w:r>
      <w:r w:rsidR="002C1336" w:rsidRPr="009C24E6">
        <w:rPr>
          <w:rFonts w:eastAsiaTheme="minorHAnsi"/>
          <w:color w:val="auto"/>
          <w:lang w:val="fr-FR" w:eastAsia="en-US"/>
        </w:rPr>
        <w:t>VIS</w:t>
      </w:r>
      <w:r w:rsidR="002C1336" w:rsidRPr="009C24E6">
        <w:rPr>
          <w:rFonts w:eastAsiaTheme="minorHAnsi" w:cs="Arial"/>
          <w:color w:val="auto"/>
          <w:lang w:val="fr-FR" w:eastAsia="en-US"/>
        </w:rPr>
        <w:t>É</w:t>
      </w:r>
      <w:r w:rsidR="002C1336" w:rsidRPr="009C24E6">
        <w:rPr>
          <w:rFonts w:eastAsiaTheme="minorHAnsi"/>
          <w:color w:val="auto"/>
          <w:lang w:val="fr-FR" w:eastAsia="en-US"/>
        </w:rPr>
        <w:t>E DANS LE PR</w:t>
      </w:r>
      <w:r w:rsidR="002C1336" w:rsidRPr="009C24E6">
        <w:rPr>
          <w:rFonts w:eastAsiaTheme="minorHAnsi" w:cs="Arial"/>
          <w:color w:val="auto"/>
          <w:lang w:val="fr-FR" w:eastAsia="en-US"/>
        </w:rPr>
        <w:t>É</w:t>
      </w:r>
      <w:r w:rsidR="002C1336" w:rsidRPr="009C24E6">
        <w:rPr>
          <w:rFonts w:eastAsiaTheme="minorHAnsi"/>
          <w:color w:val="auto"/>
          <w:lang w:val="fr-FR" w:eastAsia="en-US"/>
        </w:rPr>
        <w:t>C</w:t>
      </w:r>
      <w:r w:rsidR="002C1336" w:rsidRPr="009C24E6">
        <w:rPr>
          <w:rFonts w:eastAsiaTheme="minorHAnsi" w:cs="Arial"/>
          <w:color w:val="auto"/>
          <w:lang w:val="fr-FR" w:eastAsia="en-US"/>
        </w:rPr>
        <w:t>É</w:t>
      </w:r>
      <w:r w:rsidR="002C1336" w:rsidRPr="009C24E6">
        <w:rPr>
          <w:rFonts w:eastAsiaTheme="minorHAnsi"/>
          <w:color w:val="auto"/>
          <w:lang w:val="fr-FR" w:eastAsia="en-US"/>
        </w:rPr>
        <w:t>DENT RAPPORT (SE TERMINANT EN JUILLET 2014)</w:t>
      </w:r>
    </w:p>
    <w:p w:rsidR="00626796" w:rsidRPr="009C24E6" w:rsidRDefault="00626796" w:rsidP="00645EB8">
      <w:pPr>
        <w:outlineLvl w:val="1"/>
        <w:rPr>
          <w:sz w:val="20"/>
          <w:lang w:val="fr-FR"/>
        </w:rPr>
      </w:pPr>
    </w:p>
    <w:p w:rsidR="005972C1" w:rsidRPr="009C24E6" w:rsidRDefault="006A5275" w:rsidP="00645EB8">
      <w:pPr>
        <w:pStyle w:val="ONUMFS"/>
        <w:rPr>
          <w:lang w:val="fr-FR"/>
        </w:rPr>
      </w:pPr>
      <w:r w:rsidRPr="009C24E6">
        <w:rPr>
          <w:lang w:val="fr-FR"/>
        </w:rPr>
        <w:t>Depuis le dernier rapport sur l</w:t>
      </w:r>
      <w:r w:rsidR="009C24E6">
        <w:rPr>
          <w:lang w:val="fr-FR"/>
        </w:rPr>
        <w:t>’</w:t>
      </w:r>
      <w:r w:rsidRPr="009C24E6">
        <w:rPr>
          <w:lang w:val="fr-FR"/>
        </w:rPr>
        <w:t>état d</w:t>
      </w:r>
      <w:r w:rsidR="009C24E6">
        <w:rPr>
          <w:lang w:val="fr-FR"/>
        </w:rPr>
        <w:t>’</w:t>
      </w:r>
      <w:r w:rsidRPr="009C24E6">
        <w:rPr>
          <w:lang w:val="fr-FR"/>
        </w:rPr>
        <w:t>avancement d</w:t>
      </w:r>
      <w:r w:rsidR="00DC2645" w:rsidRPr="009C24E6">
        <w:rPr>
          <w:lang w:val="fr-FR"/>
        </w:rPr>
        <w:t>u projet</w:t>
      </w:r>
      <w:r w:rsidRPr="009C24E6">
        <w:rPr>
          <w:lang w:val="fr-FR"/>
        </w:rPr>
        <w:t xml:space="preserve">, le reste des systèmes opérationnels de sûreté et de sécurité a été connecté au réseau informatique local dédié (LAN), notamment les </w:t>
      </w:r>
      <w:r w:rsidR="00DC2645" w:rsidRPr="009C24E6">
        <w:rPr>
          <w:lang w:val="fr-FR"/>
        </w:rPr>
        <w:t>portillon</w:t>
      </w:r>
      <w:r w:rsidRPr="009C24E6">
        <w:rPr>
          <w:lang w:val="fr-FR"/>
        </w:rPr>
        <w:t>s a</w:t>
      </w:r>
      <w:r w:rsidR="00DC2645" w:rsidRPr="009C24E6">
        <w:rPr>
          <w:lang w:val="fr-FR"/>
        </w:rPr>
        <w:t>utomatiques</w:t>
      </w:r>
      <w:r w:rsidRPr="009C24E6">
        <w:rPr>
          <w:lang w:val="fr-FR"/>
        </w:rPr>
        <w:t>, les portes de sécurité, les systèmes de vidéosurveillance, les alarmes techniques et les dispositifs de communication.</w:t>
      </w:r>
      <w:r w:rsidR="00A96C85" w:rsidRPr="009C24E6">
        <w:rPr>
          <w:lang w:val="fr-FR"/>
        </w:rPr>
        <w:t xml:space="preserve"> </w:t>
      </w:r>
      <w:r w:rsidR="00DE1561" w:rsidRPr="009C24E6">
        <w:rPr>
          <w:lang w:val="fr-FR"/>
        </w:rPr>
        <w:t xml:space="preserve"> </w:t>
      </w:r>
      <w:r w:rsidR="006D784A" w:rsidRPr="009C24E6">
        <w:rPr>
          <w:lang w:val="fr-FR"/>
        </w:rPr>
        <w:t xml:space="preserve">Le Centre des opérations de coordination de sécurité </w:t>
      </w:r>
      <w:r w:rsidR="00DC2645" w:rsidRPr="009C24E6">
        <w:rPr>
          <w:lang w:val="fr-FR"/>
        </w:rPr>
        <w:t xml:space="preserve">centralisé </w:t>
      </w:r>
      <w:r w:rsidR="006D784A" w:rsidRPr="009C24E6">
        <w:rPr>
          <w:lang w:val="fr-FR"/>
        </w:rPr>
        <w:t>de l</w:t>
      </w:r>
      <w:r w:rsidR="009C24E6">
        <w:rPr>
          <w:lang w:val="fr-FR"/>
        </w:rPr>
        <w:t>’</w:t>
      </w:r>
      <w:r w:rsidR="006D784A" w:rsidRPr="009C24E6">
        <w:rPr>
          <w:lang w:val="fr-FR"/>
        </w:rPr>
        <w:t>OMPI est désormais pleinement opérationnel et constitue la plate</w:t>
      </w:r>
      <w:r w:rsidR="00BA7504">
        <w:rPr>
          <w:lang w:val="fr-FR"/>
        </w:rPr>
        <w:noBreakHyphen/>
      </w:r>
      <w:r w:rsidR="006D784A" w:rsidRPr="009C24E6">
        <w:rPr>
          <w:lang w:val="fr-FR"/>
        </w:rPr>
        <w:t xml:space="preserve">forme centrale pour la mise en </w:t>
      </w:r>
      <w:r w:rsidR="00DC2645" w:rsidRPr="009C24E6">
        <w:rPr>
          <w:lang w:val="fr-FR"/>
        </w:rPr>
        <w:t xml:space="preserve">œuvre </w:t>
      </w:r>
      <w:r w:rsidR="006D784A" w:rsidRPr="009C24E6">
        <w:rPr>
          <w:lang w:val="fr-FR"/>
        </w:rPr>
        <w:t>et le contrôle de ces technologies de pointe en matière de sûreté et de sécurité.</w:t>
      </w:r>
      <w:r w:rsidR="006372C2" w:rsidRPr="009C24E6">
        <w:rPr>
          <w:lang w:val="fr-FR"/>
        </w:rPr>
        <w:t xml:space="preserve"> </w:t>
      </w:r>
      <w:r w:rsidR="00DC2645" w:rsidRPr="009C24E6">
        <w:rPr>
          <w:lang w:val="fr-FR"/>
        </w:rPr>
        <w:t xml:space="preserve"> </w:t>
      </w:r>
      <w:r w:rsidR="000C4C3B" w:rsidRPr="009C24E6">
        <w:rPr>
          <w:lang w:val="fr-FR"/>
        </w:rPr>
        <w:t>Le Centre des opérations de coordination de sécurité assure</w:t>
      </w:r>
      <w:r w:rsidR="00DC2645" w:rsidRPr="009C24E6">
        <w:rPr>
          <w:lang w:val="fr-FR"/>
        </w:rPr>
        <w:t>,</w:t>
      </w:r>
      <w:r w:rsidR="000C4C3B" w:rsidRPr="009C24E6">
        <w:rPr>
          <w:lang w:val="fr-FR"/>
        </w:rPr>
        <w:t xml:space="preserve"> 24</w:t>
      </w:r>
      <w:r w:rsidR="00DC2645" w:rsidRPr="009C24E6">
        <w:rPr>
          <w:lang w:val="fr-FR"/>
        </w:rPr>
        <w:t> </w:t>
      </w:r>
      <w:r w:rsidR="000C4C3B" w:rsidRPr="009C24E6">
        <w:rPr>
          <w:lang w:val="fr-FR"/>
        </w:rPr>
        <w:t>heures sur</w:t>
      </w:r>
      <w:r w:rsidR="00DC2645" w:rsidRPr="009C24E6">
        <w:rPr>
          <w:lang w:val="fr-FR"/>
        </w:rPr>
        <w:t> </w:t>
      </w:r>
      <w:r w:rsidR="000C4C3B" w:rsidRPr="009C24E6">
        <w:rPr>
          <w:lang w:val="fr-FR"/>
        </w:rPr>
        <w:t>24 et sept</w:t>
      </w:r>
      <w:r w:rsidR="00DC2645" w:rsidRPr="009C24E6">
        <w:rPr>
          <w:lang w:val="fr-FR"/>
        </w:rPr>
        <w:t> </w:t>
      </w:r>
      <w:r w:rsidR="000C4C3B" w:rsidRPr="009C24E6">
        <w:rPr>
          <w:lang w:val="fr-FR"/>
        </w:rPr>
        <w:t>jours sur</w:t>
      </w:r>
      <w:r w:rsidR="00DC2645" w:rsidRPr="009C24E6">
        <w:rPr>
          <w:lang w:val="fr-FR"/>
        </w:rPr>
        <w:t> </w:t>
      </w:r>
      <w:r w:rsidR="000C4C3B" w:rsidRPr="009C24E6">
        <w:rPr>
          <w:lang w:val="fr-FR"/>
        </w:rPr>
        <w:t>sept, l</w:t>
      </w:r>
      <w:r w:rsidR="0039743C" w:rsidRPr="009C24E6">
        <w:rPr>
          <w:lang w:val="fr-FR"/>
        </w:rPr>
        <w:t>a surveillanc</w:t>
      </w:r>
      <w:r w:rsidR="000C4C3B" w:rsidRPr="009C24E6">
        <w:rPr>
          <w:lang w:val="fr-FR"/>
        </w:rPr>
        <w:t>e et la gestion des incidents portant atteinte à la sûreté et à la sécurité de l</w:t>
      </w:r>
      <w:r w:rsidR="009C24E6">
        <w:rPr>
          <w:lang w:val="fr-FR"/>
        </w:rPr>
        <w:t>’</w:t>
      </w:r>
      <w:r w:rsidR="000C4C3B" w:rsidRPr="009C24E6">
        <w:rPr>
          <w:lang w:val="fr-FR"/>
        </w:rPr>
        <w:t xml:space="preserve">OMPI </w:t>
      </w:r>
      <w:r w:rsidR="0039743C" w:rsidRPr="009C24E6">
        <w:rPr>
          <w:lang w:val="fr-FR"/>
        </w:rPr>
        <w:t>par l</w:t>
      </w:r>
      <w:r w:rsidR="009C24E6">
        <w:rPr>
          <w:lang w:val="fr-FR"/>
        </w:rPr>
        <w:t>’</w:t>
      </w:r>
      <w:r w:rsidR="0039743C" w:rsidRPr="009C24E6">
        <w:rPr>
          <w:lang w:val="fr-FR"/>
        </w:rPr>
        <w:t>entremise</w:t>
      </w:r>
      <w:r w:rsidR="00DC2645" w:rsidRPr="009C24E6">
        <w:rPr>
          <w:lang w:val="fr-FR"/>
        </w:rPr>
        <w:t xml:space="preserve"> </w:t>
      </w:r>
      <w:r w:rsidR="0039743C" w:rsidRPr="009C24E6">
        <w:rPr>
          <w:lang w:val="fr-FR"/>
        </w:rPr>
        <w:t>d</w:t>
      </w:r>
      <w:r w:rsidR="009C24E6">
        <w:rPr>
          <w:lang w:val="fr-FR"/>
        </w:rPr>
        <w:t>’</w:t>
      </w:r>
      <w:r w:rsidR="00DC2645" w:rsidRPr="009C24E6">
        <w:rPr>
          <w:lang w:val="fr-FR"/>
        </w:rPr>
        <w:t xml:space="preserve">une équipe </w:t>
      </w:r>
      <w:r w:rsidR="000C4C3B" w:rsidRPr="009C24E6">
        <w:rPr>
          <w:lang w:val="fr-FR"/>
        </w:rPr>
        <w:t>d</w:t>
      </w:r>
      <w:r w:rsidR="009C24E6">
        <w:rPr>
          <w:lang w:val="fr-FR"/>
        </w:rPr>
        <w:t>’</w:t>
      </w:r>
      <w:r w:rsidR="000C4C3B" w:rsidRPr="009C24E6">
        <w:rPr>
          <w:lang w:val="fr-FR"/>
        </w:rPr>
        <w:t xml:space="preserve">agents de sécurité </w:t>
      </w:r>
      <w:r w:rsidR="0039743C" w:rsidRPr="009C24E6">
        <w:rPr>
          <w:lang w:val="fr-FR"/>
        </w:rPr>
        <w:t xml:space="preserve">ayant suivi une </w:t>
      </w:r>
      <w:r w:rsidR="000C4C3B" w:rsidRPr="009C24E6">
        <w:rPr>
          <w:lang w:val="fr-FR"/>
        </w:rPr>
        <w:t>form</w:t>
      </w:r>
      <w:r w:rsidR="0039743C" w:rsidRPr="009C24E6">
        <w:rPr>
          <w:lang w:val="fr-FR"/>
        </w:rPr>
        <w:t>ation</w:t>
      </w:r>
      <w:r w:rsidR="000C4C3B" w:rsidRPr="009C24E6">
        <w:rPr>
          <w:lang w:val="fr-FR"/>
        </w:rPr>
        <w:t>.</w:t>
      </w:r>
    </w:p>
    <w:p w:rsidR="005972C1" w:rsidRPr="009C24E6" w:rsidRDefault="000F744A" w:rsidP="00645EB8">
      <w:pPr>
        <w:pStyle w:val="ONUMFS"/>
        <w:rPr>
          <w:lang w:val="fr-FR"/>
        </w:rPr>
      </w:pPr>
      <w:r w:rsidRPr="009C24E6">
        <w:rPr>
          <w:lang w:val="fr-FR"/>
        </w:rPr>
        <w:t>Si la plupart des travaux d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infrastructure relatifs au périmètre interdit aux véhicules devant les bâtiments AB, GBI et GBII, </w:t>
      </w:r>
      <w:r w:rsidR="009C24E6">
        <w:rPr>
          <w:lang w:val="fr-FR"/>
        </w:rPr>
        <w:t>y compris</w:t>
      </w:r>
      <w:r w:rsidRPr="009C24E6">
        <w:rPr>
          <w:lang w:val="fr-FR"/>
        </w:rPr>
        <w:t xml:space="preserve"> le périmètre autour du bâtiment PCT, ont été achevés par étapes tout au long de 2013, les derniers éléments d</w:t>
      </w:r>
      <w:r w:rsidR="009C24E6">
        <w:rPr>
          <w:lang w:val="fr-FR"/>
        </w:rPr>
        <w:t>’</w:t>
      </w:r>
      <w:r w:rsidRPr="009C24E6">
        <w:rPr>
          <w:lang w:val="fr-FR"/>
        </w:rPr>
        <w:t>infrastructure concernant le périmètre de sécurité (clôtures, bornes et murs anti</w:t>
      </w:r>
      <w:r w:rsidR="00BA7504">
        <w:rPr>
          <w:lang w:val="fr-FR"/>
        </w:rPr>
        <w:noBreakHyphen/>
      </w:r>
      <w:r w:rsidRPr="009C24E6">
        <w:rPr>
          <w:lang w:val="fr-FR"/>
        </w:rPr>
        <w:t>bélier) autour du nouveau bâtiment, de la salle de conférence de l</w:t>
      </w:r>
      <w:r w:rsidR="009C24E6">
        <w:rPr>
          <w:lang w:val="fr-FR"/>
        </w:rPr>
        <w:t>’</w:t>
      </w:r>
      <w:r w:rsidRPr="009C24E6">
        <w:rPr>
          <w:lang w:val="fr-FR"/>
        </w:rPr>
        <w:t>OMPI et du Centre d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accès ont été </w:t>
      </w:r>
      <w:r w:rsidR="0039743C" w:rsidRPr="009C24E6">
        <w:rPr>
          <w:lang w:val="fr-FR"/>
        </w:rPr>
        <w:t>mis en place</w:t>
      </w:r>
      <w:r w:rsidRPr="009C24E6">
        <w:rPr>
          <w:lang w:val="fr-FR"/>
        </w:rPr>
        <w:t xml:space="preserve"> vers la fin de</w:t>
      </w:r>
      <w:r w:rsidR="0039743C" w:rsidRPr="009C24E6">
        <w:rPr>
          <w:lang w:val="fr-FR"/>
        </w:rPr>
        <w:t> </w:t>
      </w:r>
      <w:r w:rsidRPr="009C24E6">
        <w:rPr>
          <w:lang w:val="fr-FR"/>
        </w:rPr>
        <w:t>2014.</w:t>
      </w:r>
    </w:p>
    <w:p w:rsidR="005972C1" w:rsidRPr="009C24E6" w:rsidRDefault="000F744A" w:rsidP="00645EB8">
      <w:pPr>
        <w:pStyle w:val="ONUMFS"/>
        <w:rPr>
          <w:lang w:val="fr-FR"/>
        </w:rPr>
      </w:pPr>
      <w:r w:rsidRPr="009C24E6">
        <w:rPr>
          <w:lang w:val="fr-FR"/>
        </w:rPr>
        <w:t>La loge des agents de sécurité située à l</w:t>
      </w:r>
      <w:r w:rsidR="009C24E6">
        <w:rPr>
          <w:lang w:val="fr-FR"/>
        </w:rPr>
        <w:t>’</w:t>
      </w:r>
      <w:r w:rsidRPr="009C24E6">
        <w:rPr>
          <w:lang w:val="fr-FR"/>
        </w:rPr>
        <w:t>entrée du parking</w:t>
      </w:r>
      <w:r w:rsidR="005972C1" w:rsidRPr="009C24E6">
        <w:rPr>
          <w:lang w:val="fr-FR"/>
        </w:rPr>
        <w:t xml:space="preserve"> du PCT</w:t>
      </w:r>
      <w:r w:rsidRPr="009C24E6">
        <w:rPr>
          <w:lang w:val="fr-FR"/>
        </w:rPr>
        <w:t xml:space="preserve"> a été </w:t>
      </w:r>
      <w:r w:rsidR="0039743C" w:rsidRPr="009C24E6">
        <w:rPr>
          <w:lang w:val="fr-FR"/>
        </w:rPr>
        <w:t>installée</w:t>
      </w:r>
      <w:r w:rsidRPr="009C24E6">
        <w:rPr>
          <w:lang w:val="fr-FR"/>
        </w:rPr>
        <w:t xml:space="preserve"> en avril 2015 et les systèmes de gestion de la vidéosurveillance, des communications et de la sécurité physique de la loge ont été </w:t>
      </w:r>
      <w:r w:rsidR="0039743C" w:rsidRPr="009C24E6">
        <w:rPr>
          <w:lang w:val="fr-FR"/>
        </w:rPr>
        <w:t>mis en place</w:t>
      </w:r>
      <w:r w:rsidRPr="009C24E6">
        <w:rPr>
          <w:lang w:val="fr-FR"/>
        </w:rPr>
        <w:t xml:space="preserve"> en juin</w:t>
      </w:r>
      <w:r w:rsidR="0039743C" w:rsidRPr="009C24E6">
        <w:rPr>
          <w:lang w:val="fr-FR"/>
        </w:rPr>
        <w:t> </w:t>
      </w:r>
      <w:r w:rsidRPr="009C24E6">
        <w:rPr>
          <w:lang w:val="fr-FR"/>
        </w:rPr>
        <w:t>2015.</w:t>
      </w:r>
    </w:p>
    <w:p w:rsidR="005972C1" w:rsidRPr="009C24E6" w:rsidRDefault="000F744A" w:rsidP="00645EB8">
      <w:pPr>
        <w:pStyle w:val="ONUMFS"/>
        <w:rPr>
          <w:lang w:val="fr-FR"/>
        </w:rPr>
      </w:pPr>
      <w:r w:rsidRPr="009C24E6">
        <w:rPr>
          <w:lang w:val="fr-FR"/>
        </w:rPr>
        <w:t>L</w:t>
      </w:r>
      <w:r w:rsidR="009C24E6">
        <w:rPr>
          <w:lang w:val="fr-FR"/>
        </w:rPr>
        <w:t>’</w:t>
      </w:r>
      <w:r w:rsidRPr="009C24E6">
        <w:rPr>
          <w:lang w:val="fr-FR"/>
        </w:rPr>
        <w:t>infrastructure du Centre d</w:t>
      </w:r>
      <w:r w:rsidR="009C24E6">
        <w:rPr>
          <w:lang w:val="fr-FR"/>
        </w:rPr>
        <w:t>’</w:t>
      </w:r>
      <w:r w:rsidRPr="009C24E6">
        <w:rPr>
          <w:lang w:val="fr-FR"/>
        </w:rPr>
        <w:t>accès a été achevée début septembre</w:t>
      </w:r>
      <w:r w:rsidR="0039743C" w:rsidRPr="009C24E6">
        <w:rPr>
          <w:lang w:val="fr-FR"/>
        </w:rPr>
        <w:t> </w:t>
      </w:r>
      <w:r w:rsidRPr="009C24E6">
        <w:rPr>
          <w:lang w:val="fr-FR"/>
        </w:rPr>
        <w:t>2014, à temps pour que l</w:t>
      </w:r>
      <w:r w:rsidR="009C24E6">
        <w:rPr>
          <w:lang w:val="fr-FR"/>
        </w:rPr>
        <w:t>’</w:t>
      </w:r>
      <w:r w:rsidRPr="009C24E6">
        <w:rPr>
          <w:lang w:val="fr-FR"/>
        </w:rPr>
        <w:t>OMPI puisse tenir sa première</w:t>
      </w:r>
      <w:r w:rsidR="0039743C" w:rsidRPr="009C24E6">
        <w:rPr>
          <w:lang w:val="fr-FR"/>
        </w:rPr>
        <w:t> </w:t>
      </w:r>
      <w:r w:rsidRPr="009C24E6">
        <w:rPr>
          <w:lang w:val="fr-FR"/>
        </w:rPr>
        <w:t>assemblée générale dans la nouvelle salle de conférence.</w:t>
      </w:r>
      <w:r w:rsidR="00F11839" w:rsidRPr="009C24E6">
        <w:rPr>
          <w:lang w:val="fr-FR"/>
        </w:rPr>
        <w:t xml:space="preserve"> </w:t>
      </w:r>
      <w:r w:rsidR="0039743C" w:rsidRPr="009C24E6">
        <w:rPr>
          <w:lang w:val="fr-FR"/>
        </w:rPr>
        <w:t xml:space="preserve"> </w:t>
      </w:r>
      <w:r w:rsidR="004864DE" w:rsidRPr="009C24E6">
        <w:rPr>
          <w:lang w:val="fr-FR"/>
        </w:rPr>
        <w:t>Les zones d</w:t>
      </w:r>
      <w:r w:rsidR="009C24E6">
        <w:rPr>
          <w:lang w:val="fr-FR"/>
        </w:rPr>
        <w:t>’</w:t>
      </w:r>
      <w:r w:rsidR="004864DE" w:rsidRPr="009C24E6">
        <w:rPr>
          <w:lang w:val="fr-FR"/>
        </w:rPr>
        <w:t>accueil et d</w:t>
      </w:r>
      <w:r w:rsidR="009C24E6">
        <w:rPr>
          <w:lang w:val="fr-FR"/>
        </w:rPr>
        <w:t>’</w:t>
      </w:r>
      <w:r w:rsidR="004864DE" w:rsidRPr="009C24E6">
        <w:rPr>
          <w:lang w:val="fr-FR"/>
        </w:rPr>
        <w:t xml:space="preserve">enregistrement, la mise en </w:t>
      </w:r>
      <w:r w:rsidR="0039743C" w:rsidRPr="009C24E6">
        <w:rPr>
          <w:lang w:val="fr-FR"/>
        </w:rPr>
        <w:t xml:space="preserve">œuvre </w:t>
      </w:r>
      <w:r w:rsidR="004864DE" w:rsidRPr="009C24E6">
        <w:rPr>
          <w:lang w:val="fr-FR"/>
        </w:rPr>
        <w:t>des contrôles d</w:t>
      </w:r>
      <w:r w:rsidR="009C24E6">
        <w:rPr>
          <w:lang w:val="fr-FR"/>
        </w:rPr>
        <w:t>’</w:t>
      </w:r>
      <w:r w:rsidR="004864DE" w:rsidRPr="009C24E6">
        <w:rPr>
          <w:lang w:val="fr-FR"/>
        </w:rPr>
        <w:t xml:space="preserve">accès (portillons </w:t>
      </w:r>
      <w:r w:rsidR="0039743C" w:rsidRPr="009C24E6">
        <w:rPr>
          <w:lang w:val="fr-FR"/>
        </w:rPr>
        <w:t>automatique</w:t>
      </w:r>
      <w:r w:rsidR="004864DE" w:rsidRPr="009C24E6">
        <w:rPr>
          <w:lang w:val="fr-FR"/>
        </w:rPr>
        <w:t>s, vidéosurveillance), les systèmes de badges et les postes de travail ont été achevés en novembre</w:t>
      </w:r>
      <w:r w:rsidR="0039743C" w:rsidRPr="009C24E6">
        <w:rPr>
          <w:lang w:val="fr-FR"/>
        </w:rPr>
        <w:t> </w:t>
      </w:r>
      <w:r w:rsidR="004864DE" w:rsidRPr="009C24E6">
        <w:rPr>
          <w:lang w:val="fr-FR"/>
        </w:rPr>
        <w:t>2014.</w:t>
      </w:r>
      <w:r w:rsidR="00F002E3" w:rsidRPr="009C24E6">
        <w:rPr>
          <w:lang w:val="fr-FR"/>
        </w:rPr>
        <w:t xml:space="preserve"> </w:t>
      </w:r>
      <w:r w:rsidR="00DE1561" w:rsidRPr="009C24E6">
        <w:rPr>
          <w:lang w:val="fr-FR"/>
        </w:rPr>
        <w:t xml:space="preserve"> </w:t>
      </w:r>
      <w:r w:rsidR="004864DE" w:rsidRPr="009C24E6">
        <w:rPr>
          <w:lang w:val="fr-FR"/>
        </w:rPr>
        <w:t>Bien qu</w:t>
      </w:r>
      <w:r w:rsidR="009C24E6">
        <w:rPr>
          <w:lang w:val="fr-FR"/>
        </w:rPr>
        <w:t>’</w:t>
      </w:r>
      <w:r w:rsidR="004864DE" w:rsidRPr="009C24E6">
        <w:rPr>
          <w:lang w:val="fr-FR"/>
        </w:rPr>
        <w:t xml:space="preserve">ayant été mis en </w:t>
      </w:r>
      <w:r w:rsidR="0039743C" w:rsidRPr="009C24E6">
        <w:rPr>
          <w:lang w:val="fr-FR"/>
        </w:rPr>
        <w:t xml:space="preserve">œuvre </w:t>
      </w:r>
      <w:r w:rsidR="004864DE" w:rsidRPr="009C24E6">
        <w:rPr>
          <w:lang w:val="fr-FR"/>
        </w:rPr>
        <w:t xml:space="preserve">juste </w:t>
      </w:r>
      <w:r w:rsidR="009D1709" w:rsidRPr="009C24E6">
        <w:rPr>
          <w:lang w:val="fr-FR"/>
        </w:rPr>
        <w:t>avant</w:t>
      </w:r>
      <w:r w:rsidR="004864DE" w:rsidRPr="009C24E6">
        <w:rPr>
          <w:lang w:val="fr-FR"/>
        </w:rPr>
        <w:t xml:space="preserve"> l</w:t>
      </w:r>
      <w:r w:rsidR="009C24E6">
        <w:rPr>
          <w:lang w:val="fr-FR"/>
        </w:rPr>
        <w:t>’</w:t>
      </w:r>
      <w:r w:rsidR="004864DE" w:rsidRPr="009C24E6">
        <w:rPr>
          <w:lang w:val="fr-FR"/>
        </w:rPr>
        <w:t>Assemblée générale de l</w:t>
      </w:r>
      <w:r w:rsidR="009C24E6">
        <w:rPr>
          <w:lang w:val="fr-FR"/>
        </w:rPr>
        <w:t>’</w:t>
      </w:r>
      <w:r w:rsidR="004864DE" w:rsidRPr="009C24E6">
        <w:rPr>
          <w:lang w:val="fr-FR"/>
        </w:rPr>
        <w:t>OMPI de</w:t>
      </w:r>
      <w:r w:rsidR="009D1709" w:rsidRPr="009C24E6">
        <w:rPr>
          <w:lang w:val="fr-FR"/>
        </w:rPr>
        <w:t> </w:t>
      </w:r>
      <w:r w:rsidR="004864DE" w:rsidRPr="009C24E6">
        <w:rPr>
          <w:lang w:val="fr-FR"/>
        </w:rPr>
        <w:t>2014, les nouveaux systèmes de sécurité ont fonctionné comme prévu, sans rencontrer de problèmes majeurs.</w:t>
      </w:r>
    </w:p>
    <w:p w:rsidR="005972C1" w:rsidRPr="009C24E6" w:rsidRDefault="00C63934" w:rsidP="00645EB8">
      <w:pPr>
        <w:pStyle w:val="ONUMFS"/>
        <w:rPr>
          <w:lang w:val="fr-FR"/>
        </w:rPr>
      </w:pPr>
      <w:r w:rsidRPr="009C24E6">
        <w:rPr>
          <w:lang w:val="fr-FR"/>
        </w:rPr>
        <w:t>La Section des conférences de l</w:t>
      </w:r>
      <w:r w:rsidR="009C24E6">
        <w:rPr>
          <w:lang w:val="fr-FR"/>
        </w:rPr>
        <w:t>’</w:t>
      </w:r>
      <w:r w:rsidRPr="009C24E6">
        <w:rPr>
          <w:lang w:val="fr-FR"/>
        </w:rPr>
        <w:t>OMPI travaille en étroite coopération avec le Service de coordination de la sûreté et de la sécurité (SC</w:t>
      </w:r>
      <w:r w:rsidR="009D1709" w:rsidRPr="009C24E6">
        <w:rPr>
          <w:lang w:val="fr-FR"/>
        </w:rPr>
        <w:t>S</w:t>
      </w:r>
      <w:r w:rsidRPr="009C24E6">
        <w:rPr>
          <w:lang w:val="fr-FR"/>
        </w:rPr>
        <w:t>S) pendant les différents séminaires, réunions et conférences organisés à l</w:t>
      </w:r>
      <w:r w:rsidR="009C24E6">
        <w:rPr>
          <w:lang w:val="fr-FR"/>
        </w:rPr>
        <w:t>’</w:t>
      </w:r>
      <w:r w:rsidRPr="009C24E6">
        <w:rPr>
          <w:lang w:val="fr-FR"/>
        </w:rPr>
        <w:t>OMPI.  Un programme de formation c</w:t>
      </w:r>
      <w:r w:rsidR="006C79B6" w:rsidRPr="009C24E6">
        <w:rPr>
          <w:lang w:val="fr-FR"/>
        </w:rPr>
        <w:t>ro</w:t>
      </w:r>
      <w:r w:rsidRPr="009C24E6">
        <w:rPr>
          <w:lang w:val="fr-FR"/>
        </w:rPr>
        <w:t>i</w:t>
      </w:r>
      <w:r w:rsidR="006C79B6" w:rsidRPr="009C24E6">
        <w:rPr>
          <w:lang w:val="fr-FR"/>
        </w:rPr>
        <w:t>sée</w:t>
      </w:r>
      <w:r w:rsidRPr="009C24E6">
        <w:rPr>
          <w:lang w:val="fr-FR"/>
        </w:rPr>
        <w:t xml:space="preserve"> </w:t>
      </w:r>
      <w:r w:rsidR="009D1709" w:rsidRPr="009C24E6">
        <w:rPr>
          <w:lang w:val="fr-FR"/>
        </w:rPr>
        <w:t>à l</w:t>
      </w:r>
      <w:r w:rsidR="009C24E6">
        <w:rPr>
          <w:lang w:val="fr-FR"/>
        </w:rPr>
        <w:t>’</w:t>
      </w:r>
      <w:r w:rsidR="009D1709" w:rsidRPr="009C24E6">
        <w:rPr>
          <w:lang w:val="fr-FR"/>
        </w:rPr>
        <w:t>intention</w:t>
      </w:r>
      <w:r w:rsidR="005972C1" w:rsidRPr="009C24E6">
        <w:rPr>
          <w:lang w:val="fr-FR"/>
        </w:rPr>
        <w:t xml:space="preserve"> du SCS</w:t>
      </w:r>
      <w:r w:rsidRPr="009C24E6">
        <w:rPr>
          <w:lang w:val="fr-FR"/>
        </w:rPr>
        <w:t>S,</w:t>
      </w:r>
      <w:r w:rsidR="009D1709" w:rsidRPr="009C24E6">
        <w:rPr>
          <w:lang w:val="fr-FR"/>
        </w:rPr>
        <w:t xml:space="preserve"> de</w:t>
      </w:r>
      <w:r w:rsidRPr="009C24E6">
        <w:rPr>
          <w:lang w:val="fr-FR"/>
        </w:rPr>
        <w:t xml:space="preserve"> l</w:t>
      </w:r>
      <w:r w:rsidR="009C24E6">
        <w:rPr>
          <w:lang w:val="fr-FR"/>
        </w:rPr>
        <w:t>’</w:t>
      </w:r>
      <w:r w:rsidRPr="009C24E6">
        <w:rPr>
          <w:lang w:val="fr-FR"/>
        </w:rPr>
        <w:t>équipe d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agents de sécurité externes (ARNDT) et </w:t>
      </w:r>
      <w:r w:rsidR="009D1709" w:rsidRPr="009C24E6">
        <w:rPr>
          <w:lang w:val="fr-FR"/>
        </w:rPr>
        <w:t>du</w:t>
      </w:r>
      <w:r w:rsidRPr="009C24E6">
        <w:rPr>
          <w:lang w:val="fr-FR"/>
        </w:rPr>
        <w:t xml:space="preserve"> personnel de la Section des conférences a permis d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assurer </w:t>
      </w:r>
      <w:r w:rsidR="009D1709" w:rsidRPr="009C24E6">
        <w:rPr>
          <w:lang w:val="fr-FR"/>
        </w:rPr>
        <w:t>la mise en œuvre et la gestion efficaces d</w:t>
      </w:r>
      <w:r w:rsidRPr="009C24E6">
        <w:rPr>
          <w:lang w:val="fr-FR"/>
        </w:rPr>
        <w:t>es services d</w:t>
      </w:r>
      <w:r w:rsidR="009C24E6">
        <w:rPr>
          <w:lang w:val="fr-FR"/>
        </w:rPr>
        <w:t>’</w:t>
      </w:r>
      <w:r w:rsidRPr="009C24E6">
        <w:rPr>
          <w:lang w:val="fr-FR"/>
        </w:rPr>
        <w:t>accueil et de gestion des badges depuis le nouveau Centre d</w:t>
      </w:r>
      <w:r w:rsidR="009C24E6">
        <w:rPr>
          <w:lang w:val="fr-FR"/>
        </w:rPr>
        <w:t>’</w:t>
      </w:r>
      <w:r w:rsidRPr="009C24E6">
        <w:rPr>
          <w:lang w:val="fr-FR"/>
        </w:rPr>
        <w:t>accès.</w:t>
      </w:r>
      <w:r w:rsidR="00F11839" w:rsidRPr="009C24E6">
        <w:rPr>
          <w:lang w:val="fr-FR"/>
        </w:rPr>
        <w:t xml:space="preserve"> </w:t>
      </w:r>
      <w:r w:rsidR="00DE1561" w:rsidRPr="009C24E6">
        <w:rPr>
          <w:lang w:val="fr-FR"/>
        </w:rPr>
        <w:t xml:space="preserve"> </w:t>
      </w:r>
      <w:r w:rsidRPr="009C24E6">
        <w:rPr>
          <w:lang w:val="fr-FR"/>
        </w:rPr>
        <w:t xml:space="preserve">Les participants ont notamment reçu une formation </w:t>
      </w:r>
      <w:r w:rsidR="009D1709" w:rsidRPr="009C24E6">
        <w:rPr>
          <w:lang w:val="fr-FR"/>
        </w:rPr>
        <w:t>approfondi</w:t>
      </w:r>
      <w:r w:rsidRPr="009C24E6">
        <w:rPr>
          <w:lang w:val="fr-FR"/>
        </w:rPr>
        <w:t>e sur les systèmes techniques permettant d</w:t>
      </w:r>
      <w:r w:rsidR="009C24E6">
        <w:rPr>
          <w:lang w:val="fr-FR"/>
        </w:rPr>
        <w:t>’</w:t>
      </w:r>
      <w:r w:rsidRPr="009C24E6">
        <w:rPr>
          <w:lang w:val="fr-FR"/>
        </w:rPr>
        <w:t>établir les badges et de gérer les accès.</w:t>
      </w:r>
      <w:r w:rsidR="00F11839" w:rsidRPr="009C24E6">
        <w:rPr>
          <w:lang w:val="fr-FR"/>
        </w:rPr>
        <w:t xml:space="preserve"> </w:t>
      </w:r>
      <w:r w:rsidR="009D1709" w:rsidRPr="009C24E6">
        <w:rPr>
          <w:lang w:val="fr-FR"/>
        </w:rPr>
        <w:t xml:space="preserve"> Au chapitre </w:t>
      </w:r>
      <w:r w:rsidR="00AC444D" w:rsidRPr="009C24E6">
        <w:rPr>
          <w:lang w:val="fr-FR"/>
        </w:rPr>
        <w:t>de la sécurité et de l</w:t>
      </w:r>
      <w:r w:rsidR="009C24E6">
        <w:rPr>
          <w:lang w:val="fr-FR"/>
        </w:rPr>
        <w:t>’</w:t>
      </w:r>
      <w:r w:rsidR="00AC444D" w:rsidRPr="009C24E6">
        <w:rPr>
          <w:lang w:val="fr-FR"/>
        </w:rPr>
        <w:t>enregistrement,</w:t>
      </w:r>
      <w:r w:rsidR="005972C1" w:rsidRPr="009C24E6">
        <w:rPr>
          <w:lang w:val="fr-FR"/>
        </w:rPr>
        <w:t xml:space="preserve"> le SCS</w:t>
      </w:r>
      <w:r w:rsidR="00AC444D" w:rsidRPr="009C24E6">
        <w:rPr>
          <w:lang w:val="fr-FR"/>
        </w:rPr>
        <w:t xml:space="preserve">S et la Section des conférences </w:t>
      </w:r>
      <w:r w:rsidR="009D1709" w:rsidRPr="009C24E6">
        <w:rPr>
          <w:lang w:val="fr-FR"/>
        </w:rPr>
        <w:t>particip</w:t>
      </w:r>
      <w:r w:rsidR="00AC444D" w:rsidRPr="009C24E6">
        <w:rPr>
          <w:lang w:val="fr-FR"/>
        </w:rPr>
        <w:t xml:space="preserve">ent actuellement </w:t>
      </w:r>
      <w:r w:rsidR="009D1709" w:rsidRPr="009C24E6">
        <w:rPr>
          <w:lang w:val="fr-FR"/>
        </w:rPr>
        <w:t xml:space="preserve">à </w:t>
      </w:r>
      <w:r w:rsidR="00AC444D" w:rsidRPr="009C24E6">
        <w:rPr>
          <w:lang w:val="fr-FR"/>
        </w:rPr>
        <w:t>une initiative visant à rationaliser les procédures d</w:t>
      </w:r>
      <w:r w:rsidR="009C24E6">
        <w:rPr>
          <w:lang w:val="fr-FR"/>
        </w:rPr>
        <w:t>’</w:t>
      </w:r>
      <w:r w:rsidR="00AC444D" w:rsidRPr="009C24E6">
        <w:rPr>
          <w:lang w:val="fr-FR"/>
        </w:rPr>
        <w:t>enregistrement aux conférences</w:t>
      </w:r>
      <w:r w:rsidR="00A55A7A" w:rsidRPr="009C24E6">
        <w:rPr>
          <w:lang w:val="fr-FR"/>
        </w:rPr>
        <w:t xml:space="preserve"> et à prendre </w:t>
      </w:r>
      <w:r w:rsidR="00AC444D" w:rsidRPr="009C24E6">
        <w:rPr>
          <w:lang w:val="fr-FR"/>
        </w:rPr>
        <w:t>les photos des participants pendant le processus initial d</w:t>
      </w:r>
      <w:r w:rsidR="009C24E6">
        <w:rPr>
          <w:lang w:val="fr-FR"/>
        </w:rPr>
        <w:t>’</w:t>
      </w:r>
      <w:r w:rsidR="00A55A7A" w:rsidRPr="009C24E6">
        <w:rPr>
          <w:lang w:val="fr-FR"/>
        </w:rPr>
        <w:t>enregistrement</w:t>
      </w:r>
      <w:r w:rsidR="00AC444D" w:rsidRPr="009C24E6">
        <w:rPr>
          <w:lang w:val="fr-FR"/>
        </w:rPr>
        <w:t>.</w:t>
      </w:r>
    </w:p>
    <w:p w:rsidR="005972C1" w:rsidRPr="009C24E6" w:rsidRDefault="00AC444D" w:rsidP="00645EB8">
      <w:pPr>
        <w:pStyle w:val="ONUMFS"/>
        <w:spacing w:after="0"/>
        <w:rPr>
          <w:szCs w:val="22"/>
          <w:lang w:val="fr-FR"/>
        </w:rPr>
      </w:pPr>
      <w:r w:rsidRPr="009C24E6">
        <w:rPr>
          <w:lang w:val="fr-FR"/>
        </w:rPr>
        <w:t>Un récent audit interne du Service de coordination de la sûreté et de la sécurité, réalisé début</w:t>
      </w:r>
      <w:r w:rsidR="006C79B6" w:rsidRPr="009C24E6">
        <w:rPr>
          <w:lang w:val="fr-FR"/>
        </w:rPr>
        <w:t> </w:t>
      </w:r>
      <w:r w:rsidRPr="009C24E6">
        <w:rPr>
          <w:lang w:val="fr-FR"/>
        </w:rPr>
        <w:t>2015 par la Division de la supervision interne (DSI) de l</w:t>
      </w:r>
      <w:r w:rsidR="009C24E6">
        <w:rPr>
          <w:lang w:val="fr-FR"/>
        </w:rPr>
        <w:t>’</w:t>
      </w:r>
      <w:r w:rsidRPr="009C24E6">
        <w:rPr>
          <w:lang w:val="fr-FR"/>
        </w:rPr>
        <w:t>OMPI</w:t>
      </w:r>
      <w:r w:rsidR="006C79B6" w:rsidRPr="009C24E6">
        <w:rPr>
          <w:lang w:val="fr-FR"/>
        </w:rPr>
        <w:t>,</w:t>
      </w:r>
      <w:r w:rsidRPr="009C24E6">
        <w:rPr>
          <w:lang w:val="fr-FR"/>
        </w:rPr>
        <w:t xml:space="preserve"> a notamment porté sur le projet H</w:t>
      </w:r>
      <w:r w:rsidR="00BA7504">
        <w:rPr>
          <w:lang w:val="fr-FR"/>
        </w:rPr>
        <w:noBreakHyphen/>
      </w:r>
      <w:r w:rsidRPr="009C24E6">
        <w:rPr>
          <w:lang w:val="fr-FR"/>
        </w:rPr>
        <w:t>MOSS.</w:t>
      </w:r>
      <w:r w:rsidR="00D631B3" w:rsidRPr="009C24E6">
        <w:rPr>
          <w:lang w:val="fr-FR"/>
        </w:rPr>
        <w:t xml:space="preserve"> </w:t>
      </w:r>
      <w:r w:rsidR="00DE1561" w:rsidRPr="009C24E6">
        <w:rPr>
          <w:lang w:val="fr-FR"/>
        </w:rPr>
        <w:t xml:space="preserve"> </w:t>
      </w:r>
      <w:r w:rsidR="003074D9" w:rsidRPr="009C24E6">
        <w:rPr>
          <w:lang w:val="fr-FR"/>
        </w:rPr>
        <w:t xml:space="preserve">Le rapport a pris acte du fait que les retards dans la mise en </w:t>
      </w:r>
      <w:r w:rsidR="006C79B6" w:rsidRPr="009C24E6">
        <w:rPr>
          <w:lang w:val="fr-FR"/>
        </w:rPr>
        <w:t xml:space="preserve">œuvre </w:t>
      </w:r>
      <w:r w:rsidR="003074D9" w:rsidRPr="009C24E6">
        <w:rPr>
          <w:lang w:val="fr-FR"/>
        </w:rPr>
        <w:t>du projet H</w:t>
      </w:r>
      <w:r w:rsidR="00BA7504">
        <w:rPr>
          <w:lang w:val="fr-FR"/>
        </w:rPr>
        <w:noBreakHyphen/>
      </w:r>
      <w:r w:rsidR="003074D9" w:rsidRPr="009C24E6">
        <w:rPr>
          <w:lang w:val="fr-FR"/>
        </w:rPr>
        <w:t xml:space="preserve">MOSS étaient directement </w:t>
      </w:r>
      <w:r w:rsidR="006C79B6" w:rsidRPr="009C24E6">
        <w:rPr>
          <w:lang w:val="fr-FR"/>
        </w:rPr>
        <w:t>lié</w:t>
      </w:r>
      <w:r w:rsidR="003074D9" w:rsidRPr="009C24E6">
        <w:rPr>
          <w:lang w:val="fr-FR"/>
        </w:rPr>
        <w:t>s à la construction de la nouvelle salle de conférence de l</w:t>
      </w:r>
      <w:r w:rsidR="009C24E6">
        <w:rPr>
          <w:lang w:val="fr-FR"/>
        </w:rPr>
        <w:t>’</w:t>
      </w:r>
      <w:r w:rsidR="003074D9" w:rsidRPr="009C24E6">
        <w:rPr>
          <w:lang w:val="fr-FR"/>
        </w:rPr>
        <w:t>OMPI.</w:t>
      </w:r>
      <w:r w:rsidR="00635FDC" w:rsidRPr="009C24E6">
        <w:rPr>
          <w:lang w:val="fr-FR"/>
        </w:rPr>
        <w:t xml:space="preserve"> </w:t>
      </w:r>
      <w:r w:rsidR="00DE1561" w:rsidRPr="009C24E6">
        <w:rPr>
          <w:lang w:val="fr-FR"/>
        </w:rPr>
        <w:t xml:space="preserve"> </w:t>
      </w:r>
      <w:r w:rsidR="006C79B6" w:rsidRPr="009C24E6">
        <w:rPr>
          <w:lang w:val="fr-FR"/>
        </w:rPr>
        <w:t xml:space="preserve">Il </w:t>
      </w:r>
      <w:r w:rsidR="003074D9" w:rsidRPr="009C24E6">
        <w:rPr>
          <w:lang w:val="fr-FR"/>
        </w:rPr>
        <w:t>a en outre reco</w:t>
      </w:r>
      <w:r w:rsidR="004B6B8E" w:rsidRPr="009C24E6">
        <w:rPr>
          <w:lang w:val="fr-FR"/>
        </w:rPr>
        <w:t>mmandé</w:t>
      </w:r>
      <w:r w:rsidR="003074D9" w:rsidRPr="009C24E6">
        <w:rPr>
          <w:lang w:val="fr-FR"/>
        </w:rPr>
        <w:t xml:space="preserve"> de procéder à un examen des politiques et procédures existantes en matière de sûreté et de sécurité.</w:t>
      </w:r>
      <w:r w:rsidR="006609FF" w:rsidRPr="009C24E6">
        <w:rPr>
          <w:lang w:val="fr-FR"/>
        </w:rPr>
        <w:t xml:space="preserve"> </w:t>
      </w:r>
      <w:r w:rsidR="00DE1561" w:rsidRPr="009C24E6">
        <w:rPr>
          <w:lang w:val="fr-FR"/>
        </w:rPr>
        <w:t xml:space="preserve"> </w:t>
      </w:r>
      <w:r w:rsidR="004D63F2" w:rsidRPr="009C24E6">
        <w:rPr>
          <w:lang w:val="fr-FR"/>
        </w:rPr>
        <w:t>L</w:t>
      </w:r>
      <w:r w:rsidR="009C24E6">
        <w:rPr>
          <w:lang w:val="fr-FR"/>
        </w:rPr>
        <w:t>’</w:t>
      </w:r>
      <w:r w:rsidR="004D63F2" w:rsidRPr="009C24E6">
        <w:rPr>
          <w:lang w:val="fr-FR"/>
        </w:rPr>
        <w:t>audit a également mis l</w:t>
      </w:r>
      <w:r w:rsidR="009C24E6">
        <w:rPr>
          <w:lang w:val="fr-FR"/>
        </w:rPr>
        <w:t>’</w:t>
      </w:r>
      <w:r w:rsidR="004D63F2" w:rsidRPr="009C24E6">
        <w:rPr>
          <w:lang w:val="fr-FR"/>
        </w:rPr>
        <w:t>accent sur les points forts, en particulier l</w:t>
      </w:r>
      <w:r w:rsidR="009C24E6">
        <w:rPr>
          <w:lang w:val="fr-FR"/>
        </w:rPr>
        <w:t>’</w:t>
      </w:r>
      <w:r w:rsidR="004D63F2" w:rsidRPr="009C24E6">
        <w:rPr>
          <w:lang w:val="fr-FR"/>
        </w:rPr>
        <w:t>isolation complète du réseau de sécurité LAN par rapport à l</w:t>
      </w:r>
      <w:r w:rsidR="009C24E6">
        <w:rPr>
          <w:lang w:val="fr-FR"/>
        </w:rPr>
        <w:t>’</w:t>
      </w:r>
      <w:r w:rsidR="004D63F2" w:rsidRPr="009C24E6">
        <w:rPr>
          <w:lang w:val="fr-FR"/>
        </w:rPr>
        <w:t xml:space="preserve">Internet et au réseau </w:t>
      </w:r>
      <w:r w:rsidR="004D63F2" w:rsidRPr="009C24E6">
        <w:rPr>
          <w:lang w:val="fr-FR"/>
        </w:rPr>
        <w:lastRenderedPageBreak/>
        <w:t>local de l</w:t>
      </w:r>
      <w:r w:rsidR="009C24E6">
        <w:rPr>
          <w:lang w:val="fr-FR"/>
        </w:rPr>
        <w:t>’</w:t>
      </w:r>
      <w:r w:rsidR="004D63F2" w:rsidRPr="009C24E6">
        <w:rPr>
          <w:lang w:val="fr-FR"/>
        </w:rPr>
        <w:t xml:space="preserve">OMPI, </w:t>
      </w:r>
      <w:r w:rsidR="00A55A7A" w:rsidRPr="009C24E6">
        <w:rPr>
          <w:lang w:val="fr-FR"/>
        </w:rPr>
        <w:t>l</w:t>
      </w:r>
      <w:r w:rsidR="009C24E6">
        <w:rPr>
          <w:lang w:val="fr-FR"/>
        </w:rPr>
        <w:t>’</w:t>
      </w:r>
      <w:r w:rsidR="00A55A7A" w:rsidRPr="009C24E6">
        <w:rPr>
          <w:lang w:val="fr-FR"/>
        </w:rPr>
        <w:t>en</w:t>
      </w:r>
      <w:r w:rsidR="004D63F2" w:rsidRPr="009C24E6">
        <w:rPr>
          <w:lang w:val="fr-FR"/>
        </w:rPr>
        <w:t>tretien régulier des équipements de sécurité</w:t>
      </w:r>
      <w:r w:rsidR="00A55A7A" w:rsidRPr="009C24E6">
        <w:rPr>
          <w:lang w:val="fr-FR"/>
        </w:rPr>
        <w:t>, le maintien à jour des registres de contrôle d</w:t>
      </w:r>
      <w:r w:rsidR="009C24E6">
        <w:rPr>
          <w:lang w:val="fr-FR"/>
        </w:rPr>
        <w:t>’</w:t>
      </w:r>
      <w:r w:rsidR="00A55A7A" w:rsidRPr="009C24E6">
        <w:rPr>
          <w:lang w:val="fr-FR"/>
        </w:rPr>
        <w:t xml:space="preserve">accès et la formation régulière des </w:t>
      </w:r>
      <w:r w:rsidR="00DC1C76" w:rsidRPr="009C24E6">
        <w:rPr>
          <w:lang w:val="fr-FR"/>
        </w:rPr>
        <w:t>respons</w:t>
      </w:r>
      <w:r w:rsidR="00A55A7A" w:rsidRPr="009C24E6">
        <w:rPr>
          <w:lang w:val="fr-FR"/>
        </w:rPr>
        <w:t>a</w:t>
      </w:r>
      <w:r w:rsidR="00DC1C76" w:rsidRPr="009C24E6">
        <w:rPr>
          <w:lang w:val="fr-FR"/>
        </w:rPr>
        <w:t>bl</w:t>
      </w:r>
      <w:r w:rsidR="00A55A7A" w:rsidRPr="009C24E6">
        <w:rPr>
          <w:lang w:val="fr-FR"/>
        </w:rPr>
        <w:t>es d</w:t>
      </w:r>
      <w:r w:rsidR="009C24E6">
        <w:rPr>
          <w:lang w:val="fr-FR"/>
        </w:rPr>
        <w:t>’</w:t>
      </w:r>
      <w:r w:rsidR="00A55A7A" w:rsidRPr="009C24E6">
        <w:rPr>
          <w:lang w:val="fr-FR"/>
        </w:rPr>
        <w:t>ét</w:t>
      </w:r>
      <w:r w:rsidR="00DC1C76" w:rsidRPr="009C24E6">
        <w:rPr>
          <w:lang w:val="fr-FR"/>
        </w:rPr>
        <w:t>age</w:t>
      </w:r>
      <w:r w:rsidR="00A55A7A" w:rsidRPr="009C24E6">
        <w:rPr>
          <w:lang w:val="fr-FR"/>
        </w:rPr>
        <w:t xml:space="preserve"> en matière de s</w:t>
      </w:r>
      <w:r w:rsidR="00DC1C76" w:rsidRPr="009C24E6">
        <w:rPr>
          <w:lang w:val="fr-FR"/>
        </w:rPr>
        <w:t>écuri</w:t>
      </w:r>
      <w:r w:rsidR="00A55A7A" w:rsidRPr="009C24E6">
        <w:rPr>
          <w:lang w:val="fr-FR"/>
        </w:rPr>
        <w:t>té</w:t>
      </w:r>
      <w:r w:rsidR="004D63F2" w:rsidRPr="009C24E6">
        <w:rPr>
          <w:lang w:val="fr-FR"/>
        </w:rPr>
        <w:t>.</w:t>
      </w:r>
    </w:p>
    <w:p w:rsidR="001822F0" w:rsidRPr="009C24E6" w:rsidRDefault="001822F0" w:rsidP="00645EB8">
      <w:pPr>
        <w:pStyle w:val="ONUMFS"/>
        <w:numPr>
          <w:ilvl w:val="0"/>
          <w:numId w:val="0"/>
        </w:numPr>
        <w:spacing w:after="0"/>
        <w:rPr>
          <w:szCs w:val="22"/>
          <w:lang w:val="fr-FR"/>
        </w:rPr>
      </w:pPr>
    </w:p>
    <w:p w:rsidR="005972C1" w:rsidRPr="009C24E6" w:rsidRDefault="004D63F2" w:rsidP="00645EB8">
      <w:pPr>
        <w:pStyle w:val="Heading1"/>
        <w:keepNext w:val="0"/>
        <w:keepLines w:val="0"/>
        <w:spacing w:before="0"/>
        <w:rPr>
          <w:rFonts w:eastAsiaTheme="minorHAnsi"/>
          <w:color w:val="auto"/>
          <w:lang w:val="fr-FR" w:eastAsia="en-US"/>
        </w:rPr>
      </w:pPr>
      <w:r w:rsidRPr="009C24E6">
        <w:rPr>
          <w:rFonts w:eastAsiaTheme="minorHAnsi"/>
          <w:color w:val="auto"/>
          <w:lang w:val="fr-FR" w:eastAsia="en-US"/>
        </w:rPr>
        <w:t>D</w:t>
      </w:r>
      <w:r w:rsidR="006C79B6" w:rsidRPr="009C24E6">
        <w:rPr>
          <w:rFonts w:eastAsiaTheme="minorHAnsi"/>
          <w:color w:val="auto"/>
          <w:lang w:val="fr-FR" w:eastAsia="en-US"/>
        </w:rPr>
        <w:t>É</w:t>
      </w:r>
      <w:r w:rsidRPr="009C24E6">
        <w:rPr>
          <w:rFonts w:eastAsiaTheme="minorHAnsi"/>
          <w:color w:val="auto"/>
          <w:lang w:val="fr-FR" w:eastAsia="en-US"/>
        </w:rPr>
        <w:t>PENSES AU TITRE DU PROJET H</w:t>
      </w:r>
      <w:r w:rsidR="00BA7504">
        <w:rPr>
          <w:rFonts w:eastAsiaTheme="minorHAnsi"/>
          <w:color w:val="auto"/>
          <w:lang w:val="fr-FR" w:eastAsia="en-US"/>
        </w:rPr>
        <w:noBreakHyphen/>
      </w:r>
      <w:r w:rsidRPr="009C24E6">
        <w:rPr>
          <w:rFonts w:eastAsiaTheme="minorHAnsi"/>
          <w:color w:val="auto"/>
          <w:lang w:val="fr-FR" w:eastAsia="en-US"/>
        </w:rPr>
        <w:t>MOSS</w:t>
      </w:r>
    </w:p>
    <w:p w:rsidR="00626796" w:rsidRPr="009C24E6" w:rsidRDefault="00626796" w:rsidP="00645EB8">
      <w:pPr>
        <w:rPr>
          <w:rFonts w:eastAsiaTheme="minorHAnsi"/>
          <w:b/>
          <w:szCs w:val="22"/>
          <w:lang w:val="fr-FR" w:eastAsia="en-US"/>
        </w:rPr>
      </w:pPr>
    </w:p>
    <w:p w:rsidR="005972C1" w:rsidRPr="009C24E6" w:rsidRDefault="00E007CD" w:rsidP="00645EB8">
      <w:pPr>
        <w:pStyle w:val="ONUMFS"/>
        <w:rPr>
          <w:lang w:val="fr-FR"/>
        </w:rPr>
      </w:pPr>
      <w:r w:rsidRPr="009C24E6">
        <w:rPr>
          <w:lang w:val="fr-FR"/>
        </w:rPr>
        <w:t>Le projet</w:t>
      </w:r>
      <w:r w:rsidR="006C79B6" w:rsidRPr="009C24E6">
        <w:rPr>
          <w:lang w:val="fr-FR"/>
        </w:rPr>
        <w:t> </w:t>
      </w:r>
      <w:r w:rsidRPr="009C24E6">
        <w:rPr>
          <w:lang w:val="fr-FR"/>
        </w:rPr>
        <w:t>H</w:t>
      </w:r>
      <w:r w:rsidR="00BA7504">
        <w:rPr>
          <w:lang w:val="fr-FR"/>
        </w:rPr>
        <w:noBreakHyphen/>
      </w:r>
      <w:r w:rsidRPr="009C24E6">
        <w:rPr>
          <w:lang w:val="fr-FR"/>
        </w:rPr>
        <w:t>MOSS touchant au but (achèvement en septembre</w:t>
      </w:r>
      <w:r w:rsidR="006C79B6" w:rsidRPr="009C24E6">
        <w:rPr>
          <w:lang w:val="fr-FR"/>
        </w:rPr>
        <w:t> </w:t>
      </w:r>
      <w:r w:rsidRPr="009C24E6">
        <w:rPr>
          <w:lang w:val="fr-FR"/>
        </w:rPr>
        <w:t xml:space="preserve">2015), il est important de souligner </w:t>
      </w:r>
      <w:r w:rsidR="00DC1C76" w:rsidRPr="009C24E6">
        <w:rPr>
          <w:lang w:val="fr-FR"/>
        </w:rPr>
        <w:t xml:space="preserve">et </w:t>
      </w:r>
      <w:r w:rsidR="004B6B8E" w:rsidRPr="009C24E6">
        <w:rPr>
          <w:lang w:val="fr-FR"/>
        </w:rPr>
        <w:t xml:space="preserve">de </w:t>
      </w:r>
      <w:r w:rsidR="00DC1C76" w:rsidRPr="009C24E6">
        <w:rPr>
          <w:lang w:val="fr-FR"/>
        </w:rPr>
        <w:t xml:space="preserve">reconnaître </w:t>
      </w:r>
      <w:r w:rsidRPr="009C24E6">
        <w:rPr>
          <w:lang w:val="fr-FR"/>
        </w:rPr>
        <w:t>la collaboration fructueuse qui s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est instaurée </w:t>
      </w:r>
      <w:r w:rsidR="006C79B6" w:rsidRPr="009C24E6">
        <w:rPr>
          <w:lang w:val="fr-FR"/>
        </w:rPr>
        <w:t xml:space="preserve">depuis 2009 </w:t>
      </w:r>
      <w:r w:rsidRPr="009C24E6">
        <w:rPr>
          <w:lang w:val="fr-FR"/>
        </w:rPr>
        <w:t>entre l</w:t>
      </w:r>
      <w:r w:rsidR="009C24E6">
        <w:rPr>
          <w:lang w:val="fr-FR"/>
        </w:rPr>
        <w:t>’</w:t>
      </w:r>
      <w:r w:rsidRPr="009C24E6">
        <w:rPr>
          <w:lang w:val="fr-FR"/>
        </w:rPr>
        <w:t>OMPI et le pays hôte à travers la “Fondation pour les immeubles des organis</w:t>
      </w:r>
      <w:r w:rsidR="006C79B6" w:rsidRPr="009C24E6">
        <w:rPr>
          <w:lang w:val="fr-FR"/>
        </w:rPr>
        <w:t>ations internationales” (FIPOI)</w:t>
      </w:r>
      <w:r w:rsidR="00F4075F" w:rsidRPr="009C24E6">
        <w:rPr>
          <w:lang w:val="fr-FR"/>
        </w:rPr>
        <w:t xml:space="preserve"> et</w:t>
      </w:r>
      <w:r w:rsidRPr="009C24E6">
        <w:rPr>
          <w:lang w:val="fr-FR"/>
        </w:rPr>
        <w:t xml:space="preserve"> </w:t>
      </w:r>
      <w:r w:rsidR="006C79B6" w:rsidRPr="009C24E6">
        <w:rPr>
          <w:lang w:val="fr-FR"/>
        </w:rPr>
        <w:t xml:space="preserve">qui a </w:t>
      </w:r>
      <w:r w:rsidRPr="009C24E6">
        <w:rPr>
          <w:lang w:val="fr-FR"/>
        </w:rPr>
        <w:t>perm</w:t>
      </w:r>
      <w:r w:rsidR="006C79B6" w:rsidRPr="009C24E6">
        <w:rPr>
          <w:lang w:val="fr-FR"/>
        </w:rPr>
        <w:t>is</w:t>
      </w:r>
      <w:r w:rsidRPr="009C24E6">
        <w:rPr>
          <w:lang w:val="fr-FR"/>
        </w:rPr>
        <w:t xml:space="preserve"> d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améliorer très nettement la sûreté et la sécurité physiques </w:t>
      </w:r>
      <w:r w:rsidR="00F4075F" w:rsidRPr="009C24E6">
        <w:rPr>
          <w:lang w:val="fr-FR"/>
        </w:rPr>
        <w:t>à</w:t>
      </w:r>
      <w:r w:rsidRPr="009C24E6">
        <w:rPr>
          <w:lang w:val="fr-FR"/>
        </w:rPr>
        <w:t xml:space="preserve"> l</w:t>
      </w:r>
      <w:r w:rsidR="009C24E6">
        <w:rPr>
          <w:lang w:val="fr-FR"/>
        </w:rPr>
        <w:t>’</w:t>
      </w:r>
      <w:r w:rsidRPr="009C24E6">
        <w:rPr>
          <w:lang w:val="fr-FR"/>
        </w:rPr>
        <w:t>OMPI, d</w:t>
      </w:r>
      <w:r w:rsidR="009C24E6">
        <w:rPr>
          <w:lang w:val="fr-FR"/>
        </w:rPr>
        <w:t>’</w:t>
      </w:r>
      <w:r w:rsidRPr="009C24E6">
        <w:rPr>
          <w:lang w:val="fr-FR"/>
        </w:rPr>
        <w:t>optimiser les capacités de gestion des risques et d</w:t>
      </w:r>
      <w:r w:rsidR="009C24E6">
        <w:rPr>
          <w:lang w:val="fr-FR"/>
        </w:rPr>
        <w:t>’</w:t>
      </w:r>
      <w:r w:rsidRPr="009C24E6">
        <w:rPr>
          <w:lang w:val="fr-FR"/>
        </w:rPr>
        <w:t>assurer un environnement plus sûr et</w:t>
      </w:r>
      <w:r w:rsidR="00F4075F" w:rsidRPr="009C24E6">
        <w:rPr>
          <w:lang w:val="fr-FR"/>
        </w:rPr>
        <w:t xml:space="preserve"> plus</w:t>
      </w:r>
      <w:r w:rsidRPr="009C24E6">
        <w:rPr>
          <w:lang w:val="fr-FR"/>
        </w:rPr>
        <w:t xml:space="preserve"> sécurisé pour le personnel de l</w:t>
      </w:r>
      <w:r w:rsidR="009C24E6">
        <w:rPr>
          <w:lang w:val="fr-FR"/>
        </w:rPr>
        <w:t>’</w:t>
      </w:r>
      <w:r w:rsidRPr="009C24E6">
        <w:rPr>
          <w:lang w:val="fr-FR"/>
        </w:rPr>
        <w:t>OMPI et les visiteurs.</w:t>
      </w:r>
    </w:p>
    <w:p w:rsidR="005972C1" w:rsidRPr="009C24E6" w:rsidRDefault="00E007CD" w:rsidP="00645EB8">
      <w:pPr>
        <w:pStyle w:val="ONUMFS"/>
        <w:rPr>
          <w:lang w:val="fr-FR"/>
        </w:rPr>
      </w:pPr>
      <w:r w:rsidRPr="009C24E6">
        <w:rPr>
          <w:lang w:val="fr-FR"/>
        </w:rPr>
        <w:t>Il convient de rappeler que la part de</w:t>
      </w:r>
      <w:r w:rsidR="005972C1" w:rsidRPr="009C24E6">
        <w:rPr>
          <w:lang w:val="fr-FR"/>
        </w:rPr>
        <w:t xml:space="preserve"> la FIP</w:t>
      </w:r>
      <w:r w:rsidRPr="009C24E6">
        <w:rPr>
          <w:lang w:val="fr-FR"/>
        </w:rPr>
        <w:t>OI dans le financement du projet H</w:t>
      </w:r>
      <w:r w:rsidR="00BA7504">
        <w:rPr>
          <w:lang w:val="fr-FR"/>
        </w:rPr>
        <w:noBreakHyphen/>
      </w:r>
      <w:r w:rsidRPr="009C24E6">
        <w:rPr>
          <w:lang w:val="fr-FR"/>
        </w:rPr>
        <w:t>MOSS s</w:t>
      </w:r>
      <w:r w:rsidR="009C24E6">
        <w:rPr>
          <w:lang w:val="fr-FR"/>
        </w:rPr>
        <w:t>’</w:t>
      </w:r>
      <w:r w:rsidRPr="009C24E6">
        <w:rPr>
          <w:lang w:val="fr-FR"/>
        </w:rPr>
        <w:t>élevait à 5</w:t>
      </w:r>
      <w:r w:rsidR="00F4075F" w:rsidRPr="009C24E6">
        <w:rPr>
          <w:lang w:val="fr-FR"/>
        </w:rPr>
        <w:t> </w:t>
      </w:r>
      <w:r w:rsidRPr="009C24E6">
        <w:rPr>
          <w:lang w:val="fr-FR"/>
        </w:rPr>
        <w:t>millions de francs suisses et portait sur différentes mesures de sécurité externe, alors que le budget de l</w:t>
      </w:r>
      <w:r w:rsidR="009C24E6">
        <w:rPr>
          <w:lang w:val="fr-FR"/>
        </w:rPr>
        <w:t>’</w:t>
      </w:r>
      <w:r w:rsidRPr="009C24E6">
        <w:rPr>
          <w:lang w:val="fr-FR"/>
        </w:rPr>
        <w:t>OMPI, financé sur ses fonds de réserve, d</w:t>
      </w:r>
      <w:r w:rsidR="009C24E6">
        <w:rPr>
          <w:lang w:val="fr-FR"/>
        </w:rPr>
        <w:t>’</w:t>
      </w:r>
      <w:r w:rsidRPr="009C24E6">
        <w:rPr>
          <w:lang w:val="fr-FR"/>
        </w:rPr>
        <w:t>un montant de 7,6</w:t>
      </w:r>
      <w:r w:rsidR="00F4075F" w:rsidRPr="009C24E6">
        <w:rPr>
          <w:lang w:val="fr-FR"/>
        </w:rPr>
        <w:t> </w:t>
      </w:r>
      <w:r w:rsidRPr="009C24E6">
        <w:rPr>
          <w:lang w:val="fr-FR"/>
        </w:rPr>
        <w:t>millions de francs suisses, portait sur des mesures de sûreté et de sécurité internes (document</w:t>
      </w:r>
      <w:r w:rsidR="00F4075F" w:rsidRPr="009C24E6">
        <w:rPr>
          <w:lang w:val="fr-FR"/>
        </w:rPr>
        <w:t> </w:t>
      </w:r>
      <w:r w:rsidRPr="009C24E6">
        <w:rPr>
          <w:lang w:val="fr-FR"/>
        </w:rPr>
        <w:t>A/46/10 </w:t>
      </w:r>
      <w:proofErr w:type="spellStart"/>
      <w:r w:rsidRPr="009C24E6">
        <w:rPr>
          <w:lang w:val="fr-FR"/>
        </w:rPr>
        <w:t>Rev</w:t>
      </w:r>
      <w:proofErr w:type="spellEnd"/>
      <w:r w:rsidRPr="009C24E6">
        <w:rPr>
          <w:lang w:val="fr-FR"/>
        </w:rPr>
        <w:t>.).</w:t>
      </w:r>
    </w:p>
    <w:p w:rsidR="00626796" w:rsidRPr="009C24E6" w:rsidRDefault="00E007CD" w:rsidP="00645EB8">
      <w:pPr>
        <w:pStyle w:val="ONUMFS"/>
        <w:rPr>
          <w:lang w:val="fr-FR"/>
        </w:rPr>
      </w:pPr>
      <w:r w:rsidRPr="009C24E6">
        <w:rPr>
          <w:lang w:val="fr-FR"/>
        </w:rPr>
        <w:t>Tout au long du projet, l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OMPI a </w:t>
      </w:r>
      <w:r w:rsidR="00F4075F" w:rsidRPr="009C24E6">
        <w:rPr>
          <w:lang w:val="fr-FR"/>
        </w:rPr>
        <w:t xml:space="preserve">établi des </w:t>
      </w:r>
      <w:r w:rsidRPr="009C24E6">
        <w:rPr>
          <w:lang w:val="fr-FR"/>
        </w:rPr>
        <w:t>priori</w:t>
      </w:r>
      <w:r w:rsidR="00F4075F" w:rsidRPr="009C24E6">
        <w:rPr>
          <w:lang w:val="fr-FR"/>
        </w:rPr>
        <w:t>t</w:t>
      </w:r>
      <w:r w:rsidRPr="009C24E6">
        <w:rPr>
          <w:lang w:val="fr-FR"/>
        </w:rPr>
        <w:t>é</w:t>
      </w:r>
      <w:r w:rsidR="00F4075F" w:rsidRPr="009C24E6">
        <w:rPr>
          <w:lang w:val="fr-FR"/>
        </w:rPr>
        <w:t>s</w:t>
      </w:r>
      <w:r w:rsidRPr="009C24E6">
        <w:rPr>
          <w:lang w:val="fr-FR"/>
        </w:rPr>
        <w:t xml:space="preserve"> et coordonné les interventions et les attentes des différentes parties prenantes afin d</w:t>
      </w:r>
      <w:r w:rsidR="009C24E6">
        <w:rPr>
          <w:lang w:val="fr-FR"/>
        </w:rPr>
        <w:t>’</w:t>
      </w:r>
      <w:r w:rsidRPr="009C24E6">
        <w:rPr>
          <w:lang w:val="fr-FR"/>
        </w:rPr>
        <w:t xml:space="preserve">assurer le succès de sa mise en </w:t>
      </w:r>
      <w:r w:rsidR="00F4075F" w:rsidRPr="009C24E6">
        <w:rPr>
          <w:lang w:val="fr-FR"/>
        </w:rPr>
        <w:t>œuvre</w:t>
      </w:r>
      <w:r w:rsidRPr="009C24E6">
        <w:rPr>
          <w:lang w:val="fr-FR"/>
        </w:rPr>
        <w:t>.</w:t>
      </w:r>
      <w:r w:rsidR="00EA315D" w:rsidRPr="009C24E6">
        <w:rPr>
          <w:lang w:val="fr-FR"/>
        </w:rPr>
        <w:t xml:space="preserve"> </w:t>
      </w:r>
      <w:r w:rsidR="00C82EE1" w:rsidRPr="009C24E6">
        <w:rPr>
          <w:lang w:val="fr-FR"/>
        </w:rPr>
        <w:t xml:space="preserve"> </w:t>
      </w:r>
      <w:r w:rsidR="00E71BBB" w:rsidRPr="009C24E6">
        <w:rPr>
          <w:lang w:val="fr-FR"/>
        </w:rPr>
        <w:t>Du</w:t>
      </w:r>
      <w:r w:rsidR="00F4075F" w:rsidRPr="009C24E6">
        <w:rPr>
          <w:lang w:val="fr-FR"/>
        </w:rPr>
        <w:t> </w:t>
      </w:r>
      <w:r w:rsidR="00E71BBB" w:rsidRPr="009C24E6">
        <w:rPr>
          <w:lang w:val="fr-FR"/>
        </w:rPr>
        <w:t xml:space="preserve">début à la fin, la dépendance </w:t>
      </w:r>
      <w:r w:rsidR="009C24E6">
        <w:rPr>
          <w:lang w:val="fr-FR"/>
        </w:rPr>
        <w:t>à l’égard</w:t>
      </w:r>
      <w:r w:rsidR="00E71BBB" w:rsidRPr="009C24E6">
        <w:rPr>
          <w:lang w:val="fr-FR"/>
        </w:rPr>
        <w:t xml:space="preserve"> d</w:t>
      </w:r>
      <w:r w:rsidR="009C24E6">
        <w:rPr>
          <w:lang w:val="fr-FR"/>
        </w:rPr>
        <w:t>’</w:t>
      </w:r>
      <w:r w:rsidR="00E71BBB" w:rsidRPr="009C24E6">
        <w:rPr>
          <w:lang w:val="fr-FR"/>
        </w:rPr>
        <w:t>autres projets importants, comme la construction du nouveau bâtiment et de la nouvelle salle de conférence de l</w:t>
      </w:r>
      <w:r w:rsidR="009C24E6">
        <w:rPr>
          <w:lang w:val="fr-FR"/>
        </w:rPr>
        <w:t>’</w:t>
      </w:r>
      <w:r w:rsidR="00E71BBB" w:rsidRPr="009C24E6">
        <w:rPr>
          <w:lang w:val="fr-FR"/>
        </w:rPr>
        <w:t>OMPI, a soulevé des difficultés inédites et rendu encore plus complexe la gestion de ce projet de longue haleine.</w:t>
      </w:r>
      <w:r w:rsidR="00C82EE1" w:rsidRPr="009C24E6">
        <w:rPr>
          <w:lang w:val="fr-FR"/>
        </w:rPr>
        <w:t xml:space="preserve"> </w:t>
      </w:r>
      <w:r w:rsidR="00DE1561" w:rsidRPr="009C24E6">
        <w:rPr>
          <w:lang w:val="fr-FR"/>
        </w:rPr>
        <w:t xml:space="preserve"> </w:t>
      </w:r>
      <w:r w:rsidR="00F4075F" w:rsidRPr="009C24E6">
        <w:rPr>
          <w:lang w:val="fr-FR"/>
        </w:rPr>
        <w:t>L</w:t>
      </w:r>
      <w:r w:rsidR="00E71BBB" w:rsidRPr="009C24E6">
        <w:rPr>
          <w:lang w:val="fr-FR"/>
        </w:rPr>
        <w:t xml:space="preserve">es résultats escomptés du projet seront </w:t>
      </w:r>
      <w:r w:rsidR="00F4075F" w:rsidRPr="009C24E6">
        <w:rPr>
          <w:lang w:val="fr-FR"/>
        </w:rPr>
        <w:t xml:space="preserve">ainsi </w:t>
      </w:r>
      <w:r w:rsidR="00E71BBB" w:rsidRPr="009C24E6">
        <w:rPr>
          <w:lang w:val="fr-FR"/>
        </w:rPr>
        <w:t>atteints sans dépassement budgétaire lors de l</w:t>
      </w:r>
      <w:r w:rsidR="009C24E6">
        <w:rPr>
          <w:lang w:val="fr-FR"/>
        </w:rPr>
        <w:t>’</w:t>
      </w:r>
      <w:r w:rsidR="00E71BBB" w:rsidRPr="009C24E6">
        <w:rPr>
          <w:lang w:val="fr-FR"/>
        </w:rPr>
        <w:t>achèvement du projet en septembre 2015.</w:t>
      </w:r>
    </w:p>
    <w:p w:rsidR="0068498C" w:rsidRPr="009C24E6" w:rsidRDefault="00E71BBB" w:rsidP="00645EB8">
      <w:pPr>
        <w:pStyle w:val="ONUMFS"/>
        <w:rPr>
          <w:lang w:val="fr-FR"/>
        </w:rPr>
      </w:pPr>
      <w:r w:rsidRPr="009C24E6">
        <w:rPr>
          <w:lang w:val="fr-FR"/>
        </w:rPr>
        <w:t>Au</w:t>
      </w:r>
      <w:r w:rsidR="00F4075F" w:rsidRPr="009C24E6">
        <w:rPr>
          <w:lang w:val="fr-FR"/>
        </w:rPr>
        <w:t> </w:t>
      </w:r>
      <w:r w:rsidRPr="009C24E6">
        <w:rPr>
          <w:lang w:val="fr-FR"/>
        </w:rPr>
        <w:t>30</w:t>
      </w:r>
      <w:r w:rsidR="00F4075F" w:rsidRPr="009C24E6">
        <w:rPr>
          <w:lang w:val="fr-FR"/>
        </w:rPr>
        <w:t> </w:t>
      </w:r>
      <w:r w:rsidRPr="009C24E6">
        <w:rPr>
          <w:lang w:val="fr-FR"/>
        </w:rPr>
        <w:t>juin</w:t>
      </w:r>
      <w:r w:rsidR="00F4075F" w:rsidRPr="009C24E6">
        <w:rPr>
          <w:lang w:val="fr-FR"/>
        </w:rPr>
        <w:t> </w:t>
      </w:r>
      <w:r w:rsidRPr="009C24E6">
        <w:rPr>
          <w:lang w:val="fr-FR"/>
        </w:rPr>
        <w:t>2015, un montant de 12</w:t>
      </w:r>
      <w:r w:rsidR="00F4075F" w:rsidRPr="009C24E6">
        <w:rPr>
          <w:lang w:val="fr-FR"/>
        </w:rPr>
        <w:t> </w:t>
      </w:r>
      <w:r w:rsidRPr="009C24E6">
        <w:rPr>
          <w:lang w:val="fr-FR"/>
        </w:rPr>
        <w:t>547</w:t>
      </w:r>
      <w:r w:rsidR="00F4075F" w:rsidRPr="009C24E6">
        <w:rPr>
          <w:lang w:val="fr-FR"/>
        </w:rPr>
        <w:t> </w:t>
      </w:r>
      <w:r w:rsidRPr="009C24E6">
        <w:rPr>
          <w:lang w:val="fr-FR"/>
        </w:rPr>
        <w:t>944,21</w:t>
      </w:r>
      <w:r w:rsidR="00F4075F" w:rsidRPr="009C24E6">
        <w:rPr>
          <w:lang w:val="fr-FR"/>
        </w:rPr>
        <w:t> </w:t>
      </w:r>
      <w:r w:rsidRPr="009C24E6">
        <w:rPr>
          <w:lang w:val="fr-FR"/>
        </w:rPr>
        <w:t>francs suisses sur le budget total alloué au projet avait été dépensé ou engagé.</w:t>
      </w:r>
      <w:r w:rsidR="004A11A9" w:rsidRPr="009C24E6">
        <w:rPr>
          <w:lang w:val="fr-FR"/>
        </w:rPr>
        <w:t xml:space="preserve"> </w:t>
      </w:r>
      <w:r w:rsidR="00DE1561" w:rsidRPr="009C24E6">
        <w:rPr>
          <w:lang w:val="fr-FR"/>
        </w:rPr>
        <w:t xml:space="preserve"> </w:t>
      </w:r>
      <w:r w:rsidR="001466DE" w:rsidRPr="009C24E6">
        <w:rPr>
          <w:lang w:val="fr-FR"/>
        </w:rPr>
        <w:t>Sous réserve du rapprochement financier définitif, le projet devrait reverser un solde non dépensé d</w:t>
      </w:r>
      <w:r w:rsidR="009C24E6">
        <w:rPr>
          <w:lang w:val="fr-FR"/>
        </w:rPr>
        <w:t>’</w:t>
      </w:r>
      <w:r w:rsidR="001466DE" w:rsidRPr="009C24E6">
        <w:rPr>
          <w:lang w:val="fr-FR"/>
        </w:rPr>
        <w:t xml:space="preserve">environ </w:t>
      </w:r>
      <w:r w:rsidR="00CD66F2" w:rsidRPr="009C24E6">
        <w:rPr>
          <w:lang w:val="fr-FR"/>
        </w:rPr>
        <w:t>4000</w:t>
      </w:r>
      <w:r w:rsidR="00F4075F" w:rsidRPr="009C24E6">
        <w:rPr>
          <w:lang w:val="fr-FR"/>
        </w:rPr>
        <w:t> </w:t>
      </w:r>
      <w:r w:rsidR="001466DE" w:rsidRPr="009C24E6">
        <w:rPr>
          <w:lang w:val="fr-FR"/>
        </w:rPr>
        <w:t>francs suisses aux réserves,</w:t>
      </w:r>
      <w:r w:rsidR="004A11A9" w:rsidRPr="009C24E6">
        <w:rPr>
          <w:lang w:val="fr-FR"/>
        </w:rPr>
        <w:t xml:space="preserve"> </w:t>
      </w:r>
      <w:r w:rsidR="00F4075F" w:rsidRPr="009C24E6">
        <w:rPr>
          <w:lang w:val="fr-FR"/>
        </w:rPr>
        <w:t>comme indiqué dans le tableau ci</w:t>
      </w:r>
      <w:r w:rsidR="00BA7504">
        <w:rPr>
          <w:lang w:val="fr-FR"/>
        </w:rPr>
        <w:noBreakHyphen/>
      </w:r>
      <w:r w:rsidR="00F4075F" w:rsidRPr="009C24E6">
        <w:rPr>
          <w:lang w:val="fr-FR"/>
        </w:rPr>
        <w:t>après</w:t>
      </w:r>
      <w:r w:rsidR="001466DE" w:rsidRPr="009C24E6">
        <w:rPr>
          <w:lang w:val="fr-FR"/>
        </w:rPr>
        <w:t>.</w:t>
      </w:r>
      <w:r w:rsidR="004A11A9" w:rsidRPr="009C24E6">
        <w:rPr>
          <w:lang w:val="fr-FR"/>
        </w:rPr>
        <w:t xml:space="preserve"> </w:t>
      </w:r>
      <w:r w:rsidR="005E0ADD" w:rsidRPr="009C24E6">
        <w:rPr>
          <w:lang w:val="fr-FR"/>
        </w:rPr>
        <w:t xml:space="preserve"> </w:t>
      </w: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645EB8" w:rsidRPr="009C24E6" w:rsidTr="00D05665">
        <w:trPr>
          <w:gridBefore w:val="1"/>
          <w:wBefore w:w="4536" w:type="dxa"/>
          <w:trHeight w:val="419"/>
        </w:trPr>
        <w:tc>
          <w:tcPr>
            <w:tcW w:w="3948" w:type="dxa"/>
          </w:tcPr>
          <w:p w:rsidR="0068498C" w:rsidRPr="009C24E6" w:rsidRDefault="001466DE" w:rsidP="00645EB8">
            <w:pPr>
              <w:keepLines/>
              <w:contextualSpacing/>
              <w:jc w:val="center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Montants en francs suisses</w:t>
            </w:r>
          </w:p>
        </w:tc>
      </w:tr>
      <w:tr w:rsidR="00645EB8" w:rsidRPr="009C24E6" w:rsidTr="00D05665">
        <w:tc>
          <w:tcPr>
            <w:tcW w:w="4536" w:type="dxa"/>
          </w:tcPr>
          <w:p w:rsidR="0068498C" w:rsidRPr="009C24E6" w:rsidRDefault="001466DE" w:rsidP="00645EB8">
            <w:pPr>
              <w:keepLines/>
              <w:ind w:left="33" w:right="34"/>
              <w:contextualSpacing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Budget approuvé par les États membres en décembre</w:t>
            </w:r>
            <w:r w:rsidR="00DA7059" w:rsidRPr="009C24E6">
              <w:rPr>
                <w:rFonts w:eastAsiaTheme="minorHAnsi"/>
                <w:b/>
                <w:lang w:val="fr-FR" w:eastAsia="en-US"/>
              </w:rPr>
              <w:t> </w:t>
            </w:r>
            <w:r w:rsidRPr="009C24E6">
              <w:rPr>
                <w:rFonts w:eastAsiaTheme="minorHAnsi"/>
                <w:b/>
                <w:lang w:val="fr-FR" w:eastAsia="en-US"/>
              </w:rPr>
              <w:t>2008</w:t>
            </w:r>
            <w:r w:rsidR="0068498C" w:rsidRPr="009C24E6">
              <w:rPr>
                <w:rFonts w:eastAsiaTheme="minorHAnsi"/>
                <w:b/>
                <w:lang w:val="fr-FR" w:eastAsia="en-US"/>
              </w:rPr>
              <w:t xml:space="preserve"> </w:t>
            </w:r>
          </w:p>
        </w:tc>
        <w:tc>
          <w:tcPr>
            <w:tcW w:w="3948" w:type="dxa"/>
          </w:tcPr>
          <w:p w:rsidR="0068498C" w:rsidRPr="009C24E6" w:rsidRDefault="001466DE" w:rsidP="00645EB8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7 600 000</w:t>
            </w:r>
          </w:p>
        </w:tc>
      </w:tr>
      <w:tr w:rsidR="00645EB8" w:rsidRPr="009C24E6" w:rsidTr="00D05665">
        <w:tc>
          <w:tcPr>
            <w:tcW w:w="4536" w:type="dxa"/>
          </w:tcPr>
          <w:p w:rsidR="0068498C" w:rsidRPr="009C24E6" w:rsidRDefault="001466DE" w:rsidP="00645EB8">
            <w:pPr>
              <w:keepLines/>
              <w:ind w:left="33" w:right="34"/>
              <w:contextualSpacing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Participation du pays hôte</w:t>
            </w:r>
          </w:p>
        </w:tc>
        <w:tc>
          <w:tcPr>
            <w:tcW w:w="3948" w:type="dxa"/>
          </w:tcPr>
          <w:p w:rsidR="0068498C" w:rsidRPr="009C24E6" w:rsidRDefault="001466DE" w:rsidP="00645EB8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5 000 000</w:t>
            </w:r>
          </w:p>
        </w:tc>
      </w:tr>
      <w:tr w:rsidR="0068498C" w:rsidRPr="009C24E6" w:rsidTr="00D05665">
        <w:tc>
          <w:tcPr>
            <w:tcW w:w="4536" w:type="dxa"/>
          </w:tcPr>
          <w:p w:rsidR="0068498C" w:rsidRPr="009C24E6" w:rsidRDefault="001466DE" w:rsidP="00645EB8">
            <w:pPr>
              <w:keepLines/>
              <w:ind w:left="33" w:right="34"/>
              <w:contextualSpacing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Budget total</w:t>
            </w:r>
          </w:p>
        </w:tc>
        <w:tc>
          <w:tcPr>
            <w:tcW w:w="3948" w:type="dxa"/>
          </w:tcPr>
          <w:p w:rsidR="0068498C" w:rsidRPr="009C24E6" w:rsidRDefault="001466DE" w:rsidP="00645EB8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12 600 000</w:t>
            </w:r>
          </w:p>
        </w:tc>
      </w:tr>
    </w:tbl>
    <w:p w:rsidR="0068498C" w:rsidRPr="009C24E6" w:rsidRDefault="0068498C" w:rsidP="00645EB8">
      <w:pPr>
        <w:keepLines/>
        <w:rPr>
          <w:rFonts w:eastAsiaTheme="minorHAnsi"/>
          <w:b/>
          <w:szCs w:val="22"/>
          <w:lang w:val="fr-FR"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645EB8" w:rsidRPr="009C24E6" w:rsidTr="00D05665">
        <w:tc>
          <w:tcPr>
            <w:tcW w:w="4536" w:type="dxa"/>
          </w:tcPr>
          <w:p w:rsidR="0068498C" w:rsidRPr="009C24E6" w:rsidRDefault="001466DE" w:rsidP="00645EB8">
            <w:pPr>
              <w:keepLines/>
              <w:ind w:left="33" w:right="34"/>
              <w:contextualSpacing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Engagements financiers</w:t>
            </w:r>
            <w:r w:rsidRPr="009C24E6">
              <w:rPr>
                <w:rStyle w:val="FootnoteReference"/>
                <w:rFonts w:eastAsiaTheme="minorHAnsi"/>
                <w:b/>
                <w:lang w:val="fr-FR" w:eastAsia="en-US"/>
              </w:rPr>
              <w:footnoteReference w:id="2"/>
            </w:r>
          </w:p>
        </w:tc>
        <w:tc>
          <w:tcPr>
            <w:tcW w:w="3948" w:type="dxa"/>
          </w:tcPr>
          <w:p w:rsidR="0068498C" w:rsidRPr="009C24E6" w:rsidRDefault="0064745C" w:rsidP="00645EB8">
            <w:pPr>
              <w:keepNext/>
              <w:keepLines/>
              <w:ind w:left="11"/>
              <w:contextualSpacing/>
              <w:jc w:val="center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Montants</w:t>
            </w:r>
            <w:r w:rsidR="00DA7059" w:rsidRPr="009C24E6">
              <w:rPr>
                <w:rFonts w:eastAsiaTheme="minorHAnsi"/>
                <w:b/>
                <w:lang w:val="fr-FR" w:eastAsia="en-US"/>
              </w:rPr>
              <w:t xml:space="preserve"> </w:t>
            </w:r>
            <w:r w:rsidRPr="009C24E6">
              <w:rPr>
                <w:rFonts w:eastAsiaTheme="minorHAnsi"/>
                <w:b/>
                <w:lang w:val="fr-FR" w:eastAsia="en-US"/>
              </w:rPr>
              <w:t>en francs suisses</w:t>
            </w:r>
          </w:p>
        </w:tc>
      </w:tr>
      <w:tr w:rsidR="00645EB8" w:rsidRPr="009C24E6" w:rsidTr="00D05665">
        <w:tc>
          <w:tcPr>
            <w:tcW w:w="4536" w:type="dxa"/>
          </w:tcPr>
          <w:p w:rsidR="0068498C" w:rsidRPr="009C24E6" w:rsidRDefault="0064745C" w:rsidP="00645EB8">
            <w:pPr>
              <w:keepLines/>
              <w:ind w:left="33" w:right="34"/>
              <w:contextualSpacing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Montant engagé par l</w:t>
            </w:r>
            <w:r w:rsidR="009C24E6">
              <w:rPr>
                <w:rFonts w:eastAsiaTheme="minorHAnsi"/>
                <w:lang w:val="fr-FR" w:eastAsia="en-US"/>
              </w:rPr>
              <w:t>’</w:t>
            </w:r>
            <w:r w:rsidRPr="009C24E6">
              <w:rPr>
                <w:rFonts w:eastAsiaTheme="minorHAnsi"/>
                <w:lang w:val="fr-FR" w:eastAsia="en-US"/>
              </w:rPr>
              <w:t>OMPI</w:t>
            </w:r>
          </w:p>
        </w:tc>
        <w:tc>
          <w:tcPr>
            <w:tcW w:w="3948" w:type="dxa"/>
          </w:tcPr>
          <w:p w:rsidR="0068498C" w:rsidRPr="009C24E6" w:rsidRDefault="0064745C" w:rsidP="00645EB8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7 547 944,21</w:t>
            </w:r>
          </w:p>
        </w:tc>
      </w:tr>
      <w:tr w:rsidR="00645EB8" w:rsidRPr="009C24E6" w:rsidTr="00D05665">
        <w:tc>
          <w:tcPr>
            <w:tcW w:w="4536" w:type="dxa"/>
          </w:tcPr>
          <w:p w:rsidR="0068498C" w:rsidRPr="009C24E6" w:rsidRDefault="0064745C" w:rsidP="00645EB8">
            <w:pPr>
              <w:keepLines/>
              <w:ind w:left="33" w:right="34"/>
              <w:contextualSpacing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Montant engagé par le pays hôte</w:t>
            </w:r>
          </w:p>
        </w:tc>
        <w:tc>
          <w:tcPr>
            <w:tcW w:w="3948" w:type="dxa"/>
          </w:tcPr>
          <w:p w:rsidR="0068498C" w:rsidRPr="009C24E6" w:rsidRDefault="0064745C" w:rsidP="00645EB8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5 000 000</w:t>
            </w:r>
          </w:p>
        </w:tc>
      </w:tr>
      <w:tr w:rsidR="0068498C" w:rsidRPr="009C24E6" w:rsidTr="00D05665">
        <w:tc>
          <w:tcPr>
            <w:tcW w:w="4536" w:type="dxa"/>
          </w:tcPr>
          <w:p w:rsidR="0068498C" w:rsidRPr="009C24E6" w:rsidRDefault="0064745C" w:rsidP="00645EB8">
            <w:pPr>
              <w:keepLines/>
              <w:ind w:left="33" w:right="34"/>
              <w:contextualSpacing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Montant total des engagements</w:t>
            </w:r>
          </w:p>
        </w:tc>
        <w:tc>
          <w:tcPr>
            <w:tcW w:w="3948" w:type="dxa"/>
          </w:tcPr>
          <w:p w:rsidR="0068498C" w:rsidRPr="009C24E6" w:rsidRDefault="0064745C" w:rsidP="00645EB8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12 547 944,21</w:t>
            </w:r>
          </w:p>
        </w:tc>
      </w:tr>
    </w:tbl>
    <w:p w:rsidR="0068498C" w:rsidRPr="009C24E6" w:rsidRDefault="0068498C" w:rsidP="00645EB8">
      <w:pPr>
        <w:keepNext/>
        <w:keepLines/>
        <w:jc w:val="right"/>
        <w:rPr>
          <w:rFonts w:eastAsiaTheme="minorHAnsi"/>
          <w:b/>
          <w:szCs w:val="22"/>
          <w:lang w:val="fr-FR"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645EB8" w:rsidRPr="009C24E6" w:rsidTr="00D05665">
        <w:tc>
          <w:tcPr>
            <w:tcW w:w="4536" w:type="dxa"/>
          </w:tcPr>
          <w:p w:rsidR="0068498C" w:rsidRPr="009C24E6" w:rsidRDefault="0064745C" w:rsidP="00645EB8">
            <w:pPr>
              <w:keepNext/>
              <w:keepLines/>
              <w:ind w:left="33" w:right="34"/>
              <w:contextualSpacing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Solde</w:t>
            </w:r>
            <w:r w:rsidR="0068498C" w:rsidRPr="009C24E6">
              <w:rPr>
                <w:rFonts w:eastAsiaTheme="minorHAnsi"/>
                <w:b/>
                <w:lang w:val="fr-FR" w:eastAsia="en-US"/>
              </w:rPr>
              <w:t xml:space="preserve"> </w:t>
            </w:r>
          </w:p>
        </w:tc>
        <w:tc>
          <w:tcPr>
            <w:tcW w:w="3948" w:type="dxa"/>
          </w:tcPr>
          <w:p w:rsidR="0068498C" w:rsidRPr="009C24E6" w:rsidRDefault="0064745C" w:rsidP="00645EB8">
            <w:pPr>
              <w:keepNext/>
              <w:keepLines/>
              <w:ind w:left="33"/>
              <w:contextualSpacing/>
              <w:jc w:val="center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Montants en francs suisses</w:t>
            </w:r>
          </w:p>
        </w:tc>
      </w:tr>
      <w:tr w:rsidR="00645EB8" w:rsidRPr="009C24E6" w:rsidTr="00D05665">
        <w:tc>
          <w:tcPr>
            <w:tcW w:w="4536" w:type="dxa"/>
          </w:tcPr>
          <w:p w:rsidR="00626796" w:rsidRPr="009C24E6" w:rsidRDefault="0064745C" w:rsidP="00645EB8">
            <w:pPr>
              <w:keepNext/>
              <w:keepLines/>
              <w:ind w:left="33" w:right="34"/>
              <w:contextualSpacing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Solde OMPI disponible (30</w:t>
            </w:r>
            <w:r w:rsidR="00DA7059" w:rsidRPr="009C24E6">
              <w:rPr>
                <w:rFonts w:eastAsiaTheme="minorHAnsi"/>
                <w:lang w:val="fr-FR" w:eastAsia="en-US"/>
              </w:rPr>
              <w:t> </w:t>
            </w:r>
            <w:r w:rsidRPr="009C24E6">
              <w:rPr>
                <w:rFonts w:eastAsiaTheme="minorHAnsi"/>
                <w:lang w:val="fr-FR" w:eastAsia="en-US"/>
              </w:rPr>
              <w:t>juin</w:t>
            </w:r>
            <w:r w:rsidR="00DA7059" w:rsidRPr="009C24E6">
              <w:rPr>
                <w:rFonts w:eastAsiaTheme="minorHAnsi"/>
                <w:lang w:val="fr-FR" w:eastAsia="en-US"/>
              </w:rPr>
              <w:t> </w:t>
            </w:r>
            <w:r w:rsidRPr="009C24E6">
              <w:rPr>
                <w:rFonts w:eastAsiaTheme="minorHAnsi"/>
                <w:lang w:val="fr-FR" w:eastAsia="en-US"/>
              </w:rPr>
              <w:t>2015)</w:t>
            </w:r>
          </w:p>
          <w:p w:rsidR="007C4A32" w:rsidRPr="009C24E6" w:rsidRDefault="007C4A32" w:rsidP="00645EB8">
            <w:pPr>
              <w:keepNext/>
              <w:keepLines/>
              <w:ind w:left="33" w:right="34"/>
              <w:contextualSpacing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(</w:t>
            </w:r>
            <w:r w:rsidR="00DA7059" w:rsidRPr="009C24E6">
              <w:rPr>
                <w:rFonts w:eastAsiaTheme="minorHAnsi"/>
                <w:lang w:val="fr-FR" w:eastAsia="en-US"/>
              </w:rPr>
              <w:t>qu</w:t>
            </w:r>
            <w:r w:rsidR="009C24E6">
              <w:rPr>
                <w:rFonts w:eastAsiaTheme="minorHAnsi"/>
                <w:lang w:val="fr-FR" w:eastAsia="en-US"/>
              </w:rPr>
              <w:t>’</w:t>
            </w:r>
            <w:r w:rsidR="00DA7059" w:rsidRPr="009C24E6">
              <w:rPr>
                <w:rFonts w:eastAsiaTheme="minorHAnsi"/>
                <w:lang w:val="fr-FR" w:eastAsia="en-US"/>
              </w:rPr>
              <w:t>il est prévu d</w:t>
            </w:r>
            <w:r w:rsidR="009C24E6">
              <w:rPr>
                <w:rFonts w:eastAsiaTheme="minorHAnsi"/>
                <w:lang w:val="fr-FR" w:eastAsia="en-US"/>
              </w:rPr>
              <w:t>’</w:t>
            </w:r>
            <w:r w:rsidR="00DA7059" w:rsidRPr="009C24E6">
              <w:rPr>
                <w:rFonts w:eastAsiaTheme="minorHAnsi"/>
                <w:lang w:val="fr-FR" w:eastAsia="en-US"/>
              </w:rPr>
              <w:t>allouer aux</w:t>
            </w:r>
            <w:r w:rsidRPr="009C24E6">
              <w:rPr>
                <w:rFonts w:eastAsiaTheme="minorHAnsi"/>
                <w:lang w:val="fr-FR" w:eastAsia="en-US"/>
              </w:rPr>
              <w:t xml:space="preserve"> </w:t>
            </w:r>
            <w:r w:rsidR="00786296" w:rsidRPr="009C24E6">
              <w:rPr>
                <w:rFonts w:eastAsiaTheme="minorHAnsi"/>
                <w:lang w:val="fr-FR" w:eastAsia="en-US"/>
              </w:rPr>
              <w:t>services</w:t>
            </w:r>
            <w:r w:rsidRPr="009C24E6">
              <w:rPr>
                <w:rFonts w:eastAsiaTheme="minorHAnsi"/>
                <w:lang w:val="fr-FR" w:eastAsia="en-US"/>
              </w:rPr>
              <w:t>)</w:t>
            </w:r>
          </w:p>
        </w:tc>
        <w:tc>
          <w:tcPr>
            <w:tcW w:w="3948" w:type="dxa"/>
          </w:tcPr>
          <w:p w:rsidR="0068498C" w:rsidRPr="009C24E6" w:rsidRDefault="0064745C" w:rsidP="00645EB8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52 055,79</w:t>
            </w:r>
            <w:r w:rsidR="00BD632B" w:rsidRPr="009C24E6">
              <w:rPr>
                <w:rFonts w:eastAsiaTheme="minorHAnsi"/>
                <w:b/>
                <w:lang w:val="fr-FR" w:eastAsia="en-US"/>
              </w:rPr>
              <w:t xml:space="preserve"> </w:t>
            </w:r>
          </w:p>
        </w:tc>
      </w:tr>
      <w:tr w:rsidR="00645EB8" w:rsidRPr="009C24E6" w:rsidTr="00D05665">
        <w:tc>
          <w:tcPr>
            <w:tcW w:w="4536" w:type="dxa"/>
          </w:tcPr>
          <w:p w:rsidR="0068498C" w:rsidRPr="009C24E6" w:rsidRDefault="0064745C" w:rsidP="00645EB8">
            <w:pPr>
              <w:keepNext/>
              <w:keepLines/>
              <w:ind w:left="33" w:right="34"/>
              <w:contextualSpacing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Solde pays hôte disponible</w:t>
            </w:r>
          </w:p>
        </w:tc>
        <w:tc>
          <w:tcPr>
            <w:tcW w:w="3948" w:type="dxa"/>
          </w:tcPr>
          <w:p w:rsidR="0068498C" w:rsidRPr="009C24E6" w:rsidRDefault="005F3D01" w:rsidP="00645EB8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0</w:t>
            </w:r>
          </w:p>
        </w:tc>
      </w:tr>
      <w:tr w:rsidR="00F4075F" w:rsidRPr="009C24E6" w:rsidTr="00D05665">
        <w:tc>
          <w:tcPr>
            <w:tcW w:w="4536" w:type="dxa"/>
          </w:tcPr>
          <w:p w:rsidR="0068498C" w:rsidRPr="009C24E6" w:rsidRDefault="0064745C" w:rsidP="00645EB8">
            <w:pPr>
              <w:keepNext/>
              <w:keepLines/>
              <w:ind w:left="33" w:right="34"/>
              <w:contextualSpacing/>
              <w:rPr>
                <w:rFonts w:eastAsiaTheme="minorHAnsi"/>
                <w:lang w:val="fr-FR" w:eastAsia="en-US"/>
              </w:rPr>
            </w:pPr>
            <w:r w:rsidRPr="009C24E6">
              <w:rPr>
                <w:rFonts w:eastAsiaTheme="minorHAnsi"/>
                <w:lang w:val="fr-FR" w:eastAsia="en-US"/>
              </w:rPr>
              <w:t>Solde prévu – septembre</w:t>
            </w:r>
            <w:r w:rsidR="00DA7059" w:rsidRPr="009C24E6">
              <w:rPr>
                <w:rFonts w:eastAsiaTheme="minorHAnsi"/>
                <w:lang w:val="fr-FR" w:eastAsia="en-US"/>
              </w:rPr>
              <w:t> </w:t>
            </w:r>
            <w:r w:rsidRPr="009C24E6">
              <w:rPr>
                <w:rFonts w:eastAsiaTheme="minorHAnsi"/>
                <w:lang w:val="fr-FR" w:eastAsia="en-US"/>
              </w:rPr>
              <w:t>2015</w:t>
            </w:r>
          </w:p>
        </w:tc>
        <w:tc>
          <w:tcPr>
            <w:tcW w:w="3948" w:type="dxa"/>
          </w:tcPr>
          <w:p w:rsidR="0068498C" w:rsidRPr="009C24E6" w:rsidRDefault="0064745C" w:rsidP="00645EB8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lang w:val="fr-FR" w:eastAsia="en-US"/>
              </w:rPr>
            </w:pPr>
            <w:r w:rsidRPr="009C24E6">
              <w:rPr>
                <w:rFonts w:eastAsiaTheme="minorHAnsi"/>
                <w:b/>
                <w:lang w:val="fr-FR" w:eastAsia="en-US"/>
              </w:rPr>
              <w:t>4000,00</w:t>
            </w:r>
          </w:p>
        </w:tc>
      </w:tr>
    </w:tbl>
    <w:p w:rsidR="00626796" w:rsidRPr="009C24E6" w:rsidRDefault="00626796" w:rsidP="00645EB8">
      <w:pPr>
        <w:ind w:left="5613"/>
        <w:rPr>
          <w:i/>
          <w:lang w:val="fr-FR"/>
        </w:rPr>
      </w:pPr>
    </w:p>
    <w:p w:rsidR="00626796" w:rsidRPr="009C24E6" w:rsidRDefault="00626796" w:rsidP="00645EB8">
      <w:pPr>
        <w:rPr>
          <w:i/>
          <w:szCs w:val="22"/>
          <w:lang w:val="fr-FR"/>
        </w:rPr>
      </w:pPr>
    </w:p>
    <w:p w:rsidR="00626796" w:rsidRPr="009C24E6" w:rsidRDefault="0064745C" w:rsidP="00645EB8">
      <w:pPr>
        <w:pStyle w:val="ONUMFS"/>
        <w:rPr>
          <w:i/>
          <w:lang w:val="fr-FR"/>
        </w:rPr>
      </w:pPr>
      <w:r w:rsidRPr="009C24E6">
        <w:rPr>
          <w:lang w:val="fr-FR"/>
        </w:rPr>
        <w:lastRenderedPageBreak/>
        <w:t>Le paragraphe de décision ci</w:t>
      </w:r>
      <w:r w:rsidR="00BA7504">
        <w:rPr>
          <w:lang w:val="fr-FR"/>
        </w:rPr>
        <w:noBreakHyphen/>
      </w:r>
      <w:r w:rsidRPr="009C24E6">
        <w:rPr>
          <w:lang w:val="fr-FR"/>
        </w:rPr>
        <w:t>après est proposé.</w:t>
      </w:r>
    </w:p>
    <w:p w:rsidR="00626796" w:rsidRPr="009C24E6" w:rsidRDefault="00D82BBE" w:rsidP="00645EB8">
      <w:pPr>
        <w:pStyle w:val="ONUMFS"/>
        <w:numPr>
          <w:ilvl w:val="0"/>
          <w:numId w:val="0"/>
        </w:numPr>
        <w:spacing w:after="0"/>
        <w:ind w:left="5533"/>
        <w:rPr>
          <w:i/>
          <w:lang w:val="fr-FR"/>
        </w:rPr>
      </w:pPr>
      <w:r w:rsidRPr="009C24E6">
        <w:rPr>
          <w:i/>
          <w:lang w:val="fr-FR"/>
        </w:rPr>
        <w:t>19.</w:t>
      </w:r>
      <w:r w:rsidRPr="009C24E6">
        <w:rPr>
          <w:i/>
          <w:lang w:val="fr-FR"/>
        </w:rPr>
        <w:tab/>
      </w:r>
      <w:r w:rsidR="00867384" w:rsidRPr="009C24E6">
        <w:rPr>
          <w:i/>
          <w:lang w:val="fr-FR"/>
        </w:rPr>
        <w:t>Le Comité du programme et budget a pris note du contenu du</w:t>
      </w:r>
      <w:r w:rsidR="004B6B8E" w:rsidRPr="009C24E6">
        <w:rPr>
          <w:i/>
          <w:lang w:val="fr-FR"/>
        </w:rPr>
        <w:t xml:space="preserve"> Rapport final sur le projet relatif au renforcement des normes de sûreté et de sécurité pour les bâtiments existants de l</w:t>
      </w:r>
      <w:r w:rsidR="009C24E6">
        <w:rPr>
          <w:i/>
          <w:lang w:val="fr-FR"/>
        </w:rPr>
        <w:t>’</w:t>
      </w:r>
      <w:r w:rsidR="004B6B8E" w:rsidRPr="009C24E6">
        <w:rPr>
          <w:i/>
          <w:lang w:val="fr-FR"/>
        </w:rPr>
        <w:t>OMPI (</w:t>
      </w:r>
      <w:r w:rsidR="00867384" w:rsidRPr="009C24E6">
        <w:rPr>
          <w:i/>
          <w:lang w:val="fr-FR"/>
        </w:rPr>
        <w:t>document WO/PBC/24/12</w:t>
      </w:r>
      <w:r w:rsidR="004B6B8E" w:rsidRPr="009C24E6">
        <w:rPr>
          <w:i/>
          <w:lang w:val="fr-FR"/>
        </w:rPr>
        <w:t>)</w:t>
      </w:r>
      <w:r w:rsidR="00867384" w:rsidRPr="009C24E6">
        <w:rPr>
          <w:i/>
          <w:lang w:val="fr-FR"/>
        </w:rPr>
        <w:t>.</w:t>
      </w:r>
    </w:p>
    <w:p w:rsidR="00626796" w:rsidRPr="009C24E6" w:rsidRDefault="00626796" w:rsidP="00645EB8">
      <w:pPr>
        <w:pStyle w:val="Endofdocument-Annex"/>
        <w:ind w:hanging="5534"/>
        <w:rPr>
          <w:szCs w:val="22"/>
          <w:lang w:val="fr-FR"/>
        </w:rPr>
      </w:pPr>
    </w:p>
    <w:p w:rsidR="00F76C7A" w:rsidRPr="009C24E6" w:rsidRDefault="00F76C7A" w:rsidP="00645EB8">
      <w:pPr>
        <w:pStyle w:val="Endofdocument-Annex"/>
        <w:ind w:hanging="5534"/>
        <w:rPr>
          <w:szCs w:val="22"/>
          <w:lang w:val="fr-FR"/>
        </w:rPr>
      </w:pPr>
    </w:p>
    <w:p w:rsidR="00F76C7A" w:rsidRPr="009C24E6" w:rsidRDefault="00F76C7A" w:rsidP="00645EB8">
      <w:pPr>
        <w:pStyle w:val="Endofdocument-Annex"/>
        <w:ind w:hanging="5534"/>
        <w:rPr>
          <w:szCs w:val="22"/>
          <w:lang w:val="fr-FR"/>
        </w:rPr>
      </w:pPr>
    </w:p>
    <w:p w:rsidR="00626796" w:rsidRPr="009C24E6" w:rsidRDefault="00867384" w:rsidP="00645EB8">
      <w:pPr>
        <w:pStyle w:val="Endofdocument-Annex"/>
        <w:ind w:hanging="1"/>
        <w:rPr>
          <w:szCs w:val="22"/>
          <w:lang w:val="fr-FR"/>
        </w:rPr>
      </w:pPr>
      <w:r w:rsidRPr="009C24E6">
        <w:rPr>
          <w:szCs w:val="22"/>
          <w:lang w:val="fr-FR"/>
        </w:rPr>
        <w:t>[Fin du document]</w:t>
      </w:r>
    </w:p>
    <w:p w:rsidR="00626796" w:rsidRPr="009C24E6" w:rsidRDefault="00626796" w:rsidP="00645EB8">
      <w:pPr>
        <w:pStyle w:val="Endofdocument-Annex"/>
        <w:ind w:hanging="1"/>
        <w:rPr>
          <w:szCs w:val="22"/>
          <w:lang w:val="fr-FR"/>
        </w:rPr>
      </w:pPr>
    </w:p>
    <w:p w:rsidR="00E65B68" w:rsidRPr="009C24E6" w:rsidRDefault="00E65B68" w:rsidP="00645EB8">
      <w:pPr>
        <w:pStyle w:val="Endofdocument-Annex"/>
        <w:ind w:hanging="1"/>
        <w:rPr>
          <w:szCs w:val="22"/>
          <w:lang w:val="fr-FR"/>
        </w:rPr>
      </w:pPr>
      <w:bookmarkStart w:id="4" w:name="_GoBack"/>
      <w:bookmarkEnd w:id="4"/>
    </w:p>
    <w:sectPr w:rsidR="00E65B68" w:rsidRPr="009C24E6" w:rsidSect="00F76C7A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F7" w:rsidRDefault="009E72F7" w:rsidP="00FE72D6">
      <w:r>
        <w:separator/>
      </w:r>
    </w:p>
  </w:endnote>
  <w:endnote w:type="continuationSeparator" w:id="0">
    <w:p w:rsidR="009E72F7" w:rsidRDefault="009E72F7" w:rsidP="00FE72D6">
      <w:r>
        <w:continuationSeparator/>
      </w:r>
    </w:p>
  </w:endnote>
  <w:endnote w:type="continuationNotice" w:id="1">
    <w:p w:rsidR="00F76C7A" w:rsidRDefault="00F76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F7" w:rsidRDefault="009E72F7" w:rsidP="00FE72D6">
      <w:r>
        <w:separator/>
      </w:r>
    </w:p>
  </w:footnote>
  <w:footnote w:type="continuationSeparator" w:id="0">
    <w:p w:rsidR="009E72F7" w:rsidRDefault="009E72F7" w:rsidP="00FE72D6">
      <w:r>
        <w:continuationSeparator/>
      </w:r>
    </w:p>
  </w:footnote>
  <w:footnote w:type="continuationNotice" w:id="1">
    <w:p w:rsidR="00F76C7A" w:rsidRDefault="00F76C7A"/>
  </w:footnote>
  <w:footnote w:id="2">
    <w:p w:rsidR="001466DE" w:rsidRPr="00645EB8" w:rsidRDefault="001466DE" w:rsidP="0064745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64745C">
        <w:rPr>
          <w:lang w:val="fr-CH"/>
        </w:rPr>
        <w:t xml:space="preserve"> </w:t>
      </w:r>
      <w:r w:rsidR="001822F0">
        <w:rPr>
          <w:lang w:val="fr-CH"/>
        </w:rPr>
        <w:tab/>
      </w:r>
      <w:r w:rsidR="0064745C" w:rsidRPr="00645EB8">
        <w:rPr>
          <w:lang w:val="fr-CH"/>
        </w:rPr>
        <w:t>Remarque</w:t>
      </w:r>
      <w:r w:rsidR="00DA7059" w:rsidRPr="00645EB8">
        <w:rPr>
          <w:lang w:val="fr-CH"/>
        </w:rPr>
        <w:t> </w:t>
      </w:r>
      <w:r w:rsidR="006C4C73" w:rsidRPr="00645EB8">
        <w:rPr>
          <w:lang w:val="fr-CH"/>
        </w:rPr>
        <w:t>: les bons de commande en suspens et pour lesquels des crédits ont été affectés</w:t>
      </w:r>
      <w:r w:rsidR="0064745C" w:rsidRPr="00645EB8">
        <w:rPr>
          <w:lang w:val="fr-CH"/>
        </w:rPr>
        <w:t xml:space="preserve"> à la date </w:t>
      </w:r>
      <w:r w:rsidR="00645EB8">
        <w:rPr>
          <w:lang w:val="fr-CH"/>
        </w:rPr>
        <w:t>du présent rapport s’</w:t>
      </w:r>
      <w:r w:rsidR="0064745C" w:rsidRPr="00645EB8">
        <w:rPr>
          <w:lang w:val="fr-CH"/>
        </w:rPr>
        <w:t>élèvent au total à 631 787,67</w:t>
      </w:r>
      <w:r w:rsidR="00DA7059" w:rsidRPr="00645EB8">
        <w:rPr>
          <w:lang w:val="fr-CH"/>
        </w:rPr>
        <w:t> </w:t>
      </w:r>
      <w:r w:rsidR="0064745C" w:rsidRPr="00645EB8">
        <w:rPr>
          <w:lang w:val="fr-CH"/>
        </w:rPr>
        <w:t>francs suisses.</w:t>
      </w:r>
      <w:r w:rsidRPr="00645EB8">
        <w:rPr>
          <w:lang w:val="fr-CH"/>
        </w:rPr>
        <w:t xml:space="preserve"> </w:t>
      </w:r>
      <w:r w:rsidR="00DA7059" w:rsidRPr="00645EB8">
        <w:rPr>
          <w:lang w:val="fr-CH"/>
        </w:rPr>
        <w:t xml:space="preserve"> </w:t>
      </w:r>
      <w:r w:rsidR="0064745C" w:rsidRPr="00645EB8">
        <w:rPr>
          <w:lang w:val="fr-CH"/>
        </w:rPr>
        <w:t>Ces bons de commande seront payés et clôturés lorsque les contrats de service</w:t>
      </w:r>
      <w:r w:rsidR="00DA7059" w:rsidRPr="00645EB8">
        <w:rPr>
          <w:lang w:val="fr-CH"/>
        </w:rPr>
        <w:t>s</w:t>
      </w:r>
      <w:r w:rsidR="0064745C" w:rsidRPr="00645EB8">
        <w:rPr>
          <w:lang w:val="fr-CH"/>
        </w:rPr>
        <w:t xml:space="preserve"> technique</w:t>
      </w:r>
      <w:r w:rsidR="00DA7059" w:rsidRPr="00645EB8">
        <w:rPr>
          <w:lang w:val="fr-CH"/>
        </w:rPr>
        <w:t>s</w:t>
      </w:r>
      <w:r w:rsidR="0064745C" w:rsidRPr="00645EB8">
        <w:rPr>
          <w:lang w:val="fr-CH"/>
        </w:rPr>
        <w:t xml:space="preserve"> définitifs avec les prestataires </w:t>
      </w:r>
      <w:r w:rsidR="006C4C73" w:rsidRPr="00645EB8">
        <w:rPr>
          <w:lang w:val="fr-CH"/>
        </w:rPr>
        <w:t>auront été honorés</w:t>
      </w:r>
      <w:r w:rsidR="0064745C" w:rsidRPr="00645EB8">
        <w:rPr>
          <w:lang w:val="fr-CH"/>
        </w:rPr>
        <w:t xml:space="preserve"> et </w:t>
      </w:r>
      <w:r w:rsidR="00DA7059" w:rsidRPr="00645EB8">
        <w:rPr>
          <w:lang w:val="fr-CH"/>
        </w:rPr>
        <w:t>v</w:t>
      </w:r>
      <w:r w:rsidR="0064745C" w:rsidRPr="00645EB8">
        <w:rPr>
          <w:lang w:val="fr-CH"/>
        </w:rPr>
        <w:t>a</w:t>
      </w:r>
      <w:r w:rsidR="00DA7059" w:rsidRPr="00645EB8">
        <w:rPr>
          <w:lang w:val="fr-CH"/>
        </w:rPr>
        <w:t>lid</w:t>
      </w:r>
      <w:r w:rsidR="00645EB8">
        <w:rPr>
          <w:lang w:val="fr-CH"/>
        </w:rPr>
        <w:t>és par l’</w:t>
      </w:r>
      <w:r w:rsidR="0064745C" w:rsidRPr="00645EB8">
        <w:rPr>
          <w:lang w:val="fr-CH"/>
        </w:rPr>
        <w:t>OMPI.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44" w:rsidRPr="00645EB8" w:rsidRDefault="00867384" w:rsidP="00867384">
    <w:pPr>
      <w:jc w:val="right"/>
    </w:pPr>
    <w:r w:rsidRPr="00645EB8">
      <w:t>WO/PBC/24/12</w:t>
    </w:r>
  </w:p>
  <w:p w:rsidR="00A64344" w:rsidRDefault="00867384" w:rsidP="00867384">
    <w:pPr>
      <w:jc w:val="right"/>
    </w:pPr>
    <w:proofErr w:type="gramStart"/>
    <w:r w:rsidRPr="00645EB8">
      <w:t>page</w:t>
    </w:r>
    <w:proofErr w:type="gramEnd"/>
    <w:r w:rsidR="00100B59" w:rsidRPr="00645EB8">
      <w:t xml:space="preserve"> </w:t>
    </w:r>
    <w:r w:rsidR="00100B59">
      <w:fldChar w:fldCharType="begin"/>
    </w:r>
    <w:r w:rsidR="00100B59">
      <w:instrText xml:space="preserve"> PAGE  \* MERGEFORMAT </w:instrText>
    </w:r>
    <w:r w:rsidR="00100B59">
      <w:fldChar w:fldCharType="separate"/>
    </w:r>
    <w:r w:rsidR="00906EBB">
      <w:rPr>
        <w:noProof/>
      </w:rPr>
      <w:t>5</w:t>
    </w:r>
    <w:r w:rsidR="00100B59">
      <w:fldChar w:fldCharType="end"/>
    </w:r>
  </w:p>
  <w:p w:rsidR="00030080" w:rsidRDefault="00906EB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526"/>
    <w:multiLevelType w:val="hybridMultilevel"/>
    <w:tmpl w:val="FEA830CC"/>
    <w:lvl w:ilvl="0" w:tplc="7ED8B492">
      <w:start w:val="1"/>
      <w:numFmt w:val="bullet"/>
      <w:lvlText w:val="‒"/>
      <w:lvlJc w:val="left"/>
      <w:pPr>
        <w:ind w:left="36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674F77"/>
    <w:multiLevelType w:val="hybridMultilevel"/>
    <w:tmpl w:val="61AC77EC"/>
    <w:lvl w:ilvl="0" w:tplc="1AE8842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>
    <w:nsid w:val="1FFB19A2"/>
    <w:multiLevelType w:val="multilevel"/>
    <w:tmpl w:val="048A79D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24A87ED0"/>
    <w:multiLevelType w:val="hybridMultilevel"/>
    <w:tmpl w:val="5F84C3B4"/>
    <w:lvl w:ilvl="0" w:tplc="EFBC9C86">
      <w:start w:val="7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460A29"/>
    <w:multiLevelType w:val="multilevel"/>
    <w:tmpl w:val="98EACC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805FA"/>
    <w:multiLevelType w:val="hybridMultilevel"/>
    <w:tmpl w:val="58763010"/>
    <w:lvl w:ilvl="0" w:tplc="8AE62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AE62D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8142D"/>
    <w:multiLevelType w:val="hybridMultilevel"/>
    <w:tmpl w:val="8FC4D0E8"/>
    <w:lvl w:ilvl="0" w:tplc="8D94C978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32E52"/>
    <w:multiLevelType w:val="hybridMultilevel"/>
    <w:tmpl w:val="032297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8420E"/>
    <w:multiLevelType w:val="hybridMultilevel"/>
    <w:tmpl w:val="9E5E15D0"/>
    <w:lvl w:ilvl="0" w:tplc="3B627B42">
      <w:start w:val="1"/>
      <w:numFmt w:val="decimal"/>
      <w:lvlText w:val="%1."/>
      <w:lvlJc w:val="left"/>
      <w:pPr>
        <w:ind w:left="5747" w:hanging="360"/>
      </w:pPr>
      <w:rPr>
        <w:rFonts w:hint="default"/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567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Copyright\Meetings|TextBase TMs\Copyright\Other|TextBase TMs\Copyright\Publications|TextBase TMs\Administrative\Meetings|TextBase TMs\Administrative\Other|TextBase TMs\Administrative\Publications|TextBase TMs\Glossaries\EN-FR"/>
    <w:docVar w:name="TextBaseURL" w:val="empty"/>
    <w:docVar w:name="UILng" w:val="en"/>
  </w:docVars>
  <w:rsids>
    <w:rsidRoot w:val="0068498C"/>
    <w:rsid w:val="00002401"/>
    <w:rsid w:val="000032D0"/>
    <w:rsid w:val="00007E9E"/>
    <w:rsid w:val="0002235B"/>
    <w:rsid w:val="000255D7"/>
    <w:rsid w:val="00033732"/>
    <w:rsid w:val="00035F24"/>
    <w:rsid w:val="00045189"/>
    <w:rsid w:val="00050996"/>
    <w:rsid w:val="000969FD"/>
    <w:rsid w:val="000A6646"/>
    <w:rsid w:val="000C3870"/>
    <w:rsid w:val="000C4C3B"/>
    <w:rsid w:val="000D4EFC"/>
    <w:rsid w:val="000F3209"/>
    <w:rsid w:val="000F744A"/>
    <w:rsid w:val="00100B59"/>
    <w:rsid w:val="001062D2"/>
    <w:rsid w:val="00125B39"/>
    <w:rsid w:val="001466DE"/>
    <w:rsid w:val="00175CDC"/>
    <w:rsid w:val="001811BC"/>
    <w:rsid w:val="001822F0"/>
    <w:rsid w:val="00192E9A"/>
    <w:rsid w:val="001A716C"/>
    <w:rsid w:val="001C7977"/>
    <w:rsid w:val="001D2C65"/>
    <w:rsid w:val="001E1304"/>
    <w:rsid w:val="001F4737"/>
    <w:rsid w:val="002051BF"/>
    <w:rsid w:val="00206096"/>
    <w:rsid w:val="00214B70"/>
    <w:rsid w:val="00233685"/>
    <w:rsid w:val="00242BC3"/>
    <w:rsid w:val="00251D3F"/>
    <w:rsid w:val="00283E7B"/>
    <w:rsid w:val="002939CD"/>
    <w:rsid w:val="002A301B"/>
    <w:rsid w:val="002A7BD7"/>
    <w:rsid w:val="002B0BD4"/>
    <w:rsid w:val="002B4BBD"/>
    <w:rsid w:val="002C0928"/>
    <w:rsid w:val="002C0D77"/>
    <w:rsid w:val="002C1336"/>
    <w:rsid w:val="002C6595"/>
    <w:rsid w:val="003074D9"/>
    <w:rsid w:val="00307664"/>
    <w:rsid w:val="00324952"/>
    <w:rsid w:val="0037155C"/>
    <w:rsid w:val="003842AA"/>
    <w:rsid w:val="00392CEF"/>
    <w:rsid w:val="0039743C"/>
    <w:rsid w:val="003C24B9"/>
    <w:rsid w:val="003E2700"/>
    <w:rsid w:val="004061A7"/>
    <w:rsid w:val="0041392F"/>
    <w:rsid w:val="004213E5"/>
    <w:rsid w:val="00435FCF"/>
    <w:rsid w:val="004365CC"/>
    <w:rsid w:val="004430BE"/>
    <w:rsid w:val="00447DA5"/>
    <w:rsid w:val="004864DE"/>
    <w:rsid w:val="00486A9D"/>
    <w:rsid w:val="004A11A9"/>
    <w:rsid w:val="004B3892"/>
    <w:rsid w:val="004B6B8E"/>
    <w:rsid w:val="004D63F2"/>
    <w:rsid w:val="004E46DF"/>
    <w:rsid w:val="005046B4"/>
    <w:rsid w:val="00530657"/>
    <w:rsid w:val="00530941"/>
    <w:rsid w:val="00543BD6"/>
    <w:rsid w:val="0055214E"/>
    <w:rsid w:val="00575B6F"/>
    <w:rsid w:val="00577BAB"/>
    <w:rsid w:val="0058017C"/>
    <w:rsid w:val="00586DD5"/>
    <w:rsid w:val="005972C1"/>
    <w:rsid w:val="005B0E20"/>
    <w:rsid w:val="005B1FBB"/>
    <w:rsid w:val="005B5346"/>
    <w:rsid w:val="005C5064"/>
    <w:rsid w:val="005D64ED"/>
    <w:rsid w:val="005E0ADD"/>
    <w:rsid w:val="005F1B76"/>
    <w:rsid w:val="005F3D01"/>
    <w:rsid w:val="005F5267"/>
    <w:rsid w:val="005F7193"/>
    <w:rsid w:val="00611AA9"/>
    <w:rsid w:val="006133C8"/>
    <w:rsid w:val="0061422C"/>
    <w:rsid w:val="00626796"/>
    <w:rsid w:val="00635FDC"/>
    <w:rsid w:val="006372C2"/>
    <w:rsid w:val="00645EB8"/>
    <w:rsid w:val="0064745C"/>
    <w:rsid w:val="00652379"/>
    <w:rsid w:val="006533FF"/>
    <w:rsid w:val="0065363C"/>
    <w:rsid w:val="006545AB"/>
    <w:rsid w:val="006609FF"/>
    <w:rsid w:val="00670B1D"/>
    <w:rsid w:val="006769DE"/>
    <w:rsid w:val="0068498C"/>
    <w:rsid w:val="006A5275"/>
    <w:rsid w:val="006C0A4B"/>
    <w:rsid w:val="006C1A07"/>
    <w:rsid w:val="006C4C73"/>
    <w:rsid w:val="006C79B6"/>
    <w:rsid w:val="006D784A"/>
    <w:rsid w:val="00701082"/>
    <w:rsid w:val="00703B53"/>
    <w:rsid w:val="00714148"/>
    <w:rsid w:val="00714B29"/>
    <w:rsid w:val="0073348E"/>
    <w:rsid w:val="00742868"/>
    <w:rsid w:val="00782FD6"/>
    <w:rsid w:val="00786296"/>
    <w:rsid w:val="007A2029"/>
    <w:rsid w:val="007A470B"/>
    <w:rsid w:val="007C4A32"/>
    <w:rsid w:val="007C6723"/>
    <w:rsid w:val="007D1D7E"/>
    <w:rsid w:val="007F71B7"/>
    <w:rsid w:val="00804391"/>
    <w:rsid w:val="00822241"/>
    <w:rsid w:val="00825621"/>
    <w:rsid w:val="0082683A"/>
    <w:rsid w:val="008310AB"/>
    <w:rsid w:val="0086202E"/>
    <w:rsid w:val="00867384"/>
    <w:rsid w:val="00885EDA"/>
    <w:rsid w:val="00893033"/>
    <w:rsid w:val="008A2450"/>
    <w:rsid w:val="008A3AA3"/>
    <w:rsid w:val="008C5BEB"/>
    <w:rsid w:val="008D07DC"/>
    <w:rsid w:val="008D3C14"/>
    <w:rsid w:val="008F0729"/>
    <w:rsid w:val="008F1615"/>
    <w:rsid w:val="00906EBB"/>
    <w:rsid w:val="009175F9"/>
    <w:rsid w:val="0097000F"/>
    <w:rsid w:val="00995200"/>
    <w:rsid w:val="009C0596"/>
    <w:rsid w:val="009C20D2"/>
    <w:rsid w:val="009C24E6"/>
    <w:rsid w:val="009C5DA1"/>
    <w:rsid w:val="009C7D42"/>
    <w:rsid w:val="009D032E"/>
    <w:rsid w:val="009D1709"/>
    <w:rsid w:val="009D27DE"/>
    <w:rsid w:val="009E5B5C"/>
    <w:rsid w:val="009E72F7"/>
    <w:rsid w:val="00A058C3"/>
    <w:rsid w:val="00A11331"/>
    <w:rsid w:val="00A11F2C"/>
    <w:rsid w:val="00A33308"/>
    <w:rsid w:val="00A43EBA"/>
    <w:rsid w:val="00A55A7A"/>
    <w:rsid w:val="00A742F5"/>
    <w:rsid w:val="00A828C1"/>
    <w:rsid w:val="00A87F96"/>
    <w:rsid w:val="00A95B17"/>
    <w:rsid w:val="00A96C85"/>
    <w:rsid w:val="00AA6F61"/>
    <w:rsid w:val="00AC444D"/>
    <w:rsid w:val="00AC6697"/>
    <w:rsid w:val="00AD5E35"/>
    <w:rsid w:val="00AE0C8B"/>
    <w:rsid w:val="00AF4CB6"/>
    <w:rsid w:val="00B26593"/>
    <w:rsid w:val="00B56E6B"/>
    <w:rsid w:val="00B61C41"/>
    <w:rsid w:val="00BA44C0"/>
    <w:rsid w:val="00BA5301"/>
    <w:rsid w:val="00BA7504"/>
    <w:rsid w:val="00BB1627"/>
    <w:rsid w:val="00BB5069"/>
    <w:rsid w:val="00BD632B"/>
    <w:rsid w:val="00BD6C84"/>
    <w:rsid w:val="00BD6DE4"/>
    <w:rsid w:val="00C01F46"/>
    <w:rsid w:val="00C1399F"/>
    <w:rsid w:val="00C1440D"/>
    <w:rsid w:val="00C16EA8"/>
    <w:rsid w:val="00C63934"/>
    <w:rsid w:val="00C646EE"/>
    <w:rsid w:val="00C82EE1"/>
    <w:rsid w:val="00CB0169"/>
    <w:rsid w:val="00CB1A10"/>
    <w:rsid w:val="00CB1BA3"/>
    <w:rsid w:val="00CC1295"/>
    <w:rsid w:val="00CC30E5"/>
    <w:rsid w:val="00CD1451"/>
    <w:rsid w:val="00CD66F2"/>
    <w:rsid w:val="00D0590B"/>
    <w:rsid w:val="00D169D4"/>
    <w:rsid w:val="00D35596"/>
    <w:rsid w:val="00D35DFF"/>
    <w:rsid w:val="00D631B3"/>
    <w:rsid w:val="00D645B0"/>
    <w:rsid w:val="00D7544A"/>
    <w:rsid w:val="00D82BBE"/>
    <w:rsid w:val="00D834C7"/>
    <w:rsid w:val="00D84FEA"/>
    <w:rsid w:val="00D944ED"/>
    <w:rsid w:val="00DA7059"/>
    <w:rsid w:val="00DC1C76"/>
    <w:rsid w:val="00DC2645"/>
    <w:rsid w:val="00DE1561"/>
    <w:rsid w:val="00DE3F08"/>
    <w:rsid w:val="00DF1B56"/>
    <w:rsid w:val="00DF2337"/>
    <w:rsid w:val="00E007CD"/>
    <w:rsid w:val="00E01E68"/>
    <w:rsid w:val="00E1584D"/>
    <w:rsid w:val="00E2216D"/>
    <w:rsid w:val="00E44FD1"/>
    <w:rsid w:val="00E65B68"/>
    <w:rsid w:val="00E71BBB"/>
    <w:rsid w:val="00E77F87"/>
    <w:rsid w:val="00E87AE3"/>
    <w:rsid w:val="00E94AF6"/>
    <w:rsid w:val="00EA315D"/>
    <w:rsid w:val="00EE71DB"/>
    <w:rsid w:val="00F002E3"/>
    <w:rsid w:val="00F11839"/>
    <w:rsid w:val="00F14353"/>
    <w:rsid w:val="00F4075F"/>
    <w:rsid w:val="00F75FC2"/>
    <w:rsid w:val="00F76C7A"/>
    <w:rsid w:val="00F77AB7"/>
    <w:rsid w:val="00F80536"/>
    <w:rsid w:val="00F81F94"/>
    <w:rsid w:val="00F942A1"/>
    <w:rsid w:val="00F95D8A"/>
    <w:rsid w:val="00F97E6E"/>
    <w:rsid w:val="00FB1E30"/>
    <w:rsid w:val="00FE29C0"/>
    <w:rsid w:val="00FE72D6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8C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2F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68498C"/>
    <w:pPr>
      <w:ind w:left="5534"/>
    </w:pPr>
  </w:style>
  <w:style w:type="paragraph" w:customStyle="1" w:styleId="ONUME">
    <w:name w:val="ONUM E"/>
    <w:basedOn w:val="BodyText"/>
    <w:rsid w:val="0068498C"/>
    <w:pPr>
      <w:spacing w:after="220"/>
    </w:pPr>
  </w:style>
  <w:style w:type="table" w:styleId="TableGrid">
    <w:name w:val="Table Grid"/>
    <w:basedOn w:val="TableNormal"/>
    <w:uiPriority w:val="59"/>
    <w:rsid w:val="0068498C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98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849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98C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8C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E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2D6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E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2D6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797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977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C7977"/>
    <w:rPr>
      <w:vertAlign w:val="superscript"/>
    </w:rPr>
  </w:style>
  <w:style w:type="paragraph" w:styleId="Revision">
    <w:name w:val="Revision"/>
    <w:hidden/>
    <w:uiPriority w:val="99"/>
    <w:semiHidden/>
    <w:rsid w:val="00E1584D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Default">
    <w:name w:val="Default"/>
    <w:rsid w:val="00C01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6C7A"/>
    <w:rPr>
      <w:color w:val="0000FF" w:themeColor="hyperlink"/>
      <w:u w:val="single"/>
    </w:rPr>
  </w:style>
  <w:style w:type="paragraph" w:customStyle="1" w:styleId="ONUMFS">
    <w:name w:val="ONUM FS"/>
    <w:basedOn w:val="BodyText"/>
    <w:rsid w:val="00D82BBE"/>
    <w:pPr>
      <w:numPr>
        <w:numId w:val="9"/>
      </w:numPr>
      <w:spacing w:after="220"/>
    </w:pPr>
  </w:style>
  <w:style w:type="character" w:customStyle="1" w:styleId="Heading1Char">
    <w:name w:val="Heading 1 Char"/>
    <w:basedOn w:val="DefaultParagraphFont"/>
    <w:link w:val="Heading1"/>
    <w:uiPriority w:val="9"/>
    <w:rsid w:val="001822F0"/>
    <w:rPr>
      <w:rFonts w:ascii="Arial" w:eastAsiaTheme="majorEastAsia" w:hAnsi="Arial" w:cstheme="majorBidi"/>
      <w:b/>
      <w:bCs/>
      <w:color w:val="365F91" w:themeColor="accent1" w:themeShade="BF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8C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2F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68498C"/>
    <w:pPr>
      <w:ind w:left="5534"/>
    </w:pPr>
  </w:style>
  <w:style w:type="paragraph" w:customStyle="1" w:styleId="ONUME">
    <w:name w:val="ONUM E"/>
    <w:basedOn w:val="BodyText"/>
    <w:rsid w:val="0068498C"/>
    <w:pPr>
      <w:spacing w:after="220"/>
    </w:pPr>
  </w:style>
  <w:style w:type="table" w:styleId="TableGrid">
    <w:name w:val="Table Grid"/>
    <w:basedOn w:val="TableNormal"/>
    <w:uiPriority w:val="59"/>
    <w:rsid w:val="0068498C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98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849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98C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8C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E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2D6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E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2D6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797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977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C7977"/>
    <w:rPr>
      <w:vertAlign w:val="superscript"/>
    </w:rPr>
  </w:style>
  <w:style w:type="paragraph" w:styleId="Revision">
    <w:name w:val="Revision"/>
    <w:hidden/>
    <w:uiPriority w:val="99"/>
    <w:semiHidden/>
    <w:rsid w:val="00E1584D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Default">
    <w:name w:val="Default"/>
    <w:rsid w:val="00C01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6C7A"/>
    <w:rPr>
      <w:color w:val="0000FF" w:themeColor="hyperlink"/>
      <w:u w:val="single"/>
    </w:rPr>
  </w:style>
  <w:style w:type="paragraph" w:customStyle="1" w:styleId="ONUMFS">
    <w:name w:val="ONUM FS"/>
    <w:basedOn w:val="BodyText"/>
    <w:rsid w:val="00D82BBE"/>
    <w:pPr>
      <w:numPr>
        <w:numId w:val="9"/>
      </w:numPr>
      <w:spacing w:after="220"/>
    </w:pPr>
  </w:style>
  <w:style w:type="character" w:customStyle="1" w:styleId="Heading1Char">
    <w:name w:val="Heading 1 Char"/>
    <w:basedOn w:val="DefaultParagraphFont"/>
    <w:link w:val="Heading1"/>
    <w:uiPriority w:val="9"/>
    <w:rsid w:val="001822F0"/>
    <w:rPr>
      <w:rFonts w:ascii="Arial" w:eastAsiaTheme="majorEastAsia" w:hAnsi="Arial" w:cstheme="majorBidi"/>
      <w:b/>
      <w:bCs/>
      <w:color w:val="365F91" w:themeColor="accent1" w:themeShade="BF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B861-5CF1-4A4B-A8F8-2CDE4D29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 Jean</dc:creator>
  <cp:keywords>CB/mhf</cp:keywords>
  <cp:lastModifiedBy>NETTER Iza</cp:lastModifiedBy>
  <cp:revision>25</cp:revision>
  <cp:lastPrinted>2015-08-03T14:41:00Z</cp:lastPrinted>
  <dcterms:created xsi:type="dcterms:W3CDTF">2015-07-24T10:00:00Z</dcterms:created>
  <dcterms:modified xsi:type="dcterms:W3CDTF">2015-08-03T14:41:00Z</dcterms:modified>
</cp:coreProperties>
</file>