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83"/>
      </w:tblGrid>
      <w:tr w:rsidR="00BD351E" w:rsidRPr="007F3549" w:rsidTr="00DD77E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856A8" w:rsidRPr="00BD351E" w:rsidRDefault="000856A8" w:rsidP="00DD77E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6A8" w:rsidRPr="007F3549" w:rsidRDefault="000856A8" w:rsidP="00DD77E0">
            <w:pPr>
              <w:rPr>
                <w:lang w:val="fr-FR"/>
              </w:rPr>
            </w:pPr>
            <w:r w:rsidRPr="007F3549">
              <w:rPr>
                <w:noProof/>
                <w:lang w:eastAsia="en-US"/>
              </w:rPr>
              <w:drawing>
                <wp:inline distT="0" distB="0" distL="0" distR="0" wp14:anchorId="0EB090A4" wp14:editId="26A990F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6A8" w:rsidRPr="007F3549" w:rsidRDefault="000856A8" w:rsidP="00DD77E0">
            <w:pPr>
              <w:jc w:val="right"/>
              <w:rPr>
                <w:lang w:val="fr-FR"/>
              </w:rPr>
            </w:pPr>
            <w:r w:rsidRPr="007F354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D351E" w:rsidRPr="007F3549" w:rsidTr="00DD77E0">
        <w:trPr>
          <w:trHeight w:hRule="exact" w:val="340"/>
        </w:trPr>
        <w:tc>
          <w:tcPr>
            <w:tcW w:w="9433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856A8" w:rsidRPr="007F3549" w:rsidRDefault="000856A8" w:rsidP="00DD77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3549">
              <w:rPr>
                <w:rFonts w:ascii="Arial Black" w:hAnsi="Arial Black"/>
                <w:caps/>
                <w:sz w:val="15"/>
                <w:lang w:val="fr-FR"/>
              </w:rPr>
              <w:t>wo/pbc/23/</w:t>
            </w:r>
            <w:bookmarkStart w:id="1" w:name="Code"/>
            <w:bookmarkEnd w:id="1"/>
            <w:r w:rsidRPr="007F3549">
              <w:rPr>
                <w:rFonts w:ascii="Arial Black" w:hAnsi="Arial Black"/>
                <w:caps/>
                <w:sz w:val="15"/>
                <w:lang w:val="fr-FR"/>
              </w:rPr>
              <w:t>7</w:t>
            </w:r>
          </w:p>
        </w:tc>
      </w:tr>
      <w:tr w:rsidR="00BD351E" w:rsidRPr="007F3549" w:rsidTr="00DD77E0">
        <w:trPr>
          <w:trHeight w:hRule="exact" w:val="170"/>
        </w:trPr>
        <w:tc>
          <w:tcPr>
            <w:tcW w:w="9433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856A8" w:rsidRPr="007F3549" w:rsidRDefault="000856A8" w:rsidP="00DD77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2" w:name="Original"/>
            <w:bookmarkEnd w:id="2"/>
            <w:r w:rsidRPr="007F354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17726" w:rsidRPr="007F354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7F3549">
              <w:rPr>
                <w:rFonts w:ascii="Arial Black" w:hAnsi="Arial Black"/>
                <w:caps/>
                <w:sz w:val="15"/>
                <w:lang w:val="fr-FR"/>
              </w:rPr>
              <w:t>: anglais</w:t>
            </w:r>
          </w:p>
        </w:tc>
      </w:tr>
      <w:tr w:rsidR="00B50D94" w:rsidRPr="007F3549" w:rsidTr="00DD77E0">
        <w:trPr>
          <w:trHeight w:hRule="exact" w:val="198"/>
        </w:trPr>
        <w:tc>
          <w:tcPr>
            <w:tcW w:w="9433" w:type="dxa"/>
            <w:gridSpan w:val="3"/>
            <w:tcMar>
              <w:left w:w="0" w:type="dxa"/>
              <w:right w:w="0" w:type="dxa"/>
            </w:tcMar>
            <w:vAlign w:val="bottom"/>
          </w:tcPr>
          <w:p w:rsidR="000856A8" w:rsidRPr="007F3549" w:rsidRDefault="000856A8" w:rsidP="00DD77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354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17726" w:rsidRPr="007F354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7F354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876E92" w:rsidRPr="007F3549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876E92" w:rsidRPr="007F3549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876E92" w:rsidRPr="007F3549">
              <w:rPr>
                <w:rFonts w:ascii="Arial Black" w:hAnsi="Arial Black"/>
                <w:caps/>
                <w:sz w:val="15"/>
                <w:lang w:val="fr-FR"/>
              </w:rPr>
              <w:t> juin 20</w:t>
            </w:r>
            <w:r w:rsidRPr="007F3549">
              <w:rPr>
                <w:rFonts w:ascii="Arial Black" w:hAnsi="Arial Black"/>
                <w:caps/>
                <w:sz w:val="15"/>
                <w:lang w:val="fr-FR"/>
              </w:rPr>
              <w:t>15</w:t>
            </w:r>
          </w:p>
        </w:tc>
      </w:tr>
    </w:tbl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b/>
          <w:sz w:val="28"/>
          <w:szCs w:val="28"/>
          <w:lang w:val="fr-FR"/>
        </w:rPr>
      </w:pPr>
      <w:r w:rsidRPr="007F3549">
        <w:rPr>
          <w:b/>
          <w:sz w:val="28"/>
          <w:szCs w:val="28"/>
          <w:lang w:val="fr-FR"/>
        </w:rPr>
        <w:t>Comit</w:t>
      </w:r>
      <w:r w:rsidRPr="007F3549">
        <w:rPr>
          <w:rFonts w:cs="Simplified Arabic"/>
          <w:b/>
          <w:sz w:val="28"/>
          <w:szCs w:val="28"/>
          <w:lang w:val="fr-FR"/>
        </w:rPr>
        <w:t>é</w:t>
      </w:r>
      <w:r w:rsidRPr="007F3549">
        <w:rPr>
          <w:b/>
          <w:sz w:val="28"/>
          <w:szCs w:val="28"/>
          <w:lang w:val="fr-FR"/>
        </w:rPr>
        <w:t xml:space="preserve"> du programme et budget</w:t>
      </w: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b/>
          <w:sz w:val="24"/>
          <w:szCs w:val="24"/>
          <w:lang w:val="fr-FR"/>
        </w:rPr>
      </w:pPr>
      <w:r w:rsidRPr="007F3549">
        <w:rPr>
          <w:b/>
          <w:bCs/>
          <w:sz w:val="24"/>
          <w:szCs w:val="24"/>
          <w:lang w:val="fr-FR"/>
        </w:rPr>
        <w:t>Vingt</w:t>
      </w:r>
      <w:r w:rsidR="00BD351E" w:rsidRPr="007F3549">
        <w:rPr>
          <w:b/>
          <w:bCs/>
          <w:sz w:val="24"/>
          <w:szCs w:val="24"/>
          <w:lang w:val="fr-FR"/>
        </w:rPr>
        <w:noBreakHyphen/>
      </w:r>
      <w:r w:rsidRPr="007F3549">
        <w:rPr>
          <w:b/>
          <w:bCs/>
          <w:sz w:val="24"/>
          <w:szCs w:val="24"/>
          <w:lang w:val="fr-FR"/>
        </w:rPr>
        <w:t>troisième</w:t>
      </w:r>
      <w:r w:rsidR="00617726" w:rsidRPr="007F3549">
        <w:rPr>
          <w:b/>
          <w:bCs/>
          <w:sz w:val="24"/>
          <w:szCs w:val="24"/>
          <w:lang w:val="fr-FR"/>
        </w:rPr>
        <w:t> </w:t>
      </w:r>
      <w:r w:rsidRPr="007F3549">
        <w:rPr>
          <w:b/>
          <w:bCs/>
          <w:sz w:val="24"/>
          <w:szCs w:val="24"/>
          <w:lang w:val="fr-FR"/>
        </w:rPr>
        <w:t>se</w:t>
      </w:r>
      <w:r w:rsidRPr="007F3549">
        <w:rPr>
          <w:b/>
          <w:sz w:val="24"/>
          <w:szCs w:val="24"/>
          <w:lang w:val="fr-FR"/>
        </w:rPr>
        <w:t>ssion</w:t>
      </w:r>
    </w:p>
    <w:p w:rsidR="000856A8" w:rsidRPr="007F3549" w:rsidRDefault="000856A8" w:rsidP="000856A8">
      <w:pPr>
        <w:rPr>
          <w:b/>
          <w:sz w:val="24"/>
          <w:szCs w:val="24"/>
          <w:lang w:val="fr-FR"/>
        </w:rPr>
      </w:pPr>
      <w:r w:rsidRPr="007F3549">
        <w:rPr>
          <w:b/>
          <w:sz w:val="24"/>
          <w:szCs w:val="24"/>
          <w:lang w:val="fr-FR"/>
        </w:rPr>
        <w:t>Genève, 13 – 1</w:t>
      </w:r>
      <w:r w:rsidR="00876E92" w:rsidRPr="007F3549">
        <w:rPr>
          <w:b/>
          <w:sz w:val="24"/>
          <w:szCs w:val="24"/>
          <w:lang w:val="fr-FR"/>
        </w:rPr>
        <w:t>7 juillet 20</w:t>
      </w:r>
      <w:r w:rsidRPr="007F3549">
        <w:rPr>
          <w:b/>
          <w:sz w:val="24"/>
          <w:szCs w:val="24"/>
          <w:lang w:val="fr-FR"/>
        </w:rPr>
        <w:t>15</w:t>
      </w: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8B2CC1" w:rsidRPr="007F3549" w:rsidRDefault="00B614E1" w:rsidP="008B2CC1">
      <w:pPr>
        <w:rPr>
          <w:caps/>
          <w:sz w:val="24"/>
          <w:szCs w:val="24"/>
          <w:lang w:val="fr-FR"/>
        </w:rPr>
      </w:pPr>
      <w:r w:rsidRPr="007F3549">
        <w:rPr>
          <w:caps/>
          <w:sz w:val="24"/>
          <w:szCs w:val="24"/>
          <w:lang w:val="fr-FR"/>
        </w:rPr>
        <w:t>proposition de nouvelles révisions</w:t>
      </w:r>
      <w:r w:rsidR="00F13F38" w:rsidRPr="007F3549">
        <w:rPr>
          <w:caps/>
          <w:sz w:val="24"/>
          <w:szCs w:val="24"/>
          <w:lang w:val="fr-FR"/>
        </w:rPr>
        <w:t xml:space="preserve"> de la politi</w:t>
      </w:r>
      <w:r w:rsidRPr="007F3549">
        <w:rPr>
          <w:caps/>
          <w:sz w:val="24"/>
          <w:szCs w:val="24"/>
          <w:lang w:val="fr-FR"/>
        </w:rPr>
        <w:t>que en matière de placements</w:t>
      </w:r>
    </w:p>
    <w:p w:rsidR="008B2CC1" w:rsidRPr="007F3549" w:rsidRDefault="008B2CC1" w:rsidP="008B2CC1">
      <w:pPr>
        <w:rPr>
          <w:szCs w:val="22"/>
          <w:lang w:val="fr-FR"/>
        </w:rPr>
      </w:pPr>
    </w:p>
    <w:p w:rsidR="008B2CC1" w:rsidRPr="007F3549" w:rsidRDefault="001F3B22" w:rsidP="008B2CC1">
      <w:pPr>
        <w:rPr>
          <w:i/>
          <w:szCs w:val="22"/>
          <w:lang w:val="fr-FR"/>
        </w:rPr>
      </w:pPr>
      <w:bookmarkStart w:id="4" w:name="Prepared"/>
      <w:bookmarkEnd w:id="4"/>
      <w:r w:rsidRPr="007F3549">
        <w:rPr>
          <w:i/>
          <w:szCs w:val="22"/>
          <w:lang w:val="fr-FR"/>
        </w:rPr>
        <w:t xml:space="preserve">Document </w:t>
      </w:r>
      <w:r w:rsidR="00B614E1" w:rsidRPr="007F3549">
        <w:rPr>
          <w:i/>
          <w:szCs w:val="22"/>
          <w:lang w:val="fr-FR"/>
        </w:rPr>
        <w:t>établi par le Secrétariat</w:t>
      </w:r>
    </w:p>
    <w:p w:rsidR="00AC205C" w:rsidRPr="007F3549" w:rsidRDefault="00AC205C" w:rsidP="00BD351E"/>
    <w:p w:rsidR="000F5E56" w:rsidRPr="007F3549" w:rsidRDefault="000F5E56" w:rsidP="00BD351E"/>
    <w:p w:rsidR="002928D3" w:rsidRPr="007F3549" w:rsidRDefault="002928D3" w:rsidP="00BD351E"/>
    <w:p w:rsidR="002928D3" w:rsidRPr="007F3549" w:rsidRDefault="000C67B6" w:rsidP="00B50D94">
      <w:pPr>
        <w:pStyle w:val="Heading1"/>
        <w:rPr>
          <w:lang w:val="fr-FR"/>
        </w:rPr>
      </w:pPr>
      <w:r w:rsidRPr="007F3549">
        <w:rPr>
          <w:lang w:val="fr-FR"/>
        </w:rPr>
        <w:t>RAPPEL</w:t>
      </w:r>
    </w:p>
    <w:p w:rsidR="00842A4F" w:rsidRPr="007F3549" w:rsidRDefault="00842A4F">
      <w:pPr>
        <w:rPr>
          <w:szCs w:val="22"/>
          <w:lang w:val="fr-FR"/>
        </w:rPr>
      </w:pPr>
    </w:p>
    <w:p w:rsidR="00DB74EE" w:rsidRPr="007F3549" w:rsidRDefault="00FF43AD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Suite à la réception</w:t>
      </w:r>
      <w:r w:rsidRPr="007F3549">
        <w:rPr>
          <w:lang w:val="fr-FR"/>
        </w:rPr>
        <w:t xml:space="preserve"> </w:t>
      </w:r>
      <w:r w:rsidR="000C67B6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0C67B6" w:rsidRPr="007F3549">
        <w:rPr>
          <w:rStyle w:val="hps"/>
          <w:lang w:val="fr-FR"/>
        </w:rPr>
        <w:t>un courrier</w:t>
      </w:r>
      <w:r w:rsidRPr="007F3549">
        <w:rPr>
          <w:rStyle w:val="hps"/>
          <w:lang w:val="fr-FR"/>
        </w:rPr>
        <w:t xml:space="preserve"> de</w:t>
      </w:r>
      <w:r w:rsidRPr="007F3549">
        <w:rPr>
          <w:lang w:val="fr-FR"/>
        </w:rPr>
        <w:t xml:space="preserve"> </w:t>
      </w:r>
      <w:r w:rsidR="000C67B6" w:rsidRPr="007F3549">
        <w:rPr>
          <w:lang w:val="fr-FR"/>
        </w:rPr>
        <w:t xml:space="preserve">la part de </w:t>
      </w: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Administration fédérale des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finances </w:t>
      </w:r>
      <w:r w:rsidR="000C67B6" w:rsidRPr="007F3549">
        <w:rPr>
          <w:rStyle w:val="hps"/>
          <w:lang w:val="fr-FR"/>
        </w:rPr>
        <w:t xml:space="preserve">de la Suisse </w:t>
      </w:r>
      <w:r w:rsidRPr="007F3549">
        <w:rPr>
          <w:rStyle w:val="hps"/>
          <w:lang w:val="fr-FR"/>
        </w:rPr>
        <w:t>(AFF)</w:t>
      </w:r>
      <w:r w:rsidRPr="007F3549">
        <w:rPr>
          <w:lang w:val="fr-FR"/>
        </w:rPr>
        <w:t xml:space="preserve"> </w:t>
      </w:r>
      <w:r w:rsidR="0072102A" w:rsidRPr="007F3549">
        <w:rPr>
          <w:rStyle w:val="hps"/>
          <w:lang w:val="fr-FR"/>
        </w:rPr>
        <w:t>au mois d</w:t>
      </w:r>
      <w:r w:rsidR="00876E92" w:rsidRPr="007F3549">
        <w:rPr>
          <w:rStyle w:val="hps"/>
          <w:lang w:val="fr-FR"/>
        </w:rPr>
        <w:t>’</w:t>
      </w:r>
      <w:r w:rsidR="00B614E1" w:rsidRPr="007F3549">
        <w:rPr>
          <w:rStyle w:val="hps"/>
          <w:lang w:val="fr-FR"/>
        </w:rPr>
        <w:t>avril </w:t>
      </w:r>
      <w:r w:rsidRPr="007F3549">
        <w:rPr>
          <w:rStyle w:val="hps"/>
          <w:lang w:val="fr-FR"/>
        </w:rPr>
        <w:t>2014</w:t>
      </w:r>
      <w:r w:rsidR="0072102A" w:rsidRPr="007F3549">
        <w:rPr>
          <w:rStyle w:val="hps"/>
          <w:lang w:val="fr-FR"/>
        </w:rPr>
        <w:t>,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dans </w:t>
      </w:r>
      <w:r w:rsidR="0072102A" w:rsidRPr="007F3549">
        <w:rPr>
          <w:rStyle w:val="hps"/>
          <w:lang w:val="fr-FR"/>
        </w:rPr>
        <w:t>lequel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 Directeur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général de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Organisation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Mondiale de la Propriété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Intellectuelle (OMPI</w:t>
      </w:r>
      <w:r w:rsidRPr="007F3549">
        <w:rPr>
          <w:lang w:val="fr-FR"/>
        </w:rPr>
        <w:t xml:space="preserve">) </w:t>
      </w:r>
      <w:r w:rsidRPr="007F3549">
        <w:rPr>
          <w:rStyle w:val="hps"/>
          <w:lang w:val="fr-FR"/>
        </w:rPr>
        <w:t>a été informé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que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OMPI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ne serait plus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en mesure de </w:t>
      </w:r>
      <w:r w:rsidR="00AB0A11" w:rsidRPr="007F3549">
        <w:rPr>
          <w:rStyle w:val="hps"/>
          <w:lang w:val="fr-FR"/>
        </w:rPr>
        <w:t>détenir des</w:t>
      </w:r>
      <w:r w:rsidRPr="007F3549">
        <w:rPr>
          <w:rStyle w:val="hps"/>
          <w:lang w:val="fr-FR"/>
        </w:rPr>
        <w:t xml:space="preserve"> comptes de dépôt</w:t>
      </w:r>
      <w:r w:rsidRPr="007F3549">
        <w:rPr>
          <w:lang w:val="fr-FR"/>
        </w:rPr>
        <w:t xml:space="preserve"> </w:t>
      </w:r>
      <w:r w:rsidR="00AB0A11" w:rsidRPr="007F3549">
        <w:rPr>
          <w:rStyle w:val="hps"/>
          <w:lang w:val="fr-FR"/>
        </w:rPr>
        <w:t>auprès de</w:t>
      </w:r>
      <w:r w:rsidRPr="007F3549">
        <w:rPr>
          <w:rStyle w:val="hps"/>
          <w:lang w:val="fr-FR"/>
        </w:rPr>
        <w:t xml:space="preserve"> l</w:t>
      </w:r>
      <w:r w:rsidR="00876E92" w:rsidRPr="007F3549">
        <w:rPr>
          <w:rStyle w:val="hps"/>
          <w:lang w:val="fr-FR"/>
        </w:rPr>
        <w:t>’</w:t>
      </w:r>
      <w:r w:rsidR="00AB0A11" w:rsidRPr="007F3549">
        <w:rPr>
          <w:lang w:val="fr-FR"/>
        </w:rPr>
        <w:t>AFF</w:t>
      </w:r>
      <w:r w:rsidR="0072102A" w:rsidRPr="007F3549">
        <w:rPr>
          <w:lang w:val="fr-FR"/>
        </w:rPr>
        <w:t>,</w:t>
      </w:r>
      <w:r w:rsidR="00AB0A11" w:rsidRPr="007F3549">
        <w:rPr>
          <w:lang w:val="fr-FR"/>
        </w:rPr>
        <w:t xml:space="preserve"> le</w:t>
      </w:r>
      <w:r w:rsidRPr="007F3549">
        <w:rPr>
          <w:lang w:val="fr-FR"/>
        </w:rPr>
        <w:t xml:space="preserve"> </w:t>
      </w:r>
      <w:r w:rsidR="00876E92" w:rsidRPr="007F3549">
        <w:rPr>
          <w:rStyle w:val="hps"/>
          <w:lang w:val="fr-FR"/>
        </w:rPr>
        <w:t>document WO</w:t>
      </w:r>
      <w:r w:rsidR="00B614E1" w:rsidRPr="007F3549">
        <w:rPr>
          <w:rStyle w:val="hps"/>
          <w:lang w:val="fr-FR"/>
        </w:rPr>
        <w:t>/</w:t>
      </w:r>
      <w:r w:rsidRPr="007F3549">
        <w:rPr>
          <w:rStyle w:val="hps"/>
          <w:lang w:val="fr-FR"/>
        </w:rPr>
        <w:t>PBC/22/19</w:t>
      </w:r>
      <w:r w:rsidRPr="007F3549">
        <w:rPr>
          <w:lang w:val="fr-FR"/>
        </w:rPr>
        <w:t xml:space="preserve"> </w:t>
      </w:r>
      <w:r w:rsidR="0072102A" w:rsidRPr="007F3549">
        <w:rPr>
          <w:rStyle w:val="hps"/>
          <w:lang w:val="fr-FR"/>
        </w:rPr>
        <w:t>proposant que diverses</w:t>
      </w:r>
      <w:r w:rsidR="0072102A" w:rsidRPr="007F3549">
        <w:rPr>
          <w:lang w:val="fr-FR"/>
        </w:rPr>
        <w:t xml:space="preserve"> </w:t>
      </w:r>
      <w:r w:rsidR="0072102A" w:rsidRPr="007F3549">
        <w:rPr>
          <w:rStyle w:val="hps"/>
          <w:lang w:val="fr-FR"/>
        </w:rPr>
        <w:t>modifications soient apportées à</w:t>
      </w:r>
      <w:r w:rsidR="0072102A" w:rsidRPr="007F3549">
        <w:rPr>
          <w:lang w:val="fr-FR"/>
        </w:rPr>
        <w:t xml:space="preserve"> </w:t>
      </w:r>
      <w:r w:rsidR="0072102A" w:rsidRPr="007F3549">
        <w:rPr>
          <w:rStyle w:val="hps"/>
          <w:lang w:val="fr-FR"/>
        </w:rPr>
        <w:t>la politique de l</w:t>
      </w:r>
      <w:r w:rsidR="00876E92" w:rsidRPr="007F3549">
        <w:rPr>
          <w:rStyle w:val="hps"/>
          <w:lang w:val="fr-FR"/>
        </w:rPr>
        <w:t>’</w:t>
      </w:r>
      <w:r w:rsidR="0072102A" w:rsidRPr="007F3549">
        <w:rPr>
          <w:lang w:val="fr-FR"/>
        </w:rPr>
        <w:t xml:space="preserve">Organisation </w:t>
      </w:r>
      <w:r w:rsidR="0072102A" w:rsidRPr="007F3549">
        <w:rPr>
          <w:rStyle w:val="hps"/>
          <w:lang w:val="fr-FR"/>
        </w:rPr>
        <w:t xml:space="preserve">en matière de placements </w:t>
      </w:r>
      <w:r w:rsidRPr="007F3549">
        <w:rPr>
          <w:rStyle w:val="hps"/>
          <w:lang w:val="fr-FR"/>
        </w:rPr>
        <w:t>a été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soumis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au Comité du </w:t>
      </w:r>
      <w:r w:rsidR="0072102A" w:rsidRPr="007F3549">
        <w:rPr>
          <w:rStyle w:val="hps"/>
          <w:lang w:val="fr-FR"/>
        </w:rPr>
        <w:t>p</w:t>
      </w:r>
      <w:r w:rsidR="00AB0A11" w:rsidRPr="007F3549">
        <w:rPr>
          <w:rStyle w:val="hps"/>
          <w:lang w:val="fr-FR"/>
        </w:rPr>
        <w:t>rogramme</w:t>
      </w:r>
      <w:r w:rsidR="00AB0A11" w:rsidRPr="007F3549">
        <w:rPr>
          <w:lang w:val="fr-FR"/>
        </w:rPr>
        <w:t xml:space="preserve"> et </w:t>
      </w:r>
      <w:r w:rsidR="0072102A" w:rsidRPr="007F3549">
        <w:rPr>
          <w:lang w:val="fr-FR"/>
        </w:rPr>
        <w:t>b</w:t>
      </w:r>
      <w:r w:rsidR="00AB0A11" w:rsidRPr="007F3549">
        <w:rPr>
          <w:lang w:val="fr-FR"/>
        </w:rPr>
        <w:t>u</w:t>
      </w:r>
      <w:r w:rsidRPr="007F3549">
        <w:rPr>
          <w:rStyle w:val="hps"/>
          <w:lang w:val="fr-FR"/>
        </w:rPr>
        <w:t>dget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(</w:t>
      </w:r>
      <w:r w:rsidRPr="007F3549">
        <w:rPr>
          <w:lang w:val="fr-FR"/>
        </w:rPr>
        <w:t xml:space="preserve">PBC) </w:t>
      </w:r>
      <w:r w:rsidRPr="007F3549">
        <w:rPr>
          <w:rStyle w:val="hps"/>
          <w:lang w:val="fr-FR"/>
        </w:rPr>
        <w:t xml:space="preserve">en </w:t>
      </w:r>
      <w:r w:rsidR="00AB0A11" w:rsidRPr="007F3549">
        <w:rPr>
          <w:rStyle w:val="hps"/>
          <w:lang w:val="fr-FR"/>
        </w:rPr>
        <w:t>s</w:t>
      </w:r>
      <w:r w:rsidRPr="007F3549">
        <w:rPr>
          <w:rStyle w:val="hps"/>
          <w:lang w:val="fr-FR"/>
        </w:rPr>
        <w:t>eptembre</w:t>
      </w:r>
      <w:r w:rsidR="0072102A" w:rsidRPr="007F3549">
        <w:rPr>
          <w:lang w:val="fr-FR"/>
        </w:rPr>
        <w:t> </w:t>
      </w:r>
      <w:r w:rsidRPr="007F3549">
        <w:rPr>
          <w:rStyle w:val="hps"/>
          <w:lang w:val="fr-FR"/>
        </w:rPr>
        <w:t>2014</w:t>
      </w:r>
      <w:r w:rsidRPr="007F3549">
        <w:rPr>
          <w:lang w:val="fr-FR"/>
        </w:rPr>
        <w:t>.</w:t>
      </w:r>
      <w:r w:rsidR="0072102A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 </w:t>
      </w:r>
      <w:r w:rsidR="0072102A" w:rsidRPr="007F3549">
        <w:rPr>
          <w:rStyle w:val="hps"/>
          <w:lang w:val="fr-FR"/>
        </w:rPr>
        <w:t>Après examen du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document,</w:t>
      </w:r>
      <w:r w:rsidR="00876E92" w:rsidRPr="007F3549">
        <w:rPr>
          <w:rStyle w:val="hps"/>
          <w:lang w:val="fr-FR"/>
        </w:rPr>
        <w:t xml:space="preserve"> le PBC</w:t>
      </w:r>
      <w:r w:rsidRPr="007F3549">
        <w:rPr>
          <w:rStyle w:val="hps"/>
          <w:lang w:val="fr-FR"/>
        </w:rPr>
        <w:t> </w:t>
      </w:r>
      <w:r w:rsidR="00DB74EE" w:rsidRPr="007F3549">
        <w:rPr>
          <w:rStyle w:val="hps"/>
          <w:lang w:val="fr-FR"/>
        </w:rPr>
        <w:t>:</w:t>
      </w:r>
    </w:p>
    <w:p w:rsidR="00AF3A8B" w:rsidRPr="007F3549" w:rsidRDefault="00617726" w:rsidP="00BD351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7F3549">
        <w:rPr>
          <w:lang w:val="fr-FR"/>
        </w:rPr>
        <w:t>“</w:t>
      </w:r>
      <w:r w:rsidR="00DB74EE" w:rsidRPr="007F3549">
        <w:rPr>
          <w:lang w:val="fr-FR"/>
        </w:rPr>
        <w:t>i)</w:t>
      </w:r>
      <w:r w:rsidR="00DB74EE" w:rsidRPr="007F3549">
        <w:rPr>
          <w:lang w:val="fr-FR"/>
        </w:rPr>
        <w:tab/>
      </w:r>
      <w:r w:rsidR="00FF43AD" w:rsidRPr="007F3549">
        <w:rPr>
          <w:lang w:val="fr-FR"/>
        </w:rPr>
        <w:t xml:space="preserve">a </w:t>
      </w:r>
      <w:r w:rsidR="00DD77E0" w:rsidRPr="007F3549">
        <w:rPr>
          <w:rStyle w:val="hps"/>
          <w:lang w:val="fr-FR"/>
        </w:rPr>
        <w:t>tenu compte de</w:t>
      </w:r>
      <w:r w:rsidR="00FF43AD" w:rsidRPr="007F3549">
        <w:rPr>
          <w:rStyle w:val="hps"/>
          <w:lang w:val="fr-FR"/>
        </w:rPr>
        <w:t xml:space="preserve"> la nécessité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 modifier la politique</w:t>
      </w:r>
      <w:r w:rsidR="00FF43AD" w:rsidRPr="007F3549">
        <w:rPr>
          <w:lang w:val="fr-FR"/>
        </w:rPr>
        <w:t xml:space="preserve"> </w:t>
      </w:r>
      <w:r w:rsidR="0072102A" w:rsidRPr="007F3549">
        <w:rPr>
          <w:rStyle w:val="hps"/>
          <w:lang w:val="fr-FR"/>
        </w:rPr>
        <w:t>en matière de placements</w:t>
      </w:r>
      <w:r w:rsidR="00AF3A8B" w:rsidRPr="007F3549">
        <w:rPr>
          <w:lang w:val="fr-FR"/>
        </w:rPr>
        <w:t xml:space="preserve">;  </w:t>
      </w:r>
      <w:r w:rsidR="00FF43AD" w:rsidRPr="007F3549">
        <w:rPr>
          <w:lang w:val="fr-FR"/>
        </w:rPr>
        <w:t>et</w:t>
      </w:r>
    </w:p>
    <w:p w:rsidR="00AF3A8B" w:rsidRPr="007F3549" w:rsidRDefault="00BD351E" w:rsidP="00BD351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7F3549">
        <w:rPr>
          <w:lang w:val="fr-FR"/>
        </w:rPr>
        <w:t>“</w:t>
      </w:r>
      <w:r w:rsidR="00DB74EE" w:rsidRPr="007F3549">
        <w:rPr>
          <w:lang w:val="fr-FR"/>
        </w:rPr>
        <w:t>ii)</w:t>
      </w:r>
      <w:r w:rsidR="00DB74EE" w:rsidRPr="007F3549">
        <w:rPr>
          <w:lang w:val="fr-FR"/>
        </w:rPr>
        <w:tab/>
      </w:r>
      <w:r w:rsidR="00FF43AD" w:rsidRPr="007F3549">
        <w:rPr>
          <w:lang w:val="fr-FR"/>
        </w:rPr>
        <w:t xml:space="preserve">a </w:t>
      </w:r>
      <w:r w:rsidR="00DD77E0" w:rsidRPr="007F3549">
        <w:rPr>
          <w:rStyle w:val="hps"/>
          <w:lang w:val="fr-FR"/>
        </w:rPr>
        <w:t>demandé au Secrétariat</w:t>
      </w:r>
      <w:r w:rsidR="00FF43AD" w:rsidRPr="007F3549">
        <w:rPr>
          <w:rStyle w:val="hps"/>
          <w:lang w:val="fr-FR"/>
        </w:rPr>
        <w:t> </w:t>
      </w:r>
      <w:r w:rsidR="00AF3A8B" w:rsidRPr="007F3549">
        <w:rPr>
          <w:rStyle w:val="hps"/>
          <w:lang w:val="fr-FR"/>
        </w:rPr>
        <w:t>:</w:t>
      </w:r>
    </w:p>
    <w:p w:rsidR="00876E92" w:rsidRPr="007F3549" w:rsidRDefault="00BD351E" w:rsidP="00BD351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7F3549">
        <w:rPr>
          <w:lang w:val="fr-FR"/>
        </w:rPr>
        <w:t>“</w:t>
      </w:r>
      <w:proofErr w:type="gramStart"/>
      <w:r w:rsidR="00B50D94" w:rsidRPr="007F3549">
        <w:rPr>
          <w:lang w:val="fr-FR"/>
        </w:rPr>
        <w:t>a</w:t>
      </w:r>
      <w:proofErr w:type="gramEnd"/>
      <w:r w:rsidR="00B50D94" w:rsidRPr="007F3549">
        <w:rPr>
          <w:lang w:val="fr-FR"/>
        </w:rPr>
        <w:t>)</w:t>
      </w:r>
      <w:r w:rsidR="00B50D94" w:rsidRPr="007F3549">
        <w:rPr>
          <w:lang w:val="fr-FR"/>
        </w:rPr>
        <w:tab/>
      </w:r>
      <w:r w:rsidR="00DD77E0" w:rsidRPr="007F3549">
        <w:rPr>
          <w:lang w:val="fr-FR"/>
        </w:rPr>
        <w:t>de présenter une proposition détaillée concernant une version révisée de la politique, à sa prochaine session, après examen et approbation du Comité consultatif des investissements</w:t>
      </w:r>
      <w:r w:rsidR="00AF3A8B" w:rsidRPr="007F3549">
        <w:rPr>
          <w:lang w:val="fr-FR"/>
        </w:rPr>
        <w:t>;</w:t>
      </w:r>
    </w:p>
    <w:p w:rsidR="00AF3A8B" w:rsidRPr="007F3549" w:rsidRDefault="00BD351E" w:rsidP="00BD351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7F3549">
        <w:rPr>
          <w:lang w:val="fr-FR"/>
        </w:rPr>
        <w:t>“</w:t>
      </w:r>
      <w:r w:rsidR="00B50D94" w:rsidRPr="007F3549">
        <w:rPr>
          <w:lang w:val="fr-FR"/>
        </w:rPr>
        <w:t>b)</w:t>
      </w:r>
      <w:r w:rsidR="00B50D94" w:rsidRPr="007F3549">
        <w:rPr>
          <w:lang w:val="fr-FR"/>
        </w:rPr>
        <w:tab/>
      </w:r>
      <w:r w:rsidR="00DD77E0" w:rsidRPr="007F3549">
        <w:rPr>
          <w:lang w:val="fr-FR"/>
        </w:rPr>
        <w:t>de mener une étude de la gestion actif</w:t>
      </w:r>
      <w:r w:rsidRPr="007F3549">
        <w:rPr>
          <w:lang w:val="fr-FR"/>
        </w:rPr>
        <w:noBreakHyphen/>
      </w:r>
      <w:r w:rsidR="00DD77E0" w:rsidRPr="007F3549">
        <w:rPr>
          <w:lang w:val="fr-FR"/>
        </w:rPr>
        <w:t>passif et de présenter une politique en matière de placements spécialement destinée au financement de l</w:t>
      </w:r>
      <w:r w:rsidR="00876E92" w:rsidRPr="007F3549">
        <w:rPr>
          <w:lang w:val="fr-FR"/>
        </w:rPr>
        <w:t>’</w:t>
      </w:r>
      <w:r w:rsidR="00DD77E0" w:rsidRPr="007F3549">
        <w:rPr>
          <w:lang w:val="fr-FR"/>
        </w:rPr>
        <w:t>AMCS, après examen et approbation du Comité consultatif des investissements</w:t>
      </w:r>
      <w:r w:rsidR="00AF3A8B" w:rsidRPr="007F3549">
        <w:rPr>
          <w:lang w:val="fr-FR"/>
        </w:rPr>
        <w:t xml:space="preserve">;  </w:t>
      </w:r>
      <w:r w:rsidR="00FF43AD" w:rsidRPr="007F3549">
        <w:rPr>
          <w:lang w:val="fr-FR"/>
        </w:rPr>
        <w:t>et</w:t>
      </w:r>
    </w:p>
    <w:p w:rsidR="00AF3A8B" w:rsidRPr="007F3549" w:rsidRDefault="00BD351E" w:rsidP="00BD351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7F3549">
        <w:rPr>
          <w:lang w:val="fr-FR"/>
        </w:rPr>
        <w:t>“</w:t>
      </w:r>
      <w:r w:rsidR="00B50D94" w:rsidRPr="007F3549">
        <w:rPr>
          <w:lang w:val="fr-FR"/>
        </w:rPr>
        <w:t>c)</w:t>
      </w:r>
      <w:r w:rsidR="00B50D94" w:rsidRPr="007F3549">
        <w:rPr>
          <w:lang w:val="fr-FR"/>
        </w:rPr>
        <w:tab/>
      </w:r>
      <w:r w:rsidR="00DD77E0" w:rsidRPr="007F3549">
        <w:rPr>
          <w:lang w:val="fr-FR"/>
        </w:rPr>
        <w:t>sous réserve de niveaux de liquidités suffisants, de financer la salle de conférence avec les fonds destinés aux placements plutôt qu</w:t>
      </w:r>
      <w:r w:rsidR="00876E92" w:rsidRPr="007F3549">
        <w:rPr>
          <w:lang w:val="fr-FR"/>
        </w:rPr>
        <w:t>’</w:t>
      </w:r>
      <w:r w:rsidR="00DD77E0" w:rsidRPr="007F3549">
        <w:rPr>
          <w:lang w:val="fr-FR"/>
        </w:rPr>
        <w:t>en utilisant le prêt prévu à cet effet</w:t>
      </w:r>
      <w:r w:rsidR="003A5055" w:rsidRPr="007F3549">
        <w:rPr>
          <w:lang w:val="fr-FR"/>
        </w:rPr>
        <w:t>.</w:t>
      </w:r>
      <w:r w:rsidRPr="007F3549">
        <w:rPr>
          <w:lang w:val="fr-FR"/>
        </w:rPr>
        <w:t>”</w:t>
      </w:r>
    </w:p>
    <w:p w:rsidR="008979F7" w:rsidRPr="007F3549" w:rsidRDefault="00F13F38" w:rsidP="00B50D94">
      <w:pPr>
        <w:pStyle w:val="ONUMFS"/>
        <w:rPr>
          <w:lang w:val="fr-FR"/>
        </w:rPr>
      </w:pPr>
      <w:r w:rsidRPr="007F3549">
        <w:rPr>
          <w:lang w:val="fr-FR"/>
        </w:rPr>
        <w:lastRenderedPageBreak/>
        <w:t>Depuis la réunion</w:t>
      </w:r>
      <w:r w:rsidR="00876E92" w:rsidRPr="007F3549">
        <w:rPr>
          <w:lang w:val="fr-FR"/>
        </w:rPr>
        <w:t xml:space="preserve"> du PBC</w:t>
      </w:r>
      <w:r w:rsidRPr="007F3549">
        <w:rPr>
          <w:lang w:val="fr-FR"/>
        </w:rPr>
        <w:t xml:space="preserve"> de septembre </w:t>
      </w:r>
      <w:r w:rsidR="00785AF4" w:rsidRPr="007F3549">
        <w:rPr>
          <w:lang w:val="fr-FR"/>
        </w:rPr>
        <w:t xml:space="preserve">2014, la situation du secteur </w:t>
      </w:r>
      <w:r w:rsidR="00FF43AD" w:rsidRPr="007F3549">
        <w:rPr>
          <w:lang w:val="fr-FR"/>
        </w:rPr>
        <w:t xml:space="preserve">bancaire a </w:t>
      </w:r>
      <w:r w:rsidR="00785AF4" w:rsidRPr="007F3549">
        <w:rPr>
          <w:lang w:val="fr-FR"/>
        </w:rPr>
        <w:t>passablement évolué</w:t>
      </w:r>
      <w:r w:rsidR="00FF43AD" w:rsidRPr="007F3549">
        <w:rPr>
          <w:lang w:val="fr-FR"/>
        </w:rPr>
        <w:t xml:space="preserve"> en Suisse, </w:t>
      </w:r>
      <w:r w:rsidR="00785AF4" w:rsidRPr="007F3549">
        <w:rPr>
          <w:lang w:val="fr-FR"/>
        </w:rPr>
        <w:t>en particulier à la suite</w:t>
      </w:r>
      <w:r w:rsidR="00FF43AD" w:rsidRPr="007F3549">
        <w:rPr>
          <w:lang w:val="fr-FR"/>
        </w:rPr>
        <w:t xml:space="preserve"> de l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introduction </w:t>
      </w:r>
      <w:r w:rsidR="00785AF4" w:rsidRPr="007F3549">
        <w:rPr>
          <w:lang w:val="fr-FR"/>
        </w:rPr>
        <w:t xml:space="preserve">par la Banque nationale suisse (BNS) </w:t>
      </w:r>
      <w:r w:rsidR="00FF43AD" w:rsidRPr="007F3549">
        <w:rPr>
          <w:lang w:val="fr-FR"/>
        </w:rPr>
        <w:t>de taux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>intérêt négatifs</w:t>
      </w:r>
      <w:r w:rsidR="00FC2018" w:rsidRPr="007F3549">
        <w:rPr>
          <w:lang w:val="fr-FR"/>
        </w:rPr>
        <w:t>,</w:t>
      </w:r>
      <w:r w:rsidR="00FF43AD" w:rsidRPr="007F3549">
        <w:rPr>
          <w:lang w:val="fr-FR"/>
        </w:rPr>
        <w:t xml:space="preserve"> </w:t>
      </w:r>
      <w:r w:rsidR="00785AF4" w:rsidRPr="007F3549">
        <w:rPr>
          <w:lang w:val="fr-FR"/>
        </w:rPr>
        <w:t>rendue nécessaire par son abandon de l</w:t>
      </w:r>
      <w:r w:rsidR="00876E92" w:rsidRPr="007F3549">
        <w:rPr>
          <w:lang w:val="fr-FR"/>
        </w:rPr>
        <w:t>’</w:t>
      </w:r>
      <w:r w:rsidR="00785AF4" w:rsidRPr="007F3549">
        <w:rPr>
          <w:lang w:val="fr-FR"/>
        </w:rPr>
        <w:t>arrimage du cours du franc suisse à celui de l</w:t>
      </w:r>
      <w:r w:rsidR="00876E92" w:rsidRPr="007F3549">
        <w:rPr>
          <w:lang w:val="fr-FR"/>
        </w:rPr>
        <w:t>’</w:t>
      </w:r>
      <w:r w:rsidR="00785AF4" w:rsidRPr="007F3549">
        <w:rPr>
          <w:lang w:val="fr-FR"/>
        </w:rPr>
        <w:t>euro en janvier </w:t>
      </w:r>
      <w:r w:rsidR="00FF43AD" w:rsidRPr="007F3549">
        <w:rPr>
          <w:lang w:val="fr-FR"/>
        </w:rPr>
        <w:t xml:space="preserve">2015. </w:t>
      </w:r>
      <w:r w:rsidR="00FC2018" w:rsidRPr="007F3549">
        <w:rPr>
          <w:lang w:val="fr-FR"/>
        </w:rPr>
        <w:t xml:space="preserve"> </w:t>
      </w:r>
      <w:r w:rsidR="00FF43AD" w:rsidRPr="007F3549">
        <w:rPr>
          <w:lang w:val="fr-FR"/>
        </w:rPr>
        <w:t>(</w:t>
      </w:r>
      <w:r w:rsidR="00785AF4"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785AF4" w:rsidRPr="007F3549">
        <w:rPr>
          <w:lang w:val="fr-FR"/>
        </w:rPr>
        <w:t>annexe </w:t>
      </w:r>
      <w:r w:rsidR="00FF43AD" w:rsidRPr="007F3549">
        <w:rPr>
          <w:lang w:val="fr-FR"/>
        </w:rPr>
        <w:t xml:space="preserve">I </w:t>
      </w:r>
      <w:r w:rsidR="00FC2018" w:rsidRPr="007F3549">
        <w:rPr>
          <w:lang w:val="fr-FR"/>
        </w:rPr>
        <w:t xml:space="preserve">est une comparaison </w:t>
      </w:r>
      <w:r w:rsidR="00E652A1" w:rsidRPr="007F3549">
        <w:rPr>
          <w:lang w:val="fr-FR"/>
        </w:rPr>
        <w:t>entre les</w:t>
      </w:r>
      <w:r w:rsidR="00FF43AD" w:rsidRPr="007F3549">
        <w:rPr>
          <w:lang w:val="fr-FR"/>
        </w:rPr>
        <w:t xml:space="preserve"> taux </w:t>
      </w:r>
      <w:r w:rsidR="00FC2018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FC2018" w:rsidRPr="007F3549">
        <w:rPr>
          <w:lang w:val="fr-FR"/>
        </w:rPr>
        <w:t xml:space="preserve">intérêt </w:t>
      </w:r>
      <w:r w:rsidR="00FF43AD" w:rsidRPr="007F3549">
        <w:rPr>
          <w:lang w:val="fr-FR"/>
        </w:rPr>
        <w:t xml:space="preserve">négatifs </w:t>
      </w:r>
      <w:r w:rsidR="00FC2018" w:rsidRPr="007F3549">
        <w:rPr>
          <w:lang w:val="fr-FR"/>
        </w:rPr>
        <w:t xml:space="preserve">appliqués </w:t>
      </w:r>
      <w:r w:rsidR="00FF43AD" w:rsidRPr="007F3549">
        <w:rPr>
          <w:lang w:val="fr-FR"/>
        </w:rPr>
        <w:t xml:space="preserve">en Suisse </w:t>
      </w:r>
      <w:r w:rsidR="00FC2018" w:rsidRPr="007F3549">
        <w:rPr>
          <w:lang w:val="fr-FR"/>
        </w:rPr>
        <w:t xml:space="preserve">et </w:t>
      </w:r>
      <w:r w:rsidR="00E652A1" w:rsidRPr="007F3549">
        <w:rPr>
          <w:lang w:val="fr-FR"/>
        </w:rPr>
        <w:t>les taux d</w:t>
      </w:r>
      <w:r w:rsidR="00876E92" w:rsidRPr="007F3549">
        <w:rPr>
          <w:lang w:val="fr-FR"/>
        </w:rPr>
        <w:t>’</w:t>
      </w:r>
      <w:r w:rsidR="00E652A1" w:rsidRPr="007F3549">
        <w:rPr>
          <w:lang w:val="fr-FR"/>
        </w:rPr>
        <w:t>intérêt</w:t>
      </w:r>
      <w:r w:rsidR="00FF43AD" w:rsidRPr="007F3549">
        <w:rPr>
          <w:lang w:val="fr-FR"/>
        </w:rPr>
        <w:t xml:space="preserve"> </w:t>
      </w:r>
      <w:r w:rsidR="00FC2018" w:rsidRPr="007F3549">
        <w:rPr>
          <w:lang w:val="fr-FR"/>
        </w:rPr>
        <w:t>appliqués dans d</w:t>
      </w:r>
      <w:r w:rsidR="00876E92" w:rsidRPr="007F3549">
        <w:rPr>
          <w:lang w:val="fr-FR"/>
        </w:rPr>
        <w:t>’</w:t>
      </w:r>
      <w:r w:rsidR="00FC2018" w:rsidRPr="007F3549">
        <w:rPr>
          <w:lang w:val="fr-FR"/>
        </w:rPr>
        <w:t>autres pays</w:t>
      </w:r>
      <w:r w:rsidR="001C45C8">
        <w:rPr>
          <w:lang w:val="fr-FR"/>
        </w:rPr>
        <w:t>.</w:t>
      </w:r>
      <w:r w:rsidR="00FF43AD" w:rsidRPr="007F3549">
        <w:rPr>
          <w:lang w:val="fr-FR"/>
        </w:rPr>
        <w:t xml:space="preserve">) </w:t>
      </w:r>
      <w:r w:rsidR="00785AF4" w:rsidRPr="007F3549">
        <w:rPr>
          <w:lang w:val="fr-FR"/>
        </w:rPr>
        <w:t xml:space="preserve"> </w:t>
      </w:r>
      <w:r w:rsidR="00FF43AD" w:rsidRPr="007F3549">
        <w:rPr>
          <w:lang w:val="fr-FR"/>
        </w:rPr>
        <w:t xml:space="preserve">Cette situation, qui est </w:t>
      </w:r>
      <w:r w:rsidR="00785AF4" w:rsidRPr="007F3549">
        <w:rPr>
          <w:lang w:val="fr-FR"/>
        </w:rPr>
        <w:t>discuté</w:t>
      </w:r>
      <w:r w:rsidR="00FC2018" w:rsidRPr="007F3549">
        <w:rPr>
          <w:lang w:val="fr-FR"/>
        </w:rPr>
        <w:t>e</w:t>
      </w:r>
      <w:r w:rsidR="00785AF4" w:rsidRPr="007F3549">
        <w:rPr>
          <w:lang w:val="fr-FR"/>
        </w:rPr>
        <w:t xml:space="preserve"> </w:t>
      </w:r>
      <w:r w:rsidR="00FC2018" w:rsidRPr="007F3549">
        <w:rPr>
          <w:lang w:val="fr-FR"/>
        </w:rPr>
        <w:t xml:space="preserve">en détail dans le </w:t>
      </w:r>
      <w:r w:rsidR="00876E92" w:rsidRPr="007F3549">
        <w:rPr>
          <w:lang w:val="fr-FR"/>
        </w:rPr>
        <w:t>document WO</w:t>
      </w:r>
      <w:r w:rsidR="00785AF4" w:rsidRPr="007F3549">
        <w:rPr>
          <w:lang w:val="fr-FR"/>
        </w:rPr>
        <w:t>/PBC/</w:t>
      </w:r>
      <w:r w:rsidR="00FF43AD" w:rsidRPr="007F3549">
        <w:rPr>
          <w:lang w:val="fr-FR"/>
        </w:rPr>
        <w:t xml:space="preserve">23/6, donne lieu à </w:t>
      </w:r>
      <w:r w:rsidR="00785AF4" w:rsidRPr="007F3549">
        <w:rPr>
          <w:lang w:val="fr-FR"/>
        </w:rPr>
        <w:t>une série</w:t>
      </w:r>
      <w:r w:rsidR="00FF43AD" w:rsidRPr="007F3549">
        <w:rPr>
          <w:lang w:val="fr-FR"/>
        </w:rPr>
        <w:t xml:space="preserve"> de questions. </w:t>
      </w:r>
      <w:r w:rsidR="00785AF4" w:rsidRPr="007F3549">
        <w:rPr>
          <w:lang w:val="fr-FR"/>
        </w:rPr>
        <w:t xml:space="preserve"> Ces</w:t>
      </w:r>
      <w:r w:rsidR="00FF43AD" w:rsidRPr="007F3549">
        <w:rPr>
          <w:lang w:val="fr-FR"/>
        </w:rPr>
        <w:t xml:space="preserve"> derniers mois, le Secrétariat (</w:t>
      </w:r>
      <w:r w:rsidR="00876E92" w:rsidRPr="007F3549">
        <w:rPr>
          <w:lang w:val="fr-FR"/>
        </w:rPr>
        <w:t>y compris</w:t>
      </w:r>
      <w:r w:rsidR="00FF43AD" w:rsidRPr="007F3549">
        <w:rPr>
          <w:lang w:val="fr-FR"/>
        </w:rPr>
        <w:t xml:space="preserve"> </w:t>
      </w:r>
      <w:r w:rsidR="00FC2018" w:rsidRPr="007F3549">
        <w:rPr>
          <w:lang w:val="fr-FR"/>
        </w:rPr>
        <w:t>les membres du Comité consultatif des investissements</w:t>
      </w:r>
      <w:r w:rsidR="00FF43AD" w:rsidRPr="007F3549">
        <w:rPr>
          <w:lang w:val="fr-FR"/>
        </w:rPr>
        <w:t xml:space="preserve">) a rencontré diverses institutions financières, des collègues </w:t>
      </w:r>
      <w:r w:rsidR="00FC2018" w:rsidRPr="007F3549">
        <w:rPr>
          <w:lang w:val="fr-FR"/>
        </w:rPr>
        <w:t>occupant des</w:t>
      </w:r>
      <w:r w:rsidR="00FF43AD" w:rsidRPr="007F3549">
        <w:rPr>
          <w:lang w:val="fr-FR"/>
        </w:rPr>
        <w:t xml:space="preserve"> fonctions de trésorerie pour </w:t>
      </w:r>
      <w:r w:rsidR="00FC2018" w:rsidRPr="007F3549">
        <w:rPr>
          <w:lang w:val="fr-FR"/>
        </w:rPr>
        <w:t xml:space="preserve">le compte </w:t>
      </w:r>
      <w:r w:rsidR="00FF43AD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autres organisations et </w:t>
      </w:r>
      <w:proofErr w:type="spellStart"/>
      <w:r w:rsidR="005D383C" w:rsidRPr="007F3549">
        <w:rPr>
          <w:lang w:val="fr-FR"/>
        </w:rPr>
        <w:t>Zanders</w:t>
      </w:r>
      <w:proofErr w:type="spellEnd"/>
      <w:r w:rsidR="005D383C" w:rsidRPr="007F3549">
        <w:rPr>
          <w:lang w:val="fr-FR"/>
        </w:rPr>
        <w:t xml:space="preserve">, </w:t>
      </w:r>
      <w:r w:rsidR="00FF43AD" w:rsidRPr="007F3549">
        <w:rPr>
          <w:lang w:val="fr-FR"/>
        </w:rPr>
        <w:t xml:space="preserve">une </w:t>
      </w:r>
      <w:r w:rsidR="00FC2018" w:rsidRPr="007F3549">
        <w:rPr>
          <w:lang w:val="fr-FR"/>
        </w:rPr>
        <w:t>société</w:t>
      </w:r>
      <w:r w:rsidR="00FF43AD" w:rsidRPr="007F3549">
        <w:rPr>
          <w:lang w:val="fr-FR"/>
        </w:rPr>
        <w:t xml:space="preserve"> </w:t>
      </w:r>
      <w:r w:rsidR="00FC2018" w:rsidRPr="007F3549">
        <w:rPr>
          <w:lang w:val="fr-FR"/>
        </w:rPr>
        <w:t xml:space="preserve">extérieure </w:t>
      </w:r>
      <w:r w:rsidR="00FF43AD" w:rsidRPr="007F3549">
        <w:rPr>
          <w:lang w:val="fr-FR"/>
        </w:rPr>
        <w:t xml:space="preserve">indépendante </w:t>
      </w:r>
      <w:r w:rsidR="00FC2018" w:rsidRPr="007F3549">
        <w:rPr>
          <w:lang w:val="fr-FR"/>
        </w:rPr>
        <w:t>spécialisée dans le conseil en trésorerie</w:t>
      </w:r>
      <w:r w:rsidR="005D383C" w:rsidRPr="007F3549">
        <w:rPr>
          <w:lang w:val="fr-FR"/>
        </w:rPr>
        <w:t>,</w:t>
      </w:r>
      <w:r w:rsidR="00FF43AD" w:rsidRPr="007F3549">
        <w:rPr>
          <w:lang w:val="fr-FR"/>
        </w:rPr>
        <w:t xml:space="preserve"> afin </w:t>
      </w:r>
      <w:r w:rsidR="00FC2018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FC2018" w:rsidRPr="007F3549">
        <w:rPr>
          <w:lang w:val="fr-FR"/>
        </w:rPr>
        <w:t>étudier</w:t>
      </w:r>
      <w:r w:rsidR="00FF43AD" w:rsidRPr="007F3549">
        <w:rPr>
          <w:lang w:val="fr-FR"/>
        </w:rPr>
        <w:t xml:space="preserve"> </w:t>
      </w:r>
      <w:r w:rsidR="00FC2018" w:rsidRPr="007F3549">
        <w:rPr>
          <w:lang w:val="fr-FR"/>
        </w:rPr>
        <w:t xml:space="preserve">comment </w:t>
      </w:r>
      <w:r w:rsidR="00FF43AD" w:rsidRPr="007F3549">
        <w:rPr>
          <w:lang w:val="fr-FR"/>
        </w:rPr>
        <w:t>aborder ces questions et de déterminer le contenu des deux</w:t>
      </w:r>
      <w:r w:rsidR="00617726" w:rsidRPr="007F3549">
        <w:rPr>
          <w:lang w:val="fr-FR"/>
        </w:rPr>
        <w:t> </w:t>
      </w:r>
      <w:r w:rsidR="00FF43AD" w:rsidRPr="007F3549">
        <w:rPr>
          <w:lang w:val="fr-FR"/>
        </w:rPr>
        <w:t xml:space="preserve">politiques </w:t>
      </w:r>
      <w:r w:rsidR="00FC2018" w:rsidRPr="007F3549">
        <w:rPr>
          <w:lang w:val="fr-FR"/>
        </w:rPr>
        <w:t>de placement</w:t>
      </w:r>
      <w:r w:rsidR="00FF43AD" w:rsidRPr="007F3549">
        <w:rPr>
          <w:lang w:val="fr-FR"/>
        </w:rPr>
        <w:t xml:space="preserve"> nécessaires. </w:t>
      </w:r>
      <w:r w:rsidR="00FC2018" w:rsidRPr="007F3549">
        <w:rPr>
          <w:lang w:val="fr-FR"/>
        </w:rPr>
        <w:t xml:space="preserve"> </w:t>
      </w:r>
      <w:r w:rsidR="00FF43AD" w:rsidRPr="007F3549">
        <w:rPr>
          <w:lang w:val="fr-FR"/>
        </w:rPr>
        <w:t>Deux</w:t>
      </w:r>
      <w:r w:rsidR="00FC2018" w:rsidRPr="007F3549">
        <w:rPr>
          <w:lang w:val="fr-FR"/>
        </w:rPr>
        <w:t> axes thématiques</w:t>
      </w:r>
      <w:r w:rsidR="00FF43AD" w:rsidRPr="007F3549">
        <w:rPr>
          <w:lang w:val="fr-FR"/>
        </w:rPr>
        <w:t xml:space="preserve"> communs ont émergé de ces réunions</w:t>
      </w:r>
      <w:r w:rsidR="00FC2018" w:rsidRPr="007F3549">
        <w:rPr>
          <w:lang w:val="fr-FR"/>
        </w:rPr>
        <w:t> </w:t>
      </w:r>
      <w:r w:rsidR="00FF43AD" w:rsidRPr="007F3549">
        <w:rPr>
          <w:lang w:val="fr-FR"/>
        </w:rPr>
        <w:t>: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>une part, la nécessité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établir clairement la nature </w:t>
      </w:r>
      <w:r w:rsidR="00205364" w:rsidRPr="007F3549">
        <w:rPr>
          <w:lang w:val="fr-FR"/>
        </w:rPr>
        <w:t>des fonds</w:t>
      </w:r>
      <w:r w:rsidR="00FF43AD" w:rsidRPr="007F3549">
        <w:rPr>
          <w:lang w:val="fr-FR"/>
        </w:rPr>
        <w:t xml:space="preserve"> </w:t>
      </w:r>
      <w:r w:rsidR="00205364" w:rsidRPr="007F3549">
        <w:rPr>
          <w:lang w:val="fr-FR"/>
        </w:rPr>
        <w:t>destinés aux placements</w:t>
      </w:r>
      <w:r w:rsidR="00FF43AD" w:rsidRPr="007F3549">
        <w:rPr>
          <w:lang w:val="fr-FR"/>
        </w:rPr>
        <w:t xml:space="preserve"> et</w:t>
      </w:r>
      <w:r w:rsidR="00205364" w:rsidRPr="007F3549">
        <w:rPr>
          <w:lang w:val="fr-FR"/>
        </w:rPr>
        <w:t>,</w:t>
      </w:r>
      <w:r w:rsidR="00FF43AD" w:rsidRPr="007F3549">
        <w:rPr>
          <w:lang w:val="fr-FR"/>
        </w:rPr>
        <w:t xml:space="preserve">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autre part, la nécessité </w:t>
      </w:r>
      <w:r w:rsidR="00C3412A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C3412A" w:rsidRPr="007F3549">
        <w:rPr>
          <w:lang w:val="fr-FR"/>
        </w:rPr>
        <w:t>analyser</w:t>
      </w:r>
      <w:r w:rsidR="00FF43AD" w:rsidRPr="007F3549">
        <w:rPr>
          <w:lang w:val="fr-FR"/>
        </w:rPr>
        <w:t xml:space="preserve"> </w:t>
      </w:r>
      <w:r w:rsidR="00C3412A" w:rsidRPr="007F3549">
        <w:rPr>
          <w:lang w:val="fr-FR"/>
        </w:rPr>
        <w:t>la propension de l</w:t>
      </w:r>
      <w:r w:rsidR="00876E92" w:rsidRPr="007F3549">
        <w:rPr>
          <w:lang w:val="fr-FR"/>
        </w:rPr>
        <w:t>’</w:t>
      </w:r>
      <w:r w:rsidR="00C3412A" w:rsidRPr="007F3549">
        <w:rPr>
          <w:lang w:val="fr-FR"/>
        </w:rPr>
        <w:t>Organisation au</w:t>
      </w:r>
      <w:r w:rsidR="00FF43AD" w:rsidRPr="007F3549">
        <w:rPr>
          <w:lang w:val="fr-FR"/>
        </w:rPr>
        <w:t xml:space="preserve"> risque </w:t>
      </w:r>
      <w:r w:rsidR="00C3412A" w:rsidRPr="007F3549">
        <w:rPr>
          <w:lang w:val="fr-FR"/>
        </w:rPr>
        <w:t>en matière de</w:t>
      </w:r>
      <w:r w:rsidR="00FF43AD" w:rsidRPr="007F3549">
        <w:rPr>
          <w:lang w:val="fr-FR"/>
        </w:rPr>
        <w:t xml:space="preserve"> placement</w:t>
      </w:r>
      <w:r w:rsidR="00C3412A" w:rsidRPr="007F3549">
        <w:rPr>
          <w:lang w:val="fr-FR"/>
        </w:rPr>
        <w:t>s</w:t>
      </w:r>
      <w:r w:rsidR="00205364" w:rsidRPr="007F3549">
        <w:rPr>
          <w:lang w:val="fr-FR"/>
        </w:rPr>
        <w:t>.  Ces deux </w:t>
      </w:r>
      <w:r w:rsidR="00FF43AD" w:rsidRPr="007F3549">
        <w:rPr>
          <w:lang w:val="fr-FR"/>
        </w:rPr>
        <w:t>thèmes sont examinés ci</w:t>
      </w:r>
      <w:r w:rsidR="00BD351E" w:rsidRPr="007F3549">
        <w:rPr>
          <w:lang w:val="fr-FR"/>
        </w:rPr>
        <w:noBreakHyphen/>
      </w:r>
      <w:r w:rsidR="00FF43AD" w:rsidRPr="007F3549">
        <w:rPr>
          <w:lang w:val="fr-FR"/>
        </w:rPr>
        <w:t>dessous</w:t>
      </w:r>
      <w:r w:rsidR="005B7C8F" w:rsidRPr="007F3549">
        <w:rPr>
          <w:lang w:val="fr-FR"/>
        </w:rPr>
        <w:t>.</w:t>
      </w:r>
    </w:p>
    <w:p w:rsidR="00842A4F" w:rsidRPr="007F3549" w:rsidRDefault="00DB0E05" w:rsidP="00BD351E">
      <w:pPr>
        <w:pStyle w:val="Heading1"/>
        <w:rPr>
          <w:lang w:val="fr-FR"/>
        </w:rPr>
      </w:pPr>
      <w:r w:rsidRPr="007F3549">
        <w:rPr>
          <w:lang w:val="fr-FR"/>
        </w:rPr>
        <w:t>Trésorerie disponible</w:t>
      </w:r>
      <w:r w:rsidR="007F349E" w:rsidRPr="007F3549">
        <w:rPr>
          <w:lang w:val="fr-FR"/>
        </w:rPr>
        <w:t xml:space="preserve"> pour des placements</w:t>
      </w:r>
    </w:p>
    <w:p w:rsidR="00B50D94" w:rsidRPr="007F3549" w:rsidRDefault="00B50D94" w:rsidP="00BD351E">
      <w:pPr>
        <w:rPr>
          <w:lang w:val="fr-FR"/>
        </w:rPr>
      </w:pPr>
    </w:p>
    <w:p w:rsidR="00312356" w:rsidRPr="007F3549" w:rsidRDefault="00C3412A" w:rsidP="007F3549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Le tableau </w:t>
      </w:r>
      <w:r w:rsidR="00FF43AD" w:rsidRPr="007F3549">
        <w:rPr>
          <w:rStyle w:val="hps"/>
          <w:lang w:val="fr-FR"/>
        </w:rPr>
        <w:t xml:space="preserve">1 </w:t>
      </w:r>
      <w:r w:rsidR="007F349E" w:rsidRPr="007F3549">
        <w:rPr>
          <w:rStyle w:val="hps"/>
          <w:lang w:val="fr-FR"/>
        </w:rPr>
        <w:t>illustre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la trésorerie et les</w:t>
      </w:r>
      <w:r w:rsidR="00FF43AD" w:rsidRPr="007F3549">
        <w:rPr>
          <w:lang w:val="fr-FR"/>
        </w:rPr>
        <w:t xml:space="preserve"> </w:t>
      </w:r>
      <w:r w:rsidR="00DB0E05" w:rsidRPr="007F3549">
        <w:rPr>
          <w:rStyle w:val="hps"/>
          <w:lang w:val="fr-FR"/>
        </w:rPr>
        <w:t>équivalents</w:t>
      </w:r>
      <w:r w:rsidR="00FF43AD" w:rsidRPr="007F3549">
        <w:rPr>
          <w:rStyle w:val="hps"/>
          <w:lang w:val="fr-FR"/>
        </w:rPr>
        <w:t xml:space="preserve"> de trésorerie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Organisation</w:t>
      </w:r>
      <w:r w:rsidR="00FF43AD" w:rsidRPr="007F3549">
        <w:rPr>
          <w:lang w:val="fr-FR"/>
        </w:rPr>
        <w:t xml:space="preserve"> </w:t>
      </w:r>
      <w:r w:rsidR="00DB0E05" w:rsidRPr="007F3549">
        <w:rPr>
          <w:lang w:val="fr-FR"/>
        </w:rPr>
        <w:t>au 31 </w:t>
      </w:r>
      <w:r w:rsidRPr="007F3549">
        <w:rPr>
          <w:rStyle w:val="hps"/>
          <w:lang w:val="fr-FR"/>
        </w:rPr>
        <w:t>m</w:t>
      </w:r>
      <w:r w:rsidR="00FF43AD" w:rsidRPr="007F3549">
        <w:rPr>
          <w:rStyle w:val="hps"/>
          <w:lang w:val="fr-FR"/>
        </w:rPr>
        <w:t>ars</w:t>
      </w:r>
      <w:r w:rsidRPr="007F3549">
        <w:rPr>
          <w:lang w:val="fr-FR"/>
        </w:rPr>
        <w:t> </w:t>
      </w:r>
      <w:r w:rsidR="00FF43AD" w:rsidRPr="007F3549">
        <w:rPr>
          <w:rStyle w:val="hps"/>
          <w:lang w:val="fr-FR"/>
        </w:rPr>
        <w:t>2015.</w:t>
      </w:r>
      <w:r w:rsidRPr="007F3549">
        <w:rPr>
          <w:rStyle w:val="hps"/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 Un examen </w:t>
      </w:r>
      <w:r w:rsidR="00EB44EE" w:rsidRPr="007F3549">
        <w:rPr>
          <w:rStyle w:val="hps"/>
          <w:lang w:val="fr-FR"/>
        </w:rPr>
        <w:t>des flux de</w:t>
      </w:r>
      <w:r w:rsidR="00FF43AD" w:rsidRPr="007F3549">
        <w:rPr>
          <w:rStyle w:val="hps"/>
          <w:lang w:val="fr-FR"/>
        </w:rPr>
        <w:t xml:space="preserve"> trésorerie de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OMPI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a révélé que</w:t>
      </w:r>
      <w:r w:rsidR="00FF43AD" w:rsidRPr="007F3549">
        <w:rPr>
          <w:lang w:val="fr-FR"/>
        </w:rPr>
        <w:t xml:space="preserve"> </w:t>
      </w:r>
      <w:r w:rsidR="00DB0E05" w:rsidRPr="007F3549">
        <w:rPr>
          <w:rStyle w:val="hps"/>
          <w:lang w:val="fr-FR"/>
        </w:rPr>
        <w:t>la trésorerie</w:t>
      </w:r>
      <w:r w:rsidR="00DB0E05" w:rsidRPr="007F3549">
        <w:rPr>
          <w:lang w:val="fr-FR"/>
        </w:rPr>
        <w:t xml:space="preserve"> de </w:t>
      </w:r>
      <w:r w:rsidR="00FF43AD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Organisation</w:t>
      </w:r>
      <w:r w:rsidR="00FF43AD" w:rsidRPr="007F3549">
        <w:rPr>
          <w:lang w:val="fr-FR"/>
        </w:rPr>
        <w:t xml:space="preserve">, </w:t>
      </w:r>
      <w:r w:rsidR="007F349E" w:rsidRPr="007F3549">
        <w:rPr>
          <w:rStyle w:val="hps"/>
          <w:lang w:val="fr-FR"/>
        </w:rPr>
        <w:t>de même que</w:t>
      </w:r>
      <w:r w:rsidR="00FF43AD" w:rsidRPr="007F3549">
        <w:rPr>
          <w:lang w:val="fr-FR"/>
        </w:rPr>
        <w:t xml:space="preserve"> </w:t>
      </w:r>
      <w:r w:rsidR="00DB0E05" w:rsidRPr="007F3549">
        <w:rPr>
          <w:lang w:val="fr-FR"/>
        </w:rPr>
        <w:t xml:space="preserve">celle </w:t>
      </w:r>
      <w:r w:rsidR="00FF43AD" w:rsidRPr="007F3549">
        <w:rPr>
          <w:rStyle w:val="hps"/>
          <w:lang w:val="fr-FR"/>
        </w:rPr>
        <w:t>de nombreuses entités</w:t>
      </w:r>
      <w:r w:rsidR="00FF43AD" w:rsidRPr="007F3549">
        <w:rPr>
          <w:lang w:val="fr-FR"/>
        </w:rPr>
        <w:t xml:space="preserve"> </w:t>
      </w:r>
      <w:r w:rsidR="007F349E" w:rsidRPr="007F3549">
        <w:rPr>
          <w:rStyle w:val="hps"/>
          <w:lang w:val="fr-FR"/>
        </w:rPr>
        <w:t>publique</w:t>
      </w:r>
      <w:r w:rsidR="00FF43AD" w:rsidRPr="007F3549">
        <w:rPr>
          <w:rStyle w:val="hps"/>
          <w:lang w:val="fr-FR"/>
        </w:rPr>
        <w:t>s et privé</w:t>
      </w:r>
      <w:r w:rsidR="007F349E" w:rsidRPr="007F3549">
        <w:rPr>
          <w:rStyle w:val="hps"/>
          <w:lang w:val="fr-FR"/>
        </w:rPr>
        <w:t>e</w:t>
      </w:r>
      <w:r w:rsidR="00FF43AD" w:rsidRPr="007F3549">
        <w:rPr>
          <w:rStyle w:val="hps"/>
          <w:lang w:val="fr-FR"/>
        </w:rPr>
        <w:t>s</w:t>
      </w:r>
      <w:r w:rsidR="00FF43AD" w:rsidRPr="007F3549">
        <w:rPr>
          <w:lang w:val="fr-FR"/>
        </w:rPr>
        <w:t xml:space="preserve">, </w:t>
      </w:r>
      <w:r w:rsidR="00FF43AD" w:rsidRPr="007F3549">
        <w:rPr>
          <w:rStyle w:val="hps"/>
          <w:lang w:val="fr-FR"/>
        </w:rPr>
        <w:t>peut</w:t>
      </w:r>
      <w:r w:rsidR="00FF43AD" w:rsidRPr="007F3549">
        <w:rPr>
          <w:lang w:val="fr-FR"/>
        </w:rPr>
        <w:t xml:space="preserve"> </w:t>
      </w:r>
      <w:r w:rsidR="00DB0E05" w:rsidRPr="007F3549">
        <w:rPr>
          <w:lang w:val="fr-FR"/>
        </w:rPr>
        <w:t xml:space="preserve">être </w:t>
      </w:r>
      <w:r w:rsidR="00DB0E05" w:rsidRPr="007F3549">
        <w:rPr>
          <w:rStyle w:val="hps"/>
          <w:lang w:val="fr-FR"/>
        </w:rPr>
        <w:t xml:space="preserve">divisée </w:t>
      </w:r>
      <w:r w:rsidR="00FF43AD" w:rsidRPr="007F3549">
        <w:rPr>
          <w:rStyle w:val="hps"/>
          <w:lang w:val="fr-FR"/>
        </w:rPr>
        <w:t>en trois</w:t>
      </w:r>
      <w:r w:rsidR="00617726" w:rsidRPr="007F3549">
        <w:rPr>
          <w:rStyle w:val="hps"/>
          <w:lang w:val="fr-FR"/>
        </w:rPr>
        <w:t> </w:t>
      </w:r>
      <w:r w:rsidR="00FF43AD" w:rsidRPr="007F3549">
        <w:rPr>
          <w:rStyle w:val="hps"/>
          <w:lang w:val="fr-FR"/>
        </w:rPr>
        <w:t>catégories</w:t>
      </w:r>
      <w:r w:rsidR="007F349E" w:rsidRPr="007F3549">
        <w:rPr>
          <w:rStyle w:val="hps"/>
          <w:lang w:val="fr-FR"/>
        </w:rPr>
        <w:t> </w:t>
      </w:r>
      <w:r w:rsidR="00FF43AD" w:rsidRPr="007F3549">
        <w:rPr>
          <w:rStyle w:val="hps"/>
          <w:lang w:val="fr-FR"/>
        </w:rPr>
        <w:t>:</w:t>
      </w:r>
      <w:r w:rsidR="00FF43AD" w:rsidRPr="007F3549">
        <w:rPr>
          <w:lang w:val="fr-FR"/>
        </w:rPr>
        <w:t xml:space="preserve"> </w:t>
      </w:r>
      <w:r w:rsidR="007F349E" w:rsidRPr="007F3549">
        <w:rPr>
          <w:lang w:val="fr-FR"/>
        </w:rPr>
        <w:t xml:space="preserve">trésorerie </w:t>
      </w:r>
      <w:r w:rsidR="00E652A1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E652A1" w:rsidRPr="007F3549">
        <w:rPr>
          <w:lang w:val="fr-FR"/>
        </w:rPr>
        <w:t>exploitation</w:t>
      </w:r>
      <w:r w:rsidR="00FF43AD" w:rsidRPr="007F3549">
        <w:rPr>
          <w:rStyle w:val="hps"/>
          <w:lang w:val="fr-FR"/>
        </w:rPr>
        <w:t xml:space="preserve">, </w:t>
      </w:r>
      <w:r w:rsidR="00E652A1" w:rsidRPr="007F3549">
        <w:rPr>
          <w:rStyle w:val="hps"/>
          <w:lang w:val="fr-FR"/>
        </w:rPr>
        <w:t>fonds propres</w:t>
      </w:r>
      <w:r w:rsidR="00210B2C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et </w:t>
      </w:r>
      <w:r w:rsidR="00210B2C" w:rsidRPr="007F3549">
        <w:rPr>
          <w:rStyle w:val="hps"/>
          <w:lang w:val="fr-FR"/>
        </w:rPr>
        <w:t>trésorerie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stratégique.</w:t>
      </w:r>
      <w:r w:rsidR="00617726" w:rsidRPr="007F3549">
        <w:rPr>
          <w:rStyle w:val="hps"/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 Chaque catégorie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a un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objectif </w:t>
      </w:r>
      <w:r w:rsidR="007F349E" w:rsidRPr="007F3549">
        <w:rPr>
          <w:rStyle w:val="hps"/>
          <w:lang w:val="fr-FR"/>
        </w:rPr>
        <w:t>de placement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différent</w:t>
      </w:r>
      <w:r w:rsidR="00FF43AD" w:rsidRPr="007F3549">
        <w:rPr>
          <w:lang w:val="fr-FR"/>
        </w:rPr>
        <w:t xml:space="preserve">, </w:t>
      </w:r>
      <w:r w:rsidR="00210B2C" w:rsidRPr="007F3549">
        <w:rPr>
          <w:rStyle w:val="hps"/>
          <w:lang w:val="fr-FR"/>
        </w:rPr>
        <w:t>un horizon de placement</w:t>
      </w:r>
      <w:r w:rsidR="00FF43AD" w:rsidRPr="007F3549">
        <w:rPr>
          <w:lang w:val="fr-FR"/>
        </w:rPr>
        <w:t xml:space="preserve"> </w:t>
      </w:r>
      <w:r w:rsidR="00210B2C" w:rsidRPr="007F3549">
        <w:rPr>
          <w:rStyle w:val="hps"/>
          <w:lang w:val="fr-FR"/>
        </w:rPr>
        <w:t xml:space="preserve">différent </w:t>
      </w:r>
      <w:r w:rsidR="00FF43AD" w:rsidRPr="007F3549">
        <w:rPr>
          <w:rStyle w:val="hps"/>
          <w:lang w:val="fr-FR"/>
        </w:rPr>
        <w:t>et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un profil de risque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différent</w:t>
      </w:r>
      <w:r w:rsidR="00210B2C" w:rsidRPr="007F3549">
        <w:rPr>
          <w:rStyle w:val="hps"/>
          <w:lang w:val="fr-FR"/>
        </w:rPr>
        <w:t>;  toute</w:t>
      </w:r>
      <w:r w:rsidR="00210B2C" w:rsidRPr="007F3549">
        <w:rPr>
          <w:lang w:val="fr-FR"/>
        </w:rPr>
        <w:t xml:space="preserve"> </w:t>
      </w:r>
      <w:r w:rsidR="00210B2C" w:rsidRPr="007F3549">
        <w:rPr>
          <w:rStyle w:val="hps"/>
          <w:lang w:val="fr-FR"/>
        </w:rPr>
        <w:t>politique en matière de placements doit prendre en compte ces</w:t>
      </w:r>
      <w:r w:rsidR="00FF43AD" w:rsidRPr="007F3549">
        <w:rPr>
          <w:rStyle w:val="hps"/>
          <w:lang w:val="fr-FR"/>
        </w:rPr>
        <w:t xml:space="preserve"> trois</w:t>
      </w:r>
      <w:r w:rsidR="00210B2C" w:rsidRPr="007F3549">
        <w:rPr>
          <w:rStyle w:val="hps"/>
          <w:lang w:val="fr-FR"/>
        </w:rPr>
        <w:t> </w:t>
      </w:r>
      <w:r w:rsidR="00FF43AD" w:rsidRPr="007F3549">
        <w:rPr>
          <w:rStyle w:val="hps"/>
          <w:lang w:val="fr-FR"/>
        </w:rPr>
        <w:t>éléments</w:t>
      </w:r>
      <w:r w:rsidR="00FF43AD" w:rsidRPr="007F3549">
        <w:rPr>
          <w:lang w:val="fr-FR"/>
        </w:rPr>
        <w:t>.</w:t>
      </w:r>
      <w:r w:rsidR="00210B2C" w:rsidRPr="007F3549">
        <w:rPr>
          <w:lang w:val="fr-FR"/>
        </w:rPr>
        <w:t xml:space="preserve"> </w:t>
      </w:r>
      <w:r w:rsidR="00FF43AD" w:rsidRPr="007F3549">
        <w:rPr>
          <w:lang w:val="fr-FR"/>
        </w:rPr>
        <w:t xml:space="preserve"> </w:t>
      </w:r>
      <w:r w:rsidR="007F349E" w:rsidRPr="007F3549">
        <w:rPr>
          <w:rStyle w:val="hps"/>
          <w:lang w:val="fr-FR"/>
        </w:rPr>
        <w:t>Le tableau </w:t>
      </w:r>
      <w:r w:rsidR="00FF43AD" w:rsidRPr="007F3549">
        <w:rPr>
          <w:rStyle w:val="hps"/>
          <w:lang w:val="fr-FR"/>
        </w:rPr>
        <w:t xml:space="preserve">2 </w:t>
      </w:r>
      <w:r w:rsidR="007F349E" w:rsidRPr="007F3549">
        <w:rPr>
          <w:rStyle w:val="hps"/>
          <w:lang w:val="fr-FR"/>
        </w:rPr>
        <w:t>illustre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la </w:t>
      </w:r>
      <w:r w:rsidR="00DB0E05" w:rsidRPr="007F3549">
        <w:rPr>
          <w:rStyle w:val="hps"/>
          <w:lang w:val="fr-FR"/>
        </w:rPr>
        <w:t xml:space="preserve">proposition </w:t>
      </w:r>
      <w:r w:rsidR="007B1551" w:rsidRPr="007F3549">
        <w:rPr>
          <w:rStyle w:val="hps"/>
          <w:lang w:val="fr-FR"/>
        </w:rPr>
        <w:t>qui consiste à</w:t>
      </w:r>
      <w:r w:rsidR="00DB0E05" w:rsidRPr="007F3549">
        <w:rPr>
          <w:rStyle w:val="hps"/>
          <w:lang w:val="fr-FR"/>
        </w:rPr>
        <w:t xml:space="preserve"> sub</w:t>
      </w:r>
      <w:r w:rsidR="00FF43AD" w:rsidRPr="007F3549">
        <w:rPr>
          <w:rStyle w:val="hps"/>
          <w:lang w:val="fr-FR"/>
        </w:rPr>
        <w:t>divis</w:t>
      </w:r>
      <w:r w:rsidR="007B1551" w:rsidRPr="007F3549">
        <w:rPr>
          <w:rStyle w:val="hps"/>
          <w:lang w:val="fr-FR"/>
        </w:rPr>
        <w:t>er</w:t>
      </w:r>
      <w:r w:rsidR="00FF43AD" w:rsidRPr="007F3549">
        <w:rPr>
          <w:rStyle w:val="hps"/>
          <w:lang w:val="fr-FR"/>
        </w:rPr>
        <w:t xml:space="preserve"> la trésorerie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OMPI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entre </w:t>
      </w:r>
      <w:r w:rsidR="00DB0E05" w:rsidRPr="007F3549">
        <w:rPr>
          <w:rStyle w:val="hps"/>
          <w:lang w:val="fr-FR"/>
        </w:rPr>
        <w:t>ces</w:t>
      </w:r>
      <w:r w:rsidR="00FF43AD" w:rsidRPr="007F3549">
        <w:rPr>
          <w:lang w:val="fr-FR"/>
        </w:rPr>
        <w:t xml:space="preserve"> </w:t>
      </w:r>
      <w:r w:rsidR="00DB0E05" w:rsidRPr="007F3549">
        <w:rPr>
          <w:lang w:val="fr-FR"/>
        </w:rPr>
        <w:t>trois </w:t>
      </w:r>
      <w:r w:rsidR="00FF43AD" w:rsidRPr="007F3549">
        <w:rPr>
          <w:rStyle w:val="hps"/>
          <w:lang w:val="fr-FR"/>
        </w:rPr>
        <w:t>catégories</w:t>
      </w:r>
      <w:r w:rsidR="00BD3B77" w:rsidRPr="007F3549">
        <w:rPr>
          <w:lang w:val="fr-FR"/>
        </w:rPr>
        <w:t>.</w:t>
      </w:r>
    </w:p>
    <w:p w:rsidR="00D956E9" w:rsidRPr="007F3549" w:rsidRDefault="00D956E9" w:rsidP="00D956E9">
      <w:pPr>
        <w:pStyle w:val="ONUME"/>
        <w:spacing w:after="0"/>
        <w:jc w:val="center"/>
        <w:rPr>
          <w:b/>
          <w:szCs w:val="22"/>
          <w:lang w:val="fr-FR"/>
        </w:rPr>
      </w:pPr>
      <w:r w:rsidRPr="007F3549">
        <w:rPr>
          <w:b/>
          <w:szCs w:val="22"/>
          <w:lang w:val="fr-FR"/>
        </w:rPr>
        <w:t>Table</w:t>
      </w:r>
      <w:r w:rsidR="00FF43AD" w:rsidRPr="007F3549">
        <w:rPr>
          <w:b/>
          <w:szCs w:val="22"/>
          <w:lang w:val="fr-FR"/>
        </w:rPr>
        <w:t>au </w:t>
      </w:r>
      <w:r w:rsidRPr="007F3549">
        <w:rPr>
          <w:b/>
          <w:szCs w:val="22"/>
          <w:lang w:val="fr-FR"/>
        </w:rPr>
        <w:t>1</w:t>
      </w:r>
    </w:p>
    <w:p w:rsidR="00D956E9" w:rsidRPr="007F3549" w:rsidRDefault="00D956E9" w:rsidP="00BD351E">
      <w:pPr>
        <w:rPr>
          <w:lang w:val="fr-FR"/>
        </w:rPr>
      </w:pPr>
    </w:p>
    <w:p w:rsidR="00BD351E" w:rsidRPr="007F3549" w:rsidRDefault="00BD351E" w:rsidP="00BD351E">
      <w:pPr>
        <w:jc w:val="center"/>
        <w:rPr>
          <w:lang w:val="fr-FR"/>
        </w:rPr>
      </w:pPr>
      <w:r w:rsidRPr="007F3549">
        <w:rPr>
          <w:noProof/>
          <w:lang w:eastAsia="en-US"/>
        </w:rPr>
        <w:drawing>
          <wp:inline distT="0" distB="0" distL="0" distR="0" wp14:anchorId="522BF03B" wp14:editId="7AABFBB8">
            <wp:extent cx="5940425" cy="2902977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70" w:rsidRPr="007F3549" w:rsidRDefault="00D06370" w:rsidP="00BD351E">
      <w:pPr>
        <w:rPr>
          <w:lang w:val="fr-FR"/>
        </w:rPr>
      </w:pPr>
    </w:p>
    <w:p w:rsidR="00D02B32" w:rsidRPr="007F3549" w:rsidRDefault="00D02B32" w:rsidP="00A314DC">
      <w:pPr>
        <w:pStyle w:val="ONUME"/>
        <w:keepNext/>
        <w:keepLines/>
        <w:spacing w:after="0"/>
        <w:jc w:val="center"/>
        <w:rPr>
          <w:b/>
          <w:szCs w:val="22"/>
          <w:lang w:val="fr-FR"/>
        </w:rPr>
      </w:pPr>
      <w:r w:rsidRPr="007F3549">
        <w:rPr>
          <w:b/>
          <w:szCs w:val="22"/>
          <w:lang w:val="fr-FR"/>
        </w:rPr>
        <w:lastRenderedPageBreak/>
        <w:t>Table</w:t>
      </w:r>
      <w:r w:rsidR="00FF43AD" w:rsidRPr="007F3549">
        <w:rPr>
          <w:b/>
          <w:szCs w:val="22"/>
          <w:lang w:val="fr-FR"/>
        </w:rPr>
        <w:t>au </w:t>
      </w:r>
      <w:r w:rsidRPr="007F3549">
        <w:rPr>
          <w:b/>
          <w:szCs w:val="22"/>
          <w:lang w:val="fr-FR"/>
        </w:rPr>
        <w:t>2</w:t>
      </w:r>
    </w:p>
    <w:p w:rsidR="007D0D8A" w:rsidRPr="007F3549" w:rsidRDefault="007D0D8A" w:rsidP="00A314DC">
      <w:pPr>
        <w:pStyle w:val="ONUME"/>
        <w:keepNext/>
        <w:keepLines/>
        <w:spacing w:after="0"/>
        <w:jc w:val="center"/>
        <w:rPr>
          <w:b/>
          <w:szCs w:val="22"/>
          <w:lang w:val="fr-FR"/>
        </w:rPr>
      </w:pPr>
    </w:p>
    <w:p w:rsidR="00772BEF" w:rsidRPr="007F3549" w:rsidRDefault="007F3549" w:rsidP="007F3549">
      <w:pPr>
        <w:jc w:val="center"/>
        <w:rPr>
          <w:sz w:val="18"/>
          <w:szCs w:val="18"/>
          <w:lang w:val="fr-FR"/>
        </w:rPr>
      </w:pPr>
      <w:r w:rsidRPr="007F3549">
        <w:rPr>
          <w:noProof/>
          <w:lang w:eastAsia="en-US"/>
        </w:rPr>
        <w:drawing>
          <wp:inline distT="0" distB="0" distL="0" distR="0" wp14:anchorId="32E4BE73" wp14:editId="0C6B1E51">
            <wp:extent cx="4057200" cy="11664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56" w:rsidRPr="007F3549" w:rsidRDefault="009E6E80" w:rsidP="007F3549">
      <w:pPr>
        <w:pStyle w:val="Heading2"/>
        <w:rPr>
          <w:lang w:val="fr-FR"/>
        </w:rPr>
      </w:pPr>
      <w:r w:rsidRPr="007F3549">
        <w:rPr>
          <w:lang w:val="fr-FR"/>
        </w:rPr>
        <w:t xml:space="preserve">Trésorerie </w:t>
      </w:r>
      <w:r w:rsidR="00F16770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F16770" w:rsidRPr="007F3549">
        <w:rPr>
          <w:lang w:val="fr-FR"/>
        </w:rPr>
        <w:t>exploitation</w:t>
      </w:r>
    </w:p>
    <w:p w:rsidR="00B50D94" w:rsidRPr="007F3549" w:rsidRDefault="00B50D94" w:rsidP="00B50D94">
      <w:pPr>
        <w:rPr>
          <w:lang w:val="fr-FR"/>
        </w:rPr>
      </w:pPr>
    </w:p>
    <w:p w:rsidR="00876E92" w:rsidRPr="007F3549" w:rsidRDefault="009E6E80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 xml:space="preserve">Cette trésorerie représente </w:t>
      </w:r>
      <w:r w:rsidR="00FF43AD" w:rsidRPr="007F3549">
        <w:rPr>
          <w:rStyle w:val="hps"/>
          <w:lang w:val="fr-FR"/>
        </w:rPr>
        <w:t>le montant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nécessaire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pour couvrir les </w:t>
      </w:r>
      <w:r w:rsidRPr="007F3549">
        <w:rPr>
          <w:rStyle w:val="hps"/>
          <w:lang w:val="fr-FR"/>
        </w:rPr>
        <w:t>activités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opérationnelles courantes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telles que la </w:t>
      </w:r>
      <w:r w:rsidRPr="007F3549">
        <w:rPr>
          <w:rStyle w:val="hps"/>
          <w:lang w:val="fr-FR"/>
        </w:rPr>
        <w:t>masse salariale</w:t>
      </w:r>
      <w:r w:rsidR="00FF43AD" w:rsidRPr="007F3549">
        <w:rPr>
          <w:lang w:val="fr-FR"/>
        </w:rPr>
        <w:t xml:space="preserve">, le règlement des </w:t>
      </w:r>
      <w:r w:rsidR="00FF43AD" w:rsidRPr="007F3549">
        <w:rPr>
          <w:rStyle w:val="hps"/>
          <w:lang w:val="fr-FR"/>
        </w:rPr>
        <w:t>factures des fournisseurs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et</w:t>
      </w:r>
      <w:r w:rsidR="00FF43AD" w:rsidRPr="007F3549">
        <w:rPr>
          <w:lang w:val="fr-FR"/>
        </w:rPr>
        <w:t xml:space="preserve"> </w:t>
      </w:r>
      <w:r w:rsidR="00F16770" w:rsidRPr="007F3549">
        <w:rPr>
          <w:lang w:val="fr-FR"/>
        </w:rPr>
        <w:t>les taxes de répartition des unions de Mad</w:t>
      </w:r>
      <w:r w:rsidR="00FF43AD" w:rsidRPr="007F3549">
        <w:rPr>
          <w:rStyle w:val="hps"/>
          <w:lang w:val="fr-FR"/>
        </w:rPr>
        <w:t xml:space="preserve">rid et </w:t>
      </w:r>
      <w:r w:rsidR="00F16770" w:rsidRPr="007F3549">
        <w:rPr>
          <w:rStyle w:val="hps"/>
          <w:lang w:val="fr-FR"/>
        </w:rPr>
        <w:t xml:space="preserve">de </w:t>
      </w:r>
      <w:r w:rsidR="00876E92" w:rsidRPr="007F3549">
        <w:rPr>
          <w:rStyle w:val="hps"/>
          <w:lang w:val="fr-FR"/>
        </w:rPr>
        <w:t>La Haye</w:t>
      </w:r>
      <w:r w:rsidR="00FF43AD" w:rsidRPr="007F3549">
        <w:rPr>
          <w:lang w:val="fr-FR"/>
        </w:rPr>
        <w:t xml:space="preserve">. </w:t>
      </w:r>
      <w:r w:rsidR="00F16770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objectif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 placement est donc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 xml:space="preserve">assurer la </w:t>
      </w:r>
      <w:r w:rsidR="00F16770" w:rsidRPr="007F3549">
        <w:rPr>
          <w:rStyle w:val="hps"/>
          <w:lang w:val="fr-FR"/>
        </w:rPr>
        <w:t>trésorerie</w:t>
      </w:r>
      <w:r w:rsidR="00FF43AD" w:rsidRPr="007F3549">
        <w:rPr>
          <w:lang w:val="fr-FR"/>
        </w:rPr>
        <w:t xml:space="preserve">, </w:t>
      </w:r>
      <w:r w:rsidR="00FF43AD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horizon d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investissement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est immédiat</w:t>
      </w:r>
      <w:r w:rsidR="00FF43AD" w:rsidRPr="007F3549">
        <w:rPr>
          <w:lang w:val="fr-FR"/>
        </w:rPr>
        <w:t xml:space="preserve"> </w:t>
      </w:r>
      <w:r w:rsidR="00F16770" w:rsidRPr="007F3549">
        <w:rPr>
          <w:lang w:val="fr-FR"/>
        </w:rPr>
        <w:t xml:space="preserve">sachant </w:t>
      </w:r>
      <w:r w:rsidR="00FF43AD" w:rsidRPr="007F3549">
        <w:rPr>
          <w:rStyle w:val="hps"/>
          <w:lang w:val="fr-FR"/>
        </w:rPr>
        <w:t>que la trésorerie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est nécessaire</w:t>
      </w:r>
      <w:r w:rsidR="00FF43AD" w:rsidRPr="007F3549">
        <w:rPr>
          <w:lang w:val="fr-FR"/>
        </w:rPr>
        <w:t xml:space="preserve"> </w:t>
      </w:r>
      <w:r w:rsidR="00F16770" w:rsidRPr="007F3549">
        <w:rPr>
          <w:rStyle w:val="hps"/>
          <w:lang w:val="fr-FR"/>
        </w:rPr>
        <w:t>quotidiennement,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et le profil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 risque adopté</w:t>
      </w:r>
      <w:r w:rsidR="00FF43AD" w:rsidRPr="007F3549">
        <w:rPr>
          <w:lang w:val="fr-FR"/>
        </w:rPr>
        <w:t xml:space="preserve"> </w:t>
      </w:r>
      <w:r w:rsidR="00F16770" w:rsidRPr="007F3549">
        <w:rPr>
          <w:rStyle w:val="hps"/>
          <w:lang w:val="fr-FR"/>
        </w:rPr>
        <w:t>doit</w:t>
      </w:r>
      <w:r w:rsidR="00FF43AD" w:rsidRPr="007F3549">
        <w:rPr>
          <w:rStyle w:val="hps"/>
          <w:lang w:val="fr-FR"/>
        </w:rPr>
        <w:t xml:space="preserve"> viser à</w:t>
      </w:r>
      <w:r w:rsidR="00FF43AD" w:rsidRPr="007F3549">
        <w:rPr>
          <w:lang w:val="fr-FR"/>
        </w:rPr>
        <w:t xml:space="preserve"> </w:t>
      </w:r>
      <w:r w:rsidR="00F16770" w:rsidRPr="007F3549">
        <w:rPr>
          <w:rStyle w:val="hps"/>
          <w:lang w:val="fr-FR"/>
        </w:rPr>
        <w:t>permettre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que les </w:t>
      </w:r>
      <w:r w:rsidR="00F16770" w:rsidRPr="007F3549">
        <w:rPr>
          <w:rStyle w:val="hps"/>
          <w:lang w:val="fr-FR"/>
        </w:rPr>
        <w:t>placements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</w:t>
      </w:r>
      <w:r w:rsidR="00FF43AD" w:rsidRPr="007F3549">
        <w:rPr>
          <w:lang w:val="fr-FR"/>
        </w:rPr>
        <w:t xml:space="preserve"> </w:t>
      </w:r>
      <w:r w:rsidR="00F16770" w:rsidRPr="007F3549">
        <w:rPr>
          <w:lang w:val="fr-FR"/>
        </w:rPr>
        <w:t xml:space="preserve">la </w:t>
      </w:r>
      <w:r w:rsidR="00FF43AD" w:rsidRPr="007F3549">
        <w:rPr>
          <w:rStyle w:val="hps"/>
          <w:lang w:val="fr-FR"/>
        </w:rPr>
        <w:t xml:space="preserve">trésorerie </w:t>
      </w:r>
      <w:r w:rsidR="00F16770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F16770" w:rsidRPr="007F3549">
        <w:rPr>
          <w:rStyle w:val="hps"/>
          <w:lang w:val="fr-FR"/>
        </w:rPr>
        <w:t>exploitation</w:t>
      </w:r>
      <w:r w:rsidR="00FF43AD" w:rsidRPr="007F3549">
        <w:rPr>
          <w:lang w:val="fr-FR"/>
        </w:rPr>
        <w:t xml:space="preserve"> </w:t>
      </w:r>
      <w:r w:rsidR="00F16770" w:rsidRPr="007F3549">
        <w:rPr>
          <w:rStyle w:val="hps"/>
          <w:lang w:val="fr-FR"/>
        </w:rPr>
        <w:t>préservent</w:t>
      </w:r>
      <w:r w:rsidR="00FF43AD" w:rsidRPr="007F3549">
        <w:rPr>
          <w:rStyle w:val="hps"/>
          <w:lang w:val="fr-FR"/>
        </w:rPr>
        <w:t xml:space="preserve"> le capital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et </w:t>
      </w:r>
      <w:r w:rsidR="00F16770" w:rsidRPr="007F3549">
        <w:rPr>
          <w:rStyle w:val="hps"/>
          <w:lang w:val="fr-FR"/>
        </w:rPr>
        <w:t>puissent</w:t>
      </w:r>
      <w:r w:rsidR="00FF43AD" w:rsidRPr="007F3549">
        <w:rPr>
          <w:rStyle w:val="hps"/>
          <w:lang w:val="fr-FR"/>
        </w:rPr>
        <w:t xml:space="preserve"> être transformés </w:t>
      </w:r>
      <w:r w:rsidR="00EB44EE" w:rsidRPr="007F3549">
        <w:rPr>
          <w:rStyle w:val="hps"/>
          <w:lang w:val="fr-FR"/>
        </w:rPr>
        <w:t>facilement</w:t>
      </w:r>
      <w:r w:rsidR="00EB44EE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en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trésorerie</w:t>
      </w:r>
      <w:r w:rsidR="00FF43AD" w:rsidRPr="007F3549">
        <w:rPr>
          <w:lang w:val="fr-FR"/>
        </w:rPr>
        <w:t xml:space="preserve">. </w:t>
      </w:r>
      <w:r w:rsidR="00F16770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À 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OMPI</w:t>
      </w:r>
      <w:r w:rsidR="00F16770" w:rsidRPr="007F3549">
        <w:rPr>
          <w:rStyle w:val="hps"/>
          <w:lang w:val="fr-FR"/>
        </w:rPr>
        <w:t>,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le montant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 la trésorerie</w:t>
      </w:r>
      <w:r w:rsidR="00FF43AD" w:rsidRPr="007F3549">
        <w:rPr>
          <w:lang w:val="fr-FR"/>
        </w:rPr>
        <w:t xml:space="preserve"> </w:t>
      </w:r>
      <w:r w:rsidR="00F16770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F16770" w:rsidRPr="007F3549">
        <w:rPr>
          <w:rStyle w:val="hps"/>
          <w:lang w:val="fr-FR"/>
        </w:rPr>
        <w:t>exploitation</w:t>
      </w:r>
      <w:r w:rsidR="00FF43AD" w:rsidRPr="007F3549">
        <w:rPr>
          <w:lang w:val="fr-FR"/>
        </w:rPr>
        <w:t xml:space="preserve"> </w:t>
      </w:r>
      <w:r w:rsidR="00EB44EE" w:rsidRPr="007F3549">
        <w:rPr>
          <w:rStyle w:val="hps"/>
          <w:lang w:val="fr-FR"/>
        </w:rPr>
        <w:t>requise</w:t>
      </w:r>
      <w:r w:rsidR="00FF43AD" w:rsidRPr="007F3549">
        <w:rPr>
          <w:rStyle w:val="hps"/>
          <w:lang w:val="fr-FR"/>
        </w:rPr>
        <w:t xml:space="preserve"> varie</w:t>
      </w:r>
      <w:r w:rsidR="00FF43AD" w:rsidRPr="007F3549">
        <w:rPr>
          <w:lang w:val="fr-FR"/>
        </w:rPr>
        <w:t xml:space="preserve"> </w:t>
      </w:r>
      <w:r w:rsidR="00F16770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F16770" w:rsidRPr="007F3549">
        <w:rPr>
          <w:rStyle w:val="hps"/>
          <w:lang w:val="fr-FR"/>
        </w:rPr>
        <w:t>un</w:t>
      </w:r>
      <w:r w:rsidR="00FF43AD" w:rsidRPr="007F3549">
        <w:rPr>
          <w:rStyle w:val="hps"/>
          <w:lang w:val="fr-FR"/>
        </w:rPr>
        <w:t xml:space="preserve"> mois </w:t>
      </w:r>
      <w:r w:rsidR="00F16770" w:rsidRPr="007F3549">
        <w:rPr>
          <w:rStyle w:val="hps"/>
          <w:lang w:val="fr-FR"/>
        </w:rPr>
        <w:t>sur l</w:t>
      </w:r>
      <w:r w:rsidR="00876E92" w:rsidRPr="007F3549">
        <w:rPr>
          <w:rStyle w:val="hps"/>
          <w:lang w:val="fr-FR"/>
        </w:rPr>
        <w:t>’</w:t>
      </w:r>
      <w:r w:rsidR="00F16770" w:rsidRPr="007F3549">
        <w:rPr>
          <w:rStyle w:val="hps"/>
          <w:lang w:val="fr-FR"/>
        </w:rPr>
        <w:t>autre</w:t>
      </w:r>
      <w:r w:rsidR="00FF43AD" w:rsidRPr="007F3549">
        <w:rPr>
          <w:rStyle w:val="hps"/>
          <w:lang w:val="fr-FR"/>
        </w:rPr>
        <w:t>, mais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au cours des deux</w:t>
      </w:r>
      <w:r w:rsidR="00F16770" w:rsidRPr="007F3549">
        <w:rPr>
          <w:rStyle w:val="hps"/>
          <w:lang w:val="fr-FR"/>
        </w:rPr>
        <w:t> </w:t>
      </w:r>
      <w:r w:rsidR="00FF43AD" w:rsidRPr="007F3549">
        <w:rPr>
          <w:rStyle w:val="hps"/>
          <w:lang w:val="fr-FR"/>
        </w:rPr>
        <w:t>dernières années</w:t>
      </w:r>
      <w:r w:rsidR="00FF43AD" w:rsidRPr="007F3549">
        <w:rPr>
          <w:lang w:val="fr-FR"/>
        </w:rPr>
        <w:t xml:space="preserve">, </w:t>
      </w:r>
      <w:r w:rsidR="00EB44EE" w:rsidRPr="007F3549">
        <w:rPr>
          <w:lang w:val="fr-FR"/>
        </w:rPr>
        <w:t>durant</w:t>
      </w:r>
      <w:r w:rsidR="00FF43AD" w:rsidRPr="007F3549">
        <w:rPr>
          <w:lang w:val="fr-FR"/>
        </w:rPr>
        <w:t xml:space="preserve"> </w:t>
      </w:r>
      <w:r w:rsidR="00EB44EE" w:rsidRPr="007F3549">
        <w:rPr>
          <w:lang w:val="fr-FR"/>
        </w:rPr>
        <w:t>l</w:t>
      </w:r>
      <w:r w:rsidR="00FF43AD" w:rsidRPr="007F3549">
        <w:rPr>
          <w:lang w:val="fr-FR"/>
        </w:rPr>
        <w:t xml:space="preserve">esquelles </w:t>
      </w:r>
      <w:r w:rsidR="00FF43AD" w:rsidRPr="007F3549">
        <w:rPr>
          <w:rStyle w:val="hps"/>
          <w:lang w:val="fr-FR"/>
        </w:rPr>
        <w:t>les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flux de trésorerie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OMPI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ont </w:t>
      </w:r>
      <w:r w:rsidR="00EB44EE" w:rsidRPr="007F3549">
        <w:rPr>
          <w:rStyle w:val="hps"/>
          <w:lang w:val="fr-FR"/>
        </w:rPr>
        <w:t>fait l</w:t>
      </w:r>
      <w:r w:rsidR="00876E92" w:rsidRPr="007F3549">
        <w:rPr>
          <w:rStyle w:val="hps"/>
          <w:lang w:val="fr-FR"/>
        </w:rPr>
        <w:t>’</w:t>
      </w:r>
      <w:r w:rsidR="00EB44EE" w:rsidRPr="007F3549">
        <w:rPr>
          <w:rStyle w:val="hps"/>
          <w:lang w:val="fr-FR"/>
        </w:rPr>
        <w:t>objet d</w:t>
      </w:r>
      <w:r w:rsidR="00876E92" w:rsidRPr="007F3549">
        <w:rPr>
          <w:rStyle w:val="hps"/>
          <w:lang w:val="fr-FR"/>
        </w:rPr>
        <w:t>’</w:t>
      </w:r>
      <w:r w:rsidR="00EB44EE" w:rsidRPr="007F3549">
        <w:rPr>
          <w:rStyle w:val="hps"/>
          <w:lang w:val="fr-FR"/>
        </w:rPr>
        <w:t>une surveillance étroite</w:t>
      </w:r>
      <w:r w:rsidR="00FF43AD" w:rsidRPr="007F3549">
        <w:rPr>
          <w:lang w:val="fr-FR"/>
        </w:rPr>
        <w:t xml:space="preserve">, il </w:t>
      </w:r>
      <w:r w:rsidR="00FF43AD" w:rsidRPr="007F3549">
        <w:rPr>
          <w:rStyle w:val="hps"/>
          <w:lang w:val="fr-FR"/>
        </w:rPr>
        <w:t>n</w:t>
      </w:r>
      <w:r w:rsidR="00876E92" w:rsidRPr="007F3549">
        <w:rPr>
          <w:rStyle w:val="hps"/>
          <w:lang w:val="fr-FR"/>
        </w:rPr>
        <w:t>’</w:t>
      </w:r>
      <w:r w:rsidR="00FF43AD" w:rsidRPr="007F3549">
        <w:rPr>
          <w:rStyle w:val="hps"/>
          <w:lang w:val="fr-FR"/>
        </w:rPr>
        <w:t>a pas dépassé</w:t>
      </w:r>
      <w:r w:rsidR="00FF43AD" w:rsidRPr="007F3549">
        <w:rPr>
          <w:lang w:val="fr-FR"/>
        </w:rPr>
        <w:t xml:space="preserve"> </w:t>
      </w:r>
      <w:r w:rsidR="00F16770" w:rsidRPr="007F3549">
        <w:rPr>
          <w:rStyle w:val="hps"/>
          <w:lang w:val="fr-FR"/>
        </w:rPr>
        <w:t>50 </w:t>
      </w:r>
      <w:r w:rsidR="00FF43AD" w:rsidRPr="007F3549">
        <w:rPr>
          <w:rStyle w:val="hps"/>
          <w:lang w:val="fr-FR"/>
        </w:rPr>
        <w:t>millions de francs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suisses</w:t>
      </w:r>
      <w:r w:rsidR="007D7ACA" w:rsidRPr="007F3549">
        <w:rPr>
          <w:lang w:val="fr-FR"/>
        </w:rPr>
        <w:t>.</w:t>
      </w:r>
    </w:p>
    <w:p w:rsidR="006E77DB" w:rsidRPr="007F3549" w:rsidRDefault="00CE2466" w:rsidP="00B50D94">
      <w:pPr>
        <w:pStyle w:val="ONUMFS"/>
        <w:rPr>
          <w:lang w:val="fr-FR"/>
        </w:rPr>
      </w:pPr>
      <w:r w:rsidRPr="007F3549">
        <w:rPr>
          <w:lang w:val="fr-FR"/>
        </w:rPr>
        <w:t>Outre le fait qu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il est nécessaire</w:t>
      </w:r>
      <w:r w:rsidR="00EB44EE" w:rsidRPr="007F3549">
        <w:rPr>
          <w:lang w:val="fr-FR"/>
        </w:rPr>
        <w:t xml:space="preserve"> de </w:t>
      </w:r>
      <w:r w:rsidRPr="007F3549">
        <w:rPr>
          <w:lang w:val="fr-FR"/>
        </w:rPr>
        <w:t>veiller à ce</w:t>
      </w:r>
      <w:r w:rsidR="00EB44EE" w:rsidRPr="007F3549">
        <w:rPr>
          <w:lang w:val="fr-FR"/>
        </w:rPr>
        <w:t xml:space="preserve"> que</w:t>
      </w:r>
      <w:r w:rsidR="00FF43AD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Organisation dispose de suffisamment de liquidités pour </w:t>
      </w:r>
      <w:r w:rsidR="00EB44EE" w:rsidRPr="007F3549">
        <w:rPr>
          <w:lang w:val="fr-FR"/>
        </w:rPr>
        <w:t>couvrir</w:t>
      </w:r>
      <w:r w:rsidR="00FF43AD" w:rsidRPr="007F3549">
        <w:rPr>
          <w:lang w:val="fr-FR"/>
        </w:rPr>
        <w:t xml:space="preserve"> ses besoins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exploitation, la liquidité </w:t>
      </w:r>
      <w:r w:rsidR="00C05D96" w:rsidRPr="007F3549">
        <w:rPr>
          <w:lang w:val="fr-FR"/>
        </w:rPr>
        <w:t>des réserves visées</w:t>
      </w:r>
      <w:r w:rsidR="00FF43AD" w:rsidRPr="007F3549">
        <w:rPr>
          <w:lang w:val="fr-FR"/>
        </w:rPr>
        <w:t xml:space="preserve"> </w:t>
      </w:r>
      <w:r w:rsidR="00EB44EE" w:rsidRPr="007F3549">
        <w:rPr>
          <w:lang w:val="fr-FR"/>
        </w:rPr>
        <w:t>doit</w:t>
      </w:r>
      <w:r w:rsidR="00FF43AD" w:rsidRPr="007F3549">
        <w:rPr>
          <w:lang w:val="fr-FR"/>
        </w:rPr>
        <w:t xml:space="preserve"> aussi être </w:t>
      </w:r>
      <w:r w:rsidR="00EB44EE" w:rsidRPr="007F3549">
        <w:rPr>
          <w:lang w:val="fr-FR"/>
        </w:rPr>
        <w:t>prise en considération</w:t>
      </w:r>
      <w:r w:rsidR="00FF43AD" w:rsidRPr="007F3549">
        <w:rPr>
          <w:lang w:val="fr-FR"/>
        </w:rPr>
        <w:t xml:space="preserve"> (</w:t>
      </w:r>
      <w:r w:rsidR="007108B8" w:rsidRPr="007F3549">
        <w:rPr>
          <w:lang w:val="fr-FR"/>
        </w:rPr>
        <w:t xml:space="preserve">le </w:t>
      </w:r>
      <w:r w:rsidR="00876E92" w:rsidRPr="007F3549">
        <w:rPr>
          <w:lang w:val="fr-FR"/>
        </w:rPr>
        <w:t>document WO</w:t>
      </w:r>
      <w:r w:rsidR="00DB0E05" w:rsidRPr="007F3549">
        <w:rPr>
          <w:lang w:val="fr-FR"/>
        </w:rPr>
        <w:t>/PBC/</w:t>
      </w:r>
      <w:r w:rsidR="00FF43AD" w:rsidRPr="007F3549">
        <w:rPr>
          <w:lang w:val="fr-FR"/>
        </w:rPr>
        <w:t xml:space="preserve">23/8 </w:t>
      </w:r>
      <w:r w:rsidRPr="007F3549">
        <w:rPr>
          <w:lang w:val="fr-FR"/>
        </w:rPr>
        <w:t>examine en détail</w:t>
      </w:r>
      <w:r w:rsidR="00EB44EE" w:rsidRPr="007F3549">
        <w:rPr>
          <w:lang w:val="fr-FR"/>
        </w:rPr>
        <w:t xml:space="preserve"> </w:t>
      </w:r>
      <w:r w:rsidR="00C05D96" w:rsidRPr="007F3549">
        <w:rPr>
          <w:lang w:val="fr-FR"/>
        </w:rPr>
        <w:t>le niveau visé pour les réserves</w:t>
      </w:r>
      <w:r w:rsidR="00FF43AD" w:rsidRPr="007F3549">
        <w:rPr>
          <w:lang w:val="fr-FR"/>
        </w:rPr>
        <w:t xml:space="preserve">). </w:t>
      </w:r>
      <w:r w:rsidR="00A5747A" w:rsidRPr="007F3549">
        <w:rPr>
          <w:lang w:val="fr-FR"/>
        </w:rPr>
        <w:t xml:space="preserve"> Conformément à </w:t>
      </w:r>
      <w:r w:rsidR="00C05D96"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C05D96" w:rsidRPr="007F3549">
        <w:rPr>
          <w:lang w:val="fr-FR"/>
        </w:rPr>
        <w:t>objectif actuel</w:t>
      </w:r>
      <w:r w:rsidR="00A5747A" w:rsidRPr="007F3549">
        <w:rPr>
          <w:lang w:val="fr-FR"/>
        </w:rPr>
        <w:t>, c</w:t>
      </w:r>
      <w:r w:rsidR="00FF43AD" w:rsidRPr="007F3549">
        <w:rPr>
          <w:lang w:val="fr-FR"/>
        </w:rPr>
        <w:t xml:space="preserve">ette réserve a été </w:t>
      </w:r>
      <w:r w:rsidR="00A5747A" w:rsidRPr="007F3549">
        <w:rPr>
          <w:lang w:val="fr-FR"/>
        </w:rPr>
        <w:t>fixée</w:t>
      </w:r>
      <w:r w:rsidR="00EB44EE" w:rsidRPr="007F3549">
        <w:rPr>
          <w:lang w:val="fr-FR"/>
        </w:rPr>
        <w:t xml:space="preserve"> à 125 millions de francs suisses pour</w:t>
      </w:r>
      <w:r w:rsidR="00A5747A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A5747A" w:rsidRPr="007F3549">
        <w:rPr>
          <w:lang w:val="fr-FR"/>
        </w:rPr>
        <w:t>exercice</w:t>
      </w:r>
      <w:r w:rsidR="00EB44EE" w:rsidRPr="007F3549">
        <w:rPr>
          <w:lang w:val="fr-FR"/>
        </w:rPr>
        <w:t> </w:t>
      </w:r>
      <w:r w:rsidR="00A5747A" w:rsidRPr="007F3549">
        <w:rPr>
          <w:lang w:val="fr-FR"/>
        </w:rPr>
        <w:t>2015</w:t>
      </w:r>
      <w:r w:rsidR="00C05D96" w:rsidRPr="007F3549">
        <w:rPr>
          <w:lang w:val="fr-FR"/>
        </w:rPr>
        <w:t xml:space="preserve"> afin que</w:t>
      </w:r>
      <w:r w:rsidR="00A5747A" w:rsidRPr="007F3549">
        <w:rPr>
          <w:lang w:val="fr-FR"/>
        </w:rPr>
        <w:t xml:space="preserve"> l</w:t>
      </w:r>
      <w:r w:rsidR="00FF43AD" w:rsidRPr="007F3549">
        <w:rPr>
          <w:lang w:val="fr-FR"/>
        </w:rPr>
        <w:t xml:space="preserve">es réserves </w:t>
      </w:r>
      <w:r w:rsidR="00A5747A" w:rsidRPr="007F3549">
        <w:rPr>
          <w:lang w:val="fr-FR"/>
        </w:rPr>
        <w:t xml:space="preserve">disponibles soient </w:t>
      </w:r>
      <w:r w:rsidR="00FF43AD" w:rsidRPr="007F3549">
        <w:rPr>
          <w:lang w:val="fr-FR"/>
        </w:rPr>
        <w:t xml:space="preserve">suffisantes pour permettre la poursuite des opérations en cas de </w:t>
      </w:r>
      <w:r w:rsidR="00A5747A" w:rsidRPr="007F3549">
        <w:rPr>
          <w:lang w:val="fr-FR"/>
        </w:rPr>
        <w:t>diminution</w:t>
      </w:r>
      <w:r w:rsidR="00FF43AD" w:rsidRPr="007F3549">
        <w:rPr>
          <w:lang w:val="fr-FR"/>
        </w:rPr>
        <w:t xml:space="preserve"> </w:t>
      </w:r>
      <w:r w:rsidR="00A5747A" w:rsidRPr="007F3549">
        <w:rPr>
          <w:lang w:val="fr-FR"/>
        </w:rPr>
        <w:t>des recettes</w:t>
      </w:r>
      <w:r w:rsidR="00FF43AD" w:rsidRPr="007F3549">
        <w:rPr>
          <w:lang w:val="fr-FR"/>
        </w:rPr>
        <w:t xml:space="preserve">. </w:t>
      </w:r>
      <w:r w:rsidR="00EB44EE" w:rsidRPr="007F3549">
        <w:rPr>
          <w:lang w:val="fr-FR"/>
        </w:rPr>
        <w:t xml:space="preserve"> </w:t>
      </w:r>
      <w:r w:rsidR="00EF7808" w:rsidRPr="007F3549">
        <w:rPr>
          <w:lang w:val="fr-FR"/>
        </w:rPr>
        <w:t>En l</w:t>
      </w:r>
      <w:r w:rsidR="00876E92" w:rsidRPr="007F3549">
        <w:rPr>
          <w:lang w:val="fr-FR"/>
        </w:rPr>
        <w:t>’</w:t>
      </w:r>
      <w:r w:rsidR="00EF7808" w:rsidRPr="007F3549">
        <w:rPr>
          <w:lang w:val="fr-FR"/>
        </w:rPr>
        <w:t>état</w:t>
      </w:r>
      <w:r w:rsidR="00FF43AD" w:rsidRPr="007F3549">
        <w:rPr>
          <w:lang w:val="fr-FR"/>
        </w:rPr>
        <w:t xml:space="preserve">, </w:t>
      </w:r>
      <w:r w:rsidR="00EF7808" w:rsidRPr="007F3549">
        <w:rPr>
          <w:lang w:val="fr-FR"/>
        </w:rPr>
        <w:t xml:space="preserve">on peut dire </w:t>
      </w:r>
      <w:r w:rsidR="00FF43AD" w:rsidRPr="007F3549">
        <w:rPr>
          <w:lang w:val="fr-FR"/>
        </w:rPr>
        <w:t>qu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un montant </w:t>
      </w:r>
      <w:r w:rsidR="00EF7808" w:rsidRPr="007F3549">
        <w:rPr>
          <w:lang w:val="fr-FR"/>
        </w:rPr>
        <w:t>de trésorerie</w:t>
      </w:r>
      <w:r w:rsidR="00FF43AD" w:rsidRPr="007F3549">
        <w:rPr>
          <w:lang w:val="fr-FR"/>
        </w:rPr>
        <w:t xml:space="preserve"> équivalent </w:t>
      </w:r>
      <w:r w:rsidR="00C05D96" w:rsidRPr="007F3549">
        <w:rPr>
          <w:lang w:val="fr-FR"/>
        </w:rPr>
        <w:t>au niveau visé</w:t>
      </w:r>
      <w:r w:rsidR="00FF43AD" w:rsidRPr="007F3549">
        <w:rPr>
          <w:lang w:val="fr-FR"/>
        </w:rPr>
        <w:t xml:space="preserve"> </w:t>
      </w:r>
      <w:r w:rsidR="00EF7808" w:rsidRPr="007F3549">
        <w:rPr>
          <w:lang w:val="fr-FR"/>
        </w:rPr>
        <w:t>doit</w:t>
      </w:r>
      <w:r w:rsidR="00FF43AD" w:rsidRPr="007F3549">
        <w:rPr>
          <w:lang w:val="fr-FR"/>
        </w:rPr>
        <w:t xml:space="preserve"> être </w:t>
      </w:r>
      <w:r w:rsidR="00C05D96" w:rsidRPr="007F3549">
        <w:rPr>
          <w:lang w:val="fr-FR"/>
        </w:rPr>
        <w:t>dé</w:t>
      </w:r>
      <w:r w:rsidR="00EB44EE" w:rsidRPr="007F3549">
        <w:rPr>
          <w:lang w:val="fr-FR"/>
        </w:rPr>
        <w:t xml:space="preserve">tenu sous forme liquide. </w:t>
      </w:r>
      <w:r w:rsidR="00EF7808" w:rsidRPr="007F3549">
        <w:rPr>
          <w:lang w:val="fr-FR"/>
        </w:rPr>
        <w:t xml:space="preserve"> </w:t>
      </w:r>
      <w:r w:rsidR="00EB44EE" w:rsidRPr="007F3549">
        <w:rPr>
          <w:lang w:val="fr-FR"/>
        </w:rPr>
        <w:t>Les 50 </w:t>
      </w:r>
      <w:r w:rsidR="00FF43AD" w:rsidRPr="007F3549">
        <w:rPr>
          <w:lang w:val="fr-FR"/>
        </w:rPr>
        <w:t xml:space="preserve">millions de francs suisses nécessaires pour les paiements </w:t>
      </w:r>
      <w:r w:rsidR="00C05D96" w:rsidRPr="007F3549">
        <w:rPr>
          <w:lang w:val="fr-FR"/>
        </w:rPr>
        <w:t>courants</w:t>
      </w:r>
      <w:r w:rsidR="00FF43AD" w:rsidRPr="007F3549">
        <w:rPr>
          <w:lang w:val="fr-FR"/>
        </w:rPr>
        <w:t xml:space="preserve"> feraient partie de </w:t>
      </w:r>
      <w:r w:rsidR="00EF7808" w:rsidRPr="007F3549">
        <w:rPr>
          <w:lang w:val="fr-FR"/>
        </w:rPr>
        <w:t>la trésorerie</w:t>
      </w:r>
      <w:r w:rsidR="00FF43AD" w:rsidRPr="007F3549">
        <w:rPr>
          <w:lang w:val="fr-FR"/>
        </w:rPr>
        <w:t xml:space="preserve"> nécessaire pour couvrir ce montant </w:t>
      </w:r>
      <w:r w:rsidR="00C05D96" w:rsidRPr="007F3549">
        <w:rPr>
          <w:lang w:val="fr-FR"/>
        </w:rPr>
        <w:t>visé</w:t>
      </w:r>
      <w:r w:rsidR="00FF43AD" w:rsidRPr="007F3549">
        <w:rPr>
          <w:lang w:val="fr-FR"/>
        </w:rPr>
        <w:t xml:space="preserve">, </w:t>
      </w:r>
      <w:r w:rsidR="00EF7808" w:rsidRPr="007F3549">
        <w:rPr>
          <w:lang w:val="fr-FR"/>
        </w:rPr>
        <w:t>ce qui permettrait à</w:t>
      </w:r>
      <w:r w:rsidR="00FF43AD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Organisation </w:t>
      </w:r>
      <w:r w:rsidR="00EF7808" w:rsidRPr="007F3549">
        <w:rPr>
          <w:lang w:val="fr-FR"/>
        </w:rPr>
        <w:t xml:space="preserve">de </w:t>
      </w:r>
      <w:r w:rsidR="00403532" w:rsidRPr="007F3549">
        <w:rPr>
          <w:lang w:val="fr-FR"/>
        </w:rPr>
        <w:t>conserver des soldes</w:t>
      </w:r>
      <w:r w:rsidR="00FF43AD" w:rsidRPr="007F3549">
        <w:rPr>
          <w:lang w:val="fr-FR"/>
        </w:rPr>
        <w:t xml:space="preserve"> de tréso</w:t>
      </w:r>
      <w:r w:rsidR="00EB44EE" w:rsidRPr="007F3549">
        <w:rPr>
          <w:lang w:val="fr-FR"/>
        </w:rPr>
        <w:t>rerie de 125 </w:t>
      </w:r>
      <w:r w:rsidR="00FF43AD" w:rsidRPr="007F3549">
        <w:rPr>
          <w:lang w:val="fr-FR"/>
        </w:rPr>
        <w:t xml:space="preserve">millions de francs suisses </w:t>
      </w:r>
      <w:r w:rsidR="00EF7808" w:rsidRPr="007F3549">
        <w:rPr>
          <w:lang w:val="fr-FR"/>
        </w:rPr>
        <w:t>durant</w:t>
      </w:r>
      <w:r w:rsidR="00EB44EE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EB44EE" w:rsidRPr="007F3549">
        <w:rPr>
          <w:lang w:val="fr-FR"/>
        </w:rPr>
        <w:t>exercice </w:t>
      </w:r>
      <w:r w:rsidR="00FF43AD" w:rsidRPr="007F3549">
        <w:rPr>
          <w:lang w:val="fr-FR"/>
        </w:rPr>
        <w:t xml:space="preserve">2015. </w:t>
      </w:r>
      <w:r w:rsidR="00EB44EE" w:rsidRPr="007F3549">
        <w:rPr>
          <w:lang w:val="fr-FR"/>
        </w:rPr>
        <w:t xml:space="preserve"> La </w:t>
      </w:r>
      <w:r w:rsidR="00FF43AD" w:rsidRPr="007F3549">
        <w:rPr>
          <w:lang w:val="fr-FR"/>
        </w:rPr>
        <w:t>trésorerie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>exploitation devrait être investi</w:t>
      </w:r>
      <w:r w:rsidR="00EB44EE" w:rsidRPr="007F3549">
        <w:rPr>
          <w:lang w:val="fr-FR"/>
        </w:rPr>
        <w:t>e</w:t>
      </w:r>
      <w:r w:rsidR="00403532" w:rsidRPr="007F3549">
        <w:rPr>
          <w:lang w:val="fr-FR"/>
        </w:rPr>
        <w:t xml:space="preserve"> uniquement </w:t>
      </w:r>
      <w:r w:rsidR="00FF43AD" w:rsidRPr="007F3549">
        <w:rPr>
          <w:lang w:val="fr-FR"/>
        </w:rPr>
        <w:t xml:space="preserve">dans des </w:t>
      </w:r>
      <w:r w:rsidR="006C700C" w:rsidRPr="007F3549">
        <w:rPr>
          <w:lang w:val="fr-FR"/>
        </w:rPr>
        <w:t>classes</w:t>
      </w:r>
      <w:r w:rsidR="00FF43AD" w:rsidRPr="007F3549">
        <w:rPr>
          <w:lang w:val="fr-FR"/>
        </w:rPr>
        <w:t xml:space="preserve">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actifs facilement </w:t>
      </w:r>
      <w:r w:rsidR="00E65C60" w:rsidRPr="007F3549">
        <w:rPr>
          <w:lang w:val="fr-FR"/>
        </w:rPr>
        <w:t>convertibles en liquidités</w:t>
      </w:r>
      <w:r w:rsidR="00FF43AD" w:rsidRPr="007F3549">
        <w:rPr>
          <w:lang w:val="fr-FR"/>
        </w:rPr>
        <w:t xml:space="preserve"> à coût faible </w:t>
      </w:r>
      <w:r w:rsidR="00E65C60" w:rsidRPr="007F3549">
        <w:rPr>
          <w:lang w:val="fr-FR"/>
        </w:rPr>
        <w:t>voire</w:t>
      </w:r>
      <w:r w:rsidR="00FF43AD" w:rsidRPr="007F3549">
        <w:rPr>
          <w:lang w:val="fr-FR"/>
        </w:rPr>
        <w:t xml:space="preserve"> nul. </w:t>
      </w:r>
      <w:r w:rsidR="00EB44EE" w:rsidRPr="007F3549">
        <w:rPr>
          <w:lang w:val="fr-FR"/>
        </w:rPr>
        <w:t xml:space="preserve"> </w:t>
      </w:r>
      <w:r w:rsidR="00FF43AD" w:rsidRPr="007F3549">
        <w:rPr>
          <w:lang w:val="fr-FR"/>
        </w:rPr>
        <w:t xml:space="preserve">Ces types </w:t>
      </w:r>
      <w:r w:rsidR="0011339C" w:rsidRPr="007F3549">
        <w:rPr>
          <w:lang w:val="fr-FR"/>
        </w:rPr>
        <w:t>de placements</w:t>
      </w:r>
      <w:r w:rsidR="00FF43AD" w:rsidRPr="007F3549">
        <w:rPr>
          <w:lang w:val="fr-FR"/>
        </w:rPr>
        <w:t xml:space="preserve"> </w:t>
      </w:r>
      <w:r w:rsidR="00D9263E" w:rsidRPr="007F3549">
        <w:rPr>
          <w:lang w:val="fr-FR"/>
        </w:rPr>
        <w:t>figurent notamment</w:t>
      </w:r>
      <w:r w:rsidR="00FF43AD" w:rsidRPr="007F3549">
        <w:rPr>
          <w:lang w:val="fr-FR"/>
        </w:rPr>
        <w:t xml:space="preserve"> dans </w:t>
      </w:r>
      <w:r w:rsidR="00EB44EE" w:rsidRPr="007F3549">
        <w:rPr>
          <w:lang w:val="fr-FR"/>
        </w:rPr>
        <w:t xml:space="preserve">la liste </w:t>
      </w:r>
      <w:r w:rsidR="00D9263E" w:rsidRPr="007F3549">
        <w:rPr>
          <w:lang w:val="fr-FR"/>
        </w:rPr>
        <w:t xml:space="preserve">du </w:t>
      </w:r>
      <w:r w:rsidR="00EB44EE" w:rsidRPr="007F3549">
        <w:rPr>
          <w:lang w:val="fr-FR"/>
        </w:rPr>
        <w:t>paragraphe </w:t>
      </w:r>
      <w:r w:rsidR="00FF43AD" w:rsidRPr="007F3549">
        <w:rPr>
          <w:lang w:val="fr-FR"/>
        </w:rPr>
        <w:t>10.</w:t>
      </w:r>
      <w:r w:rsidR="00EB44EE" w:rsidRPr="007F3549">
        <w:rPr>
          <w:lang w:val="fr-FR"/>
        </w:rPr>
        <w:t xml:space="preserve"> </w:t>
      </w:r>
      <w:r w:rsidR="00FF43AD" w:rsidRPr="007F3549">
        <w:rPr>
          <w:lang w:val="fr-FR"/>
        </w:rPr>
        <w:t xml:space="preserve"> </w:t>
      </w:r>
      <w:r w:rsidR="0011339C" w:rsidRPr="007F3549">
        <w:rPr>
          <w:lang w:val="fr-FR"/>
        </w:rPr>
        <w:t>Les placements facilement convertibles en liquidités</w:t>
      </w:r>
      <w:r w:rsidR="00FF43AD" w:rsidRPr="007F3549">
        <w:rPr>
          <w:lang w:val="fr-FR"/>
        </w:rPr>
        <w:t xml:space="preserve"> </w:t>
      </w:r>
      <w:r w:rsidR="0011339C" w:rsidRPr="007F3549">
        <w:rPr>
          <w:lang w:val="fr-FR"/>
        </w:rPr>
        <w:t>(dépôts, par exemple) ont</w:t>
      </w:r>
      <w:r w:rsidR="00FF43AD" w:rsidRPr="007F3549">
        <w:rPr>
          <w:lang w:val="fr-FR"/>
        </w:rPr>
        <w:t xml:space="preserve"> actuellement un rendement négatif, mais l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Organisation continuera de rechercher des </w:t>
      </w:r>
      <w:r w:rsidR="00A843D4" w:rsidRPr="007F3549">
        <w:rPr>
          <w:lang w:val="fr-FR"/>
        </w:rPr>
        <w:t>solutions</w:t>
      </w:r>
      <w:r w:rsidR="00FF43AD" w:rsidRPr="007F3549">
        <w:rPr>
          <w:lang w:val="fr-FR"/>
        </w:rPr>
        <w:t xml:space="preserve"> </w:t>
      </w:r>
      <w:r w:rsidR="00A843D4" w:rsidRPr="007F3549">
        <w:rPr>
          <w:lang w:val="fr-FR"/>
        </w:rPr>
        <w:t>de placement</w:t>
      </w:r>
      <w:r w:rsidR="00FF43AD" w:rsidRPr="007F3549">
        <w:rPr>
          <w:lang w:val="fr-FR"/>
        </w:rPr>
        <w:t xml:space="preserve"> </w:t>
      </w:r>
      <w:r w:rsidR="00A843D4" w:rsidRPr="007F3549">
        <w:rPr>
          <w:lang w:val="fr-FR"/>
        </w:rPr>
        <w:t>dont le</w:t>
      </w:r>
      <w:r w:rsidR="003805B9" w:rsidRPr="007F3549">
        <w:rPr>
          <w:lang w:val="fr-FR"/>
        </w:rPr>
        <w:t xml:space="preserve"> </w:t>
      </w:r>
      <w:r w:rsidR="00FF43AD" w:rsidRPr="007F3549">
        <w:rPr>
          <w:lang w:val="fr-FR"/>
        </w:rPr>
        <w:t xml:space="preserve">rendement </w:t>
      </w:r>
      <w:r w:rsidR="00A843D4" w:rsidRPr="007F3549">
        <w:rPr>
          <w:lang w:val="fr-FR"/>
        </w:rPr>
        <w:t xml:space="preserve">à court terme est </w:t>
      </w:r>
      <w:r w:rsidR="00FF43AD" w:rsidRPr="007F3549">
        <w:rPr>
          <w:lang w:val="fr-FR"/>
        </w:rPr>
        <w:t xml:space="preserve">positif, </w:t>
      </w:r>
      <w:r w:rsidR="00876E92" w:rsidRPr="007F3549">
        <w:rPr>
          <w:lang w:val="fr-FR"/>
        </w:rPr>
        <w:t>y compris</w:t>
      </w:r>
      <w:r w:rsidR="00FF43AD" w:rsidRPr="007F3549">
        <w:rPr>
          <w:lang w:val="fr-FR"/>
        </w:rPr>
        <w:t xml:space="preserve"> </w:t>
      </w:r>
      <w:r w:rsidR="00EB44EE" w:rsidRPr="007F3549">
        <w:rPr>
          <w:lang w:val="fr-FR"/>
        </w:rPr>
        <w:t xml:space="preserve">des </w:t>
      </w:r>
      <w:r w:rsidR="00A843D4" w:rsidRPr="007F3549">
        <w:rPr>
          <w:lang w:val="fr-FR"/>
        </w:rPr>
        <w:t>solutions permettant</w:t>
      </w:r>
      <w:r w:rsidR="00FF43AD" w:rsidRPr="007F3549">
        <w:rPr>
          <w:lang w:val="fr-FR"/>
        </w:rPr>
        <w:t xml:space="preserve"> d</w:t>
      </w:r>
      <w:r w:rsidR="00876E92" w:rsidRPr="007F3549">
        <w:rPr>
          <w:lang w:val="fr-FR"/>
        </w:rPr>
        <w:t>’</w:t>
      </w:r>
      <w:r w:rsidR="00FF43AD" w:rsidRPr="007F3549">
        <w:rPr>
          <w:lang w:val="fr-FR"/>
        </w:rPr>
        <w:t xml:space="preserve">obtenir un rendement global positif </w:t>
      </w:r>
      <w:r w:rsidR="003805B9" w:rsidRPr="007F3549">
        <w:rPr>
          <w:lang w:val="fr-FR"/>
        </w:rPr>
        <w:t>d</w:t>
      </w:r>
      <w:r w:rsidR="00FF43AD" w:rsidRPr="007F3549">
        <w:rPr>
          <w:lang w:val="fr-FR"/>
        </w:rPr>
        <w:t xml:space="preserve">es placements à court terme détenus dans des </w:t>
      </w:r>
      <w:r w:rsidR="003805B9" w:rsidRPr="007F3549">
        <w:rPr>
          <w:lang w:val="fr-FR"/>
        </w:rPr>
        <w:t>devises</w:t>
      </w:r>
      <w:r w:rsidR="00FF43AD" w:rsidRPr="007F3549">
        <w:rPr>
          <w:lang w:val="fr-FR"/>
        </w:rPr>
        <w:t xml:space="preserve"> autres que le franc suisse</w:t>
      </w:r>
      <w:r w:rsidR="00933F0A" w:rsidRPr="007F3549">
        <w:rPr>
          <w:lang w:val="fr-FR"/>
        </w:rPr>
        <w:t>.</w:t>
      </w:r>
    </w:p>
    <w:p w:rsidR="00312356" w:rsidRPr="0053053B" w:rsidRDefault="00265172" w:rsidP="00B50D94">
      <w:pPr>
        <w:pStyle w:val="ONUMFS"/>
        <w:rPr>
          <w:lang w:val="fr-FR"/>
        </w:rPr>
      </w:pPr>
      <w:r w:rsidRPr="0053053B">
        <w:rPr>
          <w:lang w:val="fr-FR"/>
        </w:rPr>
        <w:t>Jusqu</w:t>
      </w:r>
      <w:r w:rsidR="00876E92" w:rsidRPr="0053053B">
        <w:rPr>
          <w:lang w:val="fr-FR"/>
        </w:rPr>
        <w:t>’</w:t>
      </w:r>
      <w:r w:rsidRPr="0053053B">
        <w:rPr>
          <w:lang w:val="fr-FR"/>
        </w:rPr>
        <w:t>à présent, l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>O</w:t>
      </w:r>
      <w:r w:rsidRPr="0053053B">
        <w:rPr>
          <w:lang w:val="fr-FR"/>
        </w:rPr>
        <w:t>MPI a</w:t>
      </w:r>
      <w:r w:rsidR="00FF43AD" w:rsidRPr="0053053B">
        <w:rPr>
          <w:lang w:val="fr-FR"/>
        </w:rPr>
        <w:t xml:space="preserve"> été en mesure d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>éviter l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>impact des taux d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>intérêt négatifs sur sa trésorerie.</w:t>
      </w:r>
      <w:r w:rsidRPr="0053053B">
        <w:rPr>
          <w:lang w:val="fr-FR"/>
        </w:rPr>
        <w:t xml:space="preserve"> </w:t>
      </w:r>
      <w:r w:rsidR="00FF43AD" w:rsidRPr="0053053B">
        <w:rPr>
          <w:lang w:val="fr-FR"/>
        </w:rPr>
        <w:t xml:space="preserve"> </w:t>
      </w:r>
      <w:r w:rsidRPr="0053053B">
        <w:rPr>
          <w:lang w:val="fr-FR"/>
        </w:rPr>
        <w:t>Les principaux p</w:t>
      </w:r>
      <w:r w:rsidR="00FF43AD" w:rsidRPr="0053053B">
        <w:rPr>
          <w:lang w:val="fr-FR"/>
        </w:rPr>
        <w:t xml:space="preserve">artenaires bancaires de </w:t>
      </w:r>
      <w:r w:rsidRPr="0053053B">
        <w:rPr>
          <w:lang w:val="fr-FR"/>
        </w:rPr>
        <w:t>l</w:t>
      </w:r>
      <w:r w:rsidR="00876E92" w:rsidRPr="0053053B">
        <w:rPr>
          <w:lang w:val="fr-FR"/>
        </w:rPr>
        <w:t>’</w:t>
      </w:r>
      <w:r w:rsidRPr="0053053B">
        <w:rPr>
          <w:lang w:val="fr-FR"/>
        </w:rPr>
        <w:t>OMPI</w:t>
      </w:r>
      <w:r w:rsidR="00FF43AD" w:rsidRPr="0053053B">
        <w:rPr>
          <w:lang w:val="fr-FR"/>
        </w:rPr>
        <w:t xml:space="preserve"> ont mis à la disposition de l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 xml:space="preserve">Organisation un mélange de </w:t>
      </w:r>
      <w:r w:rsidR="00FC3A44" w:rsidRPr="0053053B">
        <w:rPr>
          <w:lang w:val="fr-FR"/>
        </w:rPr>
        <w:t>dépôts à court terme</w:t>
      </w:r>
      <w:r w:rsidR="00FF43AD" w:rsidRPr="0053053B">
        <w:rPr>
          <w:lang w:val="fr-FR"/>
        </w:rPr>
        <w:t xml:space="preserve"> (jusqu</w:t>
      </w:r>
      <w:r w:rsidR="00876E92" w:rsidRPr="0053053B">
        <w:rPr>
          <w:lang w:val="fr-FR"/>
        </w:rPr>
        <w:t>’</w:t>
      </w:r>
      <w:r w:rsidR="00FC3A44" w:rsidRPr="0053053B">
        <w:rPr>
          <w:lang w:val="fr-FR"/>
        </w:rPr>
        <w:t>à 35 </w:t>
      </w:r>
      <w:r w:rsidR="00FF43AD" w:rsidRPr="0053053B">
        <w:rPr>
          <w:lang w:val="fr-FR"/>
        </w:rPr>
        <w:t xml:space="preserve">jours) à taux zéro et </w:t>
      </w:r>
      <w:r w:rsidR="00FC3A44" w:rsidRPr="0053053B">
        <w:rPr>
          <w:lang w:val="fr-FR"/>
        </w:rPr>
        <w:t xml:space="preserve">de </w:t>
      </w:r>
      <w:r w:rsidR="00FF43AD" w:rsidRPr="0053053B">
        <w:rPr>
          <w:lang w:val="fr-FR"/>
        </w:rPr>
        <w:t xml:space="preserve">seuils </w:t>
      </w:r>
      <w:r w:rsidR="00617726" w:rsidRPr="0053053B">
        <w:rPr>
          <w:lang w:val="fr-FR"/>
        </w:rPr>
        <w:t>“</w:t>
      </w:r>
      <w:r w:rsidR="00FC3A44" w:rsidRPr="0053053B">
        <w:rPr>
          <w:lang w:val="fr-FR"/>
        </w:rPr>
        <w:t>d</w:t>
      </w:r>
      <w:r w:rsidR="00876E92" w:rsidRPr="0053053B">
        <w:rPr>
          <w:lang w:val="fr-FR"/>
        </w:rPr>
        <w:t>’</w:t>
      </w:r>
      <w:r w:rsidR="00FC3A44" w:rsidRPr="0053053B">
        <w:rPr>
          <w:lang w:val="fr-FR"/>
        </w:rPr>
        <w:t>exemption</w:t>
      </w:r>
      <w:r w:rsidR="00617726" w:rsidRPr="0053053B">
        <w:rPr>
          <w:lang w:val="fr-FR"/>
        </w:rPr>
        <w:t>”</w:t>
      </w:r>
      <w:r w:rsidR="00FC3A44" w:rsidRPr="0053053B">
        <w:rPr>
          <w:lang w:val="fr-FR"/>
        </w:rPr>
        <w:t xml:space="preserve"> des soldes de trésorerie </w:t>
      </w:r>
      <w:r w:rsidR="00FF43AD" w:rsidRPr="0053053B">
        <w:rPr>
          <w:lang w:val="fr-FR"/>
        </w:rPr>
        <w:t xml:space="preserve">en </w:t>
      </w:r>
      <w:r w:rsidRPr="0053053B">
        <w:rPr>
          <w:lang w:val="fr-FR"/>
        </w:rPr>
        <w:t xml:space="preserve">deçà </w:t>
      </w:r>
      <w:r w:rsidR="00FF43AD" w:rsidRPr="0053053B">
        <w:rPr>
          <w:lang w:val="fr-FR"/>
        </w:rPr>
        <w:t xml:space="preserve">desquels </w:t>
      </w:r>
      <w:r w:rsidR="00FC3A44" w:rsidRPr="0053053B">
        <w:rPr>
          <w:lang w:val="fr-FR"/>
        </w:rPr>
        <w:t>aucun</w:t>
      </w:r>
      <w:r w:rsidR="00FF43AD" w:rsidRPr="0053053B">
        <w:rPr>
          <w:lang w:val="fr-FR"/>
        </w:rPr>
        <w:t xml:space="preserve"> taux d</w:t>
      </w:r>
      <w:r w:rsidR="00876E92" w:rsidRPr="0053053B">
        <w:rPr>
          <w:lang w:val="fr-FR"/>
        </w:rPr>
        <w:t>’</w:t>
      </w:r>
      <w:r w:rsidR="00FC3A44" w:rsidRPr="0053053B">
        <w:rPr>
          <w:lang w:val="fr-FR"/>
        </w:rPr>
        <w:t>intérêt négatif n</w:t>
      </w:r>
      <w:r w:rsidR="00876E92" w:rsidRPr="0053053B">
        <w:rPr>
          <w:lang w:val="fr-FR"/>
        </w:rPr>
        <w:t>’</w:t>
      </w:r>
      <w:r w:rsidR="00FC3A44" w:rsidRPr="0053053B">
        <w:rPr>
          <w:lang w:val="fr-FR"/>
        </w:rPr>
        <w:t>est prélevé actuellement</w:t>
      </w:r>
      <w:r w:rsidR="00FF43AD" w:rsidRPr="0053053B">
        <w:rPr>
          <w:lang w:val="fr-FR"/>
        </w:rPr>
        <w:t xml:space="preserve">. </w:t>
      </w:r>
      <w:r w:rsidRPr="0053053B">
        <w:rPr>
          <w:lang w:val="fr-FR"/>
        </w:rPr>
        <w:t xml:space="preserve"> </w:t>
      </w:r>
      <w:r w:rsidR="0053053B" w:rsidRPr="0053053B">
        <w:rPr>
          <w:lang w:val="fr-FR"/>
        </w:rPr>
        <w:t>A</w:t>
      </w:r>
      <w:r w:rsidRPr="0053053B">
        <w:rPr>
          <w:lang w:val="fr-FR"/>
        </w:rPr>
        <w:t>u début du mois de mai </w:t>
      </w:r>
      <w:r w:rsidR="00FF43AD" w:rsidRPr="0053053B">
        <w:rPr>
          <w:lang w:val="fr-FR"/>
        </w:rPr>
        <w:t xml:space="preserve">2015, </w:t>
      </w:r>
      <w:r w:rsidR="00A843D4" w:rsidRPr="0053053B">
        <w:rPr>
          <w:lang w:val="fr-FR"/>
        </w:rPr>
        <w:t>ce montage</w:t>
      </w:r>
      <w:r w:rsidR="00FF43AD" w:rsidRPr="0053053B">
        <w:rPr>
          <w:lang w:val="fr-FR"/>
        </w:rPr>
        <w:t xml:space="preserve"> </w:t>
      </w:r>
      <w:r w:rsidR="0053053B" w:rsidRPr="0053053B">
        <w:rPr>
          <w:lang w:val="fr-FR"/>
        </w:rPr>
        <w:t xml:space="preserve">représentait </w:t>
      </w:r>
      <w:r w:rsidRPr="0053053B">
        <w:rPr>
          <w:lang w:val="fr-FR"/>
        </w:rPr>
        <w:t>un total de 125 </w:t>
      </w:r>
      <w:r w:rsidR="00FF43AD" w:rsidRPr="0053053B">
        <w:rPr>
          <w:lang w:val="fr-FR"/>
        </w:rPr>
        <w:t>millions de francs suisses.</w:t>
      </w:r>
      <w:r w:rsidRPr="0053053B">
        <w:rPr>
          <w:lang w:val="fr-FR"/>
        </w:rPr>
        <w:t xml:space="preserve"> </w:t>
      </w:r>
      <w:r w:rsidR="00FF43AD" w:rsidRPr="0053053B">
        <w:rPr>
          <w:lang w:val="fr-FR"/>
        </w:rPr>
        <w:t xml:space="preserve"> </w:t>
      </w:r>
      <w:r w:rsidRPr="0053053B">
        <w:rPr>
          <w:lang w:val="fr-FR"/>
        </w:rPr>
        <w:t>L</w:t>
      </w:r>
      <w:r w:rsidR="00876E92" w:rsidRPr="0053053B">
        <w:rPr>
          <w:lang w:val="fr-FR"/>
        </w:rPr>
        <w:t>’</w:t>
      </w:r>
      <w:r w:rsidRPr="0053053B">
        <w:rPr>
          <w:lang w:val="fr-FR"/>
        </w:rPr>
        <w:t>OMPI détient toujours l</w:t>
      </w:r>
      <w:r w:rsidR="00FF43AD" w:rsidRPr="0053053B">
        <w:rPr>
          <w:lang w:val="fr-FR"/>
        </w:rPr>
        <w:t xml:space="preserve">e </w:t>
      </w:r>
      <w:r w:rsidR="00FC3A44" w:rsidRPr="0053053B">
        <w:rPr>
          <w:lang w:val="fr-FR"/>
        </w:rPr>
        <w:t>montant restant</w:t>
      </w:r>
      <w:r w:rsidR="00FF43AD" w:rsidRPr="0053053B">
        <w:rPr>
          <w:lang w:val="fr-FR"/>
        </w:rPr>
        <w:t xml:space="preserve"> de </w:t>
      </w:r>
      <w:r w:rsidRPr="0053053B">
        <w:rPr>
          <w:lang w:val="fr-FR"/>
        </w:rPr>
        <w:t>s</w:t>
      </w:r>
      <w:r w:rsidR="00FF43AD" w:rsidRPr="0053053B">
        <w:rPr>
          <w:lang w:val="fr-FR"/>
        </w:rPr>
        <w:t xml:space="preserve">a trésorerie </w:t>
      </w:r>
      <w:r w:rsidRPr="0053053B">
        <w:rPr>
          <w:lang w:val="fr-FR"/>
        </w:rPr>
        <w:t>auprès de</w:t>
      </w:r>
      <w:r w:rsidR="00FF43AD" w:rsidRPr="0053053B">
        <w:rPr>
          <w:lang w:val="fr-FR"/>
        </w:rPr>
        <w:t xml:space="preserve"> l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>AFF</w:t>
      </w:r>
      <w:r w:rsidRPr="0053053B">
        <w:rPr>
          <w:lang w:val="fr-FR"/>
        </w:rPr>
        <w:t>,</w:t>
      </w:r>
      <w:r w:rsidR="00FF43AD" w:rsidRPr="0053053B">
        <w:rPr>
          <w:lang w:val="fr-FR"/>
        </w:rPr>
        <w:t xml:space="preserve"> dans des placements </w:t>
      </w:r>
      <w:r w:rsidR="007C3BBE" w:rsidRPr="0053053B">
        <w:rPr>
          <w:lang w:val="fr-FR"/>
        </w:rPr>
        <w:t>à taux zéro</w:t>
      </w:r>
      <w:r w:rsidR="00FF43AD" w:rsidRPr="0053053B">
        <w:rPr>
          <w:lang w:val="fr-FR"/>
        </w:rPr>
        <w:t xml:space="preserve">. </w:t>
      </w:r>
      <w:r w:rsidRPr="0053053B">
        <w:rPr>
          <w:lang w:val="fr-FR"/>
        </w:rPr>
        <w:t xml:space="preserve"> Les </w:t>
      </w:r>
      <w:r w:rsidR="00FF43AD" w:rsidRPr="0053053B">
        <w:rPr>
          <w:lang w:val="fr-FR"/>
        </w:rPr>
        <w:t>seuils d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 xml:space="preserve">exemption et </w:t>
      </w:r>
      <w:r w:rsidR="007C3BBE" w:rsidRPr="0053053B">
        <w:rPr>
          <w:lang w:val="fr-FR"/>
        </w:rPr>
        <w:t>les</w:t>
      </w:r>
      <w:r w:rsidR="00FF43AD" w:rsidRPr="0053053B">
        <w:rPr>
          <w:lang w:val="fr-FR"/>
        </w:rPr>
        <w:t xml:space="preserve"> dépôts </w:t>
      </w:r>
      <w:r w:rsidR="007C3BBE" w:rsidRPr="0053053B">
        <w:rPr>
          <w:lang w:val="fr-FR"/>
        </w:rPr>
        <w:t>à taux zéro</w:t>
      </w:r>
      <w:r w:rsidR="00FF43AD" w:rsidRPr="0053053B">
        <w:rPr>
          <w:lang w:val="fr-FR"/>
        </w:rPr>
        <w:t xml:space="preserve"> ont également été mis à la disposition d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 xml:space="preserve">autres agences des </w:t>
      </w:r>
      <w:r w:rsidR="00876E92" w:rsidRPr="0053053B">
        <w:rPr>
          <w:lang w:val="fr-FR"/>
        </w:rPr>
        <w:t>Nations Unies</w:t>
      </w:r>
      <w:r w:rsidR="00FF43AD" w:rsidRPr="0053053B">
        <w:rPr>
          <w:lang w:val="fr-FR"/>
        </w:rPr>
        <w:t xml:space="preserve"> qui détiennent </w:t>
      </w:r>
      <w:r w:rsidR="00F10304" w:rsidRPr="0053053B">
        <w:rPr>
          <w:lang w:val="fr-FR"/>
        </w:rPr>
        <w:t xml:space="preserve">des </w:t>
      </w:r>
      <w:r w:rsidR="00FF43AD" w:rsidRPr="0053053B">
        <w:rPr>
          <w:lang w:val="fr-FR"/>
        </w:rPr>
        <w:t>francs suisses</w:t>
      </w:r>
      <w:r w:rsidR="00F10304" w:rsidRPr="0053053B">
        <w:rPr>
          <w:lang w:val="fr-FR"/>
        </w:rPr>
        <w:t>,</w:t>
      </w:r>
      <w:r w:rsidR="00FF43AD" w:rsidRPr="0053053B">
        <w:rPr>
          <w:lang w:val="fr-FR"/>
        </w:rPr>
        <w:t xml:space="preserve"> et représentent un moyen très utile d</w:t>
      </w:r>
      <w:r w:rsidR="00876E92" w:rsidRPr="0053053B">
        <w:rPr>
          <w:lang w:val="fr-FR"/>
        </w:rPr>
        <w:t>’</w:t>
      </w:r>
      <w:r w:rsidR="00F10304" w:rsidRPr="0053053B">
        <w:rPr>
          <w:lang w:val="fr-FR"/>
        </w:rPr>
        <w:t>éviter l</w:t>
      </w:r>
      <w:r w:rsidR="00FF43AD" w:rsidRPr="0053053B">
        <w:rPr>
          <w:lang w:val="fr-FR"/>
        </w:rPr>
        <w:t xml:space="preserve">es taux négatifs, notamment en </w:t>
      </w:r>
      <w:r w:rsidR="00F10304" w:rsidRPr="0053053B">
        <w:rPr>
          <w:lang w:val="fr-FR"/>
        </w:rPr>
        <w:t>ce qui concerne la</w:t>
      </w:r>
      <w:r w:rsidR="00FF43AD" w:rsidRPr="0053053B">
        <w:rPr>
          <w:lang w:val="fr-FR"/>
        </w:rPr>
        <w:t xml:space="preserve"> trésorerie qui doit être facilement accessible.</w:t>
      </w:r>
      <w:r w:rsidRPr="0053053B">
        <w:rPr>
          <w:lang w:val="fr-FR"/>
        </w:rPr>
        <w:t xml:space="preserve"> </w:t>
      </w:r>
      <w:r w:rsidR="00FF43AD" w:rsidRPr="0053053B">
        <w:rPr>
          <w:lang w:val="fr-FR"/>
        </w:rPr>
        <w:t xml:space="preserve"> Cependant, ces </w:t>
      </w:r>
      <w:r w:rsidRPr="0053053B">
        <w:rPr>
          <w:lang w:val="fr-FR"/>
        </w:rPr>
        <w:t xml:space="preserve">montages pourraient être réduits </w:t>
      </w:r>
      <w:r w:rsidR="00F10304" w:rsidRPr="0053053B">
        <w:rPr>
          <w:lang w:val="fr-FR"/>
        </w:rPr>
        <w:t>voire</w:t>
      </w:r>
      <w:r w:rsidRPr="0053053B">
        <w:rPr>
          <w:lang w:val="fr-FR"/>
        </w:rPr>
        <w:t xml:space="preserve"> retiré</w:t>
      </w:r>
      <w:r w:rsidR="00FF43AD" w:rsidRPr="0053053B">
        <w:rPr>
          <w:lang w:val="fr-FR"/>
        </w:rPr>
        <w:t xml:space="preserve">s à tout moment, en fonction de toute nouvelle action </w:t>
      </w:r>
      <w:r w:rsidR="00F10304" w:rsidRPr="0053053B">
        <w:rPr>
          <w:lang w:val="fr-FR"/>
        </w:rPr>
        <w:t>engagée par</w:t>
      </w:r>
      <w:r w:rsidR="00876E92" w:rsidRPr="0053053B">
        <w:rPr>
          <w:lang w:val="fr-FR"/>
        </w:rPr>
        <w:t xml:space="preserve"> la BNS</w:t>
      </w:r>
      <w:r w:rsidR="00FF43AD" w:rsidRPr="0053053B">
        <w:rPr>
          <w:lang w:val="fr-FR"/>
        </w:rPr>
        <w:t>.</w:t>
      </w:r>
      <w:r w:rsidRPr="0053053B">
        <w:rPr>
          <w:lang w:val="fr-FR"/>
        </w:rPr>
        <w:t xml:space="preserve"> </w:t>
      </w:r>
      <w:r w:rsidR="00F10304" w:rsidRPr="0053053B">
        <w:rPr>
          <w:lang w:val="fr-FR"/>
        </w:rPr>
        <w:t xml:space="preserve"> En cas de décision visant à</w:t>
      </w:r>
      <w:r w:rsidR="00FF43AD" w:rsidRPr="0053053B">
        <w:rPr>
          <w:lang w:val="fr-FR"/>
        </w:rPr>
        <w:t xml:space="preserve"> maintenir </w:t>
      </w:r>
      <w:r w:rsidR="00A843D4" w:rsidRPr="0053053B">
        <w:rPr>
          <w:lang w:val="fr-FR"/>
        </w:rPr>
        <w:t>les réserves</w:t>
      </w:r>
      <w:r w:rsidR="00FF43AD" w:rsidRPr="0053053B">
        <w:rPr>
          <w:lang w:val="fr-FR"/>
        </w:rPr>
        <w:t xml:space="preserve"> </w:t>
      </w:r>
      <w:r w:rsidR="00F10304" w:rsidRPr="0053053B">
        <w:rPr>
          <w:lang w:val="fr-FR"/>
        </w:rPr>
        <w:t>sous forme de</w:t>
      </w:r>
      <w:r w:rsidR="00FF43AD" w:rsidRPr="0053053B">
        <w:rPr>
          <w:lang w:val="fr-FR"/>
        </w:rPr>
        <w:t xml:space="preserve"> </w:t>
      </w:r>
      <w:r w:rsidR="00F10304" w:rsidRPr="0053053B">
        <w:rPr>
          <w:lang w:val="fr-FR"/>
        </w:rPr>
        <w:t>liquidités</w:t>
      </w:r>
      <w:r w:rsidR="00FF43AD" w:rsidRPr="0053053B">
        <w:rPr>
          <w:lang w:val="fr-FR"/>
        </w:rPr>
        <w:t xml:space="preserve"> </w:t>
      </w:r>
      <w:r w:rsidR="00F10304" w:rsidRPr="0053053B">
        <w:rPr>
          <w:lang w:val="fr-FR"/>
        </w:rPr>
        <w:t>facilement accessibles</w:t>
      </w:r>
      <w:r w:rsidR="00FF43AD" w:rsidRPr="0053053B">
        <w:rPr>
          <w:lang w:val="fr-FR"/>
        </w:rPr>
        <w:t xml:space="preserve">, toute augmentation </w:t>
      </w:r>
      <w:r w:rsidR="00A843D4" w:rsidRPr="0053053B">
        <w:rPr>
          <w:lang w:val="fr-FR"/>
        </w:rPr>
        <w:t>du montant des réserves</w:t>
      </w:r>
      <w:r w:rsidR="00FF43AD" w:rsidRPr="0053053B">
        <w:rPr>
          <w:lang w:val="fr-FR"/>
        </w:rPr>
        <w:t xml:space="preserve"> ou modification apportée </w:t>
      </w:r>
      <w:r w:rsidR="00FF43AD" w:rsidRPr="0053053B">
        <w:rPr>
          <w:lang w:val="fr-FR"/>
        </w:rPr>
        <w:lastRenderedPageBreak/>
        <w:t xml:space="preserve">aux </w:t>
      </w:r>
      <w:r w:rsidR="00F10304" w:rsidRPr="0053053B">
        <w:rPr>
          <w:lang w:val="fr-FR"/>
        </w:rPr>
        <w:t>seuils</w:t>
      </w:r>
      <w:r w:rsidR="00FF43AD" w:rsidRPr="0053053B">
        <w:rPr>
          <w:lang w:val="fr-FR"/>
        </w:rPr>
        <w:t xml:space="preserve"> d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 xml:space="preserve">exemption pourrait </w:t>
      </w:r>
      <w:r w:rsidR="00A843D4" w:rsidRPr="0053053B">
        <w:rPr>
          <w:lang w:val="fr-FR"/>
        </w:rPr>
        <w:t>se traduire par</w:t>
      </w:r>
      <w:r w:rsidR="00FF43AD" w:rsidRPr="0053053B">
        <w:rPr>
          <w:lang w:val="fr-FR"/>
        </w:rPr>
        <w:t xml:space="preserve"> l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>imposition de taux d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 xml:space="preserve">intérêt négatifs </w:t>
      </w:r>
      <w:r w:rsidR="00F10304" w:rsidRPr="0053053B">
        <w:rPr>
          <w:lang w:val="fr-FR"/>
        </w:rPr>
        <w:t>aux</w:t>
      </w:r>
      <w:r w:rsidR="00FF43AD" w:rsidRPr="0053053B">
        <w:rPr>
          <w:lang w:val="fr-FR"/>
        </w:rPr>
        <w:t xml:space="preserve"> soldes </w:t>
      </w:r>
      <w:r w:rsidR="00F10304" w:rsidRPr="0053053B">
        <w:rPr>
          <w:lang w:val="fr-FR"/>
        </w:rPr>
        <w:t>supérieurs aux</w:t>
      </w:r>
      <w:r w:rsidR="00FF43AD" w:rsidRPr="0053053B">
        <w:rPr>
          <w:lang w:val="fr-FR"/>
        </w:rPr>
        <w:t xml:space="preserve"> </w:t>
      </w:r>
      <w:r w:rsidR="00F10304" w:rsidRPr="0053053B">
        <w:rPr>
          <w:lang w:val="fr-FR"/>
        </w:rPr>
        <w:t>seuils</w:t>
      </w:r>
      <w:r w:rsidR="00FF43AD" w:rsidRPr="0053053B">
        <w:rPr>
          <w:lang w:val="fr-FR"/>
        </w:rPr>
        <w:t xml:space="preserve"> d</w:t>
      </w:r>
      <w:r w:rsidR="00876E92" w:rsidRPr="0053053B">
        <w:rPr>
          <w:lang w:val="fr-FR"/>
        </w:rPr>
        <w:t>’</w:t>
      </w:r>
      <w:r w:rsidR="00FF43AD" w:rsidRPr="0053053B">
        <w:rPr>
          <w:lang w:val="fr-FR"/>
        </w:rPr>
        <w:t>exemption</w:t>
      </w:r>
      <w:r w:rsidR="00312356" w:rsidRPr="0053053B">
        <w:rPr>
          <w:lang w:val="fr-FR"/>
        </w:rPr>
        <w:t>.</w:t>
      </w:r>
    </w:p>
    <w:p w:rsidR="00AA117F" w:rsidRPr="007F3549" w:rsidRDefault="00FF43AD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En outre</w:t>
      </w:r>
      <w:r w:rsidRPr="007F3549">
        <w:rPr>
          <w:lang w:val="fr-FR"/>
        </w:rPr>
        <w:t xml:space="preserve">, </w:t>
      </w:r>
      <w:r w:rsidR="00361BA8" w:rsidRPr="007F3549">
        <w:rPr>
          <w:lang w:val="fr-FR"/>
        </w:rPr>
        <w:t>dès</w:t>
      </w:r>
      <w:r w:rsidRPr="007F3549">
        <w:rPr>
          <w:lang w:val="fr-FR"/>
        </w:rPr>
        <w:t xml:space="preserve"> </w:t>
      </w:r>
      <w:r w:rsidR="00361BA8" w:rsidRPr="007F3549">
        <w:rPr>
          <w:lang w:val="fr-FR"/>
        </w:rPr>
        <w:t xml:space="preserve">que </w:t>
      </w:r>
      <w:r w:rsidRPr="007F3549">
        <w:rPr>
          <w:rStyle w:val="hps"/>
          <w:lang w:val="fr-FR"/>
        </w:rPr>
        <w:t>les liquidités détenues</w:t>
      </w:r>
      <w:r w:rsidRPr="007F3549">
        <w:rPr>
          <w:lang w:val="fr-FR"/>
        </w:rPr>
        <w:t xml:space="preserve"> </w:t>
      </w:r>
      <w:r w:rsidR="00F10304" w:rsidRPr="007F3549">
        <w:rPr>
          <w:rStyle w:val="hps"/>
          <w:lang w:val="fr-FR"/>
        </w:rPr>
        <w:t>auprès de</w:t>
      </w:r>
      <w:r w:rsidRPr="007F3549">
        <w:rPr>
          <w:rStyle w:val="hps"/>
          <w:lang w:val="fr-FR"/>
        </w:rPr>
        <w:t xml:space="preserve"> l</w:t>
      </w:r>
      <w:r w:rsidR="00876E92" w:rsidRPr="007F3549">
        <w:rPr>
          <w:rStyle w:val="hps"/>
          <w:lang w:val="fr-FR"/>
        </w:rPr>
        <w:t>’</w:t>
      </w:r>
      <w:r w:rsidRPr="007F3549">
        <w:rPr>
          <w:lang w:val="fr-FR"/>
        </w:rPr>
        <w:t xml:space="preserve">AFF </w:t>
      </w:r>
      <w:r w:rsidR="00361BA8" w:rsidRPr="007F3549">
        <w:rPr>
          <w:lang w:val="fr-FR"/>
        </w:rPr>
        <w:t xml:space="preserve">auront été </w:t>
      </w:r>
      <w:r w:rsidRPr="007F3549">
        <w:rPr>
          <w:rStyle w:val="hps"/>
          <w:lang w:val="fr-FR"/>
        </w:rPr>
        <w:t>retiré</w:t>
      </w:r>
      <w:r w:rsidR="00F10304" w:rsidRPr="007F3549">
        <w:rPr>
          <w:rStyle w:val="hps"/>
          <w:lang w:val="fr-FR"/>
        </w:rPr>
        <w:t>es</w:t>
      </w:r>
      <w:r w:rsidRPr="007F3549">
        <w:rPr>
          <w:lang w:val="fr-FR"/>
        </w:rPr>
        <w:t xml:space="preserve"> </w:t>
      </w:r>
      <w:r w:rsidR="00F10304" w:rsidRPr="007F3549">
        <w:rPr>
          <w:rStyle w:val="hps"/>
          <w:lang w:val="fr-FR"/>
        </w:rPr>
        <w:t>en d</w:t>
      </w:r>
      <w:r w:rsidRPr="007F3549">
        <w:rPr>
          <w:rStyle w:val="hps"/>
          <w:lang w:val="fr-FR"/>
        </w:rPr>
        <w:t>écembre</w:t>
      </w:r>
      <w:r w:rsidR="00F10304" w:rsidRPr="007F3549">
        <w:rPr>
          <w:lang w:val="fr-FR"/>
        </w:rPr>
        <w:t> </w:t>
      </w:r>
      <w:r w:rsidRPr="007F3549">
        <w:rPr>
          <w:rStyle w:val="hps"/>
          <w:lang w:val="fr-FR"/>
        </w:rPr>
        <w:t>2015,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si </w:t>
      </w:r>
      <w:r w:rsidR="00361BA8" w:rsidRPr="007F3549">
        <w:rPr>
          <w:rStyle w:val="hps"/>
          <w:lang w:val="fr-FR"/>
        </w:rPr>
        <w:t>toutes ces liquidités sont détenues auprès des</w:t>
      </w:r>
      <w:r w:rsidRPr="007F3549">
        <w:rPr>
          <w:rStyle w:val="hps"/>
          <w:lang w:val="fr-FR"/>
        </w:rPr>
        <w:t xml:space="preserve"> partenaires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bancaires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OMPI</w:t>
      </w:r>
      <w:r w:rsidRPr="007F3549">
        <w:rPr>
          <w:lang w:val="fr-FR"/>
        </w:rPr>
        <w:t xml:space="preserve">, </w:t>
      </w:r>
      <w:r w:rsidRPr="007F3549">
        <w:rPr>
          <w:rStyle w:val="hps"/>
          <w:lang w:val="fr-FR"/>
        </w:rPr>
        <w:t>les limites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établies pour les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seuils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exemption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et </w:t>
      </w:r>
      <w:r w:rsidR="00361BA8" w:rsidRPr="007F3549">
        <w:rPr>
          <w:rStyle w:val="hps"/>
          <w:lang w:val="fr-FR"/>
        </w:rPr>
        <w:t xml:space="preserve">les </w:t>
      </w:r>
      <w:r w:rsidRPr="007F3549">
        <w:rPr>
          <w:rStyle w:val="hps"/>
          <w:lang w:val="fr-FR"/>
        </w:rPr>
        <w:t>dépôts à taux</w:t>
      </w:r>
      <w:r w:rsidRPr="007F3549">
        <w:rPr>
          <w:lang w:val="fr-FR"/>
        </w:rPr>
        <w:t xml:space="preserve"> </w:t>
      </w:r>
      <w:r w:rsidR="00F10304" w:rsidRPr="007F3549">
        <w:rPr>
          <w:rStyle w:val="hps"/>
          <w:lang w:val="fr-FR"/>
        </w:rPr>
        <w:t>zéro</w:t>
      </w:r>
      <w:r w:rsidR="00F10304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seront clairement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dépassé</w:t>
      </w:r>
      <w:r w:rsidR="00361BA8" w:rsidRPr="007F3549">
        <w:rPr>
          <w:rStyle w:val="hps"/>
          <w:lang w:val="fr-FR"/>
        </w:rPr>
        <w:t>es,</w:t>
      </w:r>
      <w:r w:rsidRPr="007F3549">
        <w:rPr>
          <w:rStyle w:val="hps"/>
          <w:lang w:val="fr-FR"/>
        </w:rPr>
        <w:t xml:space="preserve"> et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des taux négatifs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seront appliqués</w:t>
      </w:r>
      <w:r w:rsidRPr="007F3549">
        <w:rPr>
          <w:lang w:val="fr-FR"/>
        </w:rPr>
        <w:t xml:space="preserve"> </w:t>
      </w:r>
      <w:r w:rsidR="00361BA8" w:rsidRPr="007F3549">
        <w:rPr>
          <w:rStyle w:val="hps"/>
          <w:lang w:val="fr-FR"/>
        </w:rPr>
        <w:t>au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solde excédentaire</w:t>
      </w:r>
      <w:r w:rsidRPr="007F3549">
        <w:rPr>
          <w:lang w:val="fr-FR"/>
        </w:rPr>
        <w:t xml:space="preserve">. </w:t>
      </w:r>
      <w:r w:rsidR="00F10304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 Secrétariat estime que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cette situation va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persister pendant plusieurs mois</w:t>
      </w:r>
      <w:r w:rsidRPr="007F3549">
        <w:rPr>
          <w:lang w:val="fr-FR"/>
        </w:rPr>
        <w:t xml:space="preserve"> </w:t>
      </w:r>
      <w:r w:rsidR="00F10304" w:rsidRPr="007F3549">
        <w:rPr>
          <w:rStyle w:val="hps"/>
          <w:lang w:val="fr-FR"/>
        </w:rPr>
        <w:t>en </w:t>
      </w:r>
      <w:r w:rsidRPr="007F3549">
        <w:rPr>
          <w:rStyle w:val="hps"/>
          <w:lang w:val="fr-FR"/>
        </w:rPr>
        <w:t>2016</w:t>
      </w:r>
      <w:r w:rsidRPr="007F3549">
        <w:rPr>
          <w:lang w:val="fr-FR"/>
        </w:rPr>
        <w:t xml:space="preserve">, </w:t>
      </w:r>
      <w:r w:rsidR="00361BA8" w:rsidRPr="007F3549">
        <w:rPr>
          <w:lang w:val="fr-FR"/>
        </w:rPr>
        <w:t>sachant qu</w:t>
      </w:r>
      <w:r w:rsidR="00876E92" w:rsidRPr="007F3549">
        <w:rPr>
          <w:lang w:val="fr-FR"/>
        </w:rPr>
        <w:t>’</w:t>
      </w:r>
      <w:r w:rsidRPr="007F3549">
        <w:rPr>
          <w:rStyle w:val="hps"/>
          <w:lang w:val="fr-FR"/>
        </w:rPr>
        <w:t>un certain temps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sera nécessaire</w:t>
      </w:r>
      <w:r w:rsidRPr="007F3549">
        <w:rPr>
          <w:lang w:val="fr-FR"/>
        </w:rPr>
        <w:t xml:space="preserve">, sous réserve de </w:t>
      </w: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approbation des États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membres</w:t>
      </w:r>
      <w:r w:rsidRPr="007F3549">
        <w:rPr>
          <w:lang w:val="fr-FR"/>
        </w:rPr>
        <w:t xml:space="preserve">, </w:t>
      </w:r>
      <w:r w:rsidR="00361BA8" w:rsidRPr="007F3549">
        <w:rPr>
          <w:rStyle w:val="hps"/>
          <w:lang w:val="fr-FR"/>
        </w:rPr>
        <w:t>à la sélection des</w:t>
      </w:r>
      <w:r w:rsidRPr="007F3549">
        <w:rPr>
          <w:rStyle w:val="hps"/>
          <w:lang w:val="fr-FR"/>
        </w:rPr>
        <w:t xml:space="preserve"> partenaires et </w:t>
      </w:r>
      <w:r w:rsidR="00361BA8" w:rsidRPr="007F3549">
        <w:rPr>
          <w:rStyle w:val="hps"/>
          <w:lang w:val="fr-FR"/>
        </w:rPr>
        <w:t>des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institutions </w:t>
      </w:r>
      <w:r w:rsidR="00361BA8" w:rsidRPr="007F3549">
        <w:rPr>
          <w:rStyle w:val="hps"/>
          <w:lang w:val="fr-FR"/>
        </w:rPr>
        <w:t xml:space="preserve">auprès desquels les liquidités </w:t>
      </w:r>
      <w:r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OMPI</w:t>
      </w:r>
      <w:r w:rsidRPr="007F3549">
        <w:rPr>
          <w:lang w:val="fr-FR"/>
        </w:rPr>
        <w:t xml:space="preserve"> </w:t>
      </w:r>
      <w:r w:rsidR="00361BA8" w:rsidRPr="007F3549">
        <w:rPr>
          <w:rStyle w:val="hps"/>
          <w:lang w:val="fr-FR"/>
        </w:rPr>
        <w:t>pourront</w:t>
      </w:r>
      <w:r w:rsidRPr="007F3549">
        <w:rPr>
          <w:rStyle w:val="hps"/>
          <w:lang w:val="fr-FR"/>
        </w:rPr>
        <w:t xml:space="preserve"> être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détenu</w:t>
      </w:r>
      <w:r w:rsidR="00361BA8" w:rsidRPr="007F3549">
        <w:rPr>
          <w:rStyle w:val="hps"/>
          <w:lang w:val="fr-FR"/>
        </w:rPr>
        <w:t>es</w:t>
      </w:r>
      <w:r w:rsidRPr="007F3549">
        <w:rPr>
          <w:rStyle w:val="hps"/>
          <w:lang w:val="fr-FR"/>
        </w:rPr>
        <w:t xml:space="preserve"> ou placé</w:t>
      </w:r>
      <w:r w:rsidR="00361BA8" w:rsidRPr="007F3549">
        <w:rPr>
          <w:rStyle w:val="hps"/>
          <w:lang w:val="fr-FR"/>
        </w:rPr>
        <w:t>es</w:t>
      </w:r>
      <w:r w:rsidRPr="007F3549">
        <w:rPr>
          <w:lang w:val="fr-FR"/>
        </w:rPr>
        <w:t xml:space="preserve">. </w:t>
      </w:r>
      <w:r w:rsidR="00361BA8" w:rsidRPr="007F3549">
        <w:rPr>
          <w:lang w:val="fr-FR"/>
        </w:rPr>
        <w:t xml:space="preserve"> </w:t>
      </w:r>
      <w:r w:rsidR="00F10304" w:rsidRPr="007F3549">
        <w:rPr>
          <w:rStyle w:val="hps"/>
          <w:lang w:val="fr-FR"/>
        </w:rPr>
        <w:t>C</w:t>
      </w:r>
      <w:r w:rsidR="00876E92" w:rsidRPr="007F3549">
        <w:rPr>
          <w:rStyle w:val="hps"/>
          <w:lang w:val="fr-FR"/>
        </w:rPr>
        <w:t>’</w:t>
      </w:r>
      <w:r w:rsidR="00F10304" w:rsidRPr="007F3549">
        <w:rPr>
          <w:rStyle w:val="hps"/>
          <w:lang w:val="fr-FR"/>
        </w:rPr>
        <w:t>est pourquoi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 programme et budget</w:t>
      </w:r>
      <w:r w:rsidRPr="007F3549">
        <w:rPr>
          <w:lang w:val="fr-FR"/>
        </w:rPr>
        <w:t xml:space="preserve"> </w:t>
      </w:r>
      <w:r w:rsidR="00F10304" w:rsidRPr="007F3549">
        <w:rPr>
          <w:lang w:val="fr-FR"/>
        </w:rPr>
        <w:t>pour l</w:t>
      </w:r>
      <w:r w:rsidR="00876E92" w:rsidRPr="007F3549">
        <w:rPr>
          <w:lang w:val="fr-FR"/>
        </w:rPr>
        <w:t>’</w:t>
      </w:r>
      <w:r w:rsidR="00F10304" w:rsidRPr="007F3549">
        <w:rPr>
          <w:lang w:val="fr-FR"/>
        </w:rPr>
        <w:t>exercice biennal </w:t>
      </w:r>
      <w:r w:rsidR="00F10304" w:rsidRPr="007F3549">
        <w:rPr>
          <w:rStyle w:val="hps"/>
          <w:lang w:val="fr-FR"/>
        </w:rPr>
        <w:t>2016</w:t>
      </w:r>
      <w:r w:rsidR="00BD351E" w:rsidRPr="007F3549">
        <w:rPr>
          <w:rStyle w:val="hps"/>
          <w:lang w:val="fr-FR"/>
        </w:rPr>
        <w:noBreakHyphen/>
      </w:r>
      <w:r w:rsidR="00F10304" w:rsidRPr="007F3549">
        <w:rPr>
          <w:rStyle w:val="hps"/>
          <w:lang w:val="fr-FR"/>
        </w:rPr>
        <w:t>20</w:t>
      </w:r>
      <w:r w:rsidRPr="007F3549">
        <w:rPr>
          <w:rStyle w:val="hps"/>
          <w:lang w:val="fr-FR"/>
        </w:rPr>
        <w:t>17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prévu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une disposition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budgétaire </w:t>
      </w:r>
      <w:r w:rsidR="00361BA8" w:rsidRPr="007F3549">
        <w:rPr>
          <w:rStyle w:val="hps"/>
          <w:lang w:val="fr-FR"/>
        </w:rPr>
        <w:t>pour les</w:t>
      </w:r>
      <w:r w:rsidR="00F10304" w:rsidRPr="007F3549">
        <w:rPr>
          <w:rStyle w:val="hps"/>
          <w:lang w:val="fr-FR"/>
        </w:rPr>
        <w:t xml:space="preserve"> taux</w:t>
      </w:r>
      <w:r w:rsidRPr="007F3549">
        <w:rPr>
          <w:lang w:val="fr-FR"/>
        </w:rPr>
        <w:t xml:space="preserve"> </w:t>
      </w:r>
      <w:r w:rsidR="00F10304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Pr="007F3549">
        <w:rPr>
          <w:rStyle w:val="hps"/>
          <w:lang w:val="fr-FR"/>
        </w:rPr>
        <w:t>intérêt négatif</w:t>
      </w:r>
      <w:r w:rsidR="00F10304" w:rsidRPr="007F3549">
        <w:rPr>
          <w:rStyle w:val="hps"/>
          <w:lang w:val="fr-FR"/>
        </w:rPr>
        <w:t>s</w:t>
      </w:r>
      <w:r w:rsidR="00B15E23" w:rsidRPr="007F3549">
        <w:rPr>
          <w:lang w:val="fr-FR"/>
        </w:rPr>
        <w:t>.</w:t>
      </w:r>
    </w:p>
    <w:p w:rsidR="00A0425F" w:rsidRPr="007F3549" w:rsidRDefault="00DB0E05" w:rsidP="007F3549">
      <w:pPr>
        <w:pStyle w:val="Heading3"/>
        <w:rPr>
          <w:lang w:val="fr-FR"/>
        </w:rPr>
      </w:pPr>
      <w:r w:rsidRPr="007F3549">
        <w:rPr>
          <w:lang w:val="fr-FR"/>
        </w:rPr>
        <w:t>Conséquences sur la politique en matière de placements</w:t>
      </w:r>
    </w:p>
    <w:p w:rsidR="00B50D94" w:rsidRPr="007F3549" w:rsidRDefault="00B50D94" w:rsidP="00B50D94">
      <w:pPr>
        <w:rPr>
          <w:lang w:val="fr-FR"/>
        </w:rPr>
      </w:pPr>
    </w:p>
    <w:p w:rsidR="00D06370" w:rsidRPr="007F3549" w:rsidRDefault="00361BA8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 xml:space="preserve">La </w:t>
      </w:r>
      <w:r w:rsidR="00FF43AD" w:rsidRPr="007F3549">
        <w:rPr>
          <w:rStyle w:val="hps"/>
          <w:lang w:val="fr-FR"/>
        </w:rPr>
        <w:t xml:space="preserve">nécessité de </w:t>
      </w:r>
      <w:r w:rsidRPr="007F3549">
        <w:rPr>
          <w:rStyle w:val="hps"/>
          <w:lang w:val="fr-FR"/>
        </w:rPr>
        <w:t>conserver des</w:t>
      </w:r>
      <w:r w:rsidR="00FF43AD" w:rsidRPr="007F3549">
        <w:rPr>
          <w:rStyle w:val="hps"/>
          <w:lang w:val="fr-FR"/>
        </w:rPr>
        <w:t xml:space="preserve"> soldes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de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>trésorerie</w:t>
      </w:r>
      <w:r w:rsidR="00FF43AD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très liquides</w:t>
      </w:r>
      <w:r w:rsidR="00FF43AD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soulève</w:t>
      </w:r>
      <w:r w:rsidR="00FF43AD" w:rsidRPr="007F3549">
        <w:rPr>
          <w:rStyle w:val="hps"/>
          <w:lang w:val="fr-FR"/>
        </w:rPr>
        <w:t xml:space="preserve"> trois</w:t>
      </w:r>
      <w:r w:rsidRPr="007F3549">
        <w:rPr>
          <w:rStyle w:val="hps"/>
          <w:lang w:val="fr-FR"/>
        </w:rPr>
        <w:t> </w:t>
      </w:r>
      <w:r w:rsidR="00FF43AD" w:rsidRPr="007F3549">
        <w:rPr>
          <w:rStyle w:val="hps"/>
          <w:lang w:val="fr-FR"/>
        </w:rPr>
        <w:t>questions</w:t>
      </w:r>
      <w:r w:rsidR="00FF43AD" w:rsidRPr="007F3549">
        <w:rPr>
          <w:lang w:val="fr-FR"/>
        </w:rPr>
        <w:t xml:space="preserve"> </w:t>
      </w:r>
      <w:r w:rsidR="00C051FA" w:rsidRPr="007F3549">
        <w:rPr>
          <w:rStyle w:val="hps"/>
          <w:lang w:val="fr-FR"/>
        </w:rPr>
        <w:t>quant à</w:t>
      </w:r>
      <w:r w:rsidR="00FF43AD" w:rsidRPr="007F3549">
        <w:rPr>
          <w:lang w:val="fr-FR"/>
        </w:rPr>
        <w:t xml:space="preserve"> </w:t>
      </w:r>
      <w:r w:rsidR="00FF43AD" w:rsidRPr="007F3549">
        <w:rPr>
          <w:rStyle w:val="hps"/>
          <w:lang w:val="fr-FR"/>
        </w:rPr>
        <w:t xml:space="preserve">la politique </w:t>
      </w:r>
      <w:r w:rsidR="00C051FA" w:rsidRPr="007F3549">
        <w:rPr>
          <w:rStyle w:val="hps"/>
          <w:lang w:val="fr-FR"/>
        </w:rPr>
        <w:t xml:space="preserve">de placements </w:t>
      </w:r>
      <w:r w:rsidRPr="007F3549">
        <w:rPr>
          <w:rStyle w:val="hps"/>
          <w:lang w:val="fr-FR"/>
        </w:rPr>
        <w:t>en vigueur</w:t>
      </w:r>
      <w:r w:rsidR="00FF43AD" w:rsidRPr="007F3549">
        <w:rPr>
          <w:rStyle w:val="hps"/>
          <w:lang w:val="fr-FR"/>
        </w:rPr>
        <w:t> </w:t>
      </w:r>
      <w:r w:rsidR="00D06370" w:rsidRPr="007F3549">
        <w:rPr>
          <w:rStyle w:val="hps"/>
          <w:lang w:val="fr-FR"/>
        </w:rPr>
        <w:t>:</w:t>
      </w:r>
    </w:p>
    <w:p w:rsidR="00D06370" w:rsidRPr="007F3549" w:rsidRDefault="001D69D6" w:rsidP="007F3549">
      <w:pPr>
        <w:pStyle w:val="ONUMFS"/>
        <w:numPr>
          <w:ilvl w:val="2"/>
          <w:numId w:val="3"/>
        </w:numPr>
        <w:tabs>
          <w:tab w:val="clear" w:pos="1701"/>
        </w:tabs>
        <w:ind w:left="567"/>
        <w:rPr>
          <w:lang w:val="fr-FR"/>
        </w:rPr>
      </w:pPr>
      <w:r w:rsidRPr="007F3549">
        <w:rPr>
          <w:rStyle w:val="hps"/>
          <w:lang w:val="fr-FR"/>
        </w:rPr>
        <w:t>Si</w:t>
      </w:r>
      <w:r w:rsidRPr="007F3549">
        <w:rPr>
          <w:lang w:val="fr-FR"/>
        </w:rPr>
        <w:t xml:space="preserve"> </w:t>
      </w:r>
      <w:r w:rsidR="00361BA8" w:rsidRPr="007F3549">
        <w:rPr>
          <w:lang w:val="fr-FR"/>
        </w:rPr>
        <w:t xml:space="preserve">elle est </w:t>
      </w:r>
      <w:r w:rsidRPr="007F3549">
        <w:rPr>
          <w:rStyle w:val="hps"/>
          <w:lang w:val="fr-FR"/>
        </w:rPr>
        <w:t>investi</w:t>
      </w:r>
      <w:r w:rsidR="00361BA8" w:rsidRPr="007F3549">
        <w:rPr>
          <w:lang w:val="fr-FR"/>
        </w:rPr>
        <w:t xml:space="preserve">e, la </w:t>
      </w:r>
      <w:r w:rsidRPr="007F3549">
        <w:rPr>
          <w:rStyle w:val="hps"/>
          <w:lang w:val="fr-FR"/>
        </w:rPr>
        <w:t>trésorerie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exploitation</w:t>
      </w:r>
      <w:r w:rsidRPr="007F3549">
        <w:rPr>
          <w:lang w:val="fr-FR"/>
        </w:rPr>
        <w:t xml:space="preserve"> </w:t>
      </w:r>
      <w:r w:rsidR="00361BA8" w:rsidRPr="007F3549">
        <w:rPr>
          <w:rStyle w:val="hps"/>
          <w:lang w:val="fr-FR"/>
        </w:rPr>
        <w:t>fait uniquement l</w:t>
      </w:r>
      <w:r w:rsidR="00876E92" w:rsidRPr="007F3549">
        <w:rPr>
          <w:rStyle w:val="hps"/>
          <w:lang w:val="fr-FR"/>
        </w:rPr>
        <w:t>’</w:t>
      </w:r>
      <w:r w:rsidR="00361BA8" w:rsidRPr="007F3549">
        <w:rPr>
          <w:rStyle w:val="hps"/>
          <w:lang w:val="fr-FR"/>
        </w:rPr>
        <w:t>objet de placements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à court terme. </w:t>
      </w:r>
      <w:r w:rsidR="00361BA8" w:rsidRPr="007F3549">
        <w:rPr>
          <w:rStyle w:val="hps"/>
          <w:lang w:val="fr-FR"/>
        </w:rPr>
        <w:t xml:space="preserve"> </w:t>
      </w:r>
      <w:r w:rsidRPr="007F3549">
        <w:rPr>
          <w:rStyle w:val="hps"/>
          <w:lang w:val="fr-FR"/>
        </w:rPr>
        <w:t xml:space="preserve">La politique </w:t>
      </w:r>
      <w:r w:rsidR="00361BA8" w:rsidRPr="007F3549">
        <w:rPr>
          <w:rStyle w:val="hps"/>
          <w:lang w:val="fr-FR"/>
        </w:rPr>
        <w:t>en vigueur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ne fait aucune mention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placements à court terme</w:t>
      </w:r>
      <w:r w:rsidR="009B772C" w:rsidRPr="007F3549">
        <w:rPr>
          <w:lang w:val="fr-FR"/>
        </w:rPr>
        <w:t xml:space="preserve">, et </w:t>
      </w:r>
      <w:r w:rsidRPr="007F3549">
        <w:rPr>
          <w:rStyle w:val="hps"/>
          <w:lang w:val="fr-FR"/>
        </w:rPr>
        <w:t>ne stipule pas</w:t>
      </w:r>
      <w:r w:rsidRPr="007F3549">
        <w:rPr>
          <w:lang w:val="fr-FR"/>
        </w:rPr>
        <w:t xml:space="preserve"> </w:t>
      </w:r>
      <w:r w:rsidR="009B772C" w:rsidRPr="007F3549">
        <w:rPr>
          <w:lang w:val="fr-FR"/>
        </w:rPr>
        <w:t xml:space="preserve">non plus </w:t>
      </w:r>
      <w:r w:rsidR="009B772C" w:rsidRPr="007F3549">
        <w:rPr>
          <w:rStyle w:val="hps"/>
          <w:lang w:val="fr-FR"/>
        </w:rPr>
        <w:t xml:space="preserve">de notations </w:t>
      </w:r>
      <w:r w:rsidRPr="007F3549">
        <w:rPr>
          <w:rStyle w:val="hps"/>
          <w:lang w:val="fr-FR"/>
        </w:rPr>
        <w:t>minimales acceptables pour</w:t>
      </w:r>
      <w:r w:rsidRPr="007F3549">
        <w:rPr>
          <w:lang w:val="fr-FR"/>
        </w:rPr>
        <w:t xml:space="preserve"> </w:t>
      </w:r>
      <w:r w:rsidR="009B772C" w:rsidRPr="007F3549">
        <w:rPr>
          <w:rStyle w:val="hps"/>
          <w:lang w:val="fr-FR"/>
        </w:rPr>
        <w:t>ce type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investissements</w:t>
      </w:r>
      <w:r w:rsidRPr="007F3549">
        <w:rPr>
          <w:lang w:val="fr-FR"/>
        </w:rPr>
        <w:t xml:space="preserve">. </w:t>
      </w:r>
      <w:r w:rsidR="009B772C" w:rsidRPr="007F3549">
        <w:rPr>
          <w:lang w:val="fr-FR"/>
        </w:rPr>
        <w:t xml:space="preserve"> </w:t>
      </w:r>
      <w:r w:rsidR="007B1551" w:rsidRPr="007F3549">
        <w:rPr>
          <w:rStyle w:val="hps"/>
          <w:lang w:val="fr-FR"/>
        </w:rPr>
        <w:t>Il est proposé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inclure dans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la nouvelle politique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une définition </w:t>
      </w:r>
      <w:r w:rsidR="00521827" w:rsidRPr="007F3549">
        <w:rPr>
          <w:rStyle w:val="hps"/>
          <w:lang w:val="fr-FR"/>
        </w:rPr>
        <w:t xml:space="preserve">indiquant que </w:t>
      </w:r>
      <w:r w:rsidR="00D341F0" w:rsidRPr="007F3549">
        <w:rPr>
          <w:rStyle w:val="hps"/>
          <w:lang w:val="fr-FR"/>
        </w:rPr>
        <w:t>les placements à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court terme</w:t>
      </w:r>
      <w:r w:rsidRPr="007F3549">
        <w:rPr>
          <w:lang w:val="fr-FR"/>
        </w:rPr>
        <w:t xml:space="preserve"> </w:t>
      </w:r>
      <w:r w:rsidR="00D341F0" w:rsidRPr="007F3549">
        <w:rPr>
          <w:lang w:val="fr-FR"/>
        </w:rPr>
        <w:t>sont des placements arrivant à échéance au bout</w:t>
      </w:r>
      <w:r w:rsidRPr="007F3549">
        <w:rPr>
          <w:lang w:val="fr-FR"/>
        </w:rPr>
        <w:t xml:space="preserve"> </w:t>
      </w:r>
      <w:r w:rsidR="00521827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9B772C" w:rsidRPr="007F3549">
        <w:rPr>
          <w:rStyle w:val="hps"/>
          <w:lang w:val="fr-FR"/>
        </w:rPr>
        <w:t>un </w:t>
      </w:r>
      <w:r w:rsidRPr="007F3549">
        <w:rPr>
          <w:rStyle w:val="hps"/>
          <w:lang w:val="fr-FR"/>
        </w:rPr>
        <w:t xml:space="preserve">an </w:t>
      </w:r>
      <w:r w:rsidR="00521827" w:rsidRPr="007F3549">
        <w:rPr>
          <w:rStyle w:val="hps"/>
          <w:lang w:val="fr-FR"/>
        </w:rPr>
        <w:t xml:space="preserve">maximum </w:t>
      </w:r>
      <w:r w:rsidRPr="007F3549">
        <w:rPr>
          <w:rStyle w:val="hps"/>
          <w:lang w:val="fr-FR"/>
        </w:rPr>
        <w:t>et</w:t>
      </w:r>
      <w:r w:rsidRPr="007F3549">
        <w:rPr>
          <w:lang w:val="fr-FR"/>
        </w:rPr>
        <w:t xml:space="preserve"> </w:t>
      </w:r>
      <w:r w:rsidR="007B1551" w:rsidRPr="007F3549">
        <w:rPr>
          <w:rStyle w:val="hps"/>
          <w:lang w:val="fr-FR"/>
        </w:rPr>
        <w:t>de</w:t>
      </w:r>
      <w:r w:rsidRPr="007F3549">
        <w:rPr>
          <w:rStyle w:val="hps"/>
          <w:lang w:val="fr-FR"/>
        </w:rPr>
        <w:t xml:space="preserve"> préciser</w:t>
      </w:r>
      <w:r w:rsidRPr="007F3549">
        <w:rPr>
          <w:lang w:val="fr-FR"/>
        </w:rPr>
        <w:t xml:space="preserve"> </w:t>
      </w:r>
      <w:r w:rsidR="009B772C" w:rsidRPr="007F3549">
        <w:rPr>
          <w:lang w:val="fr-FR"/>
        </w:rPr>
        <w:t xml:space="preserve">les notations </w:t>
      </w:r>
      <w:r w:rsidR="00521827" w:rsidRPr="007F3549">
        <w:rPr>
          <w:rStyle w:val="hps"/>
          <w:lang w:val="fr-FR"/>
        </w:rPr>
        <w:t xml:space="preserve">à court terme </w:t>
      </w:r>
      <w:r w:rsidR="009B772C" w:rsidRPr="007F3549">
        <w:rPr>
          <w:rStyle w:val="hps"/>
          <w:lang w:val="fr-FR"/>
        </w:rPr>
        <w:t>acceptables</w:t>
      </w:r>
      <w:r w:rsidRPr="007F3549">
        <w:rPr>
          <w:lang w:val="fr-FR"/>
        </w:rPr>
        <w:t xml:space="preserve">. </w:t>
      </w:r>
      <w:r w:rsidR="009B772C" w:rsidRPr="007F3549">
        <w:rPr>
          <w:lang w:val="fr-FR"/>
        </w:rPr>
        <w:t xml:space="preserve"> </w:t>
      </w:r>
      <w:r w:rsidR="00521827" w:rsidRPr="007F3549">
        <w:rPr>
          <w:rStyle w:val="hps"/>
          <w:lang w:val="fr-FR"/>
        </w:rPr>
        <w:t>Ces dernières</w:t>
      </w:r>
      <w:r w:rsidRPr="007F3549">
        <w:rPr>
          <w:rStyle w:val="hps"/>
          <w:lang w:val="fr-FR"/>
        </w:rPr>
        <w:t xml:space="preserve"> seraient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équivalents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à court terme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des </w:t>
      </w:r>
      <w:r w:rsidR="00521827" w:rsidRPr="007F3549">
        <w:rPr>
          <w:rStyle w:val="hps"/>
          <w:lang w:val="fr-FR"/>
        </w:rPr>
        <w:t>notations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à long terme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acceptables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indiqué</w:t>
      </w:r>
      <w:r w:rsidR="00521827" w:rsidRPr="007F3549">
        <w:rPr>
          <w:rStyle w:val="hps"/>
          <w:lang w:val="fr-FR"/>
        </w:rPr>
        <w:t>e</w:t>
      </w:r>
      <w:r w:rsidRPr="007F3549">
        <w:rPr>
          <w:rStyle w:val="hps"/>
          <w:lang w:val="fr-FR"/>
        </w:rPr>
        <w:t>s</w:t>
      </w:r>
      <w:r w:rsidRPr="007F3549">
        <w:rPr>
          <w:lang w:val="fr-FR"/>
        </w:rPr>
        <w:t xml:space="preserve"> </w:t>
      </w:r>
      <w:r w:rsidR="00521827" w:rsidRPr="007F3549">
        <w:rPr>
          <w:rStyle w:val="hps"/>
          <w:lang w:val="fr-FR"/>
        </w:rPr>
        <w:t>au point</w:t>
      </w:r>
      <w:r w:rsidRPr="007F3549">
        <w:rPr>
          <w:rStyle w:val="hps"/>
          <w:lang w:val="fr-FR"/>
        </w:rPr>
        <w:t xml:space="preserve"> (ii</w:t>
      </w:r>
      <w:r w:rsidRPr="007F3549">
        <w:rPr>
          <w:lang w:val="fr-FR"/>
        </w:rPr>
        <w:t xml:space="preserve">) </w:t>
      </w:r>
      <w:r w:rsidRPr="007F3549">
        <w:rPr>
          <w:rStyle w:val="hps"/>
          <w:lang w:val="fr-FR"/>
        </w:rPr>
        <w:t>ci</w:t>
      </w:r>
      <w:r w:rsidR="00BD351E" w:rsidRPr="007F3549">
        <w:rPr>
          <w:rStyle w:val="hps"/>
          <w:lang w:val="fr-FR"/>
        </w:rPr>
        <w:noBreakHyphen/>
      </w:r>
      <w:r w:rsidRPr="007F3549">
        <w:rPr>
          <w:rStyle w:val="hps"/>
          <w:lang w:val="fr-FR"/>
        </w:rPr>
        <w:t>dessous</w:t>
      </w:r>
      <w:r w:rsidR="00D949E7" w:rsidRPr="007F3549">
        <w:rPr>
          <w:lang w:val="fr-FR"/>
        </w:rPr>
        <w:t xml:space="preserve">, </w:t>
      </w:r>
      <w:r w:rsidR="00876E92" w:rsidRPr="007F3549">
        <w:rPr>
          <w:lang w:val="fr-FR"/>
        </w:rPr>
        <w:t>à savoir</w:t>
      </w:r>
      <w:r w:rsidR="00D949E7" w:rsidRPr="007F3549">
        <w:rPr>
          <w:lang w:val="fr-FR"/>
        </w:rPr>
        <w:t> </w:t>
      </w:r>
      <w:r w:rsidRPr="007F3549">
        <w:rPr>
          <w:rStyle w:val="hps"/>
          <w:lang w:val="fr-FR"/>
        </w:rPr>
        <w:t>A</w:t>
      </w:r>
      <w:r w:rsidR="00BD351E" w:rsidRPr="007F3549">
        <w:rPr>
          <w:rStyle w:val="hps"/>
          <w:lang w:val="fr-FR"/>
        </w:rPr>
        <w:noBreakHyphen/>
      </w:r>
      <w:r w:rsidR="00521827" w:rsidRPr="007F3549">
        <w:rPr>
          <w:lang w:val="fr-FR"/>
        </w:rPr>
        <w:t>2</w:t>
      </w:r>
      <w:r w:rsidRPr="007F3549">
        <w:rPr>
          <w:rStyle w:val="hps"/>
          <w:lang w:val="fr-FR"/>
        </w:rPr>
        <w:t>/P</w:t>
      </w:r>
      <w:r w:rsidR="00BD351E" w:rsidRPr="007F3549">
        <w:rPr>
          <w:rStyle w:val="atn"/>
          <w:lang w:val="fr-FR"/>
        </w:rPr>
        <w:noBreakHyphen/>
      </w:r>
      <w:r w:rsidRPr="007F3549">
        <w:rPr>
          <w:lang w:val="fr-FR"/>
        </w:rPr>
        <w:t>2</w:t>
      </w:r>
      <w:r w:rsidR="00D949E7" w:rsidRPr="007F3549">
        <w:rPr>
          <w:rStyle w:val="FootnoteReference"/>
          <w:lang w:val="fr-FR"/>
        </w:rPr>
        <w:footnoteReference w:id="2"/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pour les banques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et les gouvernements</w:t>
      </w:r>
      <w:r w:rsidRPr="007F3549">
        <w:rPr>
          <w:lang w:val="fr-FR"/>
        </w:rPr>
        <w:t xml:space="preserve">, </w:t>
      </w:r>
      <w:r w:rsidRPr="007F3549">
        <w:rPr>
          <w:rStyle w:val="hps"/>
          <w:lang w:val="fr-FR"/>
        </w:rPr>
        <w:t>A</w:t>
      </w:r>
      <w:r w:rsidR="00BD351E" w:rsidRPr="007F3549">
        <w:rPr>
          <w:rStyle w:val="hps"/>
          <w:lang w:val="fr-FR"/>
        </w:rPr>
        <w:noBreakHyphen/>
      </w:r>
      <w:r w:rsidRPr="007F3549">
        <w:rPr>
          <w:lang w:val="fr-FR"/>
        </w:rPr>
        <w:t>3</w:t>
      </w:r>
      <w:r w:rsidRPr="007F3549">
        <w:rPr>
          <w:rStyle w:val="hps"/>
          <w:lang w:val="fr-FR"/>
        </w:rPr>
        <w:t>/P</w:t>
      </w:r>
      <w:r w:rsidR="00BD351E" w:rsidRPr="007F3549">
        <w:rPr>
          <w:rStyle w:val="atn"/>
          <w:lang w:val="fr-FR"/>
        </w:rPr>
        <w:noBreakHyphen/>
      </w:r>
      <w:r w:rsidRPr="007F3549">
        <w:rPr>
          <w:lang w:val="fr-FR"/>
        </w:rPr>
        <w:t xml:space="preserve">3 pour </w:t>
      </w:r>
      <w:r w:rsidRPr="007F3549">
        <w:rPr>
          <w:rStyle w:val="hps"/>
          <w:lang w:val="fr-FR"/>
        </w:rPr>
        <w:t xml:space="preserve">les obligations </w:t>
      </w:r>
      <w:r w:rsidR="003A552F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6C700C" w:rsidRPr="007F3549">
        <w:rPr>
          <w:rStyle w:val="hps"/>
          <w:lang w:val="fr-FR"/>
        </w:rPr>
        <w:t>entreprises</w:t>
      </w:r>
      <w:r w:rsidR="003057AD" w:rsidRPr="007F3549">
        <w:rPr>
          <w:lang w:val="fr-FR"/>
        </w:rPr>
        <w:t>.</w:t>
      </w:r>
    </w:p>
    <w:p w:rsidR="003057AD" w:rsidRPr="007F3549" w:rsidRDefault="00D032D2" w:rsidP="007F3549">
      <w:pPr>
        <w:pStyle w:val="ONUMFS"/>
        <w:numPr>
          <w:ilvl w:val="2"/>
          <w:numId w:val="3"/>
        </w:numPr>
        <w:tabs>
          <w:tab w:val="clear" w:pos="1701"/>
        </w:tabs>
        <w:ind w:left="567"/>
        <w:rPr>
          <w:lang w:val="fr-FR"/>
        </w:rPr>
      </w:pPr>
      <w:r w:rsidRPr="007F3549">
        <w:rPr>
          <w:rStyle w:val="hps"/>
          <w:lang w:val="fr-FR"/>
        </w:rPr>
        <w:t>L</w:t>
      </w:r>
      <w:r w:rsidR="001D69D6" w:rsidRPr="007F3549">
        <w:rPr>
          <w:rStyle w:val="hps"/>
          <w:lang w:val="fr-FR"/>
        </w:rPr>
        <w:t>a détention de dépôts</w:t>
      </w:r>
      <w:r w:rsidR="001D69D6" w:rsidRPr="007F3549">
        <w:rPr>
          <w:lang w:val="fr-FR"/>
        </w:rPr>
        <w:t xml:space="preserve">, </w:t>
      </w:r>
      <w:r w:rsidR="001D69D6" w:rsidRPr="007F3549">
        <w:rPr>
          <w:rStyle w:val="hps"/>
          <w:lang w:val="fr-FR"/>
        </w:rPr>
        <w:t>même à taux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zéro</w:t>
      </w:r>
      <w:r w:rsidR="001D69D6" w:rsidRPr="007F3549">
        <w:rPr>
          <w:lang w:val="fr-FR"/>
        </w:rPr>
        <w:t xml:space="preserve">, </w:t>
      </w:r>
      <w:r w:rsidR="001D69D6" w:rsidRPr="007F3549">
        <w:rPr>
          <w:rStyle w:val="hps"/>
          <w:lang w:val="fr-FR"/>
        </w:rPr>
        <w:t>constitue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une activité </w:t>
      </w:r>
      <w:r w:rsidRPr="007F3549">
        <w:rPr>
          <w:rStyle w:val="hps"/>
          <w:lang w:val="fr-FR"/>
        </w:rPr>
        <w:t>de placement</w:t>
      </w:r>
      <w:r w:rsidR="001D69D6" w:rsidRPr="007F3549">
        <w:rPr>
          <w:lang w:val="fr-FR"/>
        </w:rPr>
        <w:t xml:space="preserve">. </w:t>
      </w:r>
      <w:r w:rsidRPr="007F3549">
        <w:rPr>
          <w:lang w:val="fr-FR"/>
        </w:rPr>
        <w:t xml:space="preserve"> Les principaux p</w:t>
      </w:r>
      <w:r w:rsidR="001D69D6" w:rsidRPr="007F3549">
        <w:rPr>
          <w:rStyle w:val="hps"/>
          <w:lang w:val="fr-FR"/>
        </w:rPr>
        <w:t>artenaires bancaires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="001D69D6" w:rsidRPr="007F3549">
        <w:rPr>
          <w:rStyle w:val="hps"/>
          <w:lang w:val="fr-FR"/>
        </w:rPr>
        <w:t>OMPI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ne satisfont pas</w:t>
      </w:r>
      <w:r w:rsidR="001D69D6" w:rsidRPr="007F3549">
        <w:rPr>
          <w:lang w:val="fr-FR"/>
        </w:rPr>
        <w:t xml:space="preserve"> </w:t>
      </w:r>
      <w:r w:rsidR="0053053B">
        <w:rPr>
          <w:lang w:val="fr-FR"/>
        </w:rPr>
        <w:t xml:space="preserve">à </w:t>
      </w:r>
      <w:r w:rsidR="001D69D6" w:rsidRPr="007F3549">
        <w:rPr>
          <w:rStyle w:val="hps"/>
          <w:lang w:val="fr-FR"/>
        </w:rPr>
        <w:t xml:space="preserve">la </w:t>
      </w:r>
      <w:r w:rsidRPr="007F3549">
        <w:rPr>
          <w:rStyle w:val="hps"/>
          <w:lang w:val="fr-FR"/>
        </w:rPr>
        <w:t xml:space="preserve">notation minimale prévue </w:t>
      </w:r>
      <w:r w:rsidR="001D69D6" w:rsidRPr="007F3549">
        <w:rPr>
          <w:rStyle w:val="hps"/>
          <w:lang w:val="fr-FR"/>
        </w:rPr>
        <w:t>par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la politique </w:t>
      </w:r>
      <w:r w:rsidRPr="007F3549">
        <w:rPr>
          <w:rStyle w:val="hps"/>
          <w:lang w:val="fr-FR"/>
        </w:rPr>
        <w:t xml:space="preserve">de placements en vigueur; </w:t>
      </w:r>
      <w:r w:rsidR="001D69D6" w:rsidRPr="007F3549">
        <w:rPr>
          <w:rStyle w:val="hps"/>
          <w:lang w:val="fr-FR"/>
        </w:rPr>
        <w:t xml:space="preserve"> par conséquent</w:t>
      </w:r>
      <w:r w:rsidR="001D69D6" w:rsidRPr="007F3549">
        <w:rPr>
          <w:lang w:val="fr-FR"/>
        </w:rPr>
        <w:t xml:space="preserve">, </w:t>
      </w:r>
      <w:r w:rsidR="001D69D6" w:rsidRPr="007F3549">
        <w:rPr>
          <w:rStyle w:val="hps"/>
          <w:lang w:val="fr-FR"/>
        </w:rPr>
        <w:t>si l</w:t>
      </w:r>
      <w:r w:rsidR="00876E92" w:rsidRPr="007F3549">
        <w:rPr>
          <w:rStyle w:val="hps"/>
          <w:lang w:val="fr-FR"/>
        </w:rPr>
        <w:t>’</w:t>
      </w:r>
      <w:r w:rsidR="001D69D6" w:rsidRPr="007F3549">
        <w:rPr>
          <w:rStyle w:val="hps"/>
          <w:lang w:val="fr-FR"/>
        </w:rPr>
        <w:t>Organisation</w:t>
      </w:r>
      <w:r w:rsidR="001D69D6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souhaite</w:t>
      </w:r>
      <w:r w:rsidR="001D69D6" w:rsidRPr="007F3549">
        <w:rPr>
          <w:rStyle w:val="hps"/>
          <w:lang w:val="fr-FR"/>
        </w:rPr>
        <w:t xml:space="preserve"> faire pleinement usage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des </w:t>
      </w:r>
      <w:r w:rsidRPr="007F3549">
        <w:rPr>
          <w:rStyle w:val="hps"/>
          <w:lang w:val="fr-FR"/>
        </w:rPr>
        <w:t>montages</w:t>
      </w:r>
      <w:r w:rsidR="001D69D6" w:rsidRPr="007F3549">
        <w:rPr>
          <w:lang w:val="fr-FR"/>
        </w:rPr>
        <w:t xml:space="preserve"> </w:t>
      </w:r>
      <w:r w:rsidR="00CA2FC3" w:rsidRPr="007F3549">
        <w:rPr>
          <w:rStyle w:val="hps"/>
          <w:lang w:val="fr-FR"/>
        </w:rPr>
        <w:t>existants</w:t>
      </w:r>
      <w:r w:rsidR="001D69D6" w:rsidRPr="007F3549">
        <w:rPr>
          <w:rStyle w:val="hps"/>
          <w:lang w:val="fr-FR"/>
        </w:rPr>
        <w:t xml:space="preserve"> et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éviter ainsi</w:t>
      </w:r>
      <w:r w:rsidR="001D69D6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</w:t>
      </w:r>
      <w:r w:rsidR="001D69D6" w:rsidRPr="007F3549">
        <w:rPr>
          <w:rStyle w:val="hps"/>
          <w:lang w:val="fr-FR"/>
        </w:rPr>
        <w:t xml:space="preserve">es taux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 xml:space="preserve">intérêt </w:t>
      </w:r>
      <w:r w:rsidR="001D69D6" w:rsidRPr="007F3549">
        <w:rPr>
          <w:rStyle w:val="hps"/>
          <w:lang w:val="fr-FR"/>
        </w:rPr>
        <w:t>négatifs</w:t>
      </w:r>
      <w:r w:rsidR="001D69D6" w:rsidRPr="007F3549">
        <w:rPr>
          <w:lang w:val="fr-FR"/>
        </w:rPr>
        <w:t xml:space="preserve">, </w:t>
      </w:r>
      <w:r w:rsidR="001D69D6" w:rsidRPr="007F3549">
        <w:rPr>
          <w:rStyle w:val="hps"/>
          <w:lang w:val="fr-FR"/>
        </w:rPr>
        <w:t xml:space="preserve">la </w:t>
      </w:r>
      <w:r w:rsidRPr="007F3549">
        <w:rPr>
          <w:rStyle w:val="hps"/>
          <w:lang w:val="fr-FR"/>
        </w:rPr>
        <w:t>notation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minimale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devra être</w:t>
      </w:r>
      <w:r w:rsidR="001D69D6" w:rsidRPr="007F3549">
        <w:rPr>
          <w:lang w:val="fr-FR"/>
        </w:rPr>
        <w:t xml:space="preserve"> </w:t>
      </w:r>
      <w:r w:rsidR="00CA2FC3" w:rsidRPr="007F3549">
        <w:rPr>
          <w:rStyle w:val="hps"/>
          <w:lang w:val="fr-FR"/>
        </w:rPr>
        <w:t>abaissée</w:t>
      </w:r>
      <w:r w:rsidR="001D69D6" w:rsidRPr="007F3549">
        <w:rPr>
          <w:lang w:val="fr-FR"/>
        </w:rPr>
        <w:t>.</w:t>
      </w:r>
      <w:r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 </w:t>
      </w:r>
      <w:r w:rsidR="007B1551" w:rsidRPr="007F3549">
        <w:rPr>
          <w:rStyle w:val="hps"/>
          <w:lang w:val="fr-FR"/>
        </w:rPr>
        <w:t>Il est proposé d</w:t>
      </w:r>
      <w:r w:rsidR="00876E92" w:rsidRPr="007F3549">
        <w:rPr>
          <w:rStyle w:val="hps"/>
          <w:lang w:val="fr-FR"/>
        </w:rPr>
        <w:t>’</w:t>
      </w:r>
      <w:r w:rsidR="001D69D6" w:rsidRPr="007F3549">
        <w:rPr>
          <w:rStyle w:val="hps"/>
          <w:lang w:val="fr-FR"/>
        </w:rPr>
        <w:t>abaisser</w:t>
      </w:r>
      <w:r w:rsidR="001D69D6" w:rsidRPr="007F3549">
        <w:rPr>
          <w:lang w:val="fr-FR"/>
        </w:rPr>
        <w:t xml:space="preserve"> </w:t>
      </w:r>
      <w:r w:rsidRPr="007F3549">
        <w:rPr>
          <w:lang w:val="fr-FR"/>
        </w:rPr>
        <w:t>les notations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acceptables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comme suit</w:t>
      </w:r>
      <w:r w:rsidRPr="007F3549">
        <w:rPr>
          <w:rStyle w:val="hps"/>
          <w:lang w:val="fr-FR"/>
        </w:rPr>
        <w:t> </w:t>
      </w:r>
      <w:r w:rsidR="001D69D6" w:rsidRPr="007F3549">
        <w:rPr>
          <w:rStyle w:val="hps"/>
          <w:lang w:val="fr-FR"/>
        </w:rPr>
        <w:t>: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les banques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et les obligations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État</w:t>
      </w:r>
      <w:r w:rsidR="001D69D6" w:rsidRPr="007F3549">
        <w:rPr>
          <w:lang w:val="fr-FR"/>
        </w:rPr>
        <w:t xml:space="preserve"> </w:t>
      </w:r>
      <w:r w:rsidR="003A552F" w:rsidRPr="007F3549">
        <w:rPr>
          <w:rStyle w:val="hps"/>
          <w:lang w:val="fr-FR"/>
        </w:rPr>
        <w:t>devront avoir une notation à</w:t>
      </w:r>
      <w:r w:rsidR="001D69D6" w:rsidRPr="007F3549">
        <w:rPr>
          <w:rStyle w:val="hps"/>
          <w:lang w:val="fr-FR"/>
        </w:rPr>
        <w:t xml:space="preserve"> long terme</w:t>
      </w:r>
      <w:r w:rsidR="001D69D6" w:rsidRPr="007F3549">
        <w:rPr>
          <w:lang w:val="fr-FR"/>
        </w:rPr>
        <w:t xml:space="preserve"> </w:t>
      </w:r>
      <w:r w:rsidR="003A552F" w:rsidRPr="007F3549">
        <w:rPr>
          <w:rStyle w:val="hps"/>
          <w:lang w:val="fr-FR"/>
        </w:rPr>
        <w:t>A</w:t>
      </w:r>
      <w:r w:rsidR="00BD351E" w:rsidRPr="007F3549">
        <w:rPr>
          <w:rStyle w:val="hps"/>
          <w:lang w:val="fr-FR"/>
        </w:rPr>
        <w:noBreakHyphen/>
      </w:r>
      <w:r w:rsidR="001D69D6" w:rsidRPr="007F3549">
        <w:rPr>
          <w:rStyle w:val="hps"/>
          <w:lang w:val="fr-FR"/>
        </w:rPr>
        <w:t>/A3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ou </w:t>
      </w:r>
      <w:r w:rsidR="003A552F" w:rsidRPr="007F3549">
        <w:rPr>
          <w:rStyle w:val="hps"/>
          <w:lang w:val="fr-FR"/>
        </w:rPr>
        <w:t xml:space="preserve">plus, et </w:t>
      </w:r>
      <w:r w:rsidR="001D69D6" w:rsidRPr="007F3549">
        <w:rPr>
          <w:rStyle w:val="hps"/>
          <w:lang w:val="fr-FR"/>
        </w:rPr>
        <w:t xml:space="preserve">les obligations </w:t>
      </w:r>
      <w:r w:rsidR="003A552F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6C700C" w:rsidRPr="007F3549">
        <w:rPr>
          <w:rStyle w:val="hps"/>
          <w:lang w:val="fr-FR"/>
        </w:rPr>
        <w:t>entreprises</w:t>
      </w:r>
      <w:r w:rsidR="003A552F" w:rsidRPr="007F3549">
        <w:rPr>
          <w:lang w:val="fr-FR"/>
        </w:rPr>
        <w:t xml:space="preserve"> </w:t>
      </w:r>
      <w:r w:rsidR="003A552F" w:rsidRPr="007F3549">
        <w:rPr>
          <w:rStyle w:val="hps"/>
          <w:lang w:val="fr-FR"/>
        </w:rPr>
        <w:t>une</w:t>
      </w:r>
      <w:r w:rsidR="001D69D6" w:rsidRPr="007F3549">
        <w:rPr>
          <w:rStyle w:val="hps"/>
          <w:lang w:val="fr-FR"/>
        </w:rPr>
        <w:t xml:space="preserve"> notation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BBB</w:t>
      </w:r>
      <w:r w:rsidR="00BD351E" w:rsidRPr="007F3549">
        <w:rPr>
          <w:rStyle w:val="hps"/>
          <w:lang w:val="fr-FR"/>
        </w:rPr>
        <w:noBreakHyphen/>
      </w:r>
      <w:r w:rsidR="001D69D6" w:rsidRPr="007F3549">
        <w:rPr>
          <w:rStyle w:val="hps"/>
          <w:lang w:val="fr-FR"/>
        </w:rPr>
        <w:t>/Baa3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ou plus</w:t>
      </w:r>
      <w:r w:rsidR="006E77DB" w:rsidRPr="007F3549">
        <w:rPr>
          <w:lang w:val="fr-FR"/>
        </w:rPr>
        <w:t>.</w:t>
      </w:r>
    </w:p>
    <w:p w:rsidR="00030202" w:rsidRPr="007F3549" w:rsidRDefault="001D69D6" w:rsidP="007F3549">
      <w:pPr>
        <w:pStyle w:val="ONUMFS"/>
        <w:numPr>
          <w:ilvl w:val="2"/>
          <w:numId w:val="3"/>
        </w:numPr>
        <w:tabs>
          <w:tab w:val="clear" w:pos="1701"/>
        </w:tabs>
        <w:ind w:left="567"/>
        <w:rPr>
          <w:lang w:val="fr-FR"/>
        </w:rPr>
      </w:pPr>
      <w:r w:rsidRPr="007F3549">
        <w:rPr>
          <w:lang w:val="fr-FR"/>
        </w:rPr>
        <w:t>La politique actuelle appelle à</w:t>
      </w:r>
      <w:r w:rsidR="00C80291" w:rsidRPr="007F3549">
        <w:rPr>
          <w:lang w:val="fr-FR"/>
        </w:rPr>
        <w:t xml:space="preserve"> </w:t>
      </w:r>
      <w:r w:rsidR="0040107A" w:rsidRPr="007F3549">
        <w:rPr>
          <w:lang w:val="fr-FR"/>
        </w:rPr>
        <w:t>ce que</w:t>
      </w:r>
      <w:r w:rsidRPr="007F3549">
        <w:rPr>
          <w:lang w:val="fr-FR"/>
        </w:rPr>
        <w:t xml:space="preserve"> </w:t>
      </w:r>
      <w:r w:rsidR="00617726" w:rsidRPr="007F3549">
        <w:rPr>
          <w:lang w:val="fr-FR"/>
        </w:rPr>
        <w:t>“</w:t>
      </w:r>
      <w:r w:rsidR="00D32BE5" w:rsidRPr="007F3549">
        <w:rPr>
          <w:lang w:val="fr-FR"/>
        </w:rPr>
        <w:t>10</w:t>
      </w:r>
      <w:r w:rsidR="007B73E2" w:rsidRPr="007F3549">
        <w:rPr>
          <w:lang w:val="fr-FR"/>
        </w:rPr>
        <w:t>%</w:t>
      </w:r>
      <w:r w:rsidR="00D32BE5" w:rsidRPr="007F3549">
        <w:rPr>
          <w:lang w:val="fr-FR"/>
        </w:rPr>
        <w:t xml:space="preserve"> </w:t>
      </w:r>
      <w:r w:rsidR="0040107A" w:rsidRPr="007F3549">
        <w:rPr>
          <w:lang w:val="fr-FR"/>
        </w:rPr>
        <w:t xml:space="preserve">au maximum </w:t>
      </w:r>
      <w:r w:rsidR="00D32BE5" w:rsidRPr="007F3549">
        <w:rPr>
          <w:lang w:val="fr-FR"/>
        </w:rPr>
        <w:t>de</w:t>
      </w:r>
      <w:r w:rsidR="00C80291" w:rsidRPr="007F3549">
        <w:rPr>
          <w:lang w:val="fr-FR"/>
        </w:rPr>
        <w:t>s</w:t>
      </w:r>
      <w:r w:rsidR="00D32BE5" w:rsidRPr="007F3549">
        <w:rPr>
          <w:lang w:val="fr-FR"/>
        </w:rPr>
        <w:t xml:space="preserve"> placements</w:t>
      </w:r>
      <w:r w:rsidR="00617726" w:rsidRPr="007F3549">
        <w:rPr>
          <w:lang w:val="fr-FR"/>
        </w:rPr>
        <w:t>”</w:t>
      </w:r>
      <w:r w:rsidRPr="007F3549">
        <w:rPr>
          <w:lang w:val="fr-FR"/>
        </w:rPr>
        <w:t xml:space="preserve"> </w:t>
      </w:r>
      <w:r w:rsidR="0040107A" w:rsidRPr="007F3549">
        <w:rPr>
          <w:lang w:val="fr-FR"/>
        </w:rPr>
        <w:t>soient confiés à une même</w:t>
      </w:r>
      <w:r w:rsidR="001F0D21" w:rsidRPr="007F3549">
        <w:rPr>
          <w:lang w:val="fr-FR"/>
        </w:rPr>
        <w:t xml:space="preserve"> institution</w:t>
      </w:r>
      <w:r w:rsidRPr="007F3549">
        <w:rPr>
          <w:lang w:val="fr-FR"/>
        </w:rPr>
        <w:t>, à 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exception </w:t>
      </w:r>
      <w:r w:rsidR="001F0D21" w:rsidRPr="007F3549">
        <w:rPr>
          <w:lang w:val="fr-FR"/>
        </w:rPr>
        <w:t xml:space="preserve">des </w:t>
      </w:r>
      <w:r w:rsidRPr="007F3549">
        <w:rPr>
          <w:lang w:val="fr-FR"/>
        </w:rPr>
        <w:t xml:space="preserve">institutions </w:t>
      </w:r>
      <w:r w:rsidR="0040107A" w:rsidRPr="007F3549">
        <w:rPr>
          <w:lang w:val="fr-FR"/>
        </w:rPr>
        <w:t>à</w:t>
      </w:r>
      <w:r w:rsidR="00D32BE5" w:rsidRPr="007F3549">
        <w:rPr>
          <w:lang w:val="fr-FR"/>
        </w:rPr>
        <w:t xml:space="preserve"> risque souverain et </w:t>
      </w:r>
      <w:r w:rsidR="0040107A" w:rsidRPr="007F3549">
        <w:rPr>
          <w:lang w:val="fr-FR"/>
        </w:rPr>
        <w:t>à notation</w:t>
      </w:r>
      <w:r w:rsidR="00244C36" w:rsidRPr="007F3549">
        <w:rPr>
          <w:lang w:val="fr-FR"/>
        </w:rPr>
        <w:t xml:space="preserve"> </w:t>
      </w:r>
      <w:r w:rsidR="00D32BE5" w:rsidRPr="007F3549">
        <w:rPr>
          <w:lang w:val="fr-FR"/>
        </w:rPr>
        <w:t>AAA/</w:t>
      </w:r>
      <w:proofErr w:type="spellStart"/>
      <w:r w:rsidRPr="007F3549">
        <w:rPr>
          <w:lang w:val="fr-FR"/>
        </w:rPr>
        <w:t>Aaa</w:t>
      </w:r>
      <w:proofErr w:type="spellEnd"/>
      <w:r w:rsidRPr="007F3549">
        <w:rPr>
          <w:lang w:val="fr-FR"/>
        </w:rPr>
        <w:t xml:space="preserve">. </w:t>
      </w:r>
      <w:r w:rsidR="00244C36" w:rsidRPr="007F3549">
        <w:rPr>
          <w:lang w:val="fr-FR"/>
        </w:rPr>
        <w:t xml:space="preserve"> </w:t>
      </w:r>
      <w:r w:rsidRPr="007F3549">
        <w:rPr>
          <w:lang w:val="fr-FR"/>
        </w:rPr>
        <w:t>Dans le marché actuel, il est non seulement très difficile d</w:t>
      </w:r>
      <w:r w:rsidR="00876E92" w:rsidRPr="007F3549">
        <w:rPr>
          <w:lang w:val="fr-FR"/>
        </w:rPr>
        <w:t>’</w:t>
      </w:r>
      <w:r w:rsidR="00D32BE5" w:rsidRPr="007F3549">
        <w:rPr>
          <w:lang w:val="fr-FR"/>
        </w:rPr>
        <w:t xml:space="preserve">identifier </w:t>
      </w:r>
      <w:r w:rsidR="00244C36" w:rsidRPr="007F3549">
        <w:rPr>
          <w:lang w:val="fr-FR"/>
        </w:rPr>
        <w:t xml:space="preserve">les banques ayant reçu la note </w:t>
      </w:r>
      <w:r w:rsidR="00D32BE5" w:rsidRPr="007F3549">
        <w:rPr>
          <w:lang w:val="fr-FR"/>
        </w:rPr>
        <w:t>AAA/</w:t>
      </w:r>
      <w:proofErr w:type="spellStart"/>
      <w:r w:rsidR="00244C36" w:rsidRPr="007F3549">
        <w:rPr>
          <w:lang w:val="fr-FR"/>
        </w:rPr>
        <w:t>Aaa</w:t>
      </w:r>
      <w:proofErr w:type="spellEnd"/>
      <w:r w:rsidR="00244C36" w:rsidRPr="007F3549">
        <w:rPr>
          <w:lang w:val="fr-FR"/>
        </w:rPr>
        <w:t xml:space="preserve"> </w:t>
      </w:r>
      <w:r w:rsidRPr="007F3549">
        <w:rPr>
          <w:lang w:val="fr-FR"/>
        </w:rPr>
        <w:t>mais il est aussi pratiquement impossible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établir de nouvelles relations bancaires pour </w:t>
      </w:r>
      <w:r w:rsidR="00244C36" w:rsidRPr="007F3549">
        <w:rPr>
          <w:lang w:val="fr-FR"/>
        </w:rPr>
        <w:t xml:space="preserve">les </w:t>
      </w:r>
      <w:r w:rsidRPr="007F3549">
        <w:rPr>
          <w:lang w:val="fr-FR"/>
        </w:rPr>
        <w:t xml:space="preserve">francs suisses </w:t>
      </w:r>
      <w:r w:rsidR="00244C36" w:rsidRPr="007F3549">
        <w:rPr>
          <w:lang w:val="fr-FR"/>
        </w:rPr>
        <w:t>sachant que les</w:t>
      </w:r>
      <w:r w:rsidRPr="007F3549">
        <w:rPr>
          <w:lang w:val="fr-FR"/>
        </w:rPr>
        <w:t xml:space="preserve"> nouveaux fonds</w:t>
      </w:r>
      <w:r w:rsidR="00244C36" w:rsidRPr="007F3549">
        <w:rPr>
          <w:lang w:val="fr-FR"/>
        </w:rPr>
        <w:t xml:space="preserve"> reçus</w:t>
      </w:r>
      <w:r w:rsidRPr="007F3549">
        <w:rPr>
          <w:lang w:val="fr-FR"/>
        </w:rPr>
        <w:t xml:space="preserve"> </w:t>
      </w:r>
      <w:r w:rsidR="00244C36" w:rsidRPr="007F3549">
        <w:rPr>
          <w:lang w:val="fr-FR"/>
        </w:rPr>
        <w:t>entraînent des</w:t>
      </w:r>
      <w:r w:rsidRPr="007F3549">
        <w:rPr>
          <w:lang w:val="fr-FR"/>
        </w:rPr>
        <w:t xml:space="preserve"> intérêts négatifs supplémentaires pour les banques concernées</w:t>
      </w:r>
      <w:r w:rsidR="00244C36" w:rsidRPr="007F3549">
        <w:rPr>
          <w:lang w:val="fr-FR"/>
        </w:rPr>
        <w:t xml:space="preserve"> de</w:t>
      </w:r>
      <w:r w:rsidR="00876E92" w:rsidRPr="007F3549">
        <w:rPr>
          <w:lang w:val="fr-FR"/>
        </w:rPr>
        <w:t xml:space="preserve"> la BNS</w:t>
      </w:r>
      <w:r w:rsidRPr="007F3549">
        <w:rPr>
          <w:lang w:val="fr-FR"/>
        </w:rPr>
        <w:t xml:space="preserve">. </w:t>
      </w:r>
      <w:r w:rsidR="00244C36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Cela </w:t>
      </w:r>
      <w:r w:rsidR="002F7FC0" w:rsidRPr="007F3549">
        <w:rPr>
          <w:lang w:val="fr-FR"/>
        </w:rPr>
        <w:t>vaut tant</w:t>
      </w:r>
      <w:r w:rsidRPr="007F3549">
        <w:rPr>
          <w:lang w:val="fr-FR"/>
        </w:rPr>
        <w:t xml:space="preserve"> pour les banques suisses que pour </w:t>
      </w:r>
      <w:r w:rsidR="002F7FC0" w:rsidRPr="007F3549">
        <w:rPr>
          <w:lang w:val="fr-FR"/>
        </w:rPr>
        <w:t>celles</w:t>
      </w:r>
      <w:r w:rsidRPr="007F3549">
        <w:rPr>
          <w:lang w:val="fr-FR"/>
        </w:rPr>
        <w:t xml:space="preserve"> basé</w:t>
      </w:r>
      <w:r w:rsidR="002F7FC0" w:rsidRPr="007F3549">
        <w:rPr>
          <w:lang w:val="fr-FR"/>
        </w:rPr>
        <w:t>e</w:t>
      </w:r>
      <w:r w:rsidRPr="007F3549">
        <w:rPr>
          <w:lang w:val="fr-FR"/>
        </w:rPr>
        <w:t>s à 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étranger. </w:t>
      </w:r>
      <w:r w:rsidR="002F7FC0" w:rsidRPr="007F3549">
        <w:rPr>
          <w:lang w:val="fr-FR"/>
        </w:rPr>
        <w:t xml:space="preserve"> </w:t>
      </w:r>
      <w:r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Organisation a la chance </w:t>
      </w:r>
      <w:r w:rsidR="002F7FC0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2F7FC0" w:rsidRPr="007F3549">
        <w:rPr>
          <w:lang w:val="fr-FR"/>
        </w:rPr>
        <w:t>être d</w:t>
      </w:r>
      <w:r w:rsidR="00876E92" w:rsidRPr="007F3549">
        <w:rPr>
          <w:lang w:val="fr-FR"/>
        </w:rPr>
        <w:t>’</w:t>
      </w:r>
      <w:r w:rsidR="002F7FC0" w:rsidRPr="007F3549">
        <w:rPr>
          <w:lang w:val="fr-FR"/>
        </w:rPr>
        <w:t xml:space="preserve">ores et </w:t>
      </w:r>
      <w:r w:rsidRPr="007F3549">
        <w:rPr>
          <w:lang w:val="fr-FR"/>
        </w:rPr>
        <w:t xml:space="preserve">déjà </w:t>
      </w:r>
      <w:r w:rsidR="002F7FC0" w:rsidRPr="007F3549">
        <w:rPr>
          <w:lang w:val="fr-FR"/>
        </w:rPr>
        <w:t>en relation avec cinq </w:t>
      </w:r>
      <w:r w:rsidRPr="007F3549">
        <w:rPr>
          <w:lang w:val="fr-FR"/>
        </w:rPr>
        <w:t xml:space="preserve">institutions financières suisses. </w:t>
      </w:r>
      <w:r w:rsidR="002F7FC0" w:rsidRPr="007F3549">
        <w:rPr>
          <w:lang w:val="fr-FR"/>
        </w:rPr>
        <w:t xml:space="preserve"> Toutes ces institutions ne </w:t>
      </w:r>
      <w:r w:rsidR="008E4BFE" w:rsidRPr="007F3549">
        <w:rPr>
          <w:lang w:val="fr-FR"/>
        </w:rPr>
        <w:t>sont pas spécialisées en</w:t>
      </w:r>
      <w:r w:rsidR="002F7FC0" w:rsidRPr="007F3549">
        <w:rPr>
          <w:lang w:val="fr-FR"/>
        </w:rPr>
        <w:t xml:space="preserve"> placements,</w:t>
      </w:r>
      <w:r w:rsidRPr="007F3549">
        <w:rPr>
          <w:lang w:val="fr-FR"/>
        </w:rPr>
        <w:t xml:space="preserve"> et 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OMPI va </w:t>
      </w:r>
      <w:r w:rsidR="002F7FC0" w:rsidRPr="007F3549">
        <w:rPr>
          <w:lang w:val="fr-FR"/>
        </w:rPr>
        <w:t>examiner</w:t>
      </w:r>
      <w:r w:rsidRPr="007F3549">
        <w:rPr>
          <w:lang w:val="fr-FR"/>
        </w:rPr>
        <w:t xml:space="preserve"> la possibilité de </w:t>
      </w:r>
      <w:r w:rsidR="002F7FC0" w:rsidRPr="007F3549">
        <w:rPr>
          <w:lang w:val="fr-FR"/>
        </w:rPr>
        <w:t>renforcer ses relations</w:t>
      </w:r>
      <w:r w:rsidRPr="007F3549">
        <w:rPr>
          <w:lang w:val="fr-FR"/>
        </w:rPr>
        <w:t xml:space="preserve"> avec ses partenaires bancaires </w:t>
      </w:r>
      <w:r w:rsidR="002F7FC0" w:rsidRPr="007F3549">
        <w:rPr>
          <w:lang w:val="fr-FR"/>
        </w:rPr>
        <w:t xml:space="preserve">non </w:t>
      </w:r>
      <w:r w:rsidR="008E4BFE" w:rsidRPr="007F3549">
        <w:rPr>
          <w:lang w:val="fr-FR"/>
        </w:rPr>
        <w:t>spécialisés en</w:t>
      </w:r>
      <w:r w:rsidR="002F7FC0" w:rsidRPr="007F3549">
        <w:rPr>
          <w:lang w:val="fr-FR"/>
        </w:rPr>
        <w:t xml:space="preserve"> placements</w:t>
      </w:r>
      <w:r w:rsidRPr="007F3549">
        <w:rPr>
          <w:lang w:val="fr-FR"/>
        </w:rPr>
        <w:t xml:space="preserve"> </w:t>
      </w:r>
      <w:r w:rsidR="002F7FC0" w:rsidRPr="007F3549">
        <w:rPr>
          <w:lang w:val="fr-FR"/>
        </w:rPr>
        <w:t>pour voir si elle peut protéger</w:t>
      </w:r>
      <w:r w:rsidRPr="007F3549">
        <w:rPr>
          <w:lang w:val="fr-FR"/>
        </w:rPr>
        <w:t xml:space="preserve"> des </w:t>
      </w:r>
      <w:r w:rsidR="002F7FC0" w:rsidRPr="007F3549">
        <w:rPr>
          <w:lang w:val="fr-FR"/>
        </w:rPr>
        <w:t xml:space="preserve">montants </w:t>
      </w:r>
      <w:r w:rsidRPr="007F3549">
        <w:rPr>
          <w:lang w:val="fr-FR"/>
        </w:rPr>
        <w:t xml:space="preserve">supplémentaires de sa trésorerie </w:t>
      </w:r>
      <w:r w:rsidR="002F7FC0" w:rsidRPr="007F3549">
        <w:rPr>
          <w:lang w:val="fr-FR"/>
        </w:rPr>
        <w:t>contre l</w:t>
      </w:r>
      <w:r w:rsidRPr="007F3549">
        <w:rPr>
          <w:lang w:val="fr-FR"/>
        </w:rPr>
        <w:t xml:space="preserve">es taux </w:t>
      </w:r>
      <w:r w:rsidR="002F7FC0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2F7FC0" w:rsidRPr="007F3549">
        <w:rPr>
          <w:lang w:val="fr-FR"/>
        </w:rPr>
        <w:t xml:space="preserve">intérêt </w:t>
      </w:r>
      <w:r w:rsidRPr="007F3549">
        <w:rPr>
          <w:lang w:val="fr-FR"/>
        </w:rPr>
        <w:t>négatifs.</w:t>
      </w:r>
      <w:r w:rsidR="002F7FC0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 </w:t>
      </w:r>
      <w:r w:rsidR="0040107A" w:rsidRPr="007F3549">
        <w:rPr>
          <w:lang w:val="fr-FR"/>
        </w:rPr>
        <w:t>Malgré les efforts qui seront consentis</w:t>
      </w:r>
      <w:r w:rsidRPr="007F3549">
        <w:rPr>
          <w:lang w:val="fr-FR"/>
        </w:rPr>
        <w:t xml:space="preserve">, il est </w:t>
      </w:r>
      <w:r w:rsidR="0040107A" w:rsidRPr="007F3549">
        <w:rPr>
          <w:lang w:val="fr-FR"/>
        </w:rPr>
        <w:t>fort</w:t>
      </w:r>
      <w:r w:rsidRPr="007F3549">
        <w:rPr>
          <w:lang w:val="fr-FR"/>
        </w:rPr>
        <w:t xml:space="preserve"> peu probable que 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Organisation </w:t>
      </w:r>
      <w:r w:rsidR="0040107A" w:rsidRPr="007F3549">
        <w:rPr>
          <w:lang w:val="fr-FR"/>
        </w:rPr>
        <w:t>parvienne</w:t>
      </w:r>
      <w:r w:rsidRPr="007F3549">
        <w:rPr>
          <w:lang w:val="fr-FR"/>
        </w:rPr>
        <w:t xml:space="preserve"> à établir de</w:t>
      </w:r>
      <w:r w:rsidR="0040107A" w:rsidRPr="007F3549">
        <w:rPr>
          <w:lang w:val="fr-FR"/>
        </w:rPr>
        <w:t>s</w:t>
      </w:r>
      <w:r w:rsidRPr="007F3549">
        <w:rPr>
          <w:lang w:val="fr-FR"/>
        </w:rPr>
        <w:t xml:space="preserve"> relations bancaires </w:t>
      </w:r>
      <w:r w:rsidR="0040107A" w:rsidRPr="007F3549">
        <w:rPr>
          <w:lang w:val="fr-FR"/>
        </w:rPr>
        <w:t xml:space="preserve">totalement nouvelles </w:t>
      </w:r>
      <w:r w:rsidRPr="007F3549">
        <w:rPr>
          <w:lang w:val="fr-FR"/>
        </w:rPr>
        <w:t xml:space="preserve">pour </w:t>
      </w:r>
      <w:r w:rsidR="0040107A" w:rsidRPr="007F3549">
        <w:rPr>
          <w:lang w:val="fr-FR"/>
        </w:rPr>
        <w:t xml:space="preserve">les </w:t>
      </w:r>
      <w:r w:rsidRPr="007F3549">
        <w:rPr>
          <w:lang w:val="fr-FR"/>
        </w:rPr>
        <w:t>francs suisses</w:t>
      </w:r>
      <w:r w:rsidR="0040107A" w:rsidRPr="007F3549">
        <w:rPr>
          <w:lang w:val="fr-FR"/>
        </w:rPr>
        <w:t xml:space="preserve">; </w:t>
      </w:r>
      <w:r w:rsidRPr="007F3549">
        <w:rPr>
          <w:lang w:val="fr-FR"/>
        </w:rPr>
        <w:t xml:space="preserve"> </w:t>
      </w:r>
      <w:r w:rsidR="0040107A" w:rsidRPr="007F3549">
        <w:rPr>
          <w:lang w:val="fr-FR"/>
        </w:rPr>
        <w:t xml:space="preserve">par conséquent, </w:t>
      </w:r>
      <w:r w:rsidRPr="007F3549">
        <w:rPr>
          <w:lang w:val="fr-FR"/>
        </w:rPr>
        <w:t xml:space="preserve">la politique </w:t>
      </w:r>
      <w:r w:rsidR="0040107A" w:rsidRPr="007F3549">
        <w:rPr>
          <w:lang w:val="fr-FR"/>
        </w:rPr>
        <w:t>en matière de placements</w:t>
      </w:r>
      <w:r w:rsidRPr="007F3549">
        <w:rPr>
          <w:lang w:val="fr-FR"/>
        </w:rPr>
        <w:t xml:space="preserve"> devra </w:t>
      </w:r>
      <w:r w:rsidR="0040107A" w:rsidRPr="007F3549">
        <w:rPr>
          <w:lang w:val="fr-FR"/>
        </w:rPr>
        <w:t>évoluer</w:t>
      </w:r>
      <w:r w:rsidRPr="007F3549">
        <w:rPr>
          <w:lang w:val="fr-FR"/>
        </w:rPr>
        <w:t xml:space="preserve"> afin de refléter les réalités de </w:t>
      </w:r>
      <w:r w:rsidRPr="007F3549">
        <w:rPr>
          <w:lang w:val="fr-FR"/>
        </w:rPr>
        <w:lastRenderedPageBreak/>
        <w:t>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environnement bancaire actuel.</w:t>
      </w:r>
      <w:r w:rsidR="0040107A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 </w:t>
      </w:r>
      <w:r w:rsidR="0040107A" w:rsidRPr="007F3549">
        <w:rPr>
          <w:lang w:val="fr-FR"/>
        </w:rPr>
        <w:t xml:space="preserve">La nouvelle formulation proposée </w:t>
      </w:r>
      <w:r w:rsidRPr="007F3549">
        <w:rPr>
          <w:lang w:val="fr-FR"/>
        </w:rPr>
        <w:t xml:space="preserve">pour la politique est </w:t>
      </w:r>
      <w:r w:rsidR="0040107A" w:rsidRPr="007F3549">
        <w:rPr>
          <w:lang w:val="fr-FR"/>
        </w:rPr>
        <w:t>la suivante</w:t>
      </w:r>
      <w:r w:rsidRPr="007F3549">
        <w:rPr>
          <w:lang w:val="fr-FR"/>
        </w:rPr>
        <w:t> </w:t>
      </w:r>
      <w:r w:rsidR="003D4A8F" w:rsidRPr="007F3549">
        <w:rPr>
          <w:lang w:val="fr-FR"/>
        </w:rPr>
        <w:t>:</w:t>
      </w:r>
    </w:p>
    <w:p w:rsidR="00CE70AE" w:rsidRPr="007F3549" w:rsidRDefault="0040107A" w:rsidP="00B50D94">
      <w:pPr>
        <w:pStyle w:val="ONUMFS"/>
        <w:numPr>
          <w:ilvl w:val="0"/>
          <w:numId w:val="0"/>
        </w:numPr>
        <w:ind w:left="1134"/>
        <w:rPr>
          <w:i/>
          <w:lang w:val="fr-FR"/>
        </w:rPr>
      </w:pPr>
      <w:r w:rsidRPr="007F3549">
        <w:rPr>
          <w:i/>
          <w:lang w:val="fr-FR"/>
        </w:rPr>
        <w:t xml:space="preserve">Il est procédé à une répartition des placements </w:t>
      </w:r>
      <w:r w:rsidR="00BA0734" w:rsidRPr="007F3549">
        <w:rPr>
          <w:i/>
          <w:lang w:val="fr-FR"/>
        </w:rPr>
        <w:t>de trésorerie d</w:t>
      </w:r>
      <w:r w:rsidR="00876E92" w:rsidRPr="007F3549">
        <w:rPr>
          <w:i/>
          <w:lang w:val="fr-FR"/>
        </w:rPr>
        <w:t>’</w:t>
      </w:r>
      <w:r w:rsidR="00BA0734" w:rsidRPr="007F3549">
        <w:rPr>
          <w:i/>
          <w:lang w:val="fr-FR"/>
        </w:rPr>
        <w:t xml:space="preserve">exploitation et </w:t>
      </w:r>
      <w:r w:rsidR="007F6BC4" w:rsidRPr="007F3549">
        <w:rPr>
          <w:i/>
          <w:lang w:val="fr-FR"/>
        </w:rPr>
        <w:t>de fonds propres</w:t>
      </w:r>
      <w:r w:rsidR="00BA0734" w:rsidRPr="007F3549">
        <w:rPr>
          <w:i/>
          <w:lang w:val="fr-FR"/>
        </w:rPr>
        <w:t xml:space="preserve"> </w:t>
      </w:r>
      <w:r w:rsidRPr="007F3549">
        <w:rPr>
          <w:i/>
          <w:lang w:val="fr-FR"/>
        </w:rPr>
        <w:t>de l</w:t>
      </w:r>
      <w:r w:rsidR="00876E92" w:rsidRPr="007F3549">
        <w:rPr>
          <w:i/>
          <w:lang w:val="fr-FR"/>
        </w:rPr>
        <w:t>’</w:t>
      </w:r>
      <w:r w:rsidRPr="007F3549">
        <w:rPr>
          <w:i/>
          <w:lang w:val="fr-FR"/>
        </w:rPr>
        <w:t>Organisation entre plusieurs institutions, de manière à ce que les fonds soient divisés, si possi</w:t>
      </w:r>
      <w:r w:rsidR="00BA0734" w:rsidRPr="007F3549">
        <w:rPr>
          <w:i/>
          <w:lang w:val="fr-FR"/>
        </w:rPr>
        <w:t>ble, entre un minimum de quatre </w:t>
      </w:r>
      <w:r w:rsidRPr="007F3549">
        <w:rPr>
          <w:i/>
          <w:lang w:val="fr-FR"/>
        </w:rPr>
        <w:t xml:space="preserve">institutions. </w:t>
      </w:r>
      <w:r w:rsidR="00BA0734" w:rsidRPr="007F3549">
        <w:rPr>
          <w:i/>
          <w:lang w:val="fr-FR"/>
        </w:rPr>
        <w:t xml:space="preserve"> Tous les placements de trésorerie d</w:t>
      </w:r>
      <w:r w:rsidR="00876E92" w:rsidRPr="007F3549">
        <w:rPr>
          <w:i/>
          <w:lang w:val="fr-FR"/>
        </w:rPr>
        <w:t>’</w:t>
      </w:r>
      <w:r w:rsidR="00BA0734" w:rsidRPr="007F3549">
        <w:rPr>
          <w:i/>
          <w:lang w:val="fr-FR"/>
        </w:rPr>
        <w:t xml:space="preserve">exploitation et de </w:t>
      </w:r>
      <w:r w:rsidR="00EB01C9" w:rsidRPr="007F3549">
        <w:rPr>
          <w:i/>
          <w:lang w:val="fr-FR"/>
        </w:rPr>
        <w:t>fonds propres</w:t>
      </w:r>
      <w:r w:rsidR="00BA0734" w:rsidRPr="007F3549">
        <w:rPr>
          <w:i/>
          <w:lang w:val="fr-FR"/>
        </w:rPr>
        <w:t xml:space="preserve"> de l</w:t>
      </w:r>
      <w:r w:rsidR="00876E92" w:rsidRPr="007F3549">
        <w:rPr>
          <w:i/>
          <w:lang w:val="fr-FR"/>
        </w:rPr>
        <w:t>’</w:t>
      </w:r>
      <w:r w:rsidR="00BA0734" w:rsidRPr="007F3549">
        <w:rPr>
          <w:i/>
          <w:lang w:val="fr-FR"/>
        </w:rPr>
        <w:t>O</w:t>
      </w:r>
      <w:r w:rsidRPr="007F3549">
        <w:rPr>
          <w:i/>
          <w:lang w:val="fr-FR"/>
        </w:rPr>
        <w:t>rganisation peuvent être confiés à une même institution à risque souverain et à notation AAA/</w:t>
      </w:r>
      <w:proofErr w:type="spellStart"/>
      <w:r w:rsidRPr="007F3549">
        <w:rPr>
          <w:i/>
          <w:lang w:val="fr-FR"/>
        </w:rPr>
        <w:t>Aaa</w:t>
      </w:r>
      <w:proofErr w:type="spellEnd"/>
      <w:r w:rsidR="00CE70AE" w:rsidRPr="007F3549">
        <w:rPr>
          <w:i/>
          <w:lang w:val="fr-FR"/>
        </w:rPr>
        <w:t>.</w:t>
      </w:r>
    </w:p>
    <w:p w:rsidR="00690580" w:rsidRPr="007F3549" w:rsidRDefault="00EB01C9" w:rsidP="00B50D94">
      <w:pPr>
        <w:pStyle w:val="Heading2"/>
        <w:rPr>
          <w:lang w:val="fr-FR"/>
        </w:rPr>
      </w:pPr>
      <w:r w:rsidRPr="007F3549">
        <w:rPr>
          <w:lang w:val="fr-FR"/>
        </w:rPr>
        <w:t>FONDS PROPRES</w:t>
      </w:r>
    </w:p>
    <w:p w:rsidR="00B50D94" w:rsidRPr="007F3549" w:rsidRDefault="00B50D94" w:rsidP="00B50D94">
      <w:pPr>
        <w:keepNext/>
        <w:rPr>
          <w:lang w:val="fr-FR"/>
        </w:rPr>
      </w:pPr>
    </w:p>
    <w:p w:rsidR="00690580" w:rsidRPr="007F3549" w:rsidRDefault="00BC3598" w:rsidP="00B50D94">
      <w:pPr>
        <w:pStyle w:val="ONUMFS"/>
        <w:rPr>
          <w:lang w:val="fr-FR"/>
        </w:rPr>
      </w:pPr>
      <w:r w:rsidRPr="007F3549">
        <w:rPr>
          <w:lang w:val="fr-FR"/>
        </w:rPr>
        <w:t>Il s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agit du</w:t>
      </w:r>
      <w:r w:rsidR="001D69D6" w:rsidRPr="007F3549">
        <w:rPr>
          <w:lang w:val="fr-FR"/>
        </w:rPr>
        <w:t xml:space="preserve"> solde restant de la trésorerie de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OMPI après déduction de la trésorerie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exploitation et </w:t>
      </w:r>
      <w:r w:rsidR="002437EF" w:rsidRPr="007F3549">
        <w:rPr>
          <w:lang w:val="fr-FR"/>
        </w:rPr>
        <w:t xml:space="preserve">de la trésorerie </w:t>
      </w:r>
      <w:r w:rsidR="001D69D6" w:rsidRPr="007F3549">
        <w:rPr>
          <w:lang w:val="fr-FR"/>
        </w:rPr>
        <w:t>stratégique (</w:t>
      </w:r>
      <w:r w:rsidRPr="007F3549">
        <w:rPr>
          <w:lang w:val="fr-FR"/>
        </w:rPr>
        <w:t>la notion de trésorerie</w:t>
      </w:r>
      <w:r w:rsidR="001D69D6" w:rsidRPr="007F3549">
        <w:rPr>
          <w:lang w:val="fr-FR"/>
        </w:rPr>
        <w:t xml:space="preserve"> stratégique </w:t>
      </w:r>
      <w:r w:rsidR="006B7FB8" w:rsidRPr="007F3549">
        <w:rPr>
          <w:lang w:val="fr-FR"/>
        </w:rPr>
        <w:t>est expliqué</w:t>
      </w:r>
      <w:r w:rsidRPr="007F3549">
        <w:rPr>
          <w:lang w:val="fr-FR"/>
        </w:rPr>
        <w:t>e</w:t>
      </w:r>
      <w:r w:rsidR="006B7FB8" w:rsidRPr="007F3549">
        <w:rPr>
          <w:lang w:val="fr-FR"/>
        </w:rPr>
        <w:t xml:space="preserve"> dans le paragraphe </w:t>
      </w:r>
      <w:r w:rsidR="001D69D6" w:rsidRPr="007F3549">
        <w:rPr>
          <w:lang w:val="fr-FR"/>
        </w:rPr>
        <w:t xml:space="preserve">12). </w:t>
      </w:r>
      <w:r w:rsidRPr="007F3549">
        <w:rPr>
          <w:lang w:val="fr-FR"/>
        </w:rPr>
        <w:t xml:space="preserve"> </w:t>
      </w:r>
      <w:r w:rsidR="002437EF" w:rsidRPr="007F3549">
        <w:rPr>
          <w:lang w:val="fr-FR"/>
        </w:rPr>
        <w:t>Il</w:t>
      </w:r>
      <w:r w:rsidR="001D69D6" w:rsidRPr="007F3549">
        <w:rPr>
          <w:lang w:val="fr-FR"/>
        </w:rPr>
        <w:t xml:space="preserve"> constitue la plus grande partie des soldes de trésorerie</w:t>
      </w:r>
      <w:r w:rsidR="002437EF" w:rsidRPr="007F3549">
        <w:rPr>
          <w:lang w:val="fr-FR"/>
        </w:rPr>
        <w:t>,</w:t>
      </w:r>
      <w:r w:rsidR="001D69D6" w:rsidRPr="007F3549">
        <w:rPr>
          <w:lang w:val="fr-FR"/>
        </w:rPr>
        <w:t xml:space="preserve"> et</w:t>
      </w:r>
      <w:r w:rsidRPr="007F3549">
        <w:rPr>
          <w:lang w:val="fr-FR"/>
        </w:rPr>
        <w:t xml:space="preserve"> une proportion importante </w:t>
      </w:r>
      <w:r w:rsidR="002437EF" w:rsidRPr="007F3549">
        <w:rPr>
          <w:lang w:val="fr-FR"/>
        </w:rPr>
        <w:t>est de la trésorerie</w:t>
      </w:r>
      <w:r w:rsidRPr="007F3549">
        <w:rPr>
          <w:lang w:val="fr-FR"/>
        </w:rPr>
        <w:t xml:space="preserve"> </w:t>
      </w:r>
      <w:r w:rsidR="00617726" w:rsidRPr="007F3549">
        <w:rPr>
          <w:lang w:val="fr-FR"/>
        </w:rPr>
        <w:t>“</w:t>
      </w:r>
      <w:r w:rsidR="002437EF" w:rsidRPr="007F3549">
        <w:rPr>
          <w:lang w:val="fr-FR"/>
        </w:rPr>
        <w:t>soumise à restriction</w:t>
      </w:r>
      <w:r w:rsidR="00617726" w:rsidRPr="007F3549">
        <w:rPr>
          <w:lang w:val="fr-FR"/>
        </w:rPr>
        <w:t>”</w:t>
      </w:r>
      <w:r w:rsidRPr="007F3549">
        <w:rPr>
          <w:lang w:val="fr-FR"/>
        </w:rPr>
        <w:t xml:space="preserve"> qui n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appartient pas à l</w:t>
      </w:r>
      <w:r w:rsidR="00876E92" w:rsidRPr="007F3549">
        <w:rPr>
          <w:lang w:val="fr-FR"/>
        </w:rPr>
        <w:t>’</w:t>
      </w:r>
      <w:r w:rsidR="005538EC" w:rsidRPr="007F3549">
        <w:rPr>
          <w:lang w:val="fr-FR"/>
        </w:rPr>
        <w:t>Organisation (voir le tableau </w:t>
      </w:r>
      <w:r w:rsidR="001D69D6" w:rsidRPr="007F3549">
        <w:rPr>
          <w:lang w:val="fr-FR"/>
        </w:rPr>
        <w:t>1).</w:t>
      </w:r>
      <w:r w:rsidR="005538EC"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 </w:t>
      </w:r>
      <w:r w:rsidR="002437EF" w:rsidRPr="007F3549">
        <w:rPr>
          <w:lang w:val="fr-FR"/>
        </w:rPr>
        <w:t>Ces dernières années, le niveau de</w:t>
      </w:r>
      <w:r w:rsidR="001D69D6" w:rsidRPr="007F3549">
        <w:rPr>
          <w:lang w:val="fr-FR"/>
        </w:rPr>
        <w:t xml:space="preserve"> trésorerie </w:t>
      </w:r>
      <w:r w:rsidR="002437EF" w:rsidRPr="007F3549">
        <w:rPr>
          <w:lang w:val="fr-FR"/>
        </w:rPr>
        <w:t>s</w:t>
      </w:r>
      <w:r w:rsidR="00876E92" w:rsidRPr="007F3549">
        <w:rPr>
          <w:lang w:val="fr-FR"/>
        </w:rPr>
        <w:t>’</w:t>
      </w:r>
      <w:r w:rsidR="002437EF" w:rsidRPr="007F3549">
        <w:rPr>
          <w:lang w:val="fr-FR"/>
        </w:rPr>
        <w:t>est maintenu ou bien a</w:t>
      </w:r>
      <w:r w:rsidR="001D69D6" w:rsidRPr="007F3549">
        <w:rPr>
          <w:lang w:val="fr-FR"/>
        </w:rPr>
        <w:t xml:space="preserve"> augmenté, ce qui indique que, même si une grande partie de </w:t>
      </w:r>
      <w:r w:rsidR="002437EF" w:rsidRPr="007F3549">
        <w:rPr>
          <w:lang w:val="fr-FR"/>
        </w:rPr>
        <w:t xml:space="preserve">cette trésorerie est versée </w:t>
      </w:r>
      <w:r w:rsidR="001D69D6" w:rsidRPr="007F3549">
        <w:rPr>
          <w:lang w:val="fr-FR"/>
        </w:rPr>
        <w:t>régulièrement pour le co</w:t>
      </w:r>
      <w:r w:rsidR="002437EF" w:rsidRPr="007F3549">
        <w:rPr>
          <w:lang w:val="fr-FR"/>
        </w:rPr>
        <w:t>mpte des</w:t>
      </w:r>
      <w:r w:rsidR="001D69D6" w:rsidRPr="007F3549">
        <w:rPr>
          <w:lang w:val="fr-FR"/>
        </w:rPr>
        <w:t xml:space="preserve"> tiers pour lesquels </w:t>
      </w:r>
      <w:r w:rsidR="002437EF" w:rsidRPr="007F3549">
        <w:rPr>
          <w:lang w:val="fr-FR"/>
        </w:rPr>
        <w:t>elle</w:t>
      </w:r>
      <w:r w:rsidR="001D69D6" w:rsidRPr="007F3549">
        <w:rPr>
          <w:lang w:val="fr-FR"/>
        </w:rPr>
        <w:t xml:space="preserve"> est détenu</w:t>
      </w:r>
      <w:r w:rsidR="002437EF" w:rsidRPr="007F3549">
        <w:rPr>
          <w:lang w:val="fr-FR"/>
        </w:rPr>
        <w:t>e</w:t>
      </w:r>
      <w:r w:rsidR="001D69D6" w:rsidRPr="007F3549">
        <w:rPr>
          <w:lang w:val="fr-FR"/>
        </w:rPr>
        <w:t xml:space="preserve">, la trésorerie </w:t>
      </w:r>
      <w:r w:rsidR="002437EF" w:rsidRPr="007F3549">
        <w:rPr>
          <w:lang w:val="fr-FR"/>
        </w:rPr>
        <w:t>rentre</w:t>
      </w:r>
      <w:r w:rsidR="001D69D6" w:rsidRPr="007F3549">
        <w:rPr>
          <w:lang w:val="fr-FR"/>
        </w:rPr>
        <w:t xml:space="preserve"> </w:t>
      </w:r>
      <w:r w:rsidR="002437EF" w:rsidRPr="007F3549">
        <w:rPr>
          <w:lang w:val="fr-FR"/>
        </w:rPr>
        <w:t>tout aussi régulièrement</w:t>
      </w:r>
      <w:r w:rsidR="001D69D6" w:rsidRPr="007F3549">
        <w:rPr>
          <w:lang w:val="fr-FR"/>
        </w:rPr>
        <w:t xml:space="preserve"> pour reconstituer le</w:t>
      </w:r>
      <w:r w:rsidR="002437EF" w:rsidRPr="007F3549">
        <w:rPr>
          <w:lang w:val="fr-FR"/>
        </w:rPr>
        <w:t>s</w:t>
      </w:r>
      <w:r w:rsidR="001D69D6" w:rsidRPr="007F3549">
        <w:rPr>
          <w:lang w:val="fr-FR"/>
        </w:rPr>
        <w:t xml:space="preserve"> soldes. </w:t>
      </w:r>
      <w:r w:rsidR="002437EF" w:rsidRPr="007F3549">
        <w:rPr>
          <w:lang w:val="fr-FR"/>
        </w:rPr>
        <w:t xml:space="preserve"> </w:t>
      </w:r>
      <w:r w:rsidR="001D69D6"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objectif </w:t>
      </w:r>
      <w:r w:rsidR="002437EF" w:rsidRPr="007F3549">
        <w:rPr>
          <w:lang w:val="fr-FR"/>
        </w:rPr>
        <w:t>en matière de placements consiste</w:t>
      </w:r>
      <w:r w:rsidR="001D69D6" w:rsidRPr="007F3549">
        <w:rPr>
          <w:lang w:val="fr-FR"/>
        </w:rPr>
        <w:t xml:space="preserve"> donc </w:t>
      </w:r>
      <w:r w:rsidR="002437EF" w:rsidRPr="007F3549">
        <w:rPr>
          <w:lang w:val="fr-FR"/>
        </w:rPr>
        <w:t>à</w:t>
      </w:r>
      <w:r w:rsidR="001D69D6" w:rsidRPr="007F3549">
        <w:rPr>
          <w:lang w:val="fr-FR"/>
        </w:rPr>
        <w:t xml:space="preserve"> parvenir à un équilibre entre liquidité</w:t>
      </w:r>
      <w:r w:rsidR="002437EF" w:rsidRPr="007F3549">
        <w:rPr>
          <w:lang w:val="fr-FR"/>
        </w:rPr>
        <w:t>s</w:t>
      </w:r>
      <w:r w:rsidR="001D69D6" w:rsidRPr="007F3549">
        <w:rPr>
          <w:lang w:val="fr-FR"/>
        </w:rPr>
        <w:t xml:space="preserve"> et rendement,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horizon de placement est à moyen terme (</w:t>
      </w:r>
      <w:r w:rsidR="002437EF" w:rsidRPr="007F3549">
        <w:rPr>
          <w:lang w:val="fr-FR"/>
        </w:rPr>
        <w:t>12 </w:t>
      </w:r>
      <w:r w:rsidR="001D69D6" w:rsidRPr="007F3549">
        <w:rPr>
          <w:lang w:val="fr-FR"/>
        </w:rPr>
        <w:t>mois</w:t>
      </w:r>
      <w:r w:rsidR="002437EF" w:rsidRPr="007F3549">
        <w:rPr>
          <w:lang w:val="fr-FR"/>
        </w:rPr>
        <w:t xml:space="preserve"> minimum</w:t>
      </w:r>
      <w:r w:rsidR="001D69D6" w:rsidRPr="007F3549">
        <w:rPr>
          <w:lang w:val="fr-FR"/>
        </w:rPr>
        <w:t>)</w:t>
      </w:r>
      <w:r w:rsidR="002437EF" w:rsidRPr="007F3549">
        <w:rPr>
          <w:lang w:val="fr-FR"/>
        </w:rPr>
        <w:t>,</w:t>
      </w:r>
      <w:r w:rsidR="001D69D6" w:rsidRPr="007F3549">
        <w:rPr>
          <w:lang w:val="fr-FR"/>
        </w:rPr>
        <w:t xml:space="preserve"> et le profil de risque </w:t>
      </w:r>
      <w:r w:rsidR="002437EF" w:rsidRPr="007F3549">
        <w:rPr>
          <w:lang w:val="fr-FR"/>
        </w:rPr>
        <w:t>vise à</w:t>
      </w:r>
      <w:r w:rsidR="001D69D6" w:rsidRPr="007F3549">
        <w:rPr>
          <w:lang w:val="fr-FR"/>
        </w:rPr>
        <w:t xml:space="preserve"> préserver le capital tout en </w:t>
      </w:r>
      <w:r w:rsidR="002437EF" w:rsidRPr="007F3549">
        <w:rPr>
          <w:lang w:val="fr-FR"/>
        </w:rPr>
        <w:t>garantissant</w:t>
      </w:r>
      <w:r w:rsidR="001D69D6" w:rsidRPr="007F3549">
        <w:rPr>
          <w:lang w:val="fr-FR"/>
        </w:rPr>
        <w:t xml:space="preserve"> une faible volatilité des valeurs des </w:t>
      </w:r>
      <w:r w:rsidR="002437EF" w:rsidRPr="007F3549">
        <w:rPr>
          <w:lang w:val="fr-FR"/>
        </w:rPr>
        <w:t>placements</w:t>
      </w:r>
      <w:r w:rsidR="001D69D6" w:rsidRPr="007F3549">
        <w:rPr>
          <w:lang w:val="fr-FR"/>
        </w:rPr>
        <w:t xml:space="preserve"> sous</w:t>
      </w:r>
      <w:r w:rsidR="00BD351E" w:rsidRPr="007F3549">
        <w:rPr>
          <w:lang w:val="fr-FR"/>
        </w:rPr>
        <w:noBreakHyphen/>
      </w:r>
      <w:r w:rsidR="001D69D6" w:rsidRPr="007F3549">
        <w:rPr>
          <w:lang w:val="fr-FR"/>
        </w:rPr>
        <w:t xml:space="preserve">jacents. </w:t>
      </w:r>
      <w:r w:rsidR="002437EF" w:rsidRPr="007F3549">
        <w:rPr>
          <w:lang w:val="fr-FR"/>
        </w:rPr>
        <w:t xml:space="preserve"> </w:t>
      </w:r>
      <w:r w:rsidR="001D69D6" w:rsidRPr="007F3549">
        <w:rPr>
          <w:lang w:val="fr-FR"/>
        </w:rPr>
        <w:t>Les recherches menées par le Secrétariat, avec le plein engagement du Comité consultatif d</w:t>
      </w:r>
      <w:r w:rsidR="002437EF" w:rsidRPr="007F3549">
        <w:rPr>
          <w:lang w:val="fr-FR"/>
        </w:rPr>
        <w:t xml:space="preserve">es </w:t>
      </w:r>
      <w:r w:rsidR="001D69D6" w:rsidRPr="007F3549">
        <w:rPr>
          <w:lang w:val="fr-FR"/>
        </w:rPr>
        <w:t>investissement</w:t>
      </w:r>
      <w:r w:rsidR="002437EF" w:rsidRPr="007F3549">
        <w:rPr>
          <w:lang w:val="fr-FR"/>
        </w:rPr>
        <w:t>s</w:t>
      </w:r>
      <w:r w:rsidR="001D69D6" w:rsidRPr="007F3549">
        <w:rPr>
          <w:lang w:val="fr-FR"/>
        </w:rPr>
        <w:t xml:space="preserve">, </w:t>
      </w:r>
      <w:r w:rsidR="007707A6" w:rsidRPr="007F3549">
        <w:rPr>
          <w:lang w:val="fr-FR"/>
        </w:rPr>
        <w:t>laissent à penser qu</w:t>
      </w:r>
      <w:r w:rsidR="00876E92" w:rsidRPr="007F3549">
        <w:rPr>
          <w:lang w:val="fr-FR"/>
        </w:rPr>
        <w:t>’</w:t>
      </w:r>
      <w:r w:rsidR="007707A6" w:rsidRPr="007F3549">
        <w:rPr>
          <w:lang w:val="fr-FR"/>
        </w:rPr>
        <w:t>il serait possible</w:t>
      </w:r>
      <w:r w:rsidR="001D69D6" w:rsidRPr="007F3549">
        <w:rPr>
          <w:lang w:val="fr-FR"/>
        </w:rPr>
        <w:t xml:space="preserve"> d</w:t>
      </w:r>
      <w:r w:rsidR="00876E92" w:rsidRPr="007F3549">
        <w:rPr>
          <w:lang w:val="fr-FR"/>
        </w:rPr>
        <w:t>’</w:t>
      </w:r>
      <w:r w:rsidR="007707A6" w:rsidRPr="007F3549">
        <w:rPr>
          <w:lang w:val="fr-FR"/>
        </w:rPr>
        <w:t>investir ces fonds à</w:t>
      </w:r>
      <w:r w:rsidR="001D69D6" w:rsidRPr="007F3549">
        <w:rPr>
          <w:lang w:val="fr-FR"/>
        </w:rPr>
        <w:t xml:space="preserve"> moyen terme, disons </w:t>
      </w:r>
      <w:r w:rsidR="007707A6" w:rsidRPr="007F3549">
        <w:rPr>
          <w:lang w:val="fr-FR"/>
        </w:rPr>
        <w:t>sur une durée maximale de quatre </w:t>
      </w:r>
      <w:r w:rsidR="001D69D6" w:rsidRPr="007F3549">
        <w:rPr>
          <w:lang w:val="fr-FR"/>
        </w:rPr>
        <w:t xml:space="preserve">ans, et </w:t>
      </w:r>
      <w:r w:rsidR="007707A6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7707A6" w:rsidRPr="007F3549">
        <w:rPr>
          <w:lang w:val="fr-FR"/>
        </w:rPr>
        <w:t>obtenir</w:t>
      </w:r>
      <w:r w:rsidR="001D69D6" w:rsidRPr="007F3549">
        <w:rPr>
          <w:lang w:val="fr-FR"/>
        </w:rPr>
        <w:t xml:space="preserve"> </w:t>
      </w:r>
      <w:r w:rsidR="007707A6" w:rsidRPr="007F3549">
        <w:rPr>
          <w:lang w:val="fr-FR"/>
        </w:rPr>
        <w:t xml:space="preserve">ainsi </w:t>
      </w:r>
      <w:r w:rsidR="001D69D6" w:rsidRPr="007F3549">
        <w:rPr>
          <w:lang w:val="fr-FR"/>
        </w:rPr>
        <w:t xml:space="preserve">un rendement positif. </w:t>
      </w:r>
      <w:r w:rsidR="007707A6" w:rsidRPr="007F3549">
        <w:rPr>
          <w:lang w:val="fr-FR"/>
        </w:rPr>
        <w:t xml:space="preserve"> Idéalement, les fonds </w:t>
      </w:r>
      <w:r w:rsidR="00502381" w:rsidRPr="007F3549">
        <w:rPr>
          <w:lang w:val="fr-FR"/>
        </w:rPr>
        <w:t>doivent</w:t>
      </w:r>
      <w:r w:rsidR="007707A6" w:rsidRPr="007F3549">
        <w:rPr>
          <w:lang w:val="fr-FR"/>
        </w:rPr>
        <w:t xml:space="preserve"> être placés </w:t>
      </w:r>
      <w:r w:rsidR="001D69D6" w:rsidRPr="007F3549">
        <w:rPr>
          <w:lang w:val="fr-FR"/>
        </w:rPr>
        <w:t xml:space="preserve">de manière à ce </w:t>
      </w:r>
      <w:r w:rsidR="00502381" w:rsidRPr="007F3549">
        <w:rPr>
          <w:lang w:val="fr-FR"/>
        </w:rPr>
        <w:t>qu</w:t>
      </w:r>
      <w:r w:rsidR="00876E92" w:rsidRPr="007F3549">
        <w:rPr>
          <w:lang w:val="fr-FR"/>
        </w:rPr>
        <w:t>’</w:t>
      </w:r>
      <w:r w:rsidR="00502381" w:rsidRPr="007F3549">
        <w:rPr>
          <w:lang w:val="fr-FR"/>
        </w:rPr>
        <w:t>une partie d</w:t>
      </w:r>
      <w:r w:rsidR="00876E92" w:rsidRPr="007F3549">
        <w:rPr>
          <w:lang w:val="fr-FR"/>
        </w:rPr>
        <w:t>’</w:t>
      </w:r>
      <w:r w:rsidR="00502381" w:rsidRPr="007F3549">
        <w:rPr>
          <w:lang w:val="fr-FR"/>
        </w:rPr>
        <w:t>entre eux soit accessible occasionnellement</w:t>
      </w:r>
      <w:r w:rsidR="001D69D6" w:rsidRPr="007F3549">
        <w:rPr>
          <w:lang w:val="fr-FR"/>
        </w:rPr>
        <w:t xml:space="preserve">, </w:t>
      </w:r>
      <w:r w:rsidR="00502381" w:rsidRPr="007F3549">
        <w:rPr>
          <w:lang w:val="fr-FR"/>
        </w:rPr>
        <w:t>ce qui permettrait</w:t>
      </w:r>
      <w:r w:rsidR="001D69D6" w:rsidRPr="007F3549">
        <w:rPr>
          <w:lang w:val="fr-FR"/>
        </w:rPr>
        <w:t xml:space="preserve">, par exemple, </w:t>
      </w:r>
      <w:r w:rsidR="00502381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502381" w:rsidRPr="007F3549">
        <w:rPr>
          <w:lang w:val="fr-FR"/>
        </w:rPr>
        <w:t xml:space="preserve">échelonner les </w:t>
      </w:r>
      <w:r w:rsidR="001D69D6" w:rsidRPr="007F3549">
        <w:rPr>
          <w:lang w:val="fr-FR"/>
        </w:rPr>
        <w:t xml:space="preserve">paiements </w:t>
      </w:r>
      <w:r w:rsidR="00502381" w:rsidRPr="007F3549">
        <w:rPr>
          <w:lang w:val="fr-FR"/>
        </w:rPr>
        <w:t xml:space="preserve">importants </w:t>
      </w:r>
      <w:r w:rsidR="001D69D6" w:rsidRPr="007F3549">
        <w:rPr>
          <w:lang w:val="fr-FR"/>
        </w:rPr>
        <w:t xml:space="preserve">tels que les remboursements de prêts à leur échéance. </w:t>
      </w:r>
      <w:r w:rsidR="00502381" w:rsidRPr="007F3549">
        <w:rPr>
          <w:lang w:val="fr-FR"/>
        </w:rPr>
        <w:t xml:space="preserve"> </w:t>
      </w:r>
      <w:r w:rsidR="001D69D6" w:rsidRPr="007F3549">
        <w:rPr>
          <w:lang w:val="fr-FR"/>
        </w:rPr>
        <w:t>En outre, plutôt que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investir la totalité du solde </w:t>
      </w:r>
      <w:r w:rsidR="00EB01C9" w:rsidRPr="007F3549">
        <w:rPr>
          <w:lang w:val="fr-FR"/>
        </w:rPr>
        <w:t>des fonds propres</w:t>
      </w:r>
      <w:r w:rsidR="001D69D6" w:rsidRPr="007F3549">
        <w:rPr>
          <w:lang w:val="fr-FR"/>
        </w:rPr>
        <w:t xml:space="preserve">, </w:t>
      </w:r>
      <w:r w:rsidR="001D5A95" w:rsidRPr="007F3549">
        <w:rPr>
          <w:lang w:val="fr-FR"/>
        </w:rPr>
        <w:t>une quantité suffisante de</w:t>
      </w:r>
      <w:r w:rsidR="00502381" w:rsidRPr="007F3549">
        <w:rPr>
          <w:lang w:val="fr-FR"/>
        </w:rPr>
        <w:t xml:space="preserve"> fonds </w:t>
      </w:r>
      <w:r w:rsidR="001D5A95" w:rsidRPr="007F3549">
        <w:rPr>
          <w:lang w:val="fr-FR"/>
        </w:rPr>
        <w:t>pourrait être conservée à des fins de remboursement des deux </w:t>
      </w:r>
      <w:r w:rsidR="001D69D6" w:rsidRPr="007F3549">
        <w:rPr>
          <w:lang w:val="fr-FR"/>
        </w:rPr>
        <w:t xml:space="preserve">tranches </w:t>
      </w:r>
      <w:r w:rsidR="00502381" w:rsidRPr="007F3549">
        <w:rPr>
          <w:lang w:val="fr-FR"/>
        </w:rPr>
        <w:t>de l</w:t>
      </w:r>
      <w:r w:rsidR="00876E92" w:rsidRPr="007F3549">
        <w:rPr>
          <w:lang w:val="fr-FR"/>
        </w:rPr>
        <w:t>’</w:t>
      </w:r>
      <w:r w:rsidR="00502381" w:rsidRPr="007F3549">
        <w:rPr>
          <w:lang w:val="fr-FR"/>
        </w:rPr>
        <w:t>emprunt pour le nouveau</w:t>
      </w:r>
      <w:r w:rsidR="001D69D6" w:rsidRPr="007F3549">
        <w:rPr>
          <w:lang w:val="fr-FR"/>
        </w:rPr>
        <w:t xml:space="preserve"> bâtiment</w:t>
      </w:r>
      <w:r w:rsidR="00502381" w:rsidRPr="007F3549">
        <w:rPr>
          <w:lang w:val="fr-FR"/>
        </w:rPr>
        <w:t xml:space="preserve">, dont les échéances se rapprochent </w:t>
      </w:r>
      <w:r w:rsidR="001D69D6" w:rsidRPr="007F3549">
        <w:rPr>
          <w:lang w:val="fr-FR"/>
        </w:rPr>
        <w:t>(24</w:t>
      </w:r>
      <w:r w:rsidR="006B7FB8" w:rsidRPr="007F3549">
        <w:rPr>
          <w:lang w:val="fr-FR"/>
        </w:rPr>
        <w:t> </w:t>
      </w:r>
      <w:r w:rsidR="001D69D6" w:rsidRPr="007F3549">
        <w:rPr>
          <w:lang w:val="fr-FR"/>
        </w:rPr>
        <w:t xml:space="preserve">millions de francs suisses en </w:t>
      </w:r>
      <w:r w:rsidR="006B7FB8" w:rsidRPr="007F3549">
        <w:rPr>
          <w:lang w:val="fr-FR"/>
        </w:rPr>
        <w:t>novembre 2015 et 16 </w:t>
      </w:r>
      <w:r w:rsidR="001D69D6" w:rsidRPr="007F3549">
        <w:rPr>
          <w:lang w:val="fr-FR"/>
        </w:rPr>
        <w:t>millions de francs suisses en janvier 2016)</w:t>
      </w:r>
      <w:r w:rsidR="00CE70AE" w:rsidRPr="007F3549">
        <w:rPr>
          <w:lang w:val="fr-FR"/>
        </w:rPr>
        <w:t>.</w:t>
      </w:r>
    </w:p>
    <w:p w:rsidR="00183640" w:rsidRPr="007F3549" w:rsidRDefault="00DB0E05" w:rsidP="00B50D94">
      <w:pPr>
        <w:pStyle w:val="Heading3"/>
        <w:rPr>
          <w:lang w:val="fr-FR"/>
        </w:rPr>
      </w:pPr>
      <w:r w:rsidRPr="007F3549">
        <w:rPr>
          <w:lang w:val="fr-FR"/>
        </w:rPr>
        <w:t>Conséquences sur la politique en matière de placements</w:t>
      </w:r>
    </w:p>
    <w:p w:rsidR="00B50D94" w:rsidRPr="007F3549" w:rsidRDefault="00B50D94" w:rsidP="00B50D94">
      <w:pPr>
        <w:rPr>
          <w:lang w:val="fr-FR"/>
        </w:rPr>
      </w:pPr>
    </w:p>
    <w:p w:rsidR="00E82939" w:rsidRPr="007F3549" w:rsidRDefault="001D69D6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Dans le contexte actuel</w:t>
      </w:r>
      <w:r w:rsidRPr="007F3549">
        <w:rPr>
          <w:lang w:val="fr-FR"/>
        </w:rPr>
        <w:t xml:space="preserve">, il est clair </w:t>
      </w:r>
      <w:r w:rsidRPr="007F3549">
        <w:rPr>
          <w:rStyle w:val="hps"/>
          <w:lang w:val="fr-FR"/>
        </w:rPr>
        <w:t>que les dépôts bancaires</w:t>
      </w:r>
      <w:r w:rsidRPr="007F3549">
        <w:rPr>
          <w:lang w:val="fr-FR"/>
        </w:rPr>
        <w:t xml:space="preserve"> </w:t>
      </w:r>
      <w:r w:rsidR="00502381" w:rsidRPr="007F3549">
        <w:rPr>
          <w:rStyle w:val="hps"/>
          <w:lang w:val="fr-FR"/>
        </w:rPr>
        <w:t>et l</w:t>
      </w:r>
      <w:r w:rsidRPr="007F3549">
        <w:rPr>
          <w:rStyle w:val="hps"/>
          <w:lang w:val="fr-FR"/>
        </w:rPr>
        <w:t>es placements dans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des obligations </w:t>
      </w:r>
      <w:r w:rsidR="004239D1" w:rsidRPr="007F3549">
        <w:rPr>
          <w:rStyle w:val="hps"/>
          <w:lang w:val="fr-FR"/>
        </w:rPr>
        <w:t>du gouvernement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suisse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à moyen terme</w:t>
      </w:r>
      <w:r w:rsidRPr="007F3549">
        <w:rPr>
          <w:lang w:val="fr-FR"/>
        </w:rPr>
        <w:t xml:space="preserve"> </w:t>
      </w:r>
      <w:r w:rsidR="006C700C" w:rsidRPr="007F3549">
        <w:rPr>
          <w:rStyle w:val="hps"/>
          <w:lang w:val="fr-FR"/>
        </w:rPr>
        <w:t>ne permettront pas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obtenir un rendement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positif </w:t>
      </w:r>
      <w:r w:rsidR="00D341F0" w:rsidRPr="007F3549">
        <w:rPr>
          <w:rStyle w:val="hps"/>
          <w:lang w:val="fr-FR"/>
        </w:rPr>
        <w:t>des fonds propres</w:t>
      </w:r>
      <w:r w:rsidRPr="007F3549">
        <w:rPr>
          <w:lang w:val="fr-FR"/>
        </w:rPr>
        <w:t xml:space="preserve">. </w:t>
      </w:r>
      <w:r w:rsidR="004239D1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Cette trésorerie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devra donc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être</w:t>
      </w:r>
      <w:r w:rsidRPr="007F3549">
        <w:rPr>
          <w:lang w:val="fr-FR"/>
        </w:rPr>
        <w:t xml:space="preserve"> </w:t>
      </w:r>
      <w:r w:rsidR="00DB0E05" w:rsidRPr="007F3549">
        <w:rPr>
          <w:rStyle w:val="hps"/>
          <w:lang w:val="fr-FR"/>
        </w:rPr>
        <w:t>investie</w:t>
      </w:r>
      <w:r w:rsidRPr="007F3549">
        <w:rPr>
          <w:rStyle w:val="hps"/>
          <w:lang w:val="fr-FR"/>
        </w:rPr>
        <w:t xml:space="preserve"> dans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différentes </w:t>
      </w:r>
      <w:r w:rsidR="006C700C" w:rsidRPr="007F3549">
        <w:rPr>
          <w:rStyle w:val="hps"/>
          <w:lang w:val="fr-FR"/>
        </w:rPr>
        <w:t>classes</w:t>
      </w:r>
      <w:r w:rsidRPr="007F3549">
        <w:rPr>
          <w:rStyle w:val="hps"/>
          <w:lang w:val="fr-FR"/>
        </w:rPr>
        <w:t xml:space="preserve">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actifs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dont certain</w:t>
      </w:r>
      <w:r w:rsidR="006C700C" w:rsidRPr="007F3549">
        <w:rPr>
          <w:rStyle w:val="hps"/>
          <w:lang w:val="fr-FR"/>
        </w:rPr>
        <w:t>e</w:t>
      </w:r>
      <w:r w:rsidRPr="007F3549">
        <w:rPr>
          <w:rStyle w:val="hps"/>
          <w:lang w:val="fr-FR"/>
        </w:rPr>
        <w:t>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ne sont actuellement</w:t>
      </w:r>
      <w:r w:rsidRPr="007F3549">
        <w:rPr>
          <w:lang w:val="fr-FR"/>
        </w:rPr>
        <w:t xml:space="preserve"> </w:t>
      </w:r>
      <w:r w:rsidR="004239D1" w:rsidRPr="007F3549">
        <w:rPr>
          <w:rStyle w:val="hps"/>
          <w:lang w:val="fr-FR"/>
        </w:rPr>
        <w:t>pas autorisé</w:t>
      </w:r>
      <w:r w:rsidR="006C700C" w:rsidRPr="007F3549">
        <w:rPr>
          <w:rStyle w:val="hps"/>
          <w:lang w:val="fr-FR"/>
        </w:rPr>
        <w:t>e</w:t>
      </w:r>
      <w:r w:rsidR="004239D1" w:rsidRPr="007F3549">
        <w:rPr>
          <w:rStyle w:val="hps"/>
          <w:lang w:val="fr-FR"/>
        </w:rPr>
        <w:t>s</w:t>
      </w:r>
      <w:r w:rsidRPr="007F3549">
        <w:rPr>
          <w:rStyle w:val="hps"/>
          <w:lang w:val="fr-FR"/>
        </w:rPr>
        <w:t xml:space="preserve"> par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la politique </w:t>
      </w:r>
      <w:r w:rsidR="004239D1" w:rsidRPr="007F3549">
        <w:rPr>
          <w:rStyle w:val="hps"/>
          <w:lang w:val="fr-FR"/>
        </w:rPr>
        <w:t>en matière de placements</w:t>
      </w:r>
      <w:r w:rsidRPr="007F3549">
        <w:rPr>
          <w:lang w:val="fr-FR"/>
        </w:rPr>
        <w:t xml:space="preserve">. </w:t>
      </w:r>
      <w:r w:rsidR="004239D1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Les</w:t>
      </w:r>
      <w:r w:rsidRPr="007F3549">
        <w:rPr>
          <w:lang w:val="fr-FR"/>
        </w:rPr>
        <w:t xml:space="preserve"> </w:t>
      </w:r>
      <w:r w:rsidR="006C700C" w:rsidRPr="007F3549">
        <w:rPr>
          <w:lang w:val="fr-FR"/>
        </w:rPr>
        <w:t>classes</w:t>
      </w:r>
      <w:r w:rsidR="004239D1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actifs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proposées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pour </w:t>
      </w:r>
      <w:r w:rsidR="00D341F0" w:rsidRPr="007F3549">
        <w:rPr>
          <w:rStyle w:val="hps"/>
          <w:lang w:val="fr-FR"/>
        </w:rPr>
        <w:t>les fonds propres</w:t>
      </w:r>
      <w:r w:rsidRPr="007F3549">
        <w:rPr>
          <w:lang w:val="fr-FR"/>
        </w:rPr>
        <w:t xml:space="preserve"> </w:t>
      </w:r>
      <w:r w:rsidR="006C700C" w:rsidRPr="007F3549">
        <w:rPr>
          <w:rStyle w:val="hps"/>
          <w:lang w:val="fr-FR"/>
        </w:rPr>
        <w:t>figurent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ci</w:t>
      </w:r>
      <w:r w:rsidR="00BD351E" w:rsidRPr="007F3549">
        <w:rPr>
          <w:rStyle w:val="hps"/>
          <w:lang w:val="fr-FR"/>
        </w:rPr>
        <w:noBreakHyphen/>
      </w:r>
      <w:r w:rsidRPr="007F3549">
        <w:rPr>
          <w:rStyle w:val="hps"/>
          <w:lang w:val="fr-FR"/>
        </w:rPr>
        <w:t xml:space="preserve">dessous. </w:t>
      </w:r>
      <w:r w:rsidR="004239D1" w:rsidRPr="007F3549">
        <w:rPr>
          <w:rStyle w:val="hps"/>
          <w:lang w:val="fr-FR"/>
        </w:rPr>
        <w:t xml:space="preserve"> </w:t>
      </w:r>
      <w:r w:rsidR="006C700C" w:rsidRPr="007F3549">
        <w:rPr>
          <w:lang w:val="fr-FR"/>
        </w:rPr>
        <w:t>L</w:t>
      </w:r>
      <w:r w:rsidR="006C700C" w:rsidRPr="007F3549">
        <w:rPr>
          <w:rStyle w:val="hps"/>
          <w:lang w:val="fr-FR"/>
        </w:rPr>
        <w:t>e niveau</w:t>
      </w:r>
      <w:r w:rsidR="006C700C" w:rsidRPr="007F3549">
        <w:rPr>
          <w:lang w:val="fr-FR"/>
        </w:rPr>
        <w:t xml:space="preserve"> </w:t>
      </w:r>
      <w:r w:rsidR="006C700C" w:rsidRPr="007F3549">
        <w:rPr>
          <w:rStyle w:val="hps"/>
          <w:lang w:val="fr-FR"/>
        </w:rPr>
        <w:t>de risque de certaines de ces classes est plus élevé que celui des</w:t>
      </w:r>
      <w:r w:rsidRPr="007F3549">
        <w:rPr>
          <w:rStyle w:val="hps"/>
          <w:lang w:val="fr-FR"/>
        </w:rPr>
        <w:t xml:space="preserve"> dépôts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bancaires</w:t>
      </w:r>
      <w:r w:rsidR="006C700C" w:rsidRPr="007F3549">
        <w:rPr>
          <w:lang w:val="fr-FR"/>
        </w:rPr>
        <w:t xml:space="preserve"> et des </w:t>
      </w:r>
      <w:r w:rsidRPr="007F3549">
        <w:rPr>
          <w:rStyle w:val="hps"/>
          <w:lang w:val="fr-FR"/>
        </w:rPr>
        <w:t xml:space="preserve">obligations </w:t>
      </w:r>
      <w:r w:rsidR="006C700C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6C700C" w:rsidRPr="007F3549">
        <w:rPr>
          <w:rStyle w:val="hps"/>
          <w:lang w:val="fr-FR"/>
        </w:rPr>
        <w:t>État et d</w:t>
      </w:r>
      <w:r w:rsidR="00876E92" w:rsidRPr="007F3549">
        <w:rPr>
          <w:rStyle w:val="hps"/>
          <w:lang w:val="fr-FR"/>
        </w:rPr>
        <w:t>’</w:t>
      </w:r>
      <w:r w:rsidR="006C700C" w:rsidRPr="007F3549">
        <w:rPr>
          <w:rStyle w:val="hps"/>
          <w:lang w:val="fr-FR"/>
        </w:rPr>
        <w:t>entreprises,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qui </w:t>
      </w:r>
      <w:r w:rsidR="006C700C" w:rsidRPr="007F3549">
        <w:rPr>
          <w:rStyle w:val="hps"/>
          <w:lang w:val="fr-FR"/>
        </w:rPr>
        <w:t>étaient</w:t>
      </w:r>
      <w:r w:rsidRPr="007F3549">
        <w:rPr>
          <w:lang w:val="fr-FR"/>
        </w:rPr>
        <w:t xml:space="preserve">, </w:t>
      </w:r>
      <w:r w:rsidRPr="007F3549">
        <w:rPr>
          <w:rStyle w:val="hps"/>
          <w:lang w:val="fr-FR"/>
        </w:rPr>
        <w:t>jusqu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à présent</w:t>
      </w:r>
      <w:r w:rsidRPr="007F3549">
        <w:rPr>
          <w:lang w:val="fr-FR"/>
        </w:rPr>
        <w:t xml:space="preserve">, </w:t>
      </w:r>
      <w:r w:rsidRPr="007F3549">
        <w:rPr>
          <w:rStyle w:val="hps"/>
          <w:lang w:val="fr-FR"/>
        </w:rPr>
        <w:t>les seules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catégories de placement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autorisées</w:t>
      </w:r>
      <w:r w:rsidRPr="007F3549">
        <w:rPr>
          <w:lang w:val="fr-FR"/>
        </w:rPr>
        <w:t xml:space="preserve">. </w:t>
      </w:r>
      <w:r w:rsidR="004239D1" w:rsidRPr="007F3549">
        <w:rPr>
          <w:lang w:val="fr-FR"/>
        </w:rPr>
        <w:t xml:space="preserve"> </w:t>
      </w:r>
      <w:r w:rsidR="004239D1" w:rsidRPr="007F3549">
        <w:rPr>
          <w:rStyle w:val="hps"/>
          <w:lang w:val="fr-FR"/>
        </w:rPr>
        <w:t>La notion de</w:t>
      </w:r>
      <w:r w:rsidRPr="007F3549">
        <w:rPr>
          <w:rStyle w:val="hps"/>
          <w:lang w:val="fr-FR"/>
        </w:rPr>
        <w:t xml:space="preserve"> risque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est </w:t>
      </w:r>
      <w:r w:rsidR="004239D1" w:rsidRPr="007F3549">
        <w:rPr>
          <w:rStyle w:val="hps"/>
          <w:lang w:val="fr-FR"/>
        </w:rPr>
        <w:t xml:space="preserve">approfondie </w:t>
      </w:r>
      <w:r w:rsidR="0053053B">
        <w:rPr>
          <w:rStyle w:val="hps"/>
          <w:lang w:val="fr-FR"/>
        </w:rPr>
        <w:t>aux</w:t>
      </w:r>
      <w:r w:rsidRPr="007F3549">
        <w:rPr>
          <w:rStyle w:val="hps"/>
          <w:lang w:val="fr-FR"/>
        </w:rPr>
        <w:t xml:space="preserve"> paragraphes</w:t>
      </w:r>
      <w:r w:rsidR="00617726" w:rsidRPr="007F3549">
        <w:rPr>
          <w:rStyle w:val="hps"/>
          <w:lang w:val="fr-FR"/>
        </w:rPr>
        <w:t> </w:t>
      </w:r>
      <w:r w:rsidR="004239D1" w:rsidRPr="007F3549">
        <w:rPr>
          <w:rStyle w:val="hps"/>
          <w:lang w:val="fr-FR"/>
        </w:rPr>
        <w:t>17</w:t>
      </w:r>
      <w:r w:rsidR="00BD351E" w:rsidRPr="007F3549">
        <w:rPr>
          <w:rStyle w:val="hps"/>
          <w:lang w:val="fr-FR"/>
        </w:rPr>
        <w:t xml:space="preserve"> à </w:t>
      </w:r>
      <w:r w:rsidRPr="007F3549">
        <w:rPr>
          <w:rStyle w:val="hps"/>
          <w:lang w:val="fr-FR"/>
        </w:rPr>
        <w:t>20</w:t>
      </w:r>
      <w:r w:rsidR="00EC5205" w:rsidRPr="007F3549">
        <w:rPr>
          <w:lang w:val="fr-FR"/>
        </w:rPr>
        <w:t>.</w:t>
      </w:r>
    </w:p>
    <w:p w:rsidR="0053053B" w:rsidRDefault="0053053B">
      <w:pPr>
        <w:rPr>
          <w:b/>
          <w:szCs w:val="22"/>
          <w:lang w:val="fr-FR"/>
        </w:rPr>
      </w:pPr>
      <w:r>
        <w:rPr>
          <w:b/>
          <w:szCs w:val="22"/>
          <w:lang w:val="fr-FR"/>
        </w:rPr>
        <w:br w:type="page"/>
      </w:r>
    </w:p>
    <w:p w:rsidR="00F00B61" w:rsidRPr="007F3549" w:rsidRDefault="006C700C" w:rsidP="00B50D94">
      <w:pPr>
        <w:pStyle w:val="ONUME"/>
        <w:jc w:val="center"/>
        <w:rPr>
          <w:b/>
          <w:szCs w:val="22"/>
          <w:lang w:val="fr-FR"/>
        </w:rPr>
      </w:pPr>
      <w:r w:rsidRPr="007F3549">
        <w:rPr>
          <w:b/>
          <w:szCs w:val="22"/>
          <w:lang w:val="fr-FR"/>
        </w:rPr>
        <w:lastRenderedPageBreak/>
        <w:t>Classes</w:t>
      </w:r>
      <w:r w:rsidR="00DB0E05" w:rsidRPr="007F3549">
        <w:rPr>
          <w:b/>
          <w:szCs w:val="22"/>
          <w:lang w:val="fr-FR"/>
        </w:rPr>
        <w:t xml:space="preserve"> d</w:t>
      </w:r>
      <w:r w:rsidR="00876E92" w:rsidRPr="007F3549">
        <w:rPr>
          <w:b/>
          <w:szCs w:val="22"/>
          <w:lang w:val="fr-FR"/>
        </w:rPr>
        <w:t>’</w:t>
      </w:r>
      <w:r w:rsidR="00DB0E05" w:rsidRPr="007F3549">
        <w:rPr>
          <w:b/>
          <w:szCs w:val="22"/>
          <w:lang w:val="fr-FR"/>
        </w:rPr>
        <w:t>actifs</w:t>
      </w:r>
    </w:p>
    <w:p w:rsidR="00EC5205" w:rsidRPr="007F3549" w:rsidRDefault="00250820" w:rsidP="00B50D94">
      <w:pPr>
        <w:pStyle w:val="ONUME"/>
        <w:numPr>
          <w:ilvl w:val="6"/>
          <w:numId w:val="9"/>
        </w:numPr>
        <w:tabs>
          <w:tab w:val="left" w:pos="1134"/>
        </w:tabs>
        <w:ind w:left="709" w:firstLine="0"/>
        <w:rPr>
          <w:szCs w:val="22"/>
          <w:lang w:val="fr-FR"/>
        </w:rPr>
      </w:pPr>
      <w:r w:rsidRPr="007F3549">
        <w:rPr>
          <w:szCs w:val="22"/>
          <w:lang w:val="fr-FR"/>
        </w:rPr>
        <w:t>Trésorerie ou équivalent </w:t>
      </w:r>
      <w:r w:rsidR="001D272B" w:rsidRPr="007F3549">
        <w:rPr>
          <w:szCs w:val="22"/>
          <w:lang w:val="fr-FR"/>
        </w:rPr>
        <w:t>:</w:t>
      </w:r>
    </w:p>
    <w:p w:rsidR="00EC5205" w:rsidRPr="007F3549" w:rsidRDefault="00D341F0" w:rsidP="00B50D94">
      <w:pPr>
        <w:pStyle w:val="ONUMFS"/>
        <w:numPr>
          <w:ilvl w:val="2"/>
          <w:numId w:val="28"/>
        </w:numPr>
        <w:rPr>
          <w:lang w:val="fr-FR"/>
        </w:rPr>
      </w:pPr>
      <w:r w:rsidRPr="007F3549">
        <w:rPr>
          <w:lang w:val="fr-FR"/>
        </w:rPr>
        <w:t>Dépôts à vue</w:t>
      </w:r>
      <w:r w:rsidR="00EC5205" w:rsidRPr="007F3549">
        <w:rPr>
          <w:lang w:val="fr-FR"/>
        </w:rPr>
        <w:t xml:space="preserve">, </w:t>
      </w:r>
      <w:r w:rsidR="00250820" w:rsidRPr="007F3549">
        <w:rPr>
          <w:lang w:val="fr-FR"/>
        </w:rPr>
        <w:t>comptes d</w:t>
      </w:r>
      <w:r w:rsidR="00876E92" w:rsidRPr="007F3549">
        <w:rPr>
          <w:lang w:val="fr-FR"/>
        </w:rPr>
        <w:t>’</w:t>
      </w:r>
      <w:r w:rsidR="00250820" w:rsidRPr="007F3549">
        <w:rPr>
          <w:lang w:val="fr-FR"/>
        </w:rPr>
        <w:t>épargne ou</w:t>
      </w:r>
      <w:r w:rsidR="00EC5205" w:rsidRPr="007F3549">
        <w:rPr>
          <w:lang w:val="fr-FR"/>
        </w:rPr>
        <w:t xml:space="preserve"> </w:t>
      </w:r>
      <w:r w:rsidR="00250820" w:rsidRPr="007F3549">
        <w:rPr>
          <w:lang w:val="fr-FR"/>
        </w:rPr>
        <w:t>comptes de dépôt</w:t>
      </w:r>
    </w:p>
    <w:p w:rsidR="00EC5205" w:rsidRPr="007F3549" w:rsidRDefault="00250820" w:rsidP="00B50D94">
      <w:pPr>
        <w:pStyle w:val="ONUMFS"/>
        <w:numPr>
          <w:ilvl w:val="2"/>
          <w:numId w:val="28"/>
        </w:numPr>
        <w:rPr>
          <w:lang w:val="fr-FR"/>
        </w:rPr>
      </w:pPr>
      <w:r w:rsidRPr="007F3549">
        <w:rPr>
          <w:lang w:val="fr-FR"/>
        </w:rPr>
        <w:t>Certificats de dépôts</w:t>
      </w:r>
      <w:r w:rsidR="00EC5205" w:rsidRPr="007F3549">
        <w:rPr>
          <w:lang w:val="fr-FR"/>
        </w:rPr>
        <w:t>/</w:t>
      </w:r>
      <w:r w:rsidRPr="007F3549">
        <w:rPr>
          <w:lang w:val="fr-FR"/>
        </w:rPr>
        <w:t>dépôts à terme</w:t>
      </w:r>
    </w:p>
    <w:p w:rsidR="00EC5205" w:rsidRPr="007F3549" w:rsidRDefault="00AF3957" w:rsidP="00B50D94">
      <w:pPr>
        <w:pStyle w:val="ONUMFS"/>
        <w:numPr>
          <w:ilvl w:val="2"/>
          <w:numId w:val="28"/>
        </w:numPr>
        <w:rPr>
          <w:lang w:val="fr-FR"/>
        </w:rPr>
      </w:pPr>
      <w:r w:rsidRPr="007F3549">
        <w:rPr>
          <w:lang w:val="fr-FR"/>
        </w:rPr>
        <w:t>Dépôts structurés</w:t>
      </w:r>
    </w:p>
    <w:p w:rsidR="00EC5205" w:rsidRPr="007F3549" w:rsidRDefault="00AF3957" w:rsidP="00B50D94">
      <w:pPr>
        <w:pStyle w:val="ONUMFS"/>
        <w:numPr>
          <w:ilvl w:val="2"/>
          <w:numId w:val="28"/>
        </w:numPr>
        <w:rPr>
          <w:lang w:val="fr-FR"/>
        </w:rPr>
      </w:pPr>
      <w:r w:rsidRPr="007F3549">
        <w:rPr>
          <w:lang w:val="fr-FR"/>
        </w:rPr>
        <w:t xml:space="preserve">Dépôts </w:t>
      </w:r>
      <w:r w:rsidR="00687422" w:rsidRPr="007F3549">
        <w:rPr>
          <w:lang w:val="fr-FR"/>
        </w:rPr>
        <w:t>croisés dans</w:t>
      </w:r>
      <w:r w:rsidRPr="007F3549">
        <w:rPr>
          <w:lang w:val="fr-FR"/>
        </w:rPr>
        <w:t xml:space="preserve"> deux</w:t>
      </w:r>
      <w:r w:rsidR="00617726" w:rsidRPr="007F3549">
        <w:rPr>
          <w:lang w:val="fr-FR"/>
        </w:rPr>
        <w:t> </w:t>
      </w:r>
      <w:r w:rsidRPr="007F3549">
        <w:rPr>
          <w:lang w:val="fr-FR"/>
        </w:rPr>
        <w:t>devises</w:t>
      </w:r>
    </w:p>
    <w:p w:rsidR="00EC5205" w:rsidRPr="007F3549" w:rsidRDefault="00AF3957" w:rsidP="00B50D94">
      <w:pPr>
        <w:pStyle w:val="ONUME"/>
        <w:numPr>
          <w:ilvl w:val="6"/>
          <w:numId w:val="9"/>
        </w:numPr>
        <w:tabs>
          <w:tab w:val="left" w:pos="1134"/>
        </w:tabs>
        <w:ind w:left="851" w:firstLine="0"/>
        <w:rPr>
          <w:szCs w:val="22"/>
          <w:lang w:val="fr-FR"/>
        </w:rPr>
      </w:pPr>
      <w:r w:rsidRPr="007F3549">
        <w:rPr>
          <w:szCs w:val="22"/>
          <w:lang w:val="fr-FR"/>
        </w:rPr>
        <w:t xml:space="preserve">Investissements sur les marchés </w:t>
      </w:r>
      <w:r w:rsidR="00687422" w:rsidRPr="007F3549">
        <w:rPr>
          <w:szCs w:val="22"/>
          <w:lang w:val="fr-FR"/>
        </w:rPr>
        <w:t>monétaires</w:t>
      </w:r>
      <w:r w:rsidRPr="007F3549">
        <w:rPr>
          <w:szCs w:val="22"/>
          <w:lang w:val="fr-FR"/>
        </w:rPr>
        <w:t> </w:t>
      </w:r>
      <w:r w:rsidR="003F715C" w:rsidRPr="007F3549">
        <w:rPr>
          <w:szCs w:val="22"/>
          <w:lang w:val="fr-FR"/>
        </w:rPr>
        <w:t>:</w:t>
      </w:r>
    </w:p>
    <w:p w:rsidR="00EC5205" w:rsidRPr="007F3549" w:rsidRDefault="00AF3957" w:rsidP="00B50D94">
      <w:pPr>
        <w:pStyle w:val="ONUMFS"/>
        <w:numPr>
          <w:ilvl w:val="1"/>
          <w:numId w:val="3"/>
        </w:numPr>
        <w:ind w:left="1134"/>
        <w:rPr>
          <w:lang w:val="fr-FR"/>
        </w:rPr>
      </w:pPr>
      <w:r w:rsidRPr="007F3549">
        <w:rPr>
          <w:lang w:val="fr-FR"/>
        </w:rPr>
        <w:t>Billet de trésorerie</w:t>
      </w:r>
    </w:p>
    <w:p w:rsidR="00EC5205" w:rsidRPr="007F3549" w:rsidRDefault="00687422" w:rsidP="00B50D94">
      <w:pPr>
        <w:pStyle w:val="ONUMFS"/>
        <w:numPr>
          <w:ilvl w:val="1"/>
          <w:numId w:val="3"/>
        </w:numPr>
        <w:ind w:left="1134"/>
        <w:rPr>
          <w:lang w:val="fr-FR"/>
        </w:rPr>
      </w:pPr>
      <w:r w:rsidRPr="007F3549">
        <w:rPr>
          <w:lang w:val="fr-FR"/>
        </w:rPr>
        <w:t>Mise/p</w:t>
      </w:r>
      <w:r w:rsidR="00AF3957" w:rsidRPr="007F3549">
        <w:rPr>
          <w:lang w:val="fr-FR"/>
        </w:rPr>
        <w:t>rise en pension de titres</w:t>
      </w:r>
    </w:p>
    <w:p w:rsidR="00EC5205" w:rsidRPr="007F3549" w:rsidRDefault="00AF3957" w:rsidP="00B50D94">
      <w:pPr>
        <w:pStyle w:val="ONUMFS"/>
        <w:numPr>
          <w:ilvl w:val="1"/>
          <w:numId w:val="3"/>
        </w:numPr>
        <w:ind w:left="1134"/>
        <w:rPr>
          <w:lang w:val="fr-FR"/>
        </w:rPr>
      </w:pPr>
      <w:r w:rsidRPr="007F3549">
        <w:rPr>
          <w:lang w:val="fr-FR"/>
        </w:rPr>
        <w:t>Acceptation bancaire</w:t>
      </w:r>
    </w:p>
    <w:p w:rsidR="00EC5205" w:rsidRPr="007F3549" w:rsidRDefault="00AF3957" w:rsidP="00B50D94">
      <w:pPr>
        <w:pStyle w:val="ONUME"/>
        <w:numPr>
          <w:ilvl w:val="6"/>
          <w:numId w:val="9"/>
        </w:numPr>
        <w:tabs>
          <w:tab w:val="left" w:pos="1134"/>
        </w:tabs>
        <w:ind w:left="1134" w:hanging="283"/>
        <w:rPr>
          <w:szCs w:val="22"/>
          <w:lang w:val="fr-FR"/>
        </w:rPr>
      </w:pPr>
      <w:r w:rsidRPr="007F3549">
        <w:rPr>
          <w:szCs w:val="22"/>
          <w:lang w:val="fr-FR"/>
        </w:rPr>
        <w:t>Obligations</w:t>
      </w:r>
      <w:r w:rsidR="007D0D8A" w:rsidRPr="007F3549">
        <w:rPr>
          <w:szCs w:val="22"/>
          <w:lang w:val="fr-FR"/>
        </w:rPr>
        <w:t xml:space="preserve">, </w:t>
      </w:r>
      <w:r w:rsidR="00687422" w:rsidRPr="007F3549">
        <w:rPr>
          <w:szCs w:val="22"/>
          <w:lang w:val="fr-FR"/>
        </w:rPr>
        <w:t>effets</w:t>
      </w:r>
      <w:r w:rsidR="008609A1" w:rsidRPr="007F3549">
        <w:rPr>
          <w:szCs w:val="22"/>
          <w:lang w:val="fr-FR"/>
        </w:rPr>
        <w:t xml:space="preserve"> </w:t>
      </w:r>
      <w:r w:rsidRPr="007F3549">
        <w:rPr>
          <w:szCs w:val="22"/>
          <w:lang w:val="fr-FR"/>
        </w:rPr>
        <w:t>ou autres obligations</w:t>
      </w:r>
      <w:r w:rsidR="008609A1" w:rsidRPr="007F3549">
        <w:rPr>
          <w:szCs w:val="22"/>
          <w:lang w:val="fr-FR"/>
        </w:rPr>
        <w:t xml:space="preserve"> (</w:t>
      </w:r>
      <w:r w:rsidRPr="007F3549">
        <w:rPr>
          <w:szCs w:val="22"/>
          <w:lang w:val="fr-FR"/>
        </w:rPr>
        <w:t>à court, moyen ou long terme</w:t>
      </w:r>
      <w:r w:rsidR="008609A1" w:rsidRPr="007F3549">
        <w:rPr>
          <w:szCs w:val="22"/>
          <w:lang w:val="fr-FR"/>
        </w:rPr>
        <w:t>)</w:t>
      </w:r>
      <w:r w:rsidR="007D0D8A" w:rsidRPr="007F3549">
        <w:rPr>
          <w:szCs w:val="22"/>
          <w:lang w:val="fr-FR"/>
        </w:rPr>
        <w:t xml:space="preserve"> </w:t>
      </w:r>
      <w:r w:rsidRPr="007F3549">
        <w:rPr>
          <w:szCs w:val="22"/>
          <w:lang w:val="fr-FR"/>
        </w:rPr>
        <w:t>et autres produits à revenu fixe </w:t>
      </w:r>
      <w:r w:rsidR="007D0D8A" w:rsidRPr="007F3549">
        <w:rPr>
          <w:szCs w:val="22"/>
          <w:lang w:val="fr-FR"/>
        </w:rPr>
        <w:t>:</w:t>
      </w:r>
    </w:p>
    <w:p w:rsidR="008609A1" w:rsidRPr="007F3549" w:rsidRDefault="006C700C" w:rsidP="007F3549">
      <w:pPr>
        <w:pStyle w:val="ONUMFS"/>
        <w:numPr>
          <w:ilvl w:val="1"/>
          <w:numId w:val="30"/>
        </w:numPr>
        <w:ind w:left="1701" w:hanging="567"/>
        <w:rPr>
          <w:lang w:val="fr-FR"/>
        </w:rPr>
      </w:pPr>
      <w:r w:rsidRPr="007F3549">
        <w:rPr>
          <w:lang w:val="fr-FR"/>
        </w:rPr>
        <w:t>Obligations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État</w:t>
      </w:r>
    </w:p>
    <w:p w:rsidR="00AF3957" w:rsidRPr="007F3549" w:rsidRDefault="00AF3957" w:rsidP="007F3549">
      <w:pPr>
        <w:pStyle w:val="ONUMFS"/>
        <w:numPr>
          <w:ilvl w:val="1"/>
          <w:numId w:val="3"/>
        </w:numPr>
        <w:ind w:left="1701" w:hanging="567"/>
        <w:rPr>
          <w:lang w:val="fr-FR"/>
        </w:rPr>
      </w:pPr>
      <w:r w:rsidRPr="007F3549">
        <w:rPr>
          <w:lang w:val="fr-FR"/>
        </w:rPr>
        <w:t>Obligations sous</w:t>
      </w:r>
      <w:r w:rsidR="00BD351E" w:rsidRPr="007F3549">
        <w:rPr>
          <w:lang w:val="fr-FR"/>
        </w:rPr>
        <w:noBreakHyphen/>
      </w:r>
      <w:r w:rsidRPr="007F3549">
        <w:rPr>
          <w:lang w:val="fr-FR"/>
        </w:rPr>
        <w:t>souveraines</w:t>
      </w:r>
      <w:r w:rsidR="008609A1" w:rsidRPr="007F3549">
        <w:rPr>
          <w:lang w:val="fr-FR"/>
        </w:rPr>
        <w:t xml:space="preserve"> – provincial</w:t>
      </w:r>
      <w:r w:rsidRPr="007F3549">
        <w:rPr>
          <w:lang w:val="fr-FR"/>
        </w:rPr>
        <w:t>es</w:t>
      </w:r>
      <w:r w:rsidR="008609A1" w:rsidRPr="007F3549">
        <w:rPr>
          <w:lang w:val="fr-FR"/>
        </w:rPr>
        <w:t>, municipal</w:t>
      </w:r>
      <w:r w:rsidRPr="007F3549">
        <w:rPr>
          <w:lang w:val="fr-FR"/>
        </w:rPr>
        <w:t>es</w:t>
      </w:r>
      <w:r w:rsidR="008609A1" w:rsidRPr="007F3549">
        <w:rPr>
          <w:lang w:val="fr-FR"/>
        </w:rPr>
        <w:t xml:space="preserve"> </w:t>
      </w:r>
      <w:r w:rsidRPr="007F3549">
        <w:rPr>
          <w:lang w:val="fr-FR"/>
        </w:rPr>
        <w:t>ou</w:t>
      </w:r>
      <w:r w:rsidR="008609A1" w:rsidRPr="007F3549">
        <w:rPr>
          <w:lang w:val="fr-FR"/>
        </w:rPr>
        <w:t xml:space="preserve"> territorial</w:t>
      </w:r>
      <w:r w:rsidRPr="007F3549">
        <w:rPr>
          <w:lang w:val="fr-FR"/>
        </w:rPr>
        <w:t>es, par exemple</w:t>
      </w:r>
    </w:p>
    <w:p w:rsidR="008609A1" w:rsidRPr="007F3549" w:rsidRDefault="00AF3957" w:rsidP="007F3549">
      <w:pPr>
        <w:pStyle w:val="ONUMFS"/>
        <w:numPr>
          <w:ilvl w:val="1"/>
          <w:numId w:val="3"/>
        </w:numPr>
        <w:ind w:left="1701" w:hanging="567"/>
        <w:rPr>
          <w:lang w:val="fr-FR"/>
        </w:rPr>
      </w:pPr>
      <w:r w:rsidRPr="007F3549">
        <w:rPr>
          <w:lang w:val="fr-FR"/>
        </w:rPr>
        <w:t>Obligations supranationales</w:t>
      </w:r>
    </w:p>
    <w:p w:rsidR="008609A1" w:rsidRPr="007F3549" w:rsidRDefault="006C700C" w:rsidP="007F3549">
      <w:pPr>
        <w:pStyle w:val="ONUMFS"/>
        <w:numPr>
          <w:ilvl w:val="1"/>
          <w:numId w:val="3"/>
        </w:numPr>
        <w:ind w:left="1701" w:hanging="567"/>
        <w:rPr>
          <w:lang w:val="fr-FR"/>
        </w:rPr>
      </w:pPr>
      <w:r w:rsidRPr="007F3549">
        <w:rPr>
          <w:lang w:val="fr-FR"/>
        </w:rPr>
        <w:t>Obligations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entreprises</w:t>
      </w:r>
    </w:p>
    <w:p w:rsidR="007D0D8A" w:rsidRPr="007F3549" w:rsidRDefault="00AF3957" w:rsidP="007F3549">
      <w:pPr>
        <w:pStyle w:val="ONUMFS"/>
        <w:numPr>
          <w:ilvl w:val="1"/>
          <w:numId w:val="3"/>
        </w:numPr>
        <w:ind w:left="1701" w:hanging="567"/>
        <w:rPr>
          <w:lang w:val="fr-FR"/>
        </w:rPr>
      </w:pPr>
      <w:r w:rsidRPr="007F3549">
        <w:rPr>
          <w:lang w:val="fr-FR"/>
        </w:rPr>
        <w:t>Placements privés</w:t>
      </w:r>
    </w:p>
    <w:p w:rsidR="008609A1" w:rsidRPr="007F3549" w:rsidRDefault="00AF3957" w:rsidP="00B50D94">
      <w:pPr>
        <w:pStyle w:val="ONUME"/>
        <w:numPr>
          <w:ilvl w:val="6"/>
          <w:numId w:val="9"/>
        </w:numPr>
        <w:tabs>
          <w:tab w:val="left" w:pos="1134"/>
        </w:tabs>
        <w:ind w:left="851" w:firstLine="0"/>
        <w:rPr>
          <w:szCs w:val="22"/>
          <w:lang w:val="fr-FR"/>
        </w:rPr>
      </w:pPr>
      <w:r w:rsidRPr="007F3549">
        <w:rPr>
          <w:szCs w:val="22"/>
          <w:lang w:val="fr-FR"/>
        </w:rPr>
        <w:t>Sociétés d</w:t>
      </w:r>
      <w:r w:rsidR="00876E92" w:rsidRPr="007F3549">
        <w:rPr>
          <w:szCs w:val="22"/>
          <w:lang w:val="fr-FR"/>
        </w:rPr>
        <w:t>’</w:t>
      </w:r>
      <w:r w:rsidRPr="007F3549">
        <w:rPr>
          <w:szCs w:val="22"/>
          <w:lang w:val="fr-FR"/>
        </w:rPr>
        <w:t>investissement immobilier à patrimoine propre</w:t>
      </w:r>
    </w:p>
    <w:p w:rsidR="00876E92" w:rsidRPr="007F3549" w:rsidRDefault="003F715C" w:rsidP="00B50D94">
      <w:pPr>
        <w:pStyle w:val="ONUME"/>
        <w:ind w:left="567"/>
        <w:rPr>
          <w:szCs w:val="22"/>
          <w:lang w:val="fr-FR"/>
        </w:rPr>
      </w:pPr>
      <w:r w:rsidRPr="007F3549">
        <w:rPr>
          <w:i/>
          <w:szCs w:val="22"/>
          <w:lang w:val="fr-FR"/>
        </w:rPr>
        <w:t>Note</w:t>
      </w:r>
      <w:r w:rsidR="001D69D6" w:rsidRPr="007F3549">
        <w:rPr>
          <w:i/>
          <w:szCs w:val="22"/>
          <w:lang w:val="fr-FR"/>
        </w:rPr>
        <w:t> </w:t>
      </w:r>
      <w:r w:rsidR="00250820" w:rsidRPr="007F3549">
        <w:rPr>
          <w:i/>
          <w:lang w:val="fr-FR"/>
        </w:rPr>
        <w:t>:</w:t>
      </w:r>
      <w:r w:rsidR="00250820" w:rsidRPr="007F3549">
        <w:rPr>
          <w:szCs w:val="22"/>
          <w:lang w:val="fr-FR"/>
        </w:rPr>
        <w:t xml:space="preserve"> </w:t>
      </w:r>
      <w:r w:rsidR="001D69D6" w:rsidRPr="007F3549">
        <w:rPr>
          <w:rStyle w:val="hps"/>
          <w:lang w:val="fr-FR"/>
        </w:rPr>
        <w:t>Chacune de ces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classes d</w:t>
      </w:r>
      <w:r w:rsidR="00876E92" w:rsidRPr="007F3549">
        <w:rPr>
          <w:rStyle w:val="hps"/>
          <w:lang w:val="fr-FR"/>
        </w:rPr>
        <w:t>’</w:t>
      </w:r>
      <w:r w:rsidR="001D69D6" w:rsidRPr="007F3549">
        <w:rPr>
          <w:rStyle w:val="hps"/>
          <w:lang w:val="fr-FR"/>
        </w:rPr>
        <w:t>actifs</w:t>
      </w:r>
      <w:r w:rsidR="001D69D6" w:rsidRPr="007F3549">
        <w:rPr>
          <w:lang w:val="fr-FR"/>
        </w:rPr>
        <w:t xml:space="preserve"> </w:t>
      </w:r>
      <w:r w:rsidR="00AF3957" w:rsidRPr="007F3549">
        <w:rPr>
          <w:rStyle w:val="hps"/>
          <w:lang w:val="fr-FR"/>
        </w:rPr>
        <w:t>pourrai</w:t>
      </w:r>
      <w:r w:rsidR="001D69D6" w:rsidRPr="007F3549">
        <w:rPr>
          <w:rStyle w:val="hps"/>
          <w:lang w:val="fr-FR"/>
        </w:rPr>
        <w:t>t être</w:t>
      </w:r>
      <w:r w:rsidR="001D69D6" w:rsidRPr="007F3549">
        <w:rPr>
          <w:lang w:val="fr-FR"/>
        </w:rPr>
        <w:t xml:space="preserve"> </w:t>
      </w:r>
      <w:r w:rsidR="00AF3957" w:rsidRPr="007F3549">
        <w:rPr>
          <w:rStyle w:val="hps"/>
          <w:lang w:val="fr-FR"/>
        </w:rPr>
        <w:t>détenue</w:t>
      </w:r>
      <w:r w:rsidR="001D69D6" w:rsidRPr="007F3549">
        <w:rPr>
          <w:rStyle w:val="hps"/>
          <w:lang w:val="fr-FR"/>
        </w:rPr>
        <w:t xml:space="preserve"> dans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des </w:t>
      </w:r>
      <w:r w:rsidR="00AF3957" w:rsidRPr="007F3549">
        <w:rPr>
          <w:rStyle w:val="hps"/>
          <w:lang w:val="fr-FR"/>
        </w:rPr>
        <w:t>devises</w:t>
      </w:r>
      <w:r w:rsidR="001D69D6" w:rsidRPr="007F3549">
        <w:rPr>
          <w:rStyle w:val="hps"/>
          <w:lang w:val="fr-FR"/>
        </w:rPr>
        <w:t xml:space="preserve"> autres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que le franc suisse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et</w:t>
      </w:r>
      <w:r w:rsidR="001D69D6" w:rsidRPr="007F3549">
        <w:rPr>
          <w:lang w:val="fr-FR"/>
        </w:rPr>
        <w:t xml:space="preserve"> </w:t>
      </w:r>
      <w:r w:rsidR="00AF3957" w:rsidRPr="007F3549">
        <w:rPr>
          <w:rStyle w:val="hps"/>
          <w:lang w:val="fr-FR"/>
        </w:rPr>
        <w:t>couverte</w:t>
      </w:r>
      <w:r w:rsidR="001D69D6" w:rsidRPr="007F3549">
        <w:rPr>
          <w:rStyle w:val="hps"/>
          <w:lang w:val="fr-FR"/>
        </w:rPr>
        <w:t xml:space="preserve"> en francs suisses</w:t>
      </w:r>
      <w:r w:rsidR="001D69D6" w:rsidRPr="007F3549">
        <w:rPr>
          <w:lang w:val="fr-FR"/>
        </w:rPr>
        <w:t xml:space="preserve">. </w:t>
      </w:r>
      <w:r w:rsidR="00AF3957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Avant </w:t>
      </w:r>
      <w:r w:rsidR="00AF3957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AF3957" w:rsidRPr="007F3549">
        <w:rPr>
          <w:rStyle w:val="hps"/>
          <w:lang w:val="fr-FR"/>
        </w:rPr>
        <w:t>effectuer</w:t>
      </w:r>
      <w:r w:rsidR="001D69D6" w:rsidRPr="007F3549">
        <w:rPr>
          <w:rStyle w:val="hps"/>
          <w:lang w:val="fr-FR"/>
        </w:rPr>
        <w:t xml:space="preserve"> des </w:t>
      </w:r>
      <w:r w:rsidR="00AF3957" w:rsidRPr="007F3549">
        <w:rPr>
          <w:rStyle w:val="hps"/>
          <w:lang w:val="fr-FR"/>
        </w:rPr>
        <w:t>placements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dans des devises autres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que le franc suisse</w:t>
      </w:r>
      <w:r w:rsidR="001D69D6" w:rsidRPr="007F3549">
        <w:rPr>
          <w:lang w:val="fr-FR"/>
        </w:rPr>
        <w:t xml:space="preserve">, </w:t>
      </w:r>
      <w:r w:rsidR="001D69D6" w:rsidRPr="007F3549">
        <w:rPr>
          <w:rStyle w:val="hps"/>
          <w:lang w:val="fr-FR"/>
        </w:rPr>
        <w:t xml:space="preserve">il </w:t>
      </w:r>
      <w:r w:rsidR="00AF3957" w:rsidRPr="007F3549">
        <w:rPr>
          <w:rStyle w:val="hps"/>
          <w:lang w:val="fr-FR"/>
        </w:rPr>
        <w:t>importe</w:t>
      </w:r>
      <w:r w:rsidR="001D69D6" w:rsidRPr="007F3549">
        <w:rPr>
          <w:rStyle w:val="hps"/>
          <w:lang w:val="fr-FR"/>
        </w:rPr>
        <w:t xml:space="preserve"> d</w:t>
      </w:r>
      <w:r w:rsidR="00876E92" w:rsidRPr="007F3549">
        <w:rPr>
          <w:rStyle w:val="hps"/>
          <w:lang w:val="fr-FR"/>
        </w:rPr>
        <w:t>’</w:t>
      </w:r>
      <w:r w:rsidR="001D69D6" w:rsidRPr="007F3549">
        <w:rPr>
          <w:rStyle w:val="hps"/>
          <w:lang w:val="fr-FR"/>
        </w:rPr>
        <w:t>évaluer si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ces </w:t>
      </w:r>
      <w:r w:rsidR="00AF3957" w:rsidRPr="007F3549">
        <w:rPr>
          <w:rStyle w:val="hps"/>
          <w:lang w:val="fr-FR"/>
        </w:rPr>
        <w:t>placements</w:t>
      </w:r>
      <w:r w:rsidR="001D69D6" w:rsidRPr="007F3549">
        <w:rPr>
          <w:lang w:val="fr-FR"/>
        </w:rPr>
        <w:t xml:space="preserve"> </w:t>
      </w:r>
      <w:r w:rsidR="00AF3957" w:rsidRPr="007F3549">
        <w:rPr>
          <w:rStyle w:val="hps"/>
          <w:lang w:val="fr-FR"/>
        </w:rPr>
        <w:t>permettro</w:t>
      </w:r>
      <w:r w:rsidR="001D69D6" w:rsidRPr="007F3549">
        <w:rPr>
          <w:rStyle w:val="hps"/>
          <w:lang w:val="fr-FR"/>
        </w:rPr>
        <w:t xml:space="preserve">nt </w:t>
      </w:r>
      <w:r w:rsidR="00AF3957" w:rsidRPr="007F3549">
        <w:rPr>
          <w:rStyle w:val="hps"/>
          <w:lang w:val="fr-FR"/>
        </w:rPr>
        <w:t>à l</w:t>
      </w:r>
      <w:r w:rsidR="00876E92" w:rsidRPr="007F3549">
        <w:rPr>
          <w:rStyle w:val="hps"/>
          <w:lang w:val="fr-FR"/>
        </w:rPr>
        <w:t>’</w:t>
      </w:r>
      <w:r w:rsidR="00AF3957" w:rsidRPr="007F3549">
        <w:rPr>
          <w:rStyle w:val="hps"/>
          <w:lang w:val="fr-FR"/>
        </w:rPr>
        <w:t>Organisation de réaliser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>un</w:t>
      </w:r>
      <w:r w:rsidR="001D69D6" w:rsidRPr="007F3549">
        <w:rPr>
          <w:lang w:val="fr-FR"/>
        </w:rPr>
        <w:t xml:space="preserve"> </w:t>
      </w:r>
      <w:r w:rsidR="001D69D6" w:rsidRPr="007F3549">
        <w:rPr>
          <w:rStyle w:val="hps"/>
          <w:lang w:val="fr-FR"/>
        </w:rPr>
        <w:t xml:space="preserve">rendement </w:t>
      </w:r>
      <w:r w:rsidR="00AF3957" w:rsidRPr="007F3549">
        <w:rPr>
          <w:rStyle w:val="hps"/>
          <w:lang w:val="fr-FR"/>
        </w:rPr>
        <w:t xml:space="preserve">global </w:t>
      </w:r>
      <w:r w:rsidR="001D69D6" w:rsidRPr="007F3549">
        <w:rPr>
          <w:rStyle w:val="hps"/>
          <w:lang w:val="fr-FR"/>
        </w:rPr>
        <w:t>positif</w:t>
      </w:r>
      <w:r w:rsidR="00B0550B" w:rsidRPr="007F3549">
        <w:rPr>
          <w:szCs w:val="22"/>
          <w:lang w:val="fr-FR"/>
        </w:rPr>
        <w:t>.</w:t>
      </w:r>
    </w:p>
    <w:p w:rsidR="00183640" w:rsidRPr="007F3549" w:rsidRDefault="00CD1490" w:rsidP="00B50D94">
      <w:pPr>
        <w:pStyle w:val="ONUMFS"/>
        <w:rPr>
          <w:lang w:val="fr-FR"/>
        </w:rPr>
      </w:pPr>
      <w:r w:rsidRPr="007F3549">
        <w:rPr>
          <w:lang w:val="fr-FR"/>
        </w:rPr>
        <w:t>Le placement</w:t>
      </w:r>
      <w:r w:rsidR="001D69D6" w:rsidRPr="007F3549">
        <w:rPr>
          <w:lang w:val="fr-FR"/>
        </w:rPr>
        <w:t xml:space="preserve"> dans la gamme des actifs </w:t>
      </w:r>
      <w:r w:rsidR="00F647B1" w:rsidRPr="007F3549">
        <w:rPr>
          <w:lang w:val="fr-FR"/>
        </w:rPr>
        <w:t>dont l</w:t>
      </w:r>
      <w:r w:rsidR="00876E92" w:rsidRPr="007F3549">
        <w:rPr>
          <w:lang w:val="fr-FR"/>
        </w:rPr>
        <w:t>’</w:t>
      </w:r>
      <w:r w:rsidR="00F647B1" w:rsidRPr="007F3549">
        <w:rPr>
          <w:lang w:val="fr-FR"/>
        </w:rPr>
        <w:t>échéance permet de</w:t>
      </w:r>
      <w:r w:rsidR="001D69D6" w:rsidRPr="007F3549">
        <w:rPr>
          <w:lang w:val="fr-FR"/>
        </w:rPr>
        <w:t xml:space="preserve"> répondre aux exigences </w:t>
      </w:r>
      <w:r w:rsidR="00EB01C9" w:rsidRPr="007F3549">
        <w:rPr>
          <w:lang w:val="fr-FR"/>
        </w:rPr>
        <w:t>des fonds propres</w:t>
      </w:r>
      <w:r w:rsidR="0023502E" w:rsidRPr="007F3549">
        <w:rPr>
          <w:lang w:val="fr-FR"/>
        </w:rPr>
        <w:t xml:space="preserve"> </w:t>
      </w:r>
      <w:r w:rsidRPr="007F3549">
        <w:rPr>
          <w:lang w:val="fr-FR"/>
        </w:rPr>
        <w:t>nécessitera</w:t>
      </w:r>
      <w:r w:rsidR="0023502E" w:rsidRPr="007F3549">
        <w:rPr>
          <w:lang w:val="fr-FR"/>
        </w:rPr>
        <w:t xml:space="preserve"> une </w:t>
      </w:r>
      <w:r w:rsidR="001D69D6" w:rsidRPr="007F3549">
        <w:rPr>
          <w:lang w:val="fr-FR"/>
        </w:rPr>
        <w:t xml:space="preserve">expertise </w:t>
      </w:r>
      <w:r w:rsidR="0023502E" w:rsidRPr="007F3549">
        <w:rPr>
          <w:lang w:val="fr-FR"/>
        </w:rPr>
        <w:t xml:space="preserve">dont </w:t>
      </w:r>
      <w:r w:rsidR="001D69D6"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OMPI ne dispose pas en interne. </w:t>
      </w:r>
      <w:r w:rsidR="0023502E" w:rsidRPr="007F3549">
        <w:rPr>
          <w:lang w:val="fr-FR"/>
        </w:rPr>
        <w:t xml:space="preserve"> </w:t>
      </w:r>
      <w:r w:rsidR="007B1551" w:rsidRPr="007F3549">
        <w:rPr>
          <w:lang w:val="fr-FR"/>
        </w:rPr>
        <w:t>Il est proposé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externaliser ce travail en engageant </w:t>
      </w:r>
      <w:r w:rsidRPr="007F3549">
        <w:rPr>
          <w:lang w:val="fr-FR"/>
        </w:rPr>
        <w:t>des</w:t>
      </w:r>
      <w:r w:rsidR="001D69D6" w:rsidRPr="007F3549">
        <w:rPr>
          <w:lang w:val="fr-FR"/>
        </w:rPr>
        <w:t xml:space="preserve"> gestionnaires de fonds </w:t>
      </w:r>
      <w:r w:rsidRPr="007F3549">
        <w:rPr>
          <w:lang w:val="fr-FR"/>
        </w:rPr>
        <w:t>extérieurs</w:t>
      </w:r>
      <w:r w:rsidR="001D69D6" w:rsidRPr="007F3549">
        <w:rPr>
          <w:lang w:val="fr-FR"/>
        </w:rPr>
        <w:t xml:space="preserve"> </w:t>
      </w:r>
      <w:r w:rsidR="00240C8D" w:rsidRPr="007F3549">
        <w:rPr>
          <w:lang w:val="fr-FR"/>
        </w:rPr>
        <w:t>chargés de</w:t>
      </w:r>
      <w:r w:rsidR="001D69D6" w:rsidRPr="007F3549">
        <w:rPr>
          <w:lang w:val="fr-FR"/>
        </w:rPr>
        <w:t xml:space="preserve"> gérer le portefeuille de </w:t>
      </w:r>
      <w:r w:rsidR="00347A88" w:rsidRPr="007F3549">
        <w:rPr>
          <w:lang w:val="fr-FR"/>
        </w:rPr>
        <w:t>fonds propres</w:t>
      </w:r>
      <w:r w:rsidR="001D69D6" w:rsidRPr="007F3549">
        <w:rPr>
          <w:lang w:val="fr-FR"/>
        </w:rPr>
        <w:t xml:space="preserve">. </w:t>
      </w:r>
      <w:r w:rsidR="0023502E" w:rsidRPr="007F3549">
        <w:rPr>
          <w:lang w:val="fr-FR"/>
        </w:rPr>
        <w:t xml:space="preserve"> Le paragraphe 21 donne de plus amples informations </w:t>
      </w:r>
      <w:r w:rsidR="001D69D6" w:rsidRPr="007F3549">
        <w:rPr>
          <w:lang w:val="fr-FR"/>
        </w:rPr>
        <w:t xml:space="preserve">sur les gestionnaires de fonds </w:t>
      </w:r>
      <w:r w:rsidR="00240C8D" w:rsidRPr="007F3549">
        <w:rPr>
          <w:lang w:val="fr-FR"/>
        </w:rPr>
        <w:t>extérieurs</w:t>
      </w:r>
      <w:r w:rsidR="001D69D6" w:rsidRPr="007F3549">
        <w:rPr>
          <w:lang w:val="fr-FR"/>
        </w:rPr>
        <w:t xml:space="preserve">. </w:t>
      </w:r>
      <w:r w:rsidR="00240C8D" w:rsidRPr="007F3549">
        <w:rPr>
          <w:lang w:val="fr-FR"/>
        </w:rPr>
        <w:t xml:space="preserve"> Cette</w:t>
      </w:r>
      <w:r w:rsidR="001D69D6" w:rsidRPr="007F3549">
        <w:rPr>
          <w:lang w:val="fr-FR"/>
        </w:rPr>
        <w:t xml:space="preserve"> stratégie a été adoptée </w:t>
      </w:r>
      <w:r w:rsidR="00240C8D" w:rsidRPr="007F3549">
        <w:rPr>
          <w:lang w:val="fr-FR"/>
        </w:rPr>
        <w:t xml:space="preserve">récemment </w:t>
      </w:r>
      <w:r w:rsidR="001D69D6" w:rsidRPr="007F3549">
        <w:rPr>
          <w:lang w:val="fr-FR"/>
        </w:rPr>
        <w:t>par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Organisation internationale du Travail (OIT)</w:t>
      </w:r>
      <w:r w:rsidR="0023502E" w:rsidRPr="007F3549">
        <w:rPr>
          <w:lang w:val="fr-FR"/>
        </w:rPr>
        <w:t>,</w:t>
      </w:r>
      <w:r w:rsidR="001D69D6" w:rsidRPr="007F3549">
        <w:rPr>
          <w:lang w:val="fr-FR"/>
        </w:rPr>
        <w:t xml:space="preserve"> qui a demandé </w:t>
      </w:r>
      <w:r w:rsidR="00240C8D" w:rsidRPr="007F3549">
        <w:rPr>
          <w:lang w:val="fr-FR"/>
        </w:rPr>
        <w:t>aux gestionnaires de fonds de formuler des</w:t>
      </w:r>
      <w:r w:rsidR="001D69D6" w:rsidRPr="007F3549">
        <w:rPr>
          <w:lang w:val="fr-FR"/>
        </w:rPr>
        <w:t xml:space="preserve"> propositions en ce qui concerne la création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un portefeuille de placements.</w:t>
      </w:r>
      <w:r w:rsidR="0023502E"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OIT a</w:t>
      </w:r>
      <w:r w:rsidR="0023502E" w:rsidRPr="007F3549">
        <w:rPr>
          <w:lang w:val="fr-FR"/>
        </w:rPr>
        <w:t xml:space="preserve"> fixé</w:t>
      </w:r>
      <w:r w:rsidR="001D69D6" w:rsidRPr="007F3549">
        <w:rPr>
          <w:lang w:val="fr-FR"/>
        </w:rPr>
        <w:t xml:space="preserve"> un objectif de rendement de 1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 xml:space="preserve"> (</w:t>
      </w:r>
      <w:r w:rsidR="0023502E" w:rsidRPr="007F3549">
        <w:rPr>
          <w:lang w:val="fr-FR"/>
        </w:rPr>
        <w:t>hors</w:t>
      </w:r>
      <w:r w:rsidR="001D69D6" w:rsidRPr="007F3549">
        <w:rPr>
          <w:lang w:val="fr-FR"/>
        </w:rPr>
        <w:t xml:space="preserve"> frais de gestion) </w:t>
      </w:r>
      <w:r w:rsidR="00240C8D" w:rsidRPr="007F3549">
        <w:rPr>
          <w:lang w:val="fr-FR"/>
        </w:rPr>
        <w:t>ainsi que</w:t>
      </w:r>
      <w:r w:rsidR="001D69D6" w:rsidRPr="007F3549">
        <w:rPr>
          <w:lang w:val="fr-FR"/>
        </w:rPr>
        <w:t xml:space="preserve"> divers autres critères, </w:t>
      </w:r>
      <w:r w:rsidR="00240C8D" w:rsidRPr="007F3549">
        <w:rPr>
          <w:lang w:val="fr-FR"/>
        </w:rPr>
        <w:t>dont</w:t>
      </w:r>
      <w:r w:rsidR="001D69D6" w:rsidRPr="007F3549">
        <w:rPr>
          <w:lang w:val="fr-FR"/>
        </w:rPr>
        <w:t xml:space="preserve"> le niveau de volatilité acceptable (2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>), la perte maximale qui sera acceptée (3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 xml:space="preserve">) et </w:t>
      </w:r>
      <w:r w:rsidR="0023502E" w:rsidRPr="007F3549">
        <w:rPr>
          <w:lang w:val="fr-FR"/>
        </w:rPr>
        <w:t>les classes d</w:t>
      </w:r>
      <w:r w:rsidR="00876E92" w:rsidRPr="007F3549">
        <w:rPr>
          <w:lang w:val="fr-FR"/>
        </w:rPr>
        <w:t>’</w:t>
      </w:r>
      <w:r w:rsidR="0023502E" w:rsidRPr="007F3549">
        <w:rPr>
          <w:lang w:val="fr-FR"/>
        </w:rPr>
        <w:t xml:space="preserve">actifs </w:t>
      </w:r>
      <w:r w:rsidR="001D69D6" w:rsidRPr="007F3549">
        <w:rPr>
          <w:lang w:val="fr-FR"/>
        </w:rPr>
        <w:t xml:space="preserve">qui ne peuvent </w:t>
      </w:r>
      <w:r w:rsidR="00240C8D" w:rsidRPr="007F3549">
        <w:rPr>
          <w:lang w:val="fr-FR"/>
        </w:rPr>
        <w:t xml:space="preserve">pas </w:t>
      </w:r>
      <w:r w:rsidR="001D69D6" w:rsidRPr="007F3549">
        <w:rPr>
          <w:lang w:val="fr-FR"/>
        </w:rPr>
        <w:t xml:space="preserve">être </w:t>
      </w:r>
      <w:r w:rsidR="00240C8D" w:rsidRPr="007F3549">
        <w:rPr>
          <w:lang w:val="fr-FR"/>
        </w:rPr>
        <w:t>dé</w:t>
      </w:r>
      <w:r w:rsidR="001D69D6" w:rsidRPr="007F3549">
        <w:rPr>
          <w:lang w:val="fr-FR"/>
        </w:rPr>
        <w:t>tenu</w:t>
      </w:r>
      <w:r w:rsidR="00240C8D" w:rsidRPr="007F3549">
        <w:rPr>
          <w:lang w:val="fr-FR"/>
        </w:rPr>
        <w:t>e</w:t>
      </w:r>
      <w:r w:rsidR="001D69D6" w:rsidRPr="007F3549">
        <w:rPr>
          <w:lang w:val="fr-FR"/>
        </w:rPr>
        <w:t>s (</w:t>
      </w:r>
      <w:r w:rsidR="00876E92" w:rsidRPr="007F3549">
        <w:rPr>
          <w:lang w:val="fr-FR"/>
        </w:rPr>
        <w:t>à savoir</w:t>
      </w:r>
      <w:r w:rsidR="001D69D6" w:rsidRPr="007F3549">
        <w:rPr>
          <w:lang w:val="fr-FR"/>
        </w:rPr>
        <w:t xml:space="preserve"> les actions et </w:t>
      </w:r>
      <w:r w:rsidR="0023502E" w:rsidRPr="007F3549">
        <w:rPr>
          <w:lang w:val="fr-FR"/>
        </w:rPr>
        <w:t xml:space="preserve">les fonds </w:t>
      </w:r>
      <w:r w:rsidR="00B87E36" w:rsidRPr="007F3549">
        <w:rPr>
          <w:lang w:val="fr-FR"/>
        </w:rPr>
        <w:t>spéculatifs</w:t>
      </w:r>
      <w:r w:rsidR="001D69D6" w:rsidRPr="007F3549">
        <w:rPr>
          <w:lang w:val="fr-FR"/>
        </w:rPr>
        <w:t xml:space="preserve">). </w:t>
      </w:r>
      <w:r w:rsidR="0023502E" w:rsidRPr="007F3549">
        <w:rPr>
          <w:lang w:val="fr-FR"/>
        </w:rPr>
        <w:t xml:space="preserve"> </w:t>
      </w:r>
      <w:r w:rsidR="001D69D6" w:rsidRPr="007F3549">
        <w:rPr>
          <w:lang w:val="fr-FR"/>
        </w:rPr>
        <w:t>Dans les limites des classes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actifs identifié</w:t>
      </w:r>
      <w:r w:rsidR="00240C8D" w:rsidRPr="007F3549">
        <w:rPr>
          <w:lang w:val="fr-FR"/>
        </w:rPr>
        <w:t>e</w:t>
      </w:r>
      <w:r w:rsidR="001D69D6" w:rsidRPr="007F3549">
        <w:rPr>
          <w:lang w:val="fr-FR"/>
        </w:rPr>
        <w:t xml:space="preserve">s dans la proposition initiale, le gestionnaire sélectionné est autorisé à décider comment répartir </w:t>
      </w:r>
      <w:r w:rsidR="00347A88" w:rsidRPr="007F3549">
        <w:rPr>
          <w:lang w:val="fr-FR"/>
        </w:rPr>
        <w:t>la trésorerie</w:t>
      </w:r>
      <w:r w:rsidR="001D69D6" w:rsidRPr="007F3549">
        <w:rPr>
          <w:lang w:val="fr-FR"/>
        </w:rPr>
        <w:t xml:space="preserve"> entre ces classes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actifs. </w:t>
      </w:r>
      <w:r w:rsidR="00240C8D"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Les investissements peuvent </w:t>
      </w:r>
      <w:r w:rsidR="00240C8D" w:rsidRPr="007F3549">
        <w:rPr>
          <w:lang w:val="fr-FR"/>
        </w:rPr>
        <w:t>se faire dans d</w:t>
      </w:r>
      <w:r w:rsidR="00876E92" w:rsidRPr="007F3549">
        <w:rPr>
          <w:lang w:val="fr-FR"/>
        </w:rPr>
        <w:t>’</w:t>
      </w:r>
      <w:r w:rsidR="00240C8D" w:rsidRPr="007F3549">
        <w:rPr>
          <w:lang w:val="fr-FR"/>
        </w:rPr>
        <w:t>autres devises</w:t>
      </w:r>
      <w:r w:rsidR="001D69D6" w:rsidRPr="007F3549">
        <w:rPr>
          <w:lang w:val="fr-FR"/>
        </w:rPr>
        <w:t>, mais doivent être couverts à 100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 xml:space="preserve"> en francs suisses.</w:t>
      </w:r>
      <w:r w:rsidR="00240C8D" w:rsidRPr="007F3549">
        <w:rPr>
          <w:lang w:val="fr-FR"/>
        </w:rPr>
        <w:t xml:space="preserve">  Il s</w:t>
      </w:r>
      <w:r w:rsidR="00876E92" w:rsidRPr="007F3549">
        <w:rPr>
          <w:lang w:val="fr-FR"/>
        </w:rPr>
        <w:t>’</w:t>
      </w:r>
      <w:r w:rsidR="00240C8D" w:rsidRPr="007F3549">
        <w:rPr>
          <w:lang w:val="fr-FR"/>
        </w:rPr>
        <w:t>agira d</w:t>
      </w:r>
      <w:r w:rsidR="00876E92" w:rsidRPr="007F3549">
        <w:rPr>
          <w:lang w:val="fr-FR"/>
        </w:rPr>
        <w:t>’</w:t>
      </w:r>
      <w:r w:rsidR="00240C8D" w:rsidRPr="007F3549">
        <w:rPr>
          <w:lang w:val="fr-FR"/>
        </w:rPr>
        <w:t>un portefeuille de 50 </w:t>
      </w:r>
      <w:r w:rsidR="001D69D6" w:rsidRPr="007F3549">
        <w:rPr>
          <w:lang w:val="fr-FR"/>
        </w:rPr>
        <w:t>millions de francs suisses</w:t>
      </w:r>
      <w:r w:rsidR="00240C8D" w:rsidRPr="007F3549">
        <w:rPr>
          <w:lang w:val="fr-FR"/>
        </w:rPr>
        <w:t>,</w:t>
      </w:r>
      <w:r w:rsidR="001D69D6" w:rsidRPr="007F3549">
        <w:rPr>
          <w:lang w:val="fr-FR"/>
        </w:rPr>
        <w:t xml:space="preserve"> et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OIT envisage également la création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un portefeuille similaire en dollars américains.</w:t>
      </w:r>
      <w:r w:rsidR="00240C8D"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 </w:t>
      </w:r>
      <w:r w:rsidR="00F86243" w:rsidRPr="007F3549">
        <w:rPr>
          <w:lang w:val="fr-FR"/>
        </w:rPr>
        <w:t>Grâce à</w:t>
      </w:r>
      <w:r w:rsidR="001D69D6" w:rsidRPr="007F3549">
        <w:rPr>
          <w:lang w:val="fr-FR"/>
        </w:rPr>
        <w:t xml:space="preserve"> ces portefeuilles, </w:t>
      </w:r>
      <w:r w:rsidR="00F86243" w:rsidRPr="007F3549">
        <w:rPr>
          <w:lang w:val="fr-FR"/>
        </w:rPr>
        <w:t>aux</w:t>
      </w:r>
      <w:r w:rsidR="001D69D6" w:rsidRPr="007F3549">
        <w:rPr>
          <w:lang w:val="fr-FR"/>
        </w:rPr>
        <w:t xml:space="preserve"> seuils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exemption et </w:t>
      </w:r>
      <w:r w:rsidR="00F86243" w:rsidRPr="007F3549">
        <w:rPr>
          <w:lang w:val="fr-FR"/>
        </w:rPr>
        <w:t>aux</w:t>
      </w:r>
      <w:r w:rsidR="001D69D6" w:rsidRPr="007F3549">
        <w:rPr>
          <w:lang w:val="fr-FR"/>
        </w:rPr>
        <w:t xml:space="preserve"> dépôts à taux zéro offerts par ses partenaires bancaires,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OIT espère </w:t>
      </w:r>
      <w:r w:rsidR="00F86243" w:rsidRPr="007F3549">
        <w:rPr>
          <w:lang w:val="fr-FR"/>
        </w:rPr>
        <w:t>réduire au maximum</w:t>
      </w:r>
      <w:r w:rsidR="001D69D6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impact des taux d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intérêt négatifs sur </w:t>
      </w:r>
      <w:r w:rsidR="001D69D6" w:rsidRPr="007F3549">
        <w:rPr>
          <w:lang w:val="fr-FR"/>
        </w:rPr>
        <w:lastRenderedPageBreak/>
        <w:t xml:space="preserve">sa trésorerie. </w:t>
      </w:r>
      <w:r w:rsidR="00F86243"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De </w:t>
      </w:r>
      <w:r w:rsidR="00F86243" w:rsidRPr="007F3549">
        <w:rPr>
          <w:lang w:val="fr-FR"/>
        </w:rPr>
        <w:t>même,</w:t>
      </w:r>
      <w:r w:rsidR="001D69D6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OMPI pourrait </w:t>
      </w:r>
      <w:r w:rsidR="00F86243" w:rsidRPr="007F3549">
        <w:rPr>
          <w:lang w:val="fr-FR"/>
        </w:rPr>
        <w:t xml:space="preserve">confier des </w:t>
      </w:r>
      <w:r w:rsidR="001D69D6" w:rsidRPr="007F3549">
        <w:rPr>
          <w:lang w:val="fr-FR"/>
        </w:rPr>
        <w:t>portefeuille</w:t>
      </w:r>
      <w:r w:rsidR="00F86243" w:rsidRPr="007F3549">
        <w:rPr>
          <w:lang w:val="fr-FR"/>
        </w:rPr>
        <w:t>s</w:t>
      </w:r>
      <w:r w:rsidR="001D69D6" w:rsidRPr="007F3549">
        <w:rPr>
          <w:lang w:val="fr-FR"/>
        </w:rPr>
        <w:t xml:space="preserve"> </w:t>
      </w:r>
      <w:r w:rsidR="00F86243" w:rsidRPr="007F3549">
        <w:rPr>
          <w:lang w:val="fr-FR"/>
        </w:rPr>
        <w:t xml:space="preserve">à des </w:t>
      </w:r>
      <w:r w:rsidR="001D69D6" w:rsidRPr="007F3549">
        <w:rPr>
          <w:lang w:val="fr-FR"/>
        </w:rPr>
        <w:t xml:space="preserve">gestionnaires de fonds </w:t>
      </w:r>
      <w:r w:rsidR="00F86243" w:rsidRPr="007F3549">
        <w:rPr>
          <w:lang w:val="fr-FR"/>
        </w:rPr>
        <w:t>en leur précisant</w:t>
      </w:r>
      <w:r w:rsidR="001D69D6" w:rsidRPr="007F3549">
        <w:rPr>
          <w:lang w:val="fr-FR"/>
        </w:rPr>
        <w:t xml:space="preserve"> les directives de placement à suivre. </w:t>
      </w:r>
      <w:r w:rsidR="00F86243" w:rsidRPr="007F3549">
        <w:rPr>
          <w:lang w:val="fr-FR"/>
        </w:rPr>
        <w:t xml:space="preserve"> </w:t>
      </w:r>
      <w:r w:rsidR="001D69D6" w:rsidRPr="007F3549">
        <w:rPr>
          <w:lang w:val="fr-FR"/>
        </w:rPr>
        <w:t>Il convient de noter que, dans le contexte de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OMPI, la possibilité de </w:t>
      </w:r>
      <w:r w:rsidR="00F86243" w:rsidRPr="007F3549">
        <w:rPr>
          <w:lang w:val="fr-FR"/>
        </w:rPr>
        <w:t>faire</w:t>
      </w:r>
      <w:r w:rsidR="001D69D6" w:rsidRPr="007F3549">
        <w:rPr>
          <w:lang w:val="fr-FR"/>
        </w:rPr>
        <w:t xml:space="preserve"> des </w:t>
      </w:r>
      <w:r w:rsidR="00F86243" w:rsidRPr="007F3549">
        <w:rPr>
          <w:lang w:val="fr-FR"/>
        </w:rPr>
        <w:t>placements</w:t>
      </w:r>
      <w:r w:rsidR="001D69D6" w:rsidRPr="007F3549">
        <w:rPr>
          <w:lang w:val="fr-FR"/>
        </w:rPr>
        <w:t xml:space="preserve"> initiaux dans des </w:t>
      </w:r>
      <w:r w:rsidR="00F86243" w:rsidRPr="007F3549">
        <w:rPr>
          <w:lang w:val="fr-FR"/>
        </w:rPr>
        <w:t>devises</w:t>
      </w:r>
      <w:r w:rsidR="001D69D6" w:rsidRPr="007F3549">
        <w:rPr>
          <w:lang w:val="fr-FR"/>
        </w:rPr>
        <w:t xml:space="preserve"> autres que le franc suisse</w:t>
      </w:r>
      <w:r w:rsidR="00F86243" w:rsidRPr="007F3549">
        <w:rPr>
          <w:lang w:val="fr-FR"/>
        </w:rPr>
        <w:t xml:space="preserve"> sera influencée par</w:t>
      </w:r>
      <w:r w:rsidR="001D69D6" w:rsidRPr="007F3549">
        <w:rPr>
          <w:lang w:val="fr-FR"/>
        </w:rPr>
        <w:t xml:space="preserve"> la décision prise récemment par les États membres du </w:t>
      </w:r>
      <w:r w:rsidR="00617726" w:rsidRPr="007F3549">
        <w:rPr>
          <w:lang w:val="fr-FR"/>
        </w:rPr>
        <w:t>Groupe</w:t>
      </w:r>
      <w:r w:rsidR="001D69D6" w:rsidRPr="007F3549">
        <w:rPr>
          <w:lang w:val="fr-FR"/>
        </w:rPr>
        <w:t xml:space="preserve"> de travail</w:t>
      </w:r>
      <w:r w:rsidR="00876E92" w:rsidRPr="007F3549">
        <w:rPr>
          <w:lang w:val="fr-FR"/>
        </w:rPr>
        <w:t xml:space="preserve"> du PCT</w:t>
      </w:r>
      <w:r w:rsidR="001D69D6" w:rsidRPr="007F3549">
        <w:rPr>
          <w:lang w:val="fr-FR"/>
        </w:rPr>
        <w:t xml:space="preserve">, </w:t>
      </w:r>
      <w:r w:rsidR="00F86243" w:rsidRPr="007F3549">
        <w:rPr>
          <w:lang w:val="fr-FR"/>
        </w:rPr>
        <w:t>qui doit</w:t>
      </w:r>
      <w:r w:rsidR="001D69D6" w:rsidRPr="007F3549">
        <w:rPr>
          <w:lang w:val="fr-FR"/>
        </w:rPr>
        <w:t xml:space="preserve"> être </w:t>
      </w:r>
      <w:r w:rsidR="00F86243" w:rsidRPr="007F3549">
        <w:rPr>
          <w:lang w:val="fr-FR"/>
        </w:rPr>
        <w:t>approuvée par les A</w:t>
      </w:r>
      <w:r w:rsidR="001D69D6" w:rsidRPr="007F3549">
        <w:rPr>
          <w:lang w:val="fr-FR"/>
        </w:rPr>
        <w:t xml:space="preserve">ssemblées, en ce qui concerne la couverture des </w:t>
      </w:r>
      <w:r w:rsidR="00F86243" w:rsidRPr="007F3549">
        <w:rPr>
          <w:lang w:val="fr-FR"/>
        </w:rPr>
        <w:t xml:space="preserve">revenus </w:t>
      </w:r>
      <w:r w:rsidR="00347A88" w:rsidRPr="007F3549">
        <w:rPr>
          <w:lang w:val="fr-FR"/>
        </w:rPr>
        <w:t xml:space="preserve">tirés </w:t>
      </w:r>
      <w:r w:rsidR="00F86243" w:rsidRPr="007F3549">
        <w:rPr>
          <w:lang w:val="fr-FR"/>
        </w:rPr>
        <w:t xml:space="preserve">des taxes perçues </w:t>
      </w:r>
      <w:r w:rsidR="00347A88" w:rsidRPr="007F3549">
        <w:rPr>
          <w:lang w:val="fr-FR"/>
        </w:rPr>
        <w:t>au titre</w:t>
      </w:r>
      <w:r w:rsidR="00876E92" w:rsidRPr="007F3549">
        <w:rPr>
          <w:lang w:val="fr-FR"/>
        </w:rPr>
        <w:t xml:space="preserve"> du PCT</w:t>
      </w:r>
      <w:r w:rsidR="00F072F2" w:rsidRPr="007F3549">
        <w:rPr>
          <w:lang w:val="fr-FR"/>
        </w:rPr>
        <w:t>.</w:t>
      </w:r>
    </w:p>
    <w:p w:rsidR="008D2E57" w:rsidRPr="007F3549" w:rsidRDefault="00347A88" w:rsidP="00B50D94">
      <w:pPr>
        <w:pStyle w:val="Heading2"/>
        <w:rPr>
          <w:lang w:val="fr-FR"/>
        </w:rPr>
      </w:pPr>
      <w:r w:rsidRPr="007F3549">
        <w:rPr>
          <w:lang w:val="fr-FR"/>
        </w:rPr>
        <w:t>trésorerie stratégique (à loNg terme)</w:t>
      </w:r>
    </w:p>
    <w:p w:rsidR="00B50D94" w:rsidRPr="007F3549" w:rsidRDefault="00B50D94" w:rsidP="00B50D94">
      <w:pPr>
        <w:rPr>
          <w:lang w:val="fr-FR"/>
        </w:rPr>
      </w:pPr>
    </w:p>
    <w:p w:rsidR="001141EF" w:rsidRPr="007F3549" w:rsidRDefault="001D69D6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Cette trésorerie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est</w:t>
      </w:r>
      <w:r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EB24BD" w:rsidRPr="007F3549">
        <w:rPr>
          <w:rStyle w:val="hps"/>
          <w:lang w:val="fr-FR"/>
        </w:rPr>
        <w:t>opposé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la trésorerie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exploitation</w:t>
      </w:r>
      <w:r w:rsidRPr="007F3549">
        <w:rPr>
          <w:lang w:val="fr-FR"/>
        </w:rPr>
        <w:t xml:space="preserve">. </w:t>
      </w:r>
      <w:r w:rsidR="00EB24BD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 xml:space="preserve">objectif </w:t>
      </w:r>
      <w:r w:rsidR="00EB24BD" w:rsidRPr="007F3549">
        <w:rPr>
          <w:rStyle w:val="hps"/>
          <w:lang w:val="fr-FR"/>
        </w:rPr>
        <w:t>du</w:t>
      </w:r>
      <w:r w:rsidRPr="007F3549">
        <w:rPr>
          <w:rStyle w:val="hps"/>
          <w:lang w:val="fr-FR"/>
        </w:rPr>
        <w:t xml:space="preserve"> placement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est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obtenir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un rendement positif</w:t>
      </w:r>
      <w:r w:rsidRPr="007F3549">
        <w:rPr>
          <w:lang w:val="fr-FR"/>
        </w:rPr>
        <w:t xml:space="preserve">, </w:t>
      </w: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horizon de placement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est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à long terme</w:t>
      </w:r>
      <w:r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avec une durée sur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plusieurs années</w:t>
      </w:r>
      <w:r w:rsidR="00EB24BD" w:rsidRPr="007F3549">
        <w:rPr>
          <w:rStyle w:val="hps"/>
          <w:lang w:val="fr-FR"/>
        </w:rPr>
        <w:t>,</w:t>
      </w:r>
      <w:r w:rsidRPr="007F3549">
        <w:rPr>
          <w:rStyle w:val="hps"/>
          <w:lang w:val="fr-FR"/>
        </w:rPr>
        <w:t xml:space="preserve"> et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 profil de risque</w:t>
      </w:r>
      <w:r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se caractérise par des</w:t>
      </w:r>
      <w:r w:rsidRPr="007F3549">
        <w:rPr>
          <w:rStyle w:val="hps"/>
          <w:lang w:val="fr-FR"/>
        </w:rPr>
        <w:t xml:space="preserve"> investissements</w:t>
      </w:r>
      <w:r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à caractère volatil</w:t>
      </w:r>
      <w:r w:rsidRPr="007F3549">
        <w:rPr>
          <w:lang w:val="fr-FR"/>
        </w:rPr>
        <w:t xml:space="preserve">. </w:t>
      </w:r>
      <w:r w:rsidR="00EB24BD"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La t</w:t>
      </w:r>
      <w:r w:rsidRPr="007F3549">
        <w:rPr>
          <w:rStyle w:val="hps"/>
          <w:lang w:val="fr-FR"/>
        </w:rPr>
        <w:t>résorerie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stratégique de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OMPI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est</w:t>
      </w:r>
      <w:r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celle</w:t>
      </w:r>
      <w:r w:rsidRPr="007F3549">
        <w:rPr>
          <w:rStyle w:val="hps"/>
          <w:lang w:val="fr-FR"/>
        </w:rPr>
        <w:t xml:space="preserve"> qui a été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mis</w:t>
      </w:r>
      <w:r w:rsidR="00EB24BD" w:rsidRPr="007F3549">
        <w:rPr>
          <w:rStyle w:val="hps"/>
          <w:lang w:val="fr-FR"/>
        </w:rPr>
        <w:t>e</w:t>
      </w:r>
      <w:r w:rsidRPr="007F3549">
        <w:rPr>
          <w:rStyle w:val="hps"/>
          <w:lang w:val="fr-FR"/>
        </w:rPr>
        <w:t xml:space="preserve"> de côté pour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financer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les</w:t>
      </w:r>
      <w:r w:rsidRPr="007F3549">
        <w:rPr>
          <w:lang w:val="fr-FR"/>
        </w:rPr>
        <w:t xml:space="preserve"> </w:t>
      </w:r>
      <w:r w:rsidR="00C96F2E" w:rsidRPr="007F3549">
        <w:rPr>
          <w:rStyle w:val="hps"/>
          <w:lang w:val="fr-FR"/>
        </w:rPr>
        <w:t>engagements pris</w:t>
      </w:r>
      <w:r w:rsidR="006E6005" w:rsidRPr="007F3549">
        <w:rPr>
          <w:rStyle w:val="hps"/>
          <w:lang w:val="fr-FR"/>
        </w:rPr>
        <w:t xml:space="preserve"> au titre de</w:t>
      </w:r>
      <w:r w:rsidR="006E6005" w:rsidRPr="007F3549">
        <w:rPr>
          <w:lang w:val="fr-FR"/>
        </w:rPr>
        <w:t xml:space="preserve"> </w:t>
      </w:r>
      <w:r w:rsidR="00696CC4"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53053B">
        <w:rPr>
          <w:lang w:val="fr-FR"/>
        </w:rPr>
        <w:t>Assurance maladie après cessation de service (</w:t>
      </w:r>
      <w:r w:rsidR="00696CC4" w:rsidRPr="007F3549">
        <w:rPr>
          <w:lang w:val="fr-FR"/>
        </w:rPr>
        <w:t>A</w:t>
      </w:r>
      <w:r w:rsidR="00696CC4" w:rsidRPr="007F3549">
        <w:rPr>
          <w:rStyle w:val="hps"/>
          <w:lang w:val="fr-FR"/>
        </w:rPr>
        <w:t>MCS</w:t>
      </w:r>
      <w:r w:rsidR="0053053B">
        <w:rPr>
          <w:rStyle w:val="hps"/>
          <w:lang w:val="fr-FR"/>
        </w:rPr>
        <w:t>)</w:t>
      </w:r>
      <w:r w:rsidR="00EB24BD" w:rsidRPr="007F3549">
        <w:rPr>
          <w:lang w:val="fr-FR"/>
        </w:rPr>
        <w:t xml:space="preserve">, </w:t>
      </w:r>
      <w:r w:rsidRPr="007F3549">
        <w:rPr>
          <w:rStyle w:val="hps"/>
          <w:lang w:val="fr-FR"/>
        </w:rPr>
        <w:t>qui</w:t>
      </w:r>
      <w:r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s</w:t>
      </w:r>
      <w:r w:rsidR="00876E92" w:rsidRPr="007F3549">
        <w:rPr>
          <w:rStyle w:val="hps"/>
          <w:lang w:val="fr-FR"/>
        </w:rPr>
        <w:t>’</w:t>
      </w:r>
      <w:r w:rsidR="00EB24BD" w:rsidRPr="007F3549">
        <w:rPr>
          <w:rStyle w:val="hps"/>
          <w:lang w:val="fr-FR"/>
        </w:rPr>
        <w:t>élèvent</w:t>
      </w:r>
      <w:r w:rsidRPr="007F3549">
        <w:rPr>
          <w:rStyle w:val="hps"/>
          <w:lang w:val="fr-FR"/>
        </w:rPr>
        <w:t xml:space="preserve"> actuellement à</w:t>
      </w:r>
      <w:r w:rsidRPr="007F3549">
        <w:rPr>
          <w:lang w:val="fr-FR"/>
        </w:rPr>
        <w:t xml:space="preserve"> </w:t>
      </w:r>
      <w:r w:rsidR="00EB24BD" w:rsidRPr="007F3549">
        <w:rPr>
          <w:rStyle w:val="hps"/>
          <w:lang w:val="fr-FR"/>
        </w:rPr>
        <w:t>88,9 </w:t>
      </w:r>
      <w:r w:rsidRPr="007F3549">
        <w:rPr>
          <w:rStyle w:val="hps"/>
          <w:lang w:val="fr-FR"/>
        </w:rPr>
        <w:t>millions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francs suisses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(85,2</w:t>
      </w:r>
      <w:r w:rsidR="00EB24BD" w:rsidRPr="007F3549">
        <w:rPr>
          <w:lang w:val="fr-FR"/>
        </w:rPr>
        <w:t> </w:t>
      </w:r>
      <w:r w:rsidRPr="007F3549">
        <w:rPr>
          <w:rStyle w:val="hps"/>
          <w:lang w:val="fr-FR"/>
        </w:rPr>
        <w:t>millions de francs suisses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au 31</w:t>
      </w:r>
      <w:r w:rsidR="00EB24BD" w:rsidRPr="007F3549">
        <w:rPr>
          <w:lang w:val="fr-FR"/>
        </w:rPr>
        <w:t> d</w:t>
      </w:r>
      <w:r w:rsidRPr="007F3549">
        <w:rPr>
          <w:rStyle w:val="hps"/>
          <w:lang w:val="fr-FR"/>
        </w:rPr>
        <w:t>écembre</w:t>
      </w:r>
      <w:r w:rsidR="00EB24BD" w:rsidRPr="007F3549">
        <w:rPr>
          <w:lang w:val="fr-FR"/>
        </w:rPr>
        <w:t> </w:t>
      </w:r>
      <w:r w:rsidRPr="007F3549">
        <w:rPr>
          <w:rStyle w:val="hps"/>
          <w:lang w:val="fr-FR"/>
        </w:rPr>
        <w:t>2014)</w:t>
      </w:r>
      <w:r w:rsidR="001141EF" w:rsidRPr="007F3549">
        <w:rPr>
          <w:lang w:val="fr-FR"/>
        </w:rPr>
        <w:t>.</w:t>
      </w:r>
    </w:p>
    <w:p w:rsidR="001141EF" w:rsidRPr="007F3549" w:rsidRDefault="001D69D6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 xml:space="preserve">Comme </w:t>
      </w:r>
      <w:r w:rsidR="00EB24BD" w:rsidRPr="007F3549">
        <w:rPr>
          <w:rStyle w:val="hps"/>
          <w:lang w:val="fr-FR"/>
        </w:rPr>
        <w:t xml:space="preserve">indiqué dans le </w:t>
      </w:r>
      <w:r w:rsidR="00876E92" w:rsidRPr="007F3549">
        <w:rPr>
          <w:rStyle w:val="hps"/>
          <w:lang w:val="fr-FR"/>
        </w:rPr>
        <w:t>document WO</w:t>
      </w:r>
      <w:r w:rsidR="007B73E2" w:rsidRPr="007F3549">
        <w:rPr>
          <w:rStyle w:val="hps"/>
          <w:lang w:val="fr-FR"/>
        </w:rPr>
        <w:t>/</w:t>
      </w:r>
      <w:r w:rsidRPr="007F3549">
        <w:rPr>
          <w:rStyle w:val="hps"/>
          <w:lang w:val="fr-FR"/>
        </w:rPr>
        <w:t>PBC</w:t>
      </w:r>
      <w:r w:rsidR="007B73E2" w:rsidRPr="007F3549">
        <w:rPr>
          <w:rStyle w:val="hps"/>
          <w:lang w:val="fr-FR"/>
        </w:rPr>
        <w:t>/</w:t>
      </w:r>
      <w:r w:rsidRPr="007F3549">
        <w:rPr>
          <w:rStyle w:val="hps"/>
          <w:lang w:val="fr-FR"/>
        </w:rPr>
        <w:t>22/</w:t>
      </w:r>
      <w:r w:rsidRPr="007F3549">
        <w:rPr>
          <w:lang w:val="fr-FR"/>
        </w:rPr>
        <w:t xml:space="preserve">19, </w:t>
      </w:r>
      <w:r w:rsidR="006E6005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étude</w:t>
      </w:r>
      <w:r w:rsidRPr="007F3549">
        <w:rPr>
          <w:lang w:val="fr-FR"/>
        </w:rPr>
        <w:t xml:space="preserve"> </w:t>
      </w:r>
      <w:r w:rsidR="006E6005" w:rsidRPr="007F3549">
        <w:rPr>
          <w:lang w:val="fr-FR"/>
        </w:rPr>
        <w:t xml:space="preserve">sur </w:t>
      </w:r>
      <w:r w:rsidRPr="007F3549">
        <w:rPr>
          <w:rStyle w:val="hps"/>
          <w:lang w:val="fr-FR"/>
        </w:rPr>
        <w:t>la trésorerie</w:t>
      </w:r>
      <w:r w:rsidRPr="007F3549">
        <w:rPr>
          <w:lang w:val="fr-FR"/>
        </w:rPr>
        <w:t xml:space="preserve"> </w:t>
      </w:r>
      <w:r w:rsidR="006E6005" w:rsidRPr="007F3549">
        <w:rPr>
          <w:rStyle w:val="hps"/>
          <w:lang w:val="fr-FR"/>
        </w:rPr>
        <w:t>menée</w:t>
      </w:r>
      <w:r w:rsidRPr="007F3549">
        <w:rPr>
          <w:rStyle w:val="hps"/>
          <w:lang w:val="fr-FR"/>
        </w:rPr>
        <w:t xml:space="preserve"> par FTI</w:t>
      </w:r>
      <w:r w:rsidR="006E6005" w:rsidRPr="007F3549">
        <w:rPr>
          <w:rStyle w:val="hps"/>
          <w:lang w:val="fr-FR"/>
        </w:rPr>
        <w:t> </w:t>
      </w:r>
      <w:proofErr w:type="spellStart"/>
      <w:r w:rsidR="006E6005" w:rsidRPr="007F3549">
        <w:rPr>
          <w:rStyle w:val="hps"/>
          <w:lang w:val="fr-FR"/>
        </w:rPr>
        <w:t>Treasury</w:t>
      </w:r>
      <w:proofErr w:type="spellEnd"/>
      <w:r w:rsidR="006E6005" w:rsidRPr="007F3549">
        <w:rPr>
          <w:rStyle w:val="hps"/>
          <w:lang w:val="fr-FR"/>
        </w:rPr>
        <w:t xml:space="preserve"> </w:t>
      </w:r>
      <w:r w:rsidR="006E6005" w:rsidRPr="007F3549">
        <w:rPr>
          <w:lang w:val="fr-FR"/>
        </w:rPr>
        <w:t xml:space="preserve">a reconnu que le fonds destiné à </w:t>
      </w:r>
      <w:r w:rsidR="00696CC4"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696CC4" w:rsidRPr="007F3549">
        <w:rPr>
          <w:lang w:val="fr-FR"/>
        </w:rPr>
        <w:t>AMCS</w:t>
      </w:r>
      <w:r w:rsidR="006E6005" w:rsidRPr="007F3549">
        <w:rPr>
          <w:lang w:val="fr-FR"/>
        </w:rPr>
        <w:t xml:space="preserve"> avait le </w:t>
      </w:r>
      <w:r w:rsidR="00617726" w:rsidRPr="007F3549">
        <w:rPr>
          <w:lang w:val="fr-FR"/>
        </w:rPr>
        <w:t>“</w:t>
      </w:r>
      <w:r w:rsidRPr="007F3549">
        <w:rPr>
          <w:lang w:val="fr-FR"/>
        </w:rPr>
        <w:t xml:space="preserve">profil </w:t>
      </w:r>
      <w:r w:rsidR="006E6005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6E6005" w:rsidRPr="007F3549">
        <w:rPr>
          <w:lang w:val="fr-FR"/>
        </w:rPr>
        <w:t xml:space="preserve">un </w:t>
      </w:r>
      <w:r w:rsidRPr="007F3549">
        <w:rPr>
          <w:rStyle w:val="hps"/>
          <w:lang w:val="fr-FR"/>
        </w:rPr>
        <w:t>fonds de pension</w:t>
      </w:r>
      <w:r w:rsidR="00617726" w:rsidRPr="007F3549">
        <w:rPr>
          <w:rStyle w:val="hps"/>
          <w:lang w:val="fr-FR"/>
        </w:rPr>
        <w:t>”</w:t>
      </w:r>
      <w:r w:rsidR="00617726" w:rsidRPr="007F3549">
        <w:rPr>
          <w:lang w:val="fr-FR"/>
        </w:rPr>
        <w:t>.</w:t>
      </w:r>
      <w:r w:rsidRPr="007F3549">
        <w:rPr>
          <w:lang w:val="fr-FR"/>
        </w:rPr>
        <w:t xml:space="preserve"> </w:t>
      </w:r>
      <w:r w:rsidR="006E6005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Les sommes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initialement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mis</w:t>
      </w:r>
      <w:r w:rsidR="006E6005" w:rsidRPr="007F3549">
        <w:rPr>
          <w:rStyle w:val="hps"/>
          <w:lang w:val="fr-FR"/>
        </w:rPr>
        <w:t>es</w:t>
      </w:r>
      <w:r w:rsidRPr="007F3549">
        <w:rPr>
          <w:rStyle w:val="hps"/>
          <w:lang w:val="fr-FR"/>
        </w:rPr>
        <w:t xml:space="preserve"> de côté pour</w:t>
      </w:r>
      <w:r w:rsidRPr="007F3549">
        <w:rPr>
          <w:lang w:val="fr-FR"/>
        </w:rPr>
        <w:t xml:space="preserve"> </w:t>
      </w:r>
      <w:r w:rsidR="006E6005" w:rsidRPr="007F3549">
        <w:rPr>
          <w:rStyle w:val="hps"/>
          <w:lang w:val="fr-FR"/>
        </w:rPr>
        <w:t>financer ce</w:t>
      </w:r>
      <w:r w:rsidRPr="007F3549">
        <w:rPr>
          <w:rStyle w:val="hps"/>
          <w:lang w:val="fr-FR"/>
        </w:rPr>
        <w:t xml:space="preserve"> fonds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représentaient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50</w:t>
      </w:r>
      <w:r w:rsidR="007B73E2" w:rsidRPr="007F3549">
        <w:rPr>
          <w:lang w:val="fr-FR"/>
        </w:rPr>
        <w:t>%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du </w:t>
      </w:r>
      <w:r w:rsidR="006E6005" w:rsidRPr="007F3549">
        <w:rPr>
          <w:rStyle w:val="hps"/>
          <w:lang w:val="fr-FR"/>
        </w:rPr>
        <w:t>montant total des engagements au titre des prestations à long terme dues au personnel au</w:t>
      </w:r>
      <w:r w:rsidRPr="007F3549">
        <w:rPr>
          <w:rStyle w:val="hps"/>
          <w:lang w:val="fr-FR"/>
        </w:rPr>
        <w:t xml:space="preserve"> 31</w:t>
      </w:r>
      <w:r w:rsidR="007B73E2" w:rsidRPr="007F3549">
        <w:rPr>
          <w:lang w:val="fr-FR"/>
        </w:rPr>
        <w:t> </w:t>
      </w:r>
      <w:r w:rsidR="007B73E2" w:rsidRPr="007F3549">
        <w:rPr>
          <w:rStyle w:val="hps"/>
          <w:lang w:val="fr-FR"/>
        </w:rPr>
        <w:t>d</w:t>
      </w:r>
      <w:r w:rsidRPr="007F3549">
        <w:rPr>
          <w:rStyle w:val="hps"/>
          <w:lang w:val="fr-FR"/>
        </w:rPr>
        <w:t>écembre</w:t>
      </w:r>
      <w:r w:rsidR="007B73E2" w:rsidRPr="007F3549">
        <w:rPr>
          <w:lang w:val="fr-FR"/>
        </w:rPr>
        <w:t> </w:t>
      </w:r>
      <w:r w:rsidR="006E6005" w:rsidRPr="007F3549">
        <w:rPr>
          <w:rStyle w:val="hps"/>
          <w:lang w:val="fr-FR"/>
        </w:rPr>
        <w:t xml:space="preserve">2013;  </w:t>
      </w:r>
      <w:r w:rsidRPr="007F3549">
        <w:rPr>
          <w:rStyle w:val="hps"/>
          <w:lang w:val="fr-FR"/>
        </w:rPr>
        <w:t xml:space="preserve">selon </w:t>
      </w:r>
      <w:r w:rsidR="00C96F2E" w:rsidRPr="007F3549">
        <w:rPr>
          <w:rStyle w:val="hps"/>
          <w:lang w:val="fr-FR"/>
        </w:rPr>
        <w:t>FTI </w:t>
      </w:r>
      <w:proofErr w:type="spellStart"/>
      <w:r w:rsidR="00C96F2E" w:rsidRPr="007F3549">
        <w:rPr>
          <w:rStyle w:val="hps"/>
          <w:lang w:val="fr-FR"/>
        </w:rPr>
        <w:t>Treasury</w:t>
      </w:r>
      <w:proofErr w:type="spellEnd"/>
      <w:r w:rsidRPr="007F3549">
        <w:rPr>
          <w:lang w:val="fr-FR"/>
        </w:rPr>
        <w:t xml:space="preserve">, </w:t>
      </w:r>
      <w:r w:rsidR="00696CC4" w:rsidRPr="007F3549">
        <w:rPr>
          <w:rStyle w:val="hps"/>
          <w:lang w:val="fr-FR"/>
        </w:rPr>
        <w:t>il faut viser un rendement</w:t>
      </w:r>
      <w:r w:rsidR="006E6005" w:rsidRPr="007F3549">
        <w:rPr>
          <w:rStyle w:val="hps"/>
          <w:lang w:val="fr-FR"/>
        </w:rPr>
        <w:t xml:space="preserve"> de </w:t>
      </w:r>
      <w:r w:rsidRPr="007F3549">
        <w:rPr>
          <w:rStyle w:val="hps"/>
          <w:lang w:val="fr-FR"/>
        </w:rPr>
        <w:t>2,3</w:t>
      </w:r>
      <w:r w:rsidR="007B73E2" w:rsidRPr="007F3549">
        <w:rPr>
          <w:rStyle w:val="hps"/>
          <w:lang w:val="fr-FR"/>
        </w:rPr>
        <w:t>%</w:t>
      </w:r>
      <w:r w:rsidRPr="007F3549">
        <w:rPr>
          <w:rStyle w:val="hps"/>
          <w:lang w:val="fr-FR"/>
        </w:rPr>
        <w:t xml:space="preserve"> par an</w:t>
      </w:r>
      <w:r w:rsidR="00C96F2E" w:rsidRPr="007F3549">
        <w:rPr>
          <w:rStyle w:val="hps"/>
          <w:lang w:val="fr-FR"/>
        </w:rPr>
        <w:t xml:space="preserve"> </w:t>
      </w:r>
      <w:r w:rsidR="00696CC4" w:rsidRPr="007F3549">
        <w:rPr>
          <w:rStyle w:val="hps"/>
          <w:lang w:val="fr-FR"/>
        </w:rPr>
        <w:t>afin de</w:t>
      </w:r>
      <w:r w:rsidR="00C96F2E" w:rsidRPr="007F3549">
        <w:rPr>
          <w:rStyle w:val="hps"/>
          <w:lang w:val="fr-FR"/>
        </w:rPr>
        <w:t xml:space="preserve"> </w:t>
      </w:r>
      <w:r w:rsidRPr="007F3549">
        <w:rPr>
          <w:rStyle w:val="hps"/>
          <w:lang w:val="fr-FR"/>
        </w:rPr>
        <w:t xml:space="preserve">maintenir </w:t>
      </w:r>
      <w:r w:rsidR="00696CC4" w:rsidRPr="007F3549">
        <w:rPr>
          <w:rStyle w:val="hps"/>
          <w:lang w:val="fr-FR"/>
        </w:rPr>
        <w:t xml:space="preserve">une contribution proportionnée par rapport aux </w:t>
      </w:r>
      <w:r w:rsidR="006E6005" w:rsidRPr="007F3549">
        <w:rPr>
          <w:rStyle w:val="hps"/>
          <w:lang w:val="fr-FR"/>
        </w:rPr>
        <w:t>engagements</w:t>
      </w:r>
      <w:r w:rsidRPr="007F3549">
        <w:rPr>
          <w:lang w:val="fr-FR"/>
        </w:rPr>
        <w:t xml:space="preserve">. </w:t>
      </w:r>
      <w:r w:rsidR="006E6005" w:rsidRPr="007F3549">
        <w:rPr>
          <w:lang w:val="fr-FR"/>
        </w:rPr>
        <w:t xml:space="preserve"> </w:t>
      </w:r>
      <w:r w:rsidR="006E6005" w:rsidRPr="007F3549">
        <w:rPr>
          <w:rStyle w:val="hps"/>
          <w:lang w:val="fr-FR"/>
        </w:rPr>
        <w:t>C</w:t>
      </w:r>
      <w:r w:rsidRPr="007F3549">
        <w:rPr>
          <w:rStyle w:val="hps"/>
          <w:lang w:val="fr-FR"/>
        </w:rPr>
        <w:t>e fonds</w:t>
      </w:r>
      <w:r w:rsidRPr="007F3549">
        <w:rPr>
          <w:lang w:val="fr-FR"/>
        </w:rPr>
        <w:t xml:space="preserve"> </w:t>
      </w:r>
      <w:r w:rsidR="00C96F2E" w:rsidRPr="007F3549">
        <w:rPr>
          <w:rStyle w:val="hps"/>
          <w:lang w:val="fr-FR"/>
        </w:rPr>
        <w:t>doit</w:t>
      </w:r>
      <w:r w:rsidRPr="007F3549">
        <w:rPr>
          <w:rStyle w:val="hps"/>
          <w:lang w:val="fr-FR"/>
        </w:rPr>
        <w:t xml:space="preserve"> donc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être investi dans des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classes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actifs</w:t>
      </w:r>
      <w:r w:rsidRPr="007F3549">
        <w:rPr>
          <w:lang w:val="fr-FR"/>
        </w:rPr>
        <w:t xml:space="preserve"> </w:t>
      </w:r>
      <w:r w:rsidR="006E6005" w:rsidRPr="007F3549">
        <w:rPr>
          <w:rStyle w:val="hps"/>
          <w:lang w:val="fr-FR"/>
        </w:rPr>
        <w:t>permettant d</w:t>
      </w:r>
      <w:r w:rsidR="00876E92" w:rsidRPr="007F3549">
        <w:rPr>
          <w:rStyle w:val="hps"/>
          <w:lang w:val="fr-FR"/>
        </w:rPr>
        <w:t>’</w:t>
      </w:r>
      <w:r w:rsidR="006E6005" w:rsidRPr="007F3549">
        <w:rPr>
          <w:rStyle w:val="hps"/>
          <w:lang w:val="fr-FR"/>
        </w:rPr>
        <w:t>atteindre</w:t>
      </w:r>
      <w:r w:rsidR="006E6005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niveau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rendement</w:t>
      </w:r>
      <w:r w:rsidRPr="007F3549">
        <w:rPr>
          <w:lang w:val="fr-FR"/>
        </w:rPr>
        <w:t xml:space="preserve"> </w:t>
      </w:r>
      <w:r w:rsidR="006E6005" w:rsidRPr="007F3549">
        <w:rPr>
          <w:lang w:val="fr-FR"/>
        </w:rPr>
        <w:t>(au minimum), ce qui</w:t>
      </w:r>
      <w:r w:rsidRPr="007F3549">
        <w:rPr>
          <w:lang w:val="fr-FR"/>
        </w:rPr>
        <w:t xml:space="preserve"> </w:t>
      </w:r>
      <w:r w:rsidR="00C96F2E" w:rsidRPr="007F3549">
        <w:rPr>
          <w:rStyle w:val="hps"/>
          <w:lang w:val="fr-FR"/>
        </w:rPr>
        <w:t>impliquera</w:t>
      </w:r>
      <w:r w:rsidRPr="007F3549">
        <w:rPr>
          <w:rStyle w:val="hps"/>
          <w:lang w:val="fr-FR"/>
        </w:rPr>
        <w:t xml:space="preserve"> inévitablement</w:t>
      </w:r>
      <w:r w:rsidRPr="007F3549">
        <w:rPr>
          <w:lang w:val="fr-FR"/>
        </w:rPr>
        <w:t xml:space="preserve"> </w:t>
      </w:r>
      <w:r w:rsidR="006E6005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Pr="007F3549">
        <w:rPr>
          <w:rStyle w:val="hps"/>
          <w:lang w:val="fr-FR"/>
        </w:rPr>
        <w:t>accepter</w:t>
      </w:r>
      <w:r w:rsidRPr="007F3549">
        <w:rPr>
          <w:lang w:val="fr-FR"/>
        </w:rPr>
        <w:t xml:space="preserve"> </w:t>
      </w:r>
      <w:r w:rsidR="0053053B">
        <w:rPr>
          <w:rStyle w:val="hps"/>
          <w:lang w:val="fr-FR"/>
        </w:rPr>
        <w:t>des</w:t>
      </w:r>
      <w:r w:rsidRPr="007F3549">
        <w:rPr>
          <w:rStyle w:val="hps"/>
          <w:lang w:val="fr-FR"/>
        </w:rPr>
        <w:t xml:space="preserve"> niveaux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risque plus élevés</w:t>
      </w:r>
      <w:r w:rsidR="001141EF" w:rsidRPr="007F3549">
        <w:rPr>
          <w:lang w:val="fr-FR"/>
        </w:rPr>
        <w:t>.</w:t>
      </w:r>
    </w:p>
    <w:p w:rsidR="008157F8" w:rsidRPr="007F3549" w:rsidRDefault="005F1AC2" w:rsidP="00B50D94">
      <w:pPr>
        <w:pStyle w:val="ONUMFS"/>
        <w:rPr>
          <w:lang w:val="fr-FR"/>
        </w:rPr>
      </w:pPr>
      <w:r w:rsidRPr="007F3549">
        <w:rPr>
          <w:lang w:val="fr-FR"/>
        </w:rPr>
        <w:t>C</w:t>
      </w:r>
      <w:r w:rsidR="001D69D6" w:rsidRPr="007F3549">
        <w:rPr>
          <w:lang w:val="fr-FR"/>
        </w:rPr>
        <w:t xml:space="preserve">omme </w:t>
      </w:r>
      <w:r w:rsidR="002A0CC0" w:rsidRPr="007F3549">
        <w:rPr>
          <w:lang w:val="fr-FR"/>
        </w:rPr>
        <w:t>indiqué</w:t>
      </w:r>
      <w:r w:rsidR="001D69D6" w:rsidRPr="007F3549">
        <w:rPr>
          <w:lang w:val="fr-FR"/>
        </w:rPr>
        <w:t xml:space="preserve"> égalem</w:t>
      </w:r>
      <w:r w:rsidR="002A0CC0" w:rsidRPr="007F3549">
        <w:rPr>
          <w:lang w:val="fr-FR"/>
        </w:rPr>
        <w:t>ent dans le document WO/PBC/</w:t>
      </w:r>
      <w:r w:rsidR="001D69D6" w:rsidRPr="007F3549">
        <w:rPr>
          <w:lang w:val="fr-FR"/>
        </w:rPr>
        <w:t xml:space="preserve">22/19, plusieurs </w:t>
      </w:r>
      <w:r w:rsidR="00696CC4" w:rsidRPr="007F3549">
        <w:rPr>
          <w:lang w:val="fr-FR"/>
        </w:rPr>
        <w:t>institutions</w:t>
      </w:r>
      <w:r w:rsidR="001D69D6" w:rsidRPr="007F3549">
        <w:rPr>
          <w:lang w:val="fr-FR"/>
        </w:rPr>
        <w:t xml:space="preserve"> ont commencé à financer leurs engagements </w:t>
      </w:r>
      <w:r w:rsidR="002A0CC0" w:rsidRPr="007F3549">
        <w:rPr>
          <w:lang w:val="fr-FR"/>
        </w:rPr>
        <w:t>au titre de l</w:t>
      </w:r>
      <w:r w:rsidR="00876E92" w:rsidRPr="007F3549">
        <w:rPr>
          <w:lang w:val="fr-FR"/>
        </w:rPr>
        <w:t>’</w:t>
      </w:r>
      <w:r w:rsidR="00696CC4" w:rsidRPr="007F3549">
        <w:rPr>
          <w:lang w:val="fr-FR"/>
        </w:rPr>
        <w:t>AMCS</w:t>
      </w:r>
      <w:r w:rsidR="002A0CC0" w:rsidRPr="007F3549">
        <w:rPr>
          <w:lang w:val="fr-FR"/>
        </w:rPr>
        <w:t xml:space="preserve">, </w:t>
      </w:r>
      <w:r w:rsidR="00876E92" w:rsidRPr="007F3549">
        <w:rPr>
          <w:lang w:val="fr-FR"/>
        </w:rPr>
        <w:t>à savoir</w:t>
      </w:r>
      <w:r w:rsidR="002A0CC0" w:rsidRPr="007F3549">
        <w:rPr>
          <w:lang w:val="fr-FR"/>
        </w:rPr>
        <w:t xml:space="preserve"> notamment</w:t>
      </w:r>
      <w:r w:rsidR="001D69D6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Organisation mondiale de la Santé (OMS) (qui a investi dans des actions et</w:t>
      </w:r>
      <w:r w:rsidR="00696CC4" w:rsidRPr="007F3549">
        <w:rPr>
          <w:lang w:val="fr-FR"/>
        </w:rPr>
        <w:t xml:space="preserve"> des</w:t>
      </w:r>
      <w:r w:rsidR="001D69D6" w:rsidRPr="007F3549">
        <w:rPr>
          <w:lang w:val="fr-FR"/>
        </w:rPr>
        <w:t xml:space="preserve"> titres à revenu fixe),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Organisation pour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alimentation et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agriculture (FAO) et le Programme alimentaire mondial (PAM). </w:t>
      </w:r>
      <w:r w:rsidR="00696CC4" w:rsidRPr="007F3549">
        <w:rPr>
          <w:lang w:val="fr-FR"/>
        </w:rPr>
        <w:t xml:space="preserve"> </w:t>
      </w:r>
      <w:r w:rsidR="001D69D6" w:rsidRPr="007F3549">
        <w:rPr>
          <w:lang w:val="fr-FR"/>
        </w:rPr>
        <w:t>Ces deux</w:t>
      </w:r>
      <w:r w:rsidR="00617726" w:rsidRPr="007F3549">
        <w:rPr>
          <w:lang w:val="fr-FR"/>
        </w:rPr>
        <w:t> </w:t>
      </w:r>
      <w:r w:rsidR="00696CC4" w:rsidRPr="007F3549">
        <w:rPr>
          <w:lang w:val="fr-FR"/>
        </w:rPr>
        <w:t>dernières institutions</w:t>
      </w:r>
      <w:r w:rsidR="001D69D6" w:rsidRPr="007F3549">
        <w:rPr>
          <w:lang w:val="fr-FR"/>
        </w:rPr>
        <w:t xml:space="preserve"> ont investi 50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 xml:space="preserve"> de leurs fonds </w:t>
      </w:r>
      <w:r w:rsidR="00696CC4" w:rsidRPr="007F3549">
        <w:rPr>
          <w:lang w:val="fr-FR"/>
        </w:rPr>
        <w:t>au titre de l</w:t>
      </w:r>
      <w:r w:rsidR="00876E92" w:rsidRPr="007F3549">
        <w:rPr>
          <w:lang w:val="fr-FR"/>
        </w:rPr>
        <w:t>’</w:t>
      </w:r>
      <w:r w:rsidR="00696CC4" w:rsidRPr="007F3549">
        <w:rPr>
          <w:lang w:val="fr-FR"/>
        </w:rPr>
        <w:t>AMCS</w:t>
      </w:r>
      <w:r w:rsidR="001D69D6" w:rsidRPr="007F3549">
        <w:rPr>
          <w:lang w:val="fr-FR"/>
        </w:rPr>
        <w:t xml:space="preserve"> </w:t>
      </w:r>
      <w:r w:rsidR="00696CC4" w:rsidRPr="007F3549">
        <w:rPr>
          <w:lang w:val="fr-FR"/>
        </w:rPr>
        <w:t xml:space="preserve">dans des </w:t>
      </w:r>
      <w:r w:rsidR="001D69D6" w:rsidRPr="007F3549">
        <w:rPr>
          <w:lang w:val="fr-FR"/>
        </w:rPr>
        <w:t>actions et 50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 xml:space="preserve"> </w:t>
      </w:r>
      <w:r w:rsidR="00696CC4" w:rsidRPr="007F3549">
        <w:rPr>
          <w:lang w:val="fr-FR"/>
        </w:rPr>
        <w:t>dans des</w:t>
      </w:r>
      <w:r w:rsidR="001D69D6" w:rsidRPr="007F3549">
        <w:rPr>
          <w:lang w:val="fr-FR"/>
        </w:rPr>
        <w:t xml:space="preserve"> obligations, dont 10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 xml:space="preserve"> sont détenu</w:t>
      </w:r>
      <w:r w:rsidR="00696CC4" w:rsidRPr="007F3549">
        <w:rPr>
          <w:lang w:val="fr-FR"/>
        </w:rPr>
        <w:t>e</w:t>
      </w:r>
      <w:r w:rsidR="001D69D6" w:rsidRPr="007F3549">
        <w:rPr>
          <w:lang w:val="fr-FR"/>
        </w:rPr>
        <w:t xml:space="preserve">s </w:t>
      </w:r>
      <w:r w:rsidR="00696CC4" w:rsidRPr="007F3549">
        <w:rPr>
          <w:lang w:val="fr-FR"/>
        </w:rPr>
        <w:t>sur des</w:t>
      </w:r>
      <w:r w:rsidR="001D69D6" w:rsidRPr="007F3549">
        <w:rPr>
          <w:lang w:val="fr-FR"/>
        </w:rPr>
        <w:t xml:space="preserve"> marchés émergents. </w:t>
      </w:r>
      <w:r w:rsidR="00696CC4" w:rsidRPr="007F3549">
        <w:rPr>
          <w:lang w:val="fr-FR"/>
        </w:rPr>
        <w:t xml:space="preserve"> En </w:t>
      </w:r>
      <w:r w:rsidR="001D69D6" w:rsidRPr="007F3549">
        <w:rPr>
          <w:lang w:val="fr-FR"/>
        </w:rPr>
        <w:t xml:space="preserve">2013, </w:t>
      </w:r>
      <w:r w:rsidR="00EE2B92" w:rsidRPr="007F3549">
        <w:rPr>
          <w:lang w:val="fr-FR"/>
        </w:rPr>
        <w:t xml:space="preserve">le Programme des </w:t>
      </w:r>
      <w:r w:rsidR="00876E92" w:rsidRPr="007F3549">
        <w:rPr>
          <w:lang w:val="fr-FR"/>
        </w:rPr>
        <w:t>Nations Unies</w:t>
      </w:r>
      <w:r w:rsidR="001D69D6" w:rsidRPr="007F3549">
        <w:rPr>
          <w:lang w:val="fr-FR"/>
        </w:rPr>
        <w:t xml:space="preserve"> pour le développement (PNUD), </w:t>
      </w:r>
      <w:r w:rsidR="00EE2B92" w:rsidRPr="007F3549">
        <w:rPr>
          <w:lang w:val="fr-FR"/>
        </w:rPr>
        <w:t xml:space="preserve">le Fonds des </w:t>
      </w:r>
      <w:r w:rsidR="00876E92" w:rsidRPr="007F3549">
        <w:rPr>
          <w:lang w:val="fr-FR"/>
        </w:rPr>
        <w:t>Nations Unies</w:t>
      </w:r>
      <w:r w:rsidR="001D69D6" w:rsidRPr="007F3549">
        <w:rPr>
          <w:lang w:val="fr-FR"/>
        </w:rPr>
        <w:t xml:space="preserve"> pour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>enfance</w:t>
      </w:r>
      <w:r w:rsidR="00EE2B92" w:rsidRPr="007F3549">
        <w:rPr>
          <w:lang w:val="fr-FR"/>
        </w:rPr>
        <w:t xml:space="preserve"> (UNICEF)</w:t>
      </w:r>
      <w:r w:rsidR="001D69D6" w:rsidRPr="007F3549">
        <w:rPr>
          <w:lang w:val="fr-FR"/>
        </w:rPr>
        <w:t xml:space="preserve">, </w:t>
      </w:r>
      <w:r w:rsidR="00306CF6" w:rsidRPr="007F3549">
        <w:rPr>
          <w:lang w:val="fr-FR"/>
        </w:rPr>
        <w:t xml:space="preserve">le Bureau des </w:t>
      </w:r>
      <w:r w:rsidR="00876E92" w:rsidRPr="007F3549">
        <w:rPr>
          <w:lang w:val="fr-FR"/>
        </w:rPr>
        <w:t>Nations Unies</w:t>
      </w:r>
      <w:r w:rsidR="001D69D6" w:rsidRPr="007F3549">
        <w:rPr>
          <w:lang w:val="fr-FR"/>
        </w:rPr>
        <w:t xml:space="preserve"> pour les services </w:t>
      </w:r>
      <w:r w:rsidR="00306CF6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306CF6" w:rsidRPr="007F3549">
        <w:rPr>
          <w:lang w:val="fr-FR"/>
        </w:rPr>
        <w:t xml:space="preserve">appui aux </w:t>
      </w:r>
      <w:r w:rsidR="001D69D6" w:rsidRPr="007F3549">
        <w:rPr>
          <w:lang w:val="fr-FR"/>
        </w:rPr>
        <w:t>projets (UNOPS</w:t>
      </w:r>
      <w:r w:rsidR="00306CF6" w:rsidRPr="007F3549">
        <w:rPr>
          <w:lang w:val="fr-FR"/>
        </w:rPr>
        <w:t xml:space="preserve">), le Fonds des </w:t>
      </w:r>
      <w:r w:rsidR="00876E92" w:rsidRPr="007F3549">
        <w:rPr>
          <w:lang w:val="fr-FR"/>
        </w:rPr>
        <w:t>Nations Unies</w:t>
      </w:r>
      <w:r w:rsidR="001D69D6" w:rsidRPr="007F3549">
        <w:rPr>
          <w:lang w:val="fr-FR"/>
        </w:rPr>
        <w:t xml:space="preserve"> pour la population (</w:t>
      </w:r>
      <w:r w:rsidR="00306CF6" w:rsidRPr="007F3549">
        <w:rPr>
          <w:lang w:val="fr-FR"/>
        </w:rPr>
        <w:t>FNUAP</w:t>
      </w:r>
      <w:r w:rsidR="001D69D6" w:rsidRPr="007F3549">
        <w:rPr>
          <w:lang w:val="fr-FR"/>
        </w:rPr>
        <w:t xml:space="preserve">), </w:t>
      </w:r>
      <w:r w:rsidR="00EE2B92" w:rsidRPr="007F3549">
        <w:rPr>
          <w:lang w:val="fr-FR"/>
        </w:rPr>
        <w:t>ONU Femmes</w:t>
      </w:r>
      <w:r w:rsidR="001D69D6" w:rsidRPr="007F3549">
        <w:rPr>
          <w:lang w:val="fr-FR"/>
        </w:rPr>
        <w:t xml:space="preserve"> et le Fonds </w:t>
      </w:r>
      <w:r w:rsidR="00EE2B92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EE2B92" w:rsidRPr="007F3549">
        <w:rPr>
          <w:lang w:val="fr-FR"/>
        </w:rPr>
        <w:t xml:space="preserve">équipement des </w:t>
      </w:r>
      <w:r w:rsidR="00876E92" w:rsidRPr="007F3549">
        <w:rPr>
          <w:lang w:val="fr-FR"/>
        </w:rPr>
        <w:t>Nations Unies</w:t>
      </w:r>
      <w:r w:rsidR="001D69D6" w:rsidRPr="007F3549">
        <w:rPr>
          <w:lang w:val="fr-FR"/>
        </w:rPr>
        <w:t xml:space="preserve"> (</w:t>
      </w:r>
      <w:r w:rsidR="00EE2B92" w:rsidRPr="007F3549">
        <w:rPr>
          <w:lang w:val="fr-FR"/>
        </w:rPr>
        <w:t>FENU</w:t>
      </w:r>
      <w:r w:rsidR="001D69D6" w:rsidRPr="007F3549">
        <w:rPr>
          <w:lang w:val="fr-FR"/>
        </w:rPr>
        <w:t xml:space="preserve">) </w:t>
      </w:r>
      <w:r w:rsidR="00EE2B92" w:rsidRPr="007F3549">
        <w:rPr>
          <w:lang w:val="fr-FR"/>
        </w:rPr>
        <w:t>ont suivi la même procédure d</w:t>
      </w:r>
      <w:r w:rsidR="00876E92" w:rsidRPr="007F3549">
        <w:rPr>
          <w:lang w:val="fr-FR"/>
        </w:rPr>
        <w:t>’</w:t>
      </w:r>
      <w:r w:rsidR="00EE2B92" w:rsidRPr="007F3549">
        <w:rPr>
          <w:lang w:val="fr-FR"/>
        </w:rPr>
        <w:t>appel à propositions lancée dans</w:t>
      </w:r>
      <w:r w:rsidR="001D69D6"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objectif </w:t>
      </w:r>
      <w:r w:rsidR="00EE2B92" w:rsidRPr="007F3549">
        <w:rPr>
          <w:lang w:val="fr-FR"/>
        </w:rPr>
        <w:t>de faire gérer leurs</w:t>
      </w:r>
      <w:r w:rsidR="001D69D6" w:rsidRPr="007F3549">
        <w:rPr>
          <w:lang w:val="fr-FR"/>
        </w:rPr>
        <w:t xml:space="preserve"> fonds </w:t>
      </w:r>
      <w:r w:rsidR="00EE2B92" w:rsidRPr="007F3549">
        <w:rPr>
          <w:lang w:val="fr-FR"/>
        </w:rPr>
        <w:t>destinés à l</w:t>
      </w:r>
      <w:r w:rsidR="00876E92" w:rsidRPr="007F3549">
        <w:rPr>
          <w:lang w:val="fr-FR"/>
        </w:rPr>
        <w:t>’</w:t>
      </w:r>
      <w:r w:rsidR="00EE2B92" w:rsidRPr="007F3549">
        <w:rPr>
          <w:lang w:val="fr-FR"/>
        </w:rPr>
        <w:t>AMCS par des gestionnaires de placements extérieurs</w:t>
      </w:r>
      <w:r w:rsidR="001D69D6" w:rsidRPr="007F3549">
        <w:rPr>
          <w:lang w:val="fr-FR"/>
        </w:rPr>
        <w:t xml:space="preserve">. </w:t>
      </w:r>
      <w:r w:rsidR="00EE2B92"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Cet exercice </w:t>
      </w:r>
      <w:r w:rsidR="002A68D7" w:rsidRPr="007F3549">
        <w:rPr>
          <w:lang w:val="fr-FR"/>
        </w:rPr>
        <w:t>étant désormais</w:t>
      </w:r>
      <w:r w:rsidR="001D69D6" w:rsidRPr="007F3549">
        <w:rPr>
          <w:lang w:val="fr-FR"/>
        </w:rPr>
        <w:t xml:space="preserve"> ter</w:t>
      </w:r>
      <w:r w:rsidR="00EE2B92" w:rsidRPr="007F3549">
        <w:rPr>
          <w:lang w:val="fr-FR"/>
        </w:rPr>
        <w:t>miné</w:t>
      </w:r>
      <w:r w:rsidR="001D69D6" w:rsidRPr="007F3549">
        <w:rPr>
          <w:lang w:val="fr-FR"/>
        </w:rPr>
        <w:t xml:space="preserve">, les gestionnaires de fonds désignés investissent </w:t>
      </w:r>
      <w:r w:rsidR="002A68D7" w:rsidRPr="007F3549">
        <w:rPr>
          <w:lang w:val="fr-FR"/>
        </w:rPr>
        <w:t>60% des fonds dans des actions, 30% dans des</w:t>
      </w:r>
      <w:r w:rsidR="00EE2B92" w:rsidRPr="007F3549">
        <w:rPr>
          <w:lang w:val="fr-FR"/>
        </w:rPr>
        <w:t xml:space="preserve"> titres </w:t>
      </w:r>
      <w:r w:rsidR="002A68D7" w:rsidRPr="007F3549">
        <w:rPr>
          <w:lang w:val="fr-FR"/>
        </w:rPr>
        <w:t>à revenu fixe et 10% dans</w:t>
      </w:r>
      <w:r w:rsidR="001D69D6" w:rsidRPr="007F3549">
        <w:rPr>
          <w:lang w:val="fr-FR"/>
        </w:rPr>
        <w:t xml:space="preserve"> </w:t>
      </w:r>
      <w:r w:rsidR="002A68D7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2A68D7" w:rsidRPr="007F3549">
        <w:rPr>
          <w:lang w:val="fr-FR"/>
        </w:rPr>
        <w:t>autres produits (capital</w:t>
      </w:r>
      <w:r w:rsidR="00BD351E" w:rsidRPr="007F3549">
        <w:rPr>
          <w:lang w:val="fr-FR"/>
        </w:rPr>
        <w:noBreakHyphen/>
      </w:r>
      <w:r w:rsidR="002A68D7" w:rsidRPr="007F3549">
        <w:rPr>
          <w:lang w:val="fr-FR"/>
        </w:rPr>
        <w:t xml:space="preserve">investissement et fonds </w:t>
      </w:r>
      <w:r w:rsidR="00B87E36" w:rsidRPr="007F3549">
        <w:rPr>
          <w:lang w:val="fr-FR"/>
        </w:rPr>
        <w:t>spéculatifs</w:t>
      </w:r>
      <w:r w:rsidR="00823391" w:rsidRPr="007F3549">
        <w:rPr>
          <w:lang w:val="fr-FR"/>
        </w:rPr>
        <w:t>)</w:t>
      </w:r>
      <w:r w:rsidR="001D69D6" w:rsidRPr="007F3549">
        <w:rPr>
          <w:lang w:val="fr-FR"/>
        </w:rPr>
        <w:t xml:space="preserve">. </w:t>
      </w:r>
      <w:r w:rsidR="00EE2B92" w:rsidRPr="007F3549">
        <w:rPr>
          <w:lang w:val="fr-FR"/>
        </w:rPr>
        <w:t xml:space="preserve"> En outre, certaines institutions </w:t>
      </w:r>
      <w:r w:rsidR="001D69D6" w:rsidRPr="007F3549">
        <w:rPr>
          <w:lang w:val="fr-FR"/>
        </w:rPr>
        <w:t xml:space="preserve">ont réussi à couvrir un pourcentage significatif de leurs engagements </w:t>
      </w:r>
      <w:r w:rsidR="00EE2B92" w:rsidRPr="007F3549">
        <w:rPr>
          <w:lang w:val="fr-FR"/>
        </w:rPr>
        <w:t>au titre de l</w:t>
      </w:r>
      <w:r w:rsidR="00876E92" w:rsidRPr="007F3549">
        <w:rPr>
          <w:lang w:val="fr-FR"/>
        </w:rPr>
        <w:t>’</w:t>
      </w:r>
      <w:r w:rsidR="00696CC4" w:rsidRPr="007F3549">
        <w:rPr>
          <w:lang w:val="fr-FR"/>
        </w:rPr>
        <w:t>AMCS</w:t>
      </w:r>
      <w:r w:rsidR="001D69D6" w:rsidRPr="007F3549">
        <w:rPr>
          <w:lang w:val="fr-FR"/>
        </w:rPr>
        <w:t xml:space="preserve"> avec leurs </w:t>
      </w:r>
      <w:r w:rsidR="00B234AF" w:rsidRPr="007F3549">
        <w:rPr>
          <w:lang w:val="fr-FR"/>
        </w:rPr>
        <w:t>placements</w:t>
      </w:r>
      <w:r w:rsidR="001D69D6" w:rsidRPr="007F3549">
        <w:rPr>
          <w:lang w:val="fr-FR"/>
        </w:rPr>
        <w:t xml:space="preserve">. </w:t>
      </w:r>
      <w:r w:rsidR="00EE2B92" w:rsidRPr="007F3549">
        <w:rPr>
          <w:lang w:val="fr-FR"/>
        </w:rPr>
        <w:t xml:space="preserve"> Comme à la fin de </w:t>
      </w:r>
      <w:r w:rsidR="001D69D6" w:rsidRPr="007F3549">
        <w:rPr>
          <w:lang w:val="fr-FR"/>
        </w:rPr>
        <w:t>2013, le</w:t>
      </w:r>
      <w:r w:rsidR="00823391" w:rsidRPr="007F3549">
        <w:rPr>
          <w:lang w:val="fr-FR"/>
        </w:rPr>
        <w:t>s placements</w:t>
      </w:r>
      <w:r w:rsidR="00876E92" w:rsidRPr="007F3549">
        <w:rPr>
          <w:lang w:val="fr-FR"/>
        </w:rPr>
        <w:t xml:space="preserve"> du PAM</w:t>
      </w:r>
      <w:r w:rsidR="001D69D6" w:rsidRPr="007F3549">
        <w:rPr>
          <w:lang w:val="fr-FR"/>
        </w:rPr>
        <w:t xml:space="preserve"> </w:t>
      </w:r>
      <w:r w:rsidR="00823391" w:rsidRPr="007F3549">
        <w:rPr>
          <w:lang w:val="fr-FR"/>
        </w:rPr>
        <w:t xml:space="preserve">ont </w:t>
      </w:r>
      <w:r w:rsidR="00B234AF" w:rsidRPr="007F3549">
        <w:rPr>
          <w:lang w:val="fr-FR"/>
        </w:rPr>
        <w:t>permis de couvrir </w:t>
      </w:r>
      <w:r w:rsidR="001D69D6" w:rsidRPr="007F3549">
        <w:rPr>
          <w:lang w:val="fr-FR"/>
        </w:rPr>
        <w:t>76,8</w:t>
      </w:r>
      <w:r w:rsidR="007B73E2" w:rsidRPr="007F3549">
        <w:rPr>
          <w:lang w:val="fr-FR"/>
        </w:rPr>
        <w:t>%</w:t>
      </w:r>
      <w:r w:rsidR="00823391" w:rsidRPr="007F3549">
        <w:rPr>
          <w:lang w:val="fr-FR"/>
        </w:rPr>
        <w:t xml:space="preserve"> des </w:t>
      </w:r>
      <w:r w:rsidR="00EE2B92" w:rsidRPr="007F3549">
        <w:rPr>
          <w:lang w:val="fr-FR"/>
        </w:rPr>
        <w:t>engagements</w:t>
      </w:r>
      <w:r w:rsidR="00876E92" w:rsidRPr="007F3549">
        <w:rPr>
          <w:lang w:val="fr-FR"/>
        </w:rPr>
        <w:t xml:space="preserve"> du PAM</w:t>
      </w:r>
      <w:r w:rsidR="00823391" w:rsidRPr="007F3549">
        <w:rPr>
          <w:lang w:val="fr-FR"/>
        </w:rPr>
        <w:t xml:space="preserve"> </w:t>
      </w:r>
      <w:r w:rsidR="00EE2B92" w:rsidRPr="007F3549">
        <w:rPr>
          <w:lang w:val="fr-FR"/>
        </w:rPr>
        <w:t>au titre de l</w:t>
      </w:r>
      <w:r w:rsidR="00876E92" w:rsidRPr="007F3549">
        <w:rPr>
          <w:lang w:val="fr-FR"/>
        </w:rPr>
        <w:t>’</w:t>
      </w:r>
      <w:r w:rsidR="00696CC4" w:rsidRPr="007F3549">
        <w:rPr>
          <w:lang w:val="fr-FR"/>
        </w:rPr>
        <w:t>AMCS</w:t>
      </w:r>
      <w:r w:rsidR="001D69D6" w:rsidRPr="007F3549">
        <w:rPr>
          <w:lang w:val="fr-FR"/>
        </w:rPr>
        <w:t xml:space="preserve">, </w:t>
      </w:r>
      <w:r w:rsidR="00B234AF" w:rsidRPr="007F3549">
        <w:rPr>
          <w:lang w:val="fr-FR"/>
        </w:rPr>
        <w:t>ceux</w:t>
      </w:r>
      <w:r w:rsidR="001D69D6" w:rsidRPr="007F3549">
        <w:rPr>
          <w:lang w:val="fr-FR"/>
        </w:rPr>
        <w:t xml:space="preserve"> du Fonds international d</w:t>
      </w:r>
      <w:r w:rsidR="00B234AF" w:rsidRPr="007F3549">
        <w:rPr>
          <w:lang w:val="fr-FR"/>
        </w:rPr>
        <w:t>e développement agricole (FIDA) </w:t>
      </w:r>
      <w:r w:rsidR="001D69D6" w:rsidRPr="007F3549">
        <w:rPr>
          <w:lang w:val="fr-FR"/>
        </w:rPr>
        <w:t>98,6</w:t>
      </w:r>
      <w:r w:rsidR="007B73E2" w:rsidRPr="007F3549">
        <w:rPr>
          <w:lang w:val="fr-FR"/>
        </w:rPr>
        <w:t>%</w:t>
      </w:r>
      <w:r w:rsidR="00823391" w:rsidRPr="007F3549">
        <w:rPr>
          <w:lang w:val="fr-FR"/>
        </w:rPr>
        <w:t xml:space="preserve"> et </w:t>
      </w:r>
      <w:r w:rsidR="00B234AF" w:rsidRPr="007F3549">
        <w:rPr>
          <w:lang w:val="fr-FR"/>
        </w:rPr>
        <w:t>ceux</w:t>
      </w:r>
      <w:r w:rsidR="00876E92" w:rsidRPr="007F3549">
        <w:rPr>
          <w:lang w:val="fr-FR"/>
        </w:rPr>
        <w:t xml:space="preserve"> du PNU</w:t>
      </w:r>
      <w:r w:rsidR="00B234AF" w:rsidRPr="007F3549">
        <w:rPr>
          <w:lang w:val="fr-FR"/>
        </w:rPr>
        <w:t>D </w:t>
      </w:r>
      <w:r w:rsidR="001D69D6" w:rsidRPr="007F3549">
        <w:rPr>
          <w:lang w:val="fr-FR"/>
        </w:rPr>
        <w:t>57,9</w:t>
      </w:r>
      <w:r w:rsidR="007B73E2" w:rsidRPr="007F3549">
        <w:rPr>
          <w:lang w:val="fr-FR"/>
        </w:rPr>
        <w:t>%</w:t>
      </w:r>
      <w:r w:rsidR="001D69D6" w:rsidRPr="007F3549">
        <w:rPr>
          <w:lang w:val="fr-FR"/>
        </w:rPr>
        <w:t xml:space="preserve">. </w:t>
      </w:r>
      <w:r w:rsidR="00823391" w:rsidRPr="007F3549">
        <w:rPr>
          <w:lang w:val="fr-FR"/>
        </w:rPr>
        <w:t xml:space="preserve"> </w:t>
      </w:r>
      <w:r w:rsidR="001D69D6" w:rsidRPr="007F3549">
        <w:rPr>
          <w:lang w:val="fr-FR"/>
        </w:rPr>
        <w:t>Les décisions prises par l</w:t>
      </w:r>
      <w:r w:rsidR="00876E92" w:rsidRPr="007F3549">
        <w:rPr>
          <w:lang w:val="fr-FR"/>
        </w:rPr>
        <w:t>’</w:t>
      </w:r>
      <w:r w:rsidR="001D69D6" w:rsidRPr="007F3549">
        <w:rPr>
          <w:lang w:val="fr-FR"/>
        </w:rPr>
        <w:t xml:space="preserve">ensemble de ces </w:t>
      </w:r>
      <w:r w:rsidR="00BD4688" w:rsidRPr="007F3549">
        <w:rPr>
          <w:lang w:val="fr-FR"/>
        </w:rPr>
        <w:t>institutions</w:t>
      </w:r>
      <w:r w:rsidR="001D69D6" w:rsidRPr="007F3549">
        <w:rPr>
          <w:lang w:val="fr-FR"/>
        </w:rPr>
        <w:t xml:space="preserve"> </w:t>
      </w:r>
      <w:r w:rsidR="00876E92" w:rsidRPr="007F3549">
        <w:rPr>
          <w:lang w:val="fr-FR"/>
        </w:rPr>
        <w:t>à l’égard</w:t>
      </w:r>
      <w:r w:rsidR="001D69D6" w:rsidRPr="007F3549">
        <w:rPr>
          <w:lang w:val="fr-FR"/>
        </w:rPr>
        <w:t xml:space="preserve"> de leurs </w:t>
      </w:r>
      <w:r w:rsidR="0059677B" w:rsidRPr="007F3549">
        <w:rPr>
          <w:lang w:val="fr-FR"/>
        </w:rPr>
        <w:t>placements</w:t>
      </w:r>
      <w:r w:rsidR="001D69D6" w:rsidRPr="007F3549">
        <w:rPr>
          <w:lang w:val="fr-FR"/>
        </w:rPr>
        <w:t xml:space="preserve"> </w:t>
      </w:r>
      <w:r w:rsidR="00BD4688" w:rsidRPr="007F3549">
        <w:rPr>
          <w:lang w:val="fr-FR"/>
        </w:rPr>
        <w:t>au titre de l</w:t>
      </w:r>
      <w:r w:rsidR="00876E92" w:rsidRPr="007F3549">
        <w:rPr>
          <w:lang w:val="fr-FR"/>
        </w:rPr>
        <w:t>’</w:t>
      </w:r>
      <w:r w:rsidR="00696CC4" w:rsidRPr="007F3549">
        <w:rPr>
          <w:lang w:val="fr-FR"/>
        </w:rPr>
        <w:t>AMCS</w:t>
      </w:r>
      <w:r w:rsidR="00BD4688" w:rsidRPr="007F3549">
        <w:rPr>
          <w:lang w:val="fr-FR"/>
        </w:rPr>
        <w:t xml:space="preserve"> </w:t>
      </w:r>
      <w:r w:rsidR="001D69D6" w:rsidRPr="007F3549">
        <w:rPr>
          <w:lang w:val="fr-FR"/>
        </w:rPr>
        <w:t xml:space="preserve">montrent </w:t>
      </w:r>
      <w:r w:rsidR="00BD4688" w:rsidRPr="007F3549">
        <w:rPr>
          <w:lang w:val="fr-FR"/>
        </w:rPr>
        <w:t xml:space="preserve">que ces institutions acceptent </w:t>
      </w:r>
      <w:r w:rsidR="0059677B" w:rsidRPr="007F3549">
        <w:rPr>
          <w:lang w:val="fr-FR"/>
        </w:rPr>
        <w:t>un</w:t>
      </w:r>
      <w:r w:rsidR="001D69D6" w:rsidRPr="007F3549">
        <w:rPr>
          <w:lang w:val="fr-FR"/>
        </w:rPr>
        <w:t xml:space="preserve"> niveau de risque</w:t>
      </w:r>
      <w:r w:rsidR="0059677B" w:rsidRPr="007F3549">
        <w:rPr>
          <w:lang w:val="fr-FR"/>
        </w:rPr>
        <w:t xml:space="preserve"> plus élevé pour accroître le rendement de leurs placements au titre de l</w:t>
      </w:r>
      <w:r w:rsidR="00876E92" w:rsidRPr="007F3549">
        <w:rPr>
          <w:lang w:val="fr-FR"/>
        </w:rPr>
        <w:t>’</w:t>
      </w:r>
      <w:r w:rsidR="0059677B" w:rsidRPr="007F3549">
        <w:rPr>
          <w:lang w:val="fr-FR"/>
        </w:rPr>
        <w:t>AMCS</w:t>
      </w:r>
      <w:r w:rsidR="001D69D6" w:rsidRPr="007F3549">
        <w:rPr>
          <w:lang w:val="fr-FR"/>
        </w:rPr>
        <w:t>.</w:t>
      </w:r>
    </w:p>
    <w:p w:rsidR="008157F8" w:rsidRPr="007F3549" w:rsidRDefault="00466ABA" w:rsidP="00B50D94">
      <w:pPr>
        <w:pStyle w:val="Heading3"/>
        <w:rPr>
          <w:lang w:val="fr-FR"/>
        </w:rPr>
      </w:pPr>
      <w:r w:rsidRPr="007F3549">
        <w:rPr>
          <w:lang w:val="fr-FR"/>
        </w:rPr>
        <w:t>Conséquences sur la politique en matière de placements</w:t>
      </w:r>
    </w:p>
    <w:p w:rsidR="00B50D94" w:rsidRPr="007F3549" w:rsidRDefault="00B50D94" w:rsidP="00B50D94">
      <w:pPr>
        <w:rPr>
          <w:lang w:val="fr-FR"/>
        </w:rPr>
      </w:pPr>
    </w:p>
    <w:p w:rsidR="008157F8" w:rsidRPr="007F3549" w:rsidRDefault="005F1AC2" w:rsidP="00B50D94">
      <w:pPr>
        <w:pStyle w:val="ONUMFS"/>
        <w:rPr>
          <w:lang w:val="fr-FR"/>
        </w:rPr>
      </w:pPr>
      <w:r w:rsidRPr="007F3549">
        <w:rPr>
          <w:lang w:val="fr-FR"/>
        </w:rPr>
        <w:t xml:space="preserve">Étant donné la nature à long terme du </w:t>
      </w:r>
      <w:r w:rsidR="00B61084" w:rsidRPr="007F3549">
        <w:rPr>
          <w:lang w:val="fr-FR"/>
        </w:rPr>
        <w:t>financement de l</w:t>
      </w:r>
      <w:r w:rsidR="00876E92" w:rsidRPr="007F3549">
        <w:rPr>
          <w:lang w:val="fr-FR"/>
        </w:rPr>
        <w:t>’</w:t>
      </w:r>
      <w:r w:rsidR="00B61084" w:rsidRPr="007F3549">
        <w:rPr>
          <w:lang w:val="fr-FR"/>
        </w:rPr>
        <w:t xml:space="preserve">AMCS, le Comité du programme et budget a convenu, en septembre 2014, </w:t>
      </w:r>
      <w:r w:rsidRPr="007F3549">
        <w:rPr>
          <w:lang w:val="fr-FR"/>
        </w:rPr>
        <w:t>qu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une politique </w:t>
      </w:r>
      <w:r w:rsidR="00B61084" w:rsidRPr="007F3549">
        <w:rPr>
          <w:lang w:val="fr-FR"/>
        </w:rPr>
        <w:t>en matière de placements</w:t>
      </w:r>
      <w:r w:rsidRPr="007F3549">
        <w:rPr>
          <w:lang w:val="fr-FR"/>
        </w:rPr>
        <w:t xml:space="preserve"> </w:t>
      </w:r>
      <w:r w:rsidR="00B61084" w:rsidRPr="007F3549">
        <w:rPr>
          <w:lang w:val="fr-FR"/>
        </w:rPr>
        <w:t>spécialement destinée au financement de l</w:t>
      </w:r>
      <w:r w:rsidR="00876E92" w:rsidRPr="007F3549">
        <w:rPr>
          <w:lang w:val="fr-FR"/>
        </w:rPr>
        <w:t>’</w:t>
      </w:r>
      <w:r w:rsidR="00B61084" w:rsidRPr="007F3549">
        <w:rPr>
          <w:lang w:val="fr-FR"/>
        </w:rPr>
        <w:t>AMCS devait être établie</w:t>
      </w:r>
      <w:r w:rsidRPr="007F3549">
        <w:rPr>
          <w:lang w:val="fr-FR"/>
        </w:rPr>
        <w:t xml:space="preserve">. </w:t>
      </w:r>
      <w:r w:rsidR="00B61084" w:rsidRPr="007F3549">
        <w:rPr>
          <w:lang w:val="fr-FR"/>
        </w:rPr>
        <w:t xml:space="preserve"> </w:t>
      </w:r>
      <w:r w:rsidR="006702EE" w:rsidRPr="007F3549">
        <w:rPr>
          <w:lang w:val="fr-FR"/>
        </w:rPr>
        <w:t xml:space="preserve">Une </w:t>
      </w:r>
      <w:r w:rsidR="00B61084" w:rsidRPr="007F3549">
        <w:rPr>
          <w:lang w:val="fr-FR"/>
        </w:rPr>
        <w:t>étude de la gestion actif</w:t>
      </w:r>
      <w:r w:rsidR="00BD351E" w:rsidRPr="007F3549">
        <w:rPr>
          <w:lang w:val="fr-FR"/>
        </w:rPr>
        <w:noBreakHyphen/>
      </w:r>
      <w:r w:rsidR="00B61084" w:rsidRPr="007F3549">
        <w:rPr>
          <w:lang w:val="fr-FR"/>
        </w:rPr>
        <w:t xml:space="preserve">passif </w:t>
      </w:r>
      <w:r w:rsidR="006702EE" w:rsidRPr="007F3549">
        <w:rPr>
          <w:lang w:val="fr-FR"/>
        </w:rPr>
        <w:t>a été lancée, le but étant de tenir compte des</w:t>
      </w:r>
      <w:r w:rsidRPr="007F3549">
        <w:rPr>
          <w:lang w:val="fr-FR"/>
        </w:rPr>
        <w:t xml:space="preserve"> échéances </w:t>
      </w:r>
      <w:r w:rsidR="006702EE" w:rsidRPr="007F3549">
        <w:rPr>
          <w:lang w:val="fr-FR"/>
        </w:rPr>
        <w:t xml:space="preserve">liées aux engagements </w:t>
      </w:r>
      <w:r w:rsidR="006702EE" w:rsidRPr="007F3549">
        <w:rPr>
          <w:lang w:val="fr-FR"/>
        </w:rPr>
        <w:lastRenderedPageBreak/>
        <w:t>dans le choix des produits de placements</w:t>
      </w:r>
      <w:r w:rsidRPr="007F3549">
        <w:rPr>
          <w:lang w:val="fr-FR"/>
        </w:rPr>
        <w:t>.</w:t>
      </w:r>
      <w:r w:rsidR="006702EE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 </w:t>
      </w:r>
      <w:r w:rsidR="006702EE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6702EE" w:rsidRPr="007F3549">
        <w:rPr>
          <w:lang w:val="fr-FR"/>
        </w:rPr>
        <w:t>autres institutions de l</w:t>
      </w:r>
      <w:r w:rsidR="00876E92" w:rsidRPr="007F3549">
        <w:rPr>
          <w:lang w:val="fr-FR"/>
        </w:rPr>
        <w:t>’</w:t>
      </w:r>
      <w:r w:rsidR="006702EE" w:rsidRPr="007F3549">
        <w:rPr>
          <w:lang w:val="fr-FR"/>
        </w:rPr>
        <w:t>ONU ont eu recours à ce type d</w:t>
      </w:r>
      <w:r w:rsidR="00876E92" w:rsidRPr="007F3549">
        <w:rPr>
          <w:lang w:val="fr-FR"/>
        </w:rPr>
        <w:t>’</w:t>
      </w:r>
      <w:r w:rsidR="006702EE" w:rsidRPr="007F3549">
        <w:rPr>
          <w:lang w:val="fr-FR"/>
        </w:rPr>
        <w:t xml:space="preserve">étude pour </w:t>
      </w:r>
      <w:r w:rsidRPr="007F3549">
        <w:rPr>
          <w:lang w:val="fr-FR"/>
        </w:rPr>
        <w:t xml:space="preserve">déterminer les </w:t>
      </w:r>
      <w:r w:rsidR="00170CBE" w:rsidRPr="007F3549">
        <w:rPr>
          <w:lang w:val="fr-FR"/>
        </w:rPr>
        <w:t>produits de placements à utiliser</w:t>
      </w:r>
      <w:r w:rsidRPr="007F3549">
        <w:rPr>
          <w:lang w:val="fr-FR"/>
        </w:rPr>
        <w:t xml:space="preserve">. </w:t>
      </w:r>
      <w:r w:rsidR="00B61084" w:rsidRPr="007F3549">
        <w:rPr>
          <w:lang w:val="fr-FR"/>
        </w:rPr>
        <w:t xml:space="preserve"> </w:t>
      </w:r>
      <w:r w:rsidR="00170CBE" w:rsidRPr="007F3549">
        <w:rPr>
          <w:lang w:val="fr-FR"/>
        </w:rPr>
        <w:t>Outre les</w:t>
      </w:r>
      <w:r w:rsidRPr="007F3549">
        <w:rPr>
          <w:lang w:val="fr-FR"/>
        </w:rPr>
        <w:t xml:space="preserve"> classes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actifs déjà indiquées pour</w:t>
      </w:r>
      <w:r w:rsidR="00170CBE" w:rsidRPr="007F3549">
        <w:rPr>
          <w:lang w:val="fr-FR"/>
        </w:rPr>
        <w:t xml:space="preserve"> la trésorerie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exploitation et </w:t>
      </w:r>
      <w:r w:rsidR="00EB01C9" w:rsidRPr="007F3549">
        <w:rPr>
          <w:lang w:val="fr-FR"/>
        </w:rPr>
        <w:t>les fonds propres</w:t>
      </w:r>
      <w:r w:rsidR="00B61084" w:rsidRPr="007F3549">
        <w:rPr>
          <w:lang w:val="fr-FR"/>
        </w:rPr>
        <w:t xml:space="preserve"> (paragraphe </w:t>
      </w:r>
      <w:r w:rsidRPr="007F3549">
        <w:rPr>
          <w:lang w:val="fr-FR"/>
        </w:rPr>
        <w:t xml:space="preserve">10), il est proposé </w:t>
      </w:r>
      <w:r w:rsidR="00B61084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B61084" w:rsidRPr="007F3549">
        <w:rPr>
          <w:lang w:val="fr-FR"/>
        </w:rPr>
        <w:t xml:space="preserve">investir </w:t>
      </w:r>
      <w:r w:rsidR="00AE16A8" w:rsidRPr="007F3549">
        <w:rPr>
          <w:lang w:val="fr-FR"/>
        </w:rPr>
        <w:t xml:space="preserve">directement </w:t>
      </w:r>
      <w:r w:rsidR="00B61084" w:rsidRPr="007F3549">
        <w:rPr>
          <w:lang w:val="fr-FR"/>
        </w:rPr>
        <w:t>dans des</w:t>
      </w:r>
      <w:r w:rsidRPr="007F3549">
        <w:rPr>
          <w:lang w:val="fr-FR"/>
        </w:rPr>
        <w:t xml:space="preserve"> biens immobiliers, </w:t>
      </w:r>
      <w:r w:rsidR="00170CBE" w:rsidRPr="007F3549">
        <w:rPr>
          <w:lang w:val="fr-FR"/>
        </w:rPr>
        <w:t>des</w:t>
      </w:r>
      <w:r w:rsidRPr="007F3549">
        <w:rPr>
          <w:lang w:val="fr-FR"/>
        </w:rPr>
        <w:t xml:space="preserve"> actions (</w:t>
      </w:r>
      <w:r w:rsidR="00876E92" w:rsidRPr="007F3549">
        <w:rPr>
          <w:lang w:val="fr-FR"/>
        </w:rPr>
        <w:t>y compris</w:t>
      </w:r>
      <w:r w:rsidRPr="007F3549">
        <w:rPr>
          <w:lang w:val="fr-FR"/>
        </w:rPr>
        <w:t xml:space="preserve"> </w:t>
      </w:r>
      <w:r w:rsidR="005820A6" w:rsidRPr="007F3549">
        <w:rPr>
          <w:lang w:val="fr-FR"/>
        </w:rPr>
        <w:t xml:space="preserve">dans </w:t>
      </w:r>
      <w:r w:rsidR="00AE16A8" w:rsidRPr="007F3549">
        <w:rPr>
          <w:lang w:val="fr-FR"/>
        </w:rPr>
        <w:t>des</w:t>
      </w:r>
      <w:r w:rsidRPr="007F3549">
        <w:rPr>
          <w:lang w:val="fr-FR"/>
        </w:rPr>
        <w:t xml:space="preserve"> fonds </w:t>
      </w:r>
      <w:r w:rsidR="00CF4CE1" w:rsidRPr="007F3549">
        <w:rPr>
          <w:lang w:val="fr-FR"/>
        </w:rPr>
        <w:t>communs de placement en actions</w:t>
      </w:r>
      <w:r w:rsidRPr="007F3549">
        <w:rPr>
          <w:lang w:val="fr-FR"/>
        </w:rPr>
        <w:t xml:space="preserve"> gérés activement et passivement)</w:t>
      </w:r>
      <w:r w:rsidR="00AE16A8" w:rsidRPr="007F3549">
        <w:rPr>
          <w:rStyle w:val="FootnoteReference"/>
          <w:lang w:val="fr-FR"/>
        </w:rPr>
        <w:footnoteReference w:id="3"/>
      </w:r>
      <w:r w:rsidRPr="007F3549">
        <w:rPr>
          <w:lang w:val="fr-FR"/>
        </w:rPr>
        <w:t xml:space="preserve"> et </w:t>
      </w:r>
      <w:r w:rsidR="00AE16A8" w:rsidRPr="007F3549">
        <w:rPr>
          <w:lang w:val="fr-FR"/>
        </w:rPr>
        <w:t>des</w:t>
      </w:r>
      <w:r w:rsidRPr="007F3549">
        <w:rPr>
          <w:lang w:val="fr-FR"/>
        </w:rPr>
        <w:t xml:space="preserve"> </w:t>
      </w:r>
      <w:r w:rsidR="00316B9B" w:rsidRPr="007F3549">
        <w:rPr>
          <w:lang w:val="fr-FR"/>
        </w:rPr>
        <w:t xml:space="preserve">fonds </w:t>
      </w:r>
      <w:r w:rsidR="00B87E36" w:rsidRPr="007F3549">
        <w:rPr>
          <w:lang w:val="fr-FR"/>
        </w:rPr>
        <w:t>spéculatifs</w:t>
      </w:r>
      <w:r w:rsidR="00316B9B" w:rsidRPr="007F3549">
        <w:rPr>
          <w:lang w:val="fr-FR"/>
        </w:rPr>
        <w:t xml:space="preserve">.  </w:t>
      </w:r>
      <w:r w:rsidR="00AE16A8" w:rsidRPr="007F3549">
        <w:rPr>
          <w:lang w:val="fr-FR"/>
        </w:rPr>
        <w:t>Ces</w:t>
      </w:r>
      <w:r w:rsidRPr="007F3549">
        <w:rPr>
          <w:lang w:val="fr-FR"/>
        </w:rPr>
        <w:t xml:space="preserve"> </w:t>
      </w:r>
      <w:r w:rsidR="00316B9B" w:rsidRPr="007F3549">
        <w:rPr>
          <w:lang w:val="fr-FR"/>
        </w:rPr>
        <w:t xml:space="preserve">placements </w:t>
      </w:r>
      <w:r w:rsidR="00AE16A8" w:rsidRPr="007F3549">
        <w:rPr>
          <w:lang w:val="fr-FR"/>
        </w:rPr>
        <w:t>peuvent</w:t>
      </w:r>
      <w:r w:rsidR="00316B9B" w:rsidRPr="007F3549">
        <w:rPr>
          <w:lang w:val="fr-FR"/>
        </w:rPr>
        <w:t xml:space="preserve"> être détenu</w:t>
      </w:r>
      <w:r w:rsidR="00AE16A8" w:rsidRPr="007F3549">
        <w:rPr>
          <w:lang w:val="fr-FR"/>
        </w:rPr>
        <w:t>s</w:t>
      </w:r>
      <w:r w:rsidRPr="007F3549">
        <w:rPr>
          <w:lang w:val="fr-FR"/>
        </w:rPr>
        <w:t xml:space="preserve"> dans des </w:t>
      </w:r>
      <w:r w:rsidR="00316B9B" w:rsidRPr="007F3549">
        <w:rPr>
          <w:lang w:val="fr-FR"/>
        </w:rPr>
        <w:t>devises</w:t>
      </w:r>
      <w:r w:rsidRPr="007F3549">
        <w:rPr>
          <w:lang w:val="fr-FR"/>
        </w:rPr>
        <w:t xml:space="preserve"> autres que le franc suisse et </w:t>
      </w:r>
      <w:r w:rsidR="00AE16A8" w:rsidRPr="007F3549">
        <w:rPr>
          <w:lang w:val="fr-FR"/>
        </w:rPr>
        <w:t>couverts</w:t>
      </w:r>
      <w:r w:rsidRPr="007F3549">
        <w:rPr>
          <w:lang w:val="fr-FR"/>
        </w:rPr>
        <w:t xml:space="preserve"> en francs suisses</w:t>
      </w:r>
      <w:r w:rsidR="00316B9B" w:rsidRPr="007F3549">
        <w:rPr>
          <w:lang w:val="fr-FR"/>
        </w:rPr>
        <w:t>,</w:t>
      </w:r>
      <w:r w:rsidRPr="007F3549">
        <w:rPr>
          <w:lang w:val="fr-FR"/>
        </w:rPr>
        <w:t xml:space="preserve"> mais </w:t>
      </w:r>
      <w:r w:rsidR="00AE16A8" w:rsidRPr="007F3549">
        <w:rPr>
          <w:lang w:val="fr-FR"/>
        </w:rPr>
        <w:t>à condition de pouvoir anticiper u</w:t>
      </w:r>
      <w:r w:rsidRPr="007F3549">
        <w:rPr>
          <w:lang w:val="fr-FR"/>
        </w:rPr>
        <w:t xml:space="preserve">n rendement </w:t>
      </w:r>
      <w:r w:rsidR="00AE16A8" w:rsidRPr="007F3549">
        <w:rPr>
          <w:lang w:val="fr-FR"/>
        </w:rPr>
        <w:t xml:space="preserve">global </w:t>
      </w:r>
      <w:r w:rsidRPr="007F3549">
        <w:rPr>
          <w:lang w:val="fr-FR"/>
        </w:rPr>
        <w:t>positif.</w:t>
      </w:r>
    </w:p>
    <w:p w:rsidR="004856AB" w:rsidRPr="007F3549" w:rsidRDefault="00466ABA" w:rsidP="00B50D94">
      <w:pPr>
        <w:pStyle w:val="Heading1"/>
        <w:rPr>
          <w:lang w:val="fr-FR"/>
        </w:rPr>
      </w:pPr>
      <w:r w:rsidRPr="007F3549">
        <w:rPr>
          <w:lang w:val="fr-FR"/>
        </w:rPr>
        <w:t>risque et rendement</w:t>
      </w:r>
    </w:p>
    <w:p w:rsidR="00B50D94" w:rsidRPr="007F3549" w:rsidRDefault="00B50D94" w:rsidP="00B50D94">
      <w:pPr>
        <w:rPr>
          <w:lang w:val="fr-FR"/>
        </w:rPr>
      </w:pPr>
    </w:p>
    <w:p w:rsidR="00AA117F" w:rsidRPr="007F3549" w:rsidRDefault="005F1AC2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Le graphique</w:t>
      </w:r>
      <w:r w:rsidR="00F13F38" w:rsidRPr="007F3549">
        <w:rPr>
          <w:lang w:val="fr-FR"/>
        </w:rPr>
        <w:t> </w:t>
      </w:r>
      <w:r w:rsidRPr="007F3549">
        <w:rPr>
          <w:rStyle w:val="hps"/>
          <w:lang w:val="fr-FR"/>
        </w:rPr>
        <w:t xml:space="preserve">1 </w:t>
      </w:r>
      <w:r w:rsidR="00C753F5" w:rsidRPr="007F3549">
        <w:rPr>
          <w:rStyle w:val="hps"/>
          <w:lang w:val="fr-FR"/>
        </w:rPr>
        <w:t>s</w:t>
      </w:r>
      <w:r w:rsidR="00876E92" w:rsidRPr="007F3549">
        <w:rPr>
          <w:rStyle w:val="hps"/>
          <w:lang w:val="fr-FR"/>
        </w:rPr>
        <w:t>’</w:t>
      </w:r>
      <w:r w:rsidR="00C753F5" w:rsidRPr="007F3549">
        <w:rPr>
          <w:rStyle w:val="hps"/>
          <w:lang w:val="fr-FR"/>
        </w:rPr>
        <w:t>inspire de graphiques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fournis par </w:t>
      </w:r>
      <w:proofErr w:type="spellStart"/>
      <w:r w:rsidR="00C753F5" w:rsidRPr="007F3549">
        <w:rPr>
          <w:rStyle w:val="hps"/>
          <w:lang w:val="fr-FR"/>
        </w:rPr>
        <w:t>Zanders</w:t>
      </w:r>
      <w:proofErr w:type="spellEnd"/>
      <w:r w:rsidR="00C753F5" w:rsidRPr="007F3549">
        <w:rPr>
          <w:lang w:val="fr-FR"/>
        </w:rPr>
        <w:t xml:space="preserve"> et par </w:t>
      </w:r>
      <w:r w:rsidRPr="007F3549">
        <w:rPr>
          <w:rStyle w:val="hps"/>
          <w:lang w:val="fr-FR"/>
        </w:rPr>
        <w:t xml:space="preserve">les </w:t>
      </w:r>
      <w:r w:rsidR="00C753F5" w:rsidRPr="007F3549">
        <w:rPr>
          <w:rStyle w:val="hps"/>
          <w:lang w:val="fr-FR"/>
        </w:rPr>
        <w:t>principaux</w:t>
      </w:r>
      <w:r w:rsidR="00C753F5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partenaires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bancaires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OMPI</w:t>
      </w:r>
      <w:r w:rsidR="00C753F5" w:rsidRPr="007F3549">
        <w:rPr>
          <w:rStyle w:val="hps"/>
          <w:lang w:val="fr-FR"/>
        </w:rPr>
        <w:t>;  il illustre la</w:t>
      </w:r>
      <w:r w:rsidRPr="007F3549">
        <w:rPr>
          <w:rStyle w:val="hps"/>
          <w:lang w:val="fr-FR"/>
        </w:rPr>
        <w:t xml:space="preserve"> relation entre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risque et rendement.</w:t>
      </w:r>
      <w:r w:rsidR="00C753F5" w:rsidRPr="007F3549">
        <w:rPr>
          <w:rStyle w:val="hps"/>
          <w:lang w:val="fr-FR"/>
        </w:rPr>
        <w:t xml:space="preserve"> </w:t>
      </w:r>
      <w:r w:rsidRPr="007F3549">
        <w:rPr>
          <w:rStyle w:val="hps"/>
          <w:lang w:val="fr-FR"/>
        </w:rPr>
        <w:t xml:space="preserve"> </w:t>
      </w:r>
      <w:r w:rsidR="00BC77E3" w:rsidRPr="007F3549">
        <w:rPr>
          <w:rStyle w:val="hps"/>
          <w:lang w:val="fr-FR"/>
        </w:rPr>
        <w:t xml:space="preserve">Il montre bien </w:t>
      </w:r>
      <w:r w:rsidR="00C753F5" w:rsidRPr="007F3549">
        <w:rPr>
          <w:rStyle w:val="hps"/>
          <w:lang w:val="fr-FR"/>
        </w:rPr>
        <w:t>que</w:t>
      </w:r>
      <w:r w:rsidR="004D16F9" w:rsidRPr="007F3549">
        <w:rPr>
          <w:rStyle w:val="hps"/>
          <w:lang w:val="fr-FR"/>
        </w:rPr>
        <w:t xml:space="preserve"> le</w:t>
      </w:r>
      <w:r w:rsidRPr="007F3549">
        <w:rPr>
          <w:lang w:val="fr-FR"/>
        </w:rPr>
        <w:t xml:space="preserve"> </w:t>
      </w:r>
      <w:r w:rsidR="004D16F9" w:rsidRPr="007F3549">
        <w:rPr>
          <w:rStyle w:val="hps"/>
          <w:lang w:val="fr-FR"/>
        </w:rPr>
        <w:t>rendement des</w:t>
      </w:r>
      <w:r w:rsidRPr="007F3549">
        <w:rPr>
          <w:lang w:val="fr-FR"/>
        </w:rPr>
        <w:t xml:space="preserve"> dépôts bancaires </w:t>
      </w:r>
      <w:r w:rsidRPr="007F3549">
        <w:rPr>
          <w:rStyle w:val="hps"/>
          <w:lang w:val="fr-FR"/>
        </w:rPr>
        <w:t>et</w:t>
      </w:r>
      <w:r w:rsidRPr="007F3549">
        <w:rPr>
          <w:lang w:val="fr-FR"/>
        </w:rPr>
        <w:t xml:space="preserve"> </w:t>
      </w:r>
      <w:r w:rsidR="00BC77E3" w:rsidRPr="007F3549">
        <w:rPr>
          <w:rStyle w:val="hps"/>
          <w:lang w:val="fr-FR"/>
        </w:rPr>
        <w:t>des</w:t>
      </w:r>
      <w:r w:rsidRPr="007F3549">
        <w:rPr>
          <w:rStyle w:val="hps"/>
          <w:lang w:val="fr-FR"/>
        </w:rPr>
        <w:t xml:space="preserve"> obligations </w:t>
      </w:r>
      <w:r w:rsidR="004D16F9" w:rsidRPr="007F3549">
        <w:rPr>
          <w:rStyle w:val="hps"/>
          <w:lang w:val="fr-FR"/>
        </w:rPr>
        <w:t>du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gouvernement </w:t>
      </w:r>
      <w:r w:rsidR="004D16F9" w:rsidRPr="007F3549">
        <w:rPr>
          <w:rStyle w:val="hps"/>
          <w:lang w:val="fr-FR"/>
        </w:rPr>
        <w:t>suisse</w:t>
      </w:r>
      <w:r w:rsidR="004D16F9" w:rsidRPr="007F3549">
        <w:rPr>
          <w:lang w:val="fr-FR"/>
        </w:rPr>
        <w:t xml:space="preserve"> </w:t>
      </w:r>
      <w:r w:rsidR="00BC77E3" w:rsidRPr="007F3549">
        <w:rPr>
          <w:rStyle w:val="hps"/>
          <w:lang w:val="fr-FR"/>
        </w:rPr>
        <w:t xml:space="preserve">à court et à moyen terme </w:t>
      </w:r>
      <w:r w:rsidR="004D16F9" w:rsidRPr="007F3549">
        <w:rPr>
          <w:rStyle w:val="hps"/>
          <w:lang w:val="fr-FR"/>
        </w:rPr>
        <w:t>est</w:t>
      </w:r>
      <w:r w:rsidRPr="007F3549">
        <w:rPr>
          <w:rStyle w:val="hps"/>
          <w:lang w:val="fr-FR"/>
        </w:rPr>
        <w:t xml:space="preserve"> actuellement</w:t>
      </w:r>
      <w:r w:rsidRPr="007F3549">
        <w:rPr>
          <w:lang w:val="fr-FR"/>
        </w:rPr>
        <w:t xml:space="preserve"> </w:t>
      </w:r>
      <w:r w:rsidR="004D16F9" w:rsidRPr="007F3549">
        <w:rPr>
          <w:rStyle w:val="hps"/>
          <w:lang w:val="fr-FR"/>
        </w:rPr>
        <w:t>négatif</w:t>
      </w:r>
      <w:r w:rsidRPr="007F3549">
        <w:rPr>
          <w:lang w:val="fr-FR"/>
        </w:rPr>
        <w:t xml:space="preserve">. </w:t>
      </w:r>
      <w:r w:rsidR="004D16F9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Beaucoup de commentateurs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du marché estiment que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les rendements négatifs</w:t>
      </w:r>
      <w:r w:rsidRPr="007F3549">
        <w:rPr>
          <w:lang w:val="fr-FR"/>
        </w:rPr>
        <w:t xml:space="preserve"> </w:t>
      </w:r>
      <w:r w:rsidR="00BC77E3" w:rsidRPr="007F3549">
        <w:rPr>
          <w:rStyle w:val="hps"/>
          <w:lang w:val="fr-FR"/>
        </w:rPr>
        <w:t xml:space="preserve">ne cesseront pas avant un délai maximum de cinq ans </w:t>
      </w:r>
      <w:r w:rsidRPr="007F3549">
        <w:rPr>
          <w:rStyle w:val="hps"/>
          <w:lang w:val="fr-FR"/>
        </w:rPr>
        <w:t>et</w:t>
      </w:r>
      <w:r w:rsidRPr="007F3549">
        <w:rPr>
          <w:lang w:val="fr-FR"/>
        </w:rPr>
        <w:t xml:space="preserve"> </w:t>
      </w:r>
      <w:r w:rsidR="00BC77E3" w:rsidRPr="007F3549">
        <w:rPr>
          <w:lang w:val="fr-FR"/>
        </w:rPr>
        <w:t>qu</w:t>
      </w:r>
      <w:r w:rsidR="00876E92" w:rsidRPr="007F3549">
        <w:rPr>
          <w:lang w:val="fr-FR"/>
        </w:rPr>
        <w:t>’</w:t>
      </w:r>
      <w:r w:rsidRPr="007F3549">
        <w:rPr>
          <w:rStyle w:val="hps"/>
          <w:lang w:val="fr-FR"/>
        </w:rPr>
        <w:t>actuellement</w:t>
      </w:r>
      <w:r w:rsidR="00BC77E3" w:rsidRPr="007F3549">
        <w:rPr>
          <w:rStyle w:val="hps"/>
          <w:lang w:val="fr-FR"/>
        </w:rPr>
        <w:t>,</w:t>
      </w:r>
      <w:r w:rsidRPr="007F3549">
        <w:rPr>
          <w:rStyle w:val="hps"/>
          <w:lang w:val="fr-FR"/>
        </w:rPr>
        <w:t xml:space="preserve"> </w:t>
      </w:r>
      <w:r w:rsidR="00BC77E3" w:rsidRPr="007F3549">
        <w:rPr>
          <w:rStyle w:val="hps"/>
          <w:lang w:val="fr-FR"/>
        </w:rPr>
        <w:t>le rendement des</w:t>
      </w:r>
      <w:r w:rsidRPr="007F3549">
        <w:rPr>
          <w:rStyle w:val="hps"/>
          <w:lang w:val="fr-FR"/>
        </w:rPr>
        <w:t xml:space="preserve"> obligations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7B73E2" w:rsidRPr="007F3549">
        <w:rPr>
          <w:rStyle w:val="hps"/>
          <w:lang w:val="fr-FR"/>
        </w:rPr>
        <w:t>État</w:t>
      </w:r>
      <w:r w:rsidRPr="007F3549">
        <w:rPr>
          <w:rStyle w:val="hps"/>
          <w:lang w:val="fr-FR"/>
        </w:rPr>
        <w:t xml:space="preserve"> suisses</w:t>
      </w:r>
      <w:r w:rsidRPr="007F3549">
        <w:rPr>
          <w:lang w:val="fr-FR"/>
        </w:rPr>
        <w:t xml:space="preserve"> </w:t>
      </w:r>
      <w:r w:rsidR="00BC77E3" w:rsidRPr="007F3549">
        <w:rPr>
          <w:rStyle w:val="hps"/>
          <w:lang w:val="fr-FR"/>
        </w:rPr>
        <w:t>n</w:t>
      </w:r>
      <w:r w:rsidR="00876E92" w:rsidRPr="007F3549">
        <w:rPr>
          <w:rStyle w:val="hps"/>
          <w:lang w:val="fr-FR"/>
        </w:rPr>
        <w:t>’</w:t>
      </w:r>
      <w:r w:rsidR="00BC77E3" w:rsidRPr="007F3549">
        <w:rPr>
          <w:rStyle w:val="hps"/>
          <w:lang w:val="fr-FR"/>
        </w:rPr>
        <w:t>est positif que si ces obligations sont</w:t>
      </w:r>
      <w:r w:rsidRPr="007F3549">
        <w:rPr>
          <w:rStyle w:val="hps"/>
          <w:lang w:val="fr-FR"/>
        </w:rPr>
        <w:t xml:space="preserve"> détenue</w:t>
      </w:r>
      <w:r w:rsidR="00BC77E3" w:rsidRPr="007F3549">
        <w:rPr>
          <w:lang w:val="fr-FR"/>
        </w:rPr>
        <w:t xml:space="preserve">s </w:t>
      </w:r>
      <w:r w:rsidRPr="007F3549">
        <w:rPr>
          <w:rStyle w:val="hps"/>
          <w:lang w:val="fr-FR"/>
        </w:rPr>
        <w:t>depuis plus</w:t>
      </w:r>
      <w:r w:rsidRPr="007F3549">
        <w:rPr>
          <w:lang w:val="fr-FR"/>
        </w:rPr>
        <w:t xml:space="preserve"> </w:t>
      </w:r>
      <w:r w:rsidR="00BC77E3" w:rsidRPr="007F3549">
        <w:rPr>
          <w:rStyle w:val="hps"/>
          <w:lang w:val="fr-FR"/>
        </w:rPr>
        <w:t>de 12 </w:t>
      </w:r>
      <w:r w:rsidRPr="007F3549">
        <w:rPr>
          <w:rStyle w:val="hps"/>
          <w:lang w:val="fr-FR"/>
        </w:rPr>
        <w:t>ans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(obligations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à long terme</w:t>
      </w:r>
      <w:r w:rsidRPr="007F3549">
        <w:rPr>
          <w:lang w:val="fr-FR"/>
        </w:rPr>
        <w:t xml:space="preserve">). </w:t>
      </w:r>
      <w:r w:rsidR="00BC77E3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Face à cette situation</w:t>
      </w:r>
      <w:r w:rsidRPr="007F3549">
        <w:rPr>
          <w:lang w:val="fr-FR"/>
        </w:rPr>
        <w:t xml:space="preserve">, de nombreux investisseurs, </w:t>
      </w:r>
      <w:r w:rsidR="00876E92" w:rsidRPr="007F3549">
        <w:rPr>
          <w:lang w:val="fr-FR"/>
        </w:rPr>
        <w:t>y compris</w:t>
      </w:r>
      <w:r w:rsidRPr="007F3549">
        <w:rPr>
          <w:lang w:val="fr-FR"/>
        </w:rPr>
        <w:t xml:space="preserve"> ceux </w:t>
      </w:r>
      <w:r w:rsidR="006031C1" w:rsidRPr="007F3549">
        <w:rPr>
          <w:rStyle w:val="hps"/>
          <w:lang w:val="fr-FR"/>
        </w:rPr>
        <w:t>appartenant au</w:t>
      </w:r>
      <w:r w:rsidRPr="007F3549">
        <w:rPr>
          <w:rStyle w:val="hps"/>
          <w:lang w:val="fr-FR"/>
        </w:rPr>
        <w:t xml:space="preserve"> secteur public</w:t>
      </w:r>
      <w:r w:rsidRPr="007F3549">
        <w:rPr>
          <w:lang w:val="fr-FR"/>
        </w:rPr>
        <w:t xml:space="preserve">, </w:t>
      </w:r>
      <w:r w:rsidR="006031C1" w:rsidRPr="007F3549">
        <w:rPr>
          <w:lang w:val="fr-FR"/>
        </w:rPr>
        <w:t xml:space="preserve">se sont </w:t>
      </w:r>
      <w:r w:rsidR="006031C1" w:rsidRPr="007F3549">
        <w:rPr>
          <w:rStyle w:val="hps"/>
          <w:lang w:val="fr-FR"/>
        </w:rPr>
        <w:t xml:space="preserve">déplacés </w:t>
      </w:r>
      <w:r w:rsidRPr="007F3549">
        <w:rPr>
          <w:rStyle w:val="hps"/>
          <w:lang w:val="fr-FR"/>
        </w:rPr>
        <w:t>le long de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axe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</w:t>
      </w:r>
      <w:r w:rsidR="00956974" w:rsidRPr="007F3549">
        <w:rPr>
          <w:rStyle w:val="hps"/>
          <w:lang w:val="fr-FR"/>
        </w:rPr>
        <w:t>s</w:t>
      </w:r>
      <w:r w:rsidRPr="007F3549">
        <w:rPr>
          <w:rStyle w:val="hps"/>
          <w:lang w:val="fr-FR"/>
        </w:rPr>
        <w:t xml:space="preserve"> risque</w:t>
      </w:r>
      <w:r w:rsidR="00956974" w:rsidRPr="007F3549">
        <w:rPr>
          <w:rStyle w:val="hps"/>
          <w:lang w:val="fr-FR"/>
        </w:rPr>
        <w:t>s</w:t>
      </w:r>
      <w:r w:rsidRPr="007F3549">
        <w:rPr>
          <w:lang w:val="fr-FR"/>
        </w:rPr>
        <w:t xml:space="preserve">, en investissant dans </w:t>
      </w:r>
      <w:r w:rsidRPr="007F3549">
        <w:rPr>
          <w:rStyle w:val="hps"/>
          <w:lang w:val="fr-FR"/>
        </w:rPr>
        <w:t>des classes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actifs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qui apportent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un risque supplémentaire</w:t>
      </w:r>
      <w:r w:rsidRPr="007F3549">
        <w:rPr>
          <w:lang w:val="fr-FR"/>
        </w:rPr>
        <w:t xml:space="preserve">, </w:t>
      </w:r>
      <w:r w:rsidRPr="007F3549">
        <w:rPr>
          <w:rStyle w:val="hps"/>
          <w:lang w:val="fr-FR"/>
        </w:rPr>
        <w:t>afin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 xml:space="preserve">obtenir un </w:t>
      </w:r>
      <w:r w:rsidR="006031C1" w:rsidRPr="007F3549">
        <w:rPr>
          <w:rStyle w:val="hps"/>
          <w:lang w:val="fr-FR"/>
        </w:rPr>
        <w:t>retour sur investissement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positif</w:t>
      </w:r>
      <w:r w:rsidR="00F67053" w:rsidRPr="007F3549">
        <w:rPr>
          <w:lang w:val="fr-FR"/>
        </w:rPr>
        <w:t>.</w:t>
      </w:r>
    </w:p>
    <w:p w:rsidR="00702487" w:rsidRPr="007F3549" w:rsidRDefault="007F3549" w:rsidP="007F3549">
      <w:pPr>
        <w:jc w:val="center"/>
        <w:rPr>
          <w:b/>
          <w:szCs w:val="22"/>
          <w:lang w:val="fr-FR"/>
        </w:rPr>
      </w:pPr>
      <w:r w:rsidRPr="007F3549">
        <w:rPr>
          <w:b/>
          <w:noProof/>
          <w:lang w:val="fr-FR" w:eastAsia="fr-FR"/>
        </w:rPr>
        <w:t>Graphique </w:t>
      </w:r>
      <w:r w:rsidR="001F13FE" w:rsidRPr="007F3549">
        <w:rPr>
          <w:b/>
          <w:szCs w:val="22"/>
          <w:lang w:val="fr-FR"/>
        </w:rPr>
        <w:t>1</w:t>
      </w:r>
    </w:p>
    <w:p w:rsidR="00702487" w:rsidRPr="007F3549" w:rsidRDefault="00702487" w:rsidP="007F3549">
      <w:pPr>
        <w:jc w:val="center"/>
        <w:rPr>
          <w:lang w:val="fr-FR"/>
        </w:rPr>
      </w:pPr>
    </w:p>
    <w:p w:rsidR="00F76A29" w:rsidRPr="007F3549" w:rsidRDefault="007F3549" w:rsidP="007F3549">
      <w:pPr>
        <w:jc w:val="center"/>
        <w:rPr>
          <w:lang w:val="fr-FR"/>
        </w:rPr>
      </w:pPr>
      <w:r w:rsidRPr="007F3549">
        <w:rPr>
          <w:lang w:val="fr-FR"/>
        </w:rPr>
        <w:t xml:space="preserve"> </w:t>
      </w:r>
      <w:r w:rsidRPr="007F3549">
        <w:rPr>
          <w:noProof/>
          <w:lang w:eastAsia="en-US"/>
        </w:rPr>
        <w:drawing>
          <wp:inline distT="0" distB="0" distL="0" distR="0" wp14:anchorId="0476C96B" wp14:editId="5C19C5FE">
            <wp:extent cx="4680000" cy="34315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3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8A" w:rsidRPr="007F3549" w:rsidRDefault="005F1AC2" w:rsidP="00690580">
      <w:pPr>
        <w:pStyle w:val="ONUME"/>
        <w:rPr>
          <w:i/>
          <w:sz w:val="18"/>
          <w:szCs w:val="18"/>
          <w:lang w:val="fr-FR"/>
        </w:rPr>
      </w:pPr>
      <w:r w:rsidRPr="007F3549">
        <w:rPr>
          <w:rStyle w:val="hps"/>
          <w:i/>
          <w:sz w:val="18"/>
          <w:szCs w:val="18"/>
          <w:lang w:val="fr-FR"/>
        </w:rPr>
        <w:t xml:space="preserve">Ce </w:t>
      </w:r>
      <w:r w:rsidR="006031C1" w:rsidRPr="007F3549">
        <w:rPr>
          <w:rStyle w:val="hps"/>
          <w:i/>
          <w:sz w:val="18"/>
          <w:szCs w:val="18"/>
          <w:lang w:val="fr-FR"/>
        </w:rPr>
        <w:t>graphique</w:t>
      </w:r>
      <w:r w:rsidRPr="007F3549">
        <w:rPr>
          <w:rStyle w:val="hps"/>
          <w:i/>
          <w:sz w:val="18"/>
          <w:szCs w:val="18"/>
          <w:lang w:val="fr-FR"/>
        </w:rPr>
        <w:t xml:space="preserve"> montre</w:t>
      </w:r>
      <w:r w:rsidRPr="007F3549">
        <w:rPr>
          <w:i/>
          <w:sz w:val="18"/>
          <w:szCs w:val="18"/>
          <w:lang w:val="fr-FR"/>
        </w:rPr>
        <w:t xml:space="preserve"> </w:t>
      </w:r>
      <w:r w:rsidRPr="007F3549">
        <w:rPr>
          <w:rStyle w:val="hps"/>
          <w:i/>
          <w:sz w:val="18"/>
          <w:szCs w:val="18"/>
          <w:lang w:val="fr-FR"/>
        </w:rPr>
        <w:t>les positions relatives des</w:t>
      </w:r>
      <w:r w:rsidRPr="007F3549">
        <w:rPr>
          <w:i/>
          <w:sz w:val="18"/>
          <w:szCs w:val="18"/>
          <w:lang w:val="fr-FR"/>
        </w:rPr>
        <w:t xml:space="preserve"> </w:t>
      </w:r>
      <w:r w:rsidRPr="007F3549">
        <w:rPr>
          <w:rStyle w:val="hps"/>
          <w:i/>
          <w:sz w:val="18"/>
          <w:szCs w:val="18"/>
          <w:lang w:val="fr-FR"/>
        </w:rPr>
        <w:t>classes d</w:t>
      </w:r>
      <w:r w:rsidR="00876E92" w:rsidRPr="007F3549">
        <w:rPr>
          <w:rStyle w:val="hps"/>
          <w:i/>
          <w:sz w:val="18"/>
          <w:szCs w:val="18"/>
          <w:lang w:val="fr-FR"/>
        </w:rPr>
        <w:t>’</w:t>
      </w:r>
      <w:r w:rsidRPr="007F3549">
        <w:rPr>
          <w:rStyle w:val="hps"/>
          <w:i/>
          <w:sz w:val="18"/>
          <w:szCs w:val="18"/>
          <w:lang w:val="fr-FR"/>
        </w:rPr>
        <w:t>actifs</w:t>
      </w:r>
      <w:r w:rsidRPr="007F3549">
        <w:rPr>
          <w:i/>
          <w:sz w:val="18"/>
          <w:szCs w:val="18"/>
          <w:lang w:val="fr-FR"/>
        </w:rPr>
        <w:t xml:space="preserve"> </w:t>
      </w:r>
      <w:r w:rsidRPr="007F3549">
        <w:rPr>
          <w:rStyle w:val="hps"/>
          <w:i/>
          <w:sz w:val="18"/>
          <w:szCs w:val="18"/>
          <w:lang w:val="fr-FR"/>
        </w:rPr>
        <w:t>en fonction de leur</w:t>
      </w:r>
      <w:r w:rsidRPr="007F3549">
        <w:rPr>
          <w:i/>
          <w:sz w:val="18"/>
          <w:szCs w:val="18"/>
          <w:lang w:val="fr-FR"/>
        </w:rPr>
        <w:t xml:space="preserve"> </w:t>
      </w:r>
      <w:r w:rsidRPr="007F3549">
        <w:rPr>
          <w:rStyle w:val="hps"/>
          <w:i/>
          <w:sz w:val="18"/>
          <w:szCs w:val="18"/>
          <w:lang w:val="fr-FR"/>
        </w:rPr>
        <w:t>relation</w:t>
      </w:r>
      <w:r w:rsidRPr="007F3549">
        <w:rPr>
          <w:i/>
          <w:sz w:val="18"/>
          <w:szCs w:val="18"/>
          <w:lang w:val="fr-FR"/>
        </w:rPr>
        <w:t xml:space="preserve"> </w:t>
      </w:r>
      <w:r w:rsidR="006031C1" w:rsidRPr="007F3549">
        <w:rPr>
          <w:rStyle w:val="hps"/>
          <w:i/>
          <w:sz w:val="18"/>
          <w:szCs w:val="18"/>
          <w:lang w:val="fr-FR"/>
        </w:rPr>
        <w:t>risque/</w:t>
      </w:r>
      <w:r w:rsidRPr="007F3549">
        <w:rPr>
          <w:rStyle w:val="hps"/>
          <w:i/>
          <w:sz w:val="18"/>
          <w:szCs w:val="18"/>
          <w:lang w:val="fr-FR"/>
        </w:rPr>
        <w:t>rendement</w:t>
      </w:r>
      <w:r w:rsidRPr="007F3549">
        <w:rPr>
          <w:i/>
          <w:sz w:val="18"/>
          <w:szCs w:val="18"/>
          <w:lang w:val="fr-FR"/>
        </w:rPr>
        <w:t xml:space="preserve">. </w:t>
      </w:r>
      <w:r w:rsidR="00F13F38" w:rsidRPr="007F3549">
        <w:rPr>
          <w:i/>
          <w:sz w:val="18"/>
          <w:szCs w:val="18"/>
          <w:lang w:val="fr-FR"/>
        </w:rPr>
        <w:t xml:space="preserve"> </w:t>
      </w:r>
      <w:r w:rsidR="00F13F38" w:rsidRPr="007F3549">
        <w:rPr>
          <w:rStyle w:val="hps"/>
          <w:i/>
          <w:sz w:val="18"/>
          <w:szCs w:val="18"/>
          <w:lang w:val="fr-FR"/>
        </w:rPr>
        <w:t>Il</w:t>
      </w:r>
      <w:r w:rsidR="00F13F38" w:rsidRPr="007F3549">
        <w:rPr>
          <w:i/>
          <w:sz w:val="18"/>
          <w:szCs w:val="18"/>
          <w:lang w:val="fr-FR"/>
        </w:rPr>
        <w:t xml:space="preserve"> </w:t>
      </w:r>
      <w:r w:rsidR="00F13F38" w:rsidRPr="007F3549">
        <w:rPr>
          <w:rStyle w:val="hps"/>
          <w:i/>
          <w:sz w:val="18"/>
          <w:szCs w:val="18"/>
          <w:lang w:val="fr-FR"/>
        </w:rPr>
        <w:t>n</w:t>
      </w:r>
      <w:r w:rsidR="00876E92" w:rsidRPr="007F3549">
        <w:rPr>
          <w:rStyle w:val="hps"/>
          <w:i/>
          <w:sz w:val="18"/>
          <w:szCs w:val="18"/>
          <w:lang w:val="fr-FR"/>
        </w:rPr>
        <w:t>’</w:t>
      </w:r>
      <w:r w:rsidR="00F13F38" w:rsidRPr="007F3549">
        <w:rPr>
          <w:rStyle w:val="hps"/>
          <w:i/>
          <w:sz w:val="18"/>
          <w:szCs w:val="18"/>
          <w:lang w:val="fr-FR"/>
        </w:rPr>
        <w:t>est</w:t>
      </w:r>
      <w:r w:rsidRPr="007F3549">
        <w:rPr>
          <w:i/>
          <w:sz w:val="18"/>
          <w:szCs w:val="18"/>
          <w:lang w:val="fr-FR"/>
        </w:rPr>
        <w:t xml:space="preserve"> </w:t>
      </w:r>
      <w:r w:rsidRPr="007F3549">
        <w:rPr>
          <w:rStyle w:val="hps"/>
          <w:i/>
          <w:sz w:val="18"/>
          <w:szCs w:val="18"/>
          <w:lang w:val="fr-FR"/>
        </w:rPr>
        <w:t>pas à l</w:t>
      </w:r>
      <w:r w:rsidR="00876E92" w:rsidRPr="007F3549">
        <w:rPr>
          <w:rStyle w:val="hps"/>
          <w:i/>
          <w:sz w:val="18"/>
          <w:szCs w:val="18"/>
          <w:lang w:val="fr-FR"/>
        </w:rPr>
        <w:t>’</w:t>
      </w:r>
      <w:r w:rsidRPr="007F3549">
        <w:rPr>
          <w:rStyle w:val="hps"/>
          <w:i/>
          <w:sz w:val="18"/>
          <w:szCs w:val="18"/>
          <w:lang w:val="fr-FR"/>
        </w:rPr>
        <w:t>échelle</w:t>
      </w:r>
      <w:r w:rsidR="007D0D8A" w:rsidRPr="007F3549">
        <w:rPr>
          <w:i/>
          <w:sz w:val="18"/>
          <w:szCs w:val="18"/>
          <w:lang w:val="fr-FR"/>
        </w:rPr>
        <w:t>.</w:t>
      </w:r>
    </w:p>
    <w:p w:rsidR="00F67053" w:rsidRPr="007F3549" w:rsidRDefault="005F1AC2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Bien que cette stratégie</w:t>
      </w:r>
      <w:r w:rsidRPr="007F3549">
        <w:rPr>
          <w:lang w:val="fr-FR"/>
        </w:rPr>
        <w:t xml:space="preserve"> </w:t>
      </w:r>
      <w:r w:rsidR="0006784B" w:rsidRPr="007F3549">
        <w:rPr>
          <w:rStyle w:val="hps"/>
          <w:lang w:val="fr-FR"/>
        </w:rPr>
        <w:t>entraîne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une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augmentation du niveau de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risque </w:t>
      </w:r>
      <w:r w:rsidR="0006784B" w:rsidRPr="007F3549">
        <w:rPr>
          <w:rStyle w:val="hps"/>
          <w:lang w:val="fr-FR"/>
        </w:rPr>
        <w:t>lié à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un portefeuille de placements</w:t>
      </w:r>
      <w:r w:rsidRPr="007F3549">
        <w:rPr>
          <w:lang w:val="fr-FR"/>
        </w:rPr>
        <w:t xml:space="preserve">, </w:t>
      </w:r>
      <w:r w:rsidR="006031C1" w:rsidRPr="007F3549">
        <w:rPr>
          <w:lang w:val="fr-FR"/>
        </w:rPr>
        <w:t xml:space="preserve">la solution qui consiste à </w:t>
      </w:r>
      <w:r w:rsidRPr="007F3549">
        <w:rPr>
          <w:rStyle w:val="hps"/>
          <w:lang w:val="fr-FR"/>
        </w:rPr>
        <w:t>investir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dans des dépôts bancaires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et </w:t>
      </w:r>
      <w:r w:rsidR="006031C1" w:rsidRPr="007F3549">
        <w:rPr>
          <w:rStyle w:val="hps"/>
          <w:lang w:val="fr-FR"/>
        </w:rPr>
        <w:t>des</w:t>
      </w:r>
      <w:r w:rsidRPr="007F3549">
        <w:rPr>
          <w:rStyle w:val="hps"/>
          <w:lang w:val="fr-FR"/>
        </w:rPr>
        <w:t xml:space="preserve"> obligations gouvernementales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suisses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garantira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érosion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ces sommes</w:t>
      </w:r>
      <w:r w:rsidRPr="007F3549">
        <w:rPr>
          <w:lang w:val="fr-FR"/>
        </w:rPr>
        <w:t xml:space="preserve"> </w:t>
      </w:r>
      <w:r w:rsidR="0006784B" w:rsidRPr="007F3549">
        <w:rPr>
          <w:rStyle w:val="hps"/>
          <w:lang w:val="fr-FR"/>
        </w:rPr>
        <w:t>tant</w:t>
      </w:r>
      <w:r w:rsidRPr="007F3549">
        <w:rPr>
          <w:rStyle w:val="hps"/>
          <w:lang w:val="fr-FR"/>
        </w:rPr>
        <w:t xml:space="preserve"> que les taux</w:t>
      </w:r>
      <w:r w:rsidRPr="007F3549">
        <w:rPr>
          <w:lang w:val="fr-FR"/>
        </w:rPr>
        <w:t xml:space="preserve"> </w:t>
      </w:r>
      <w:r w:rsidR="0006784B" w:rsidRPr="007F3549">
        <w:rPr>
          <w:lang w:val="fr-FR"/>
        </w:rPr>
        <w:lastRenderedPageBreak/>
        <w:t>d</w:t>
      </w:r>
      <w:r w:rsidR="00876E92" w:rsidRPr="007F3549">
        <w:rPr>
          <w:lang w:val="fr-FR"/>
        </w:rPr>
        <w:t>’</w:t>
      </w:r>
      <w:r w:rsidR="0006784B" w:rsidRPr="007F3549">
        <w:rPr>
          <w:lang w:val="fr-FR"/>
        </w:rPr>
        <w:t xml:space="preserve">intérêt </w:t>
      </w:r>
      <w:r w:rsidRPr="007F3549">
        <w:rPr>
          <w:rStyle w:val="hps"/>
          <w:lang w:val="fr-FR"/>
        </w:rPr>
        <w:t>négatifs</w:t>
      </w:r>
      <w:r w:rsidRPr="007F3549">
        <w:rPr>
          <w:lang w:val="fr-FR"/>
        </w:rPr>
        <w:t xml:space="preserve"> </w:t>
      </w:r>
      <w:r w:rsidR="0006784B" w:rsidRPr="007F3549">
        <w:rPr>
          <w:rStyle w:val="hps"/>
          <w:lang w:val="fr-FR"/>
        </w:rPr>
        <w:t>prévaudront</w:t>
      </w:r>
      <w:r w:rsidRPr="007F3549">
        <w:rPr>
          <w:lang w:val="fr-FR"/>
        </w:rPr>
        <w:t xml:space="preserve">. </w:t>
      </w:r>
      <w:r w:rsidR="006031C1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taux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 xml:space="preserve">intérêt </w:t>
      </w:r>
      <w:r w:rsidR="006031C1" w:rsidRPr="007F3549">
        <w:rPr>
          <w:rStyle w:val="hps"/>
          <w:lang w:val="fr-FR"/>
        </w:rPr>
        <w:t>s</w:t>
      </w:r>
      <w:r w:rsidR="00876E92" w:rsidRPr="007F3549">
        <w:rPr>
          <w:rStyle w:val="hps"/>
          <w:lang w:val="fr-FR"/>
        </w:rPr>
        <w:t>’</w:t>
      </w:r>
      <w:r w:rsidR="006031C1" w:rsidRPr="007F3549">
        <w:rPr>
          <w:rStyle w:val="hps"/>
          <w:lang w:val="fr-FR"/>
        </w:rPr>
        <w:t>élèvent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actuellement</w:t>
      </w:r>
      <w:r w:rsidRPr="007F3549">
        <w:rPr>
          <w:lang w:val="fr-FR"/>
        </w:rPr>
        <w:t xml:space="preserve"> </w:t>
      </w:r>
      <w:r w:rsidR="007F3549" w:rsidRPr="007F3549">
        <w:rPr>
          <w:lang w:val="fr-FR"/>
        </w:rPr>
        <w:t>à –</w:t>
      </w:r>
      <w:r w:rsidRPr="007F3549">
        <w:rPr>
          <w:rStyle w:val="hps"/>
          <w:lang w:val="fr-FR"/>
        </w:rPr>
        <w:t>0,75%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et pourraient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se détériorer davantage</w:t>
      </w:r>
      <w:r w:rsidR="00F67053" w:rsidRPr="007F3549">
        <w:rPr>
          <w:lang w:val="fr-FR"/>
        </w:rPr>
        <w:t>.</w:t>
      </w:r>
    </w:p>
    <w:p w:rsidR="007B20FC" w:rsidRPr="007F3549" w:rsidRDefault="005F1AC2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En décidant de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se déplacer le long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axe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</w:t>
      </w:r>
      <w:r w:rsidR="00956974" w:rsidRPr="007F3549">
        <w:rPr>
          <w:rStyle w:val="hps"/>
          <w:lang w:val="fr-FR"/>
        </w:rPr>
        <w:t>s</w:t>
      </w:r>
      <w:r w:rsidRPr="007F3549">
        <w:rPr>
          <w:rStyle w:val="hps"/>
          <w:lang w:val="fr-FR"/>
        </w:rPr>
        <w:t xml:space="preserve"> risque</w:t>
      </w:r>
      <w:r w:rsidR="00956974" w:rsidRPr="007F3549">
        <w:rPr>
          <w:rStyle w:val="hps"/>
          <w:lang w:val="fr-FR"/>
        </w:rPr>
        <w:t>s</w:t>
      </w:r>
      <w:r w:rsidRPr="007F3549">
        <w:rPr>
          <w:lang w:val="fr-FR"/>
        </w:rPr>
        <w:t xml:space="preserve">, </w:t>
      </w:r>
      <w:r w:rsidR="006031C1" w:rsidRPr="007F3549">
        <w:rPr>
          <w:lang w:val="fr-FR"/>
        </w:rPr>
        <w:t xml:space="preserve">les investisseurs prennent </w:t>
      </w:r>
      <w:r w:rsidR="0053053B">
        <w:rPr>
          <w:lang w:val="fr-FR"/>
        </w:rPr>
        <w:t>généralement</w:t>
      </w:r>
      <w:r w:rsidR="006031C1" w:rsidRPr="007F3549">
        <w:rPr>
          <w:lang w:val="fr-FR"/>
        </w:rPr>
        <w:t xml:space="preserve"> en compte </w:t>
      </w:r>
      <w:r w:rsidRPr="007F3549">
        <w:rPr>
          <w:lang w:val="fr-FR"/>
        </w:rPr>
        <w:t xml:space="preserve">les </w:t>
      </w:r>
      <w:r w:rsidR="006031C1" w:rsidRPr="007F3549">
        <w:rPr>
          <w:lang w:val="fr-FR"/>
        </w:rPr>
        <w:t>aspects suivants</w:t>
      </w:r>
      <w:r w:rsidRPr="007F3549">
        <w:rPr>
          <w:rStyle w:val="hps"/>
          <w:lang w:val="fr-FR"/>
        </w:rPr>
        <w:t> </w:t>
      </w:r>
      <w:r w:rsidR="007B20FC" w:rsidRPr="007F3549">
        <w:rPr>
          <w:rStyle w:val="hps"/>
          <w:lang w:val="fr-FR"/>
        </w:rPr>
        <w:t>:</w:t>
      </w:r>
    </w:p>
    <w:p w:rsidR="007B20FC" w:rsidRPr="007F3549" w:rsidRDefault="005F1AC2" w:rsidP="00B50D94">
      <w:pPr>
        <w:pStyle w:val="ONUMFS"/>
        <w:numPr>
          <w:ilvl w:val="1"/>
          <w:numId w:val="3"/>
        </w:numPr>
        <w:rPr>
          <w:lang w:val="fr-FR"/>
        </w:rPr>
      </w:pPr>
      <w:r w:rsidRPr="0053053B">
        <w:rPr>
          <w:rStyle w:val="hps"/>
          <w:lang w:val="fr-FR"/>
        </w:rPr>
        <w:t>L</w:t>
      </w:r>
      <w:r w:rsidR="00876E92" w:rsidRPr="0053053B">
        <w:rPr>
          <w:rStyle w:val="hps"/>
          <w:lang w:val="fr-FR"/>
        </w:rPr>
        <w:t>’</w:t>
      </w:r>
      <w:r w:rsidRPr="0053053B">
        <w:rPr>
          <w:rStyle w:val="hps"/>
          <w:lang w:val="fr-FR"/>
        </w:rPr>
        <w:t>impact</w:t>
      </w:r>
      <w:r w:rsidRPr="0053053B">
        <w:rPr>
          <w:lang w:val="fr-FR"/>
        </w:rPr>
        <w:t xml:space="preserve"> </w:t>
      </w:r>
      <w:r w:rsidRPr="0053053B">
        <w:rPr>
          <w:rStyle w:val="hps"/>
          <w:lang w:val="fr-FR"/>
        </w:rPr>
        <w:t xml:space="preserve">de </w:t>
      </w:r>
      <w:r w:rsidR="00EE0786" w:rsidRPr="0053053B">
        <w:rPr>
          <w:rStyle w:val="hps"/>
          <w:lang w:val="fr-FR"/>
        </w:rPr>
        <w:t>la durée de placement</w:t>
      </w:r>
      <w:r w:rsidRPr="0053053B">
        <w:rPr>
          <w:lang w:val="fr-FR"/>
        </w:rPr>
        <w:t xml:space="preserve"> </w:t>
      </w:r>
      <w:r w:rsidR="0006784B" w:rsidRPr="0053053B">
        <w:rPr>
          <w:rStyle w:val="hps"/>
          <w:lang w:val="fr-FR"/>
        </w:rPr>
        <w:t>sur</w:t>
      </w:r>
      <w:r w:rsidRPr="0053053B">
        <w:rPr>
          <w:rStyle w:val="hps"/>
          <w:lang w:val="fr-FR"/>
        </w:rPr>
        <w:t xml:space="preserve"> la capacité à</w:t>
      </w:r>
      <w:r w:rsidRPr="0053053B">
        <w:rPr>
          <w:lang w:val="fr-FR"/>
        </w:rPr>
        <w:t xml:space="preserve"> </w:t>
      </w:r>
      <w:r w:rsidRPr="0053053B">
        <w:rPr>
          <w:rStyle w:val="hps"/>
          <w:lang w:val="fr-FR"/>
        </w:rPr>
        <w:t>prendre des risques</w:t>
      </w:r>
      <w:r w:rsidRPr="0053053B">
        <w:rPr>
          <w:lang w:val="fr-FR"/>
        </w:rPr>
        <w:t xml:space="preserve"> </w:t>
      </w:r>
      <w:r w:rsidR="0006784B" w:rsidRPr="0053053B">
        <w:rPr>
          <w:szCs w:val="22"/>
        </w:rPr>
        <w:t xml:space="preserve">– </w:t>
      </w:r>
      <w:r w:rsidRPr="0053053B">
        <w:rPr>
          <w:rStyle w:val="hps"/>
          <w:lang w:val="fr-FR"/>
        </w:rPr>
        <w:t>généralement</w:t>
      </w:r>
      <w:r w:rsidR="00EE0786" w:rsidRPr="007F3549">
        <w:rPr>
          <w:rStyle w:val="hps"/>
          <w:lang w:val="fr-FR"/>
        </w:rPr>
        <w:t>,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plus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horizon</w:t>
      </w:r>
      <w:r w:rsidRPr="007F3549">
        <w:rPr>
          <w:lang w:val="fr-FR"/>
        </w:rPr>
        <w:t xml:space="preserve"> </w:t>
      </w:r>
      <w:r w:rsidR="0095342B" w:rsidRPr="007F3549">
        <w:rPr>
          <w:rStyle w:val="hps"/>
          <w:lang w:val="fr-FR"/>
        </w:rPr>
        <w:t>de placement</w:t>
      </w:r>
      <w:r w:rsidR="0006784B" w:rsidRPr="007F3549">
        <w:rPr>
          <w:rStyle w:val="hps"/>
          <w:lang w:val="fr-FR"/>
        </w:rPr>
        <w:t xml:space="preserve"> est lointain</w:t>
      </w:r>
      <w:r w:rsidRPr="007F3549">
        <w:rPr>
          <w:lang w:val="fr-FR"/>
        </w:rPr>
        <w:t xml:space="preserve">, plus le </w:t>
      </w:r>
      <w:r w:rsidRPr="007F3549">
        <w:rPr>
          <w:rStyle w:val="hps"/>
          <w:lang w:val="fr-FR"/>
        </w:rPr>
        <w:t>niveau de risque</w:t>
      </w:r>
      <w:r w:rsidRPr="007F3549">
        <w:rPr>
          <w:lang w:val="fr-FR"/>
        </w:rPr>
        <w:t xml:space="preserve"> </w:t>
      </w:r>
      <w:r w:rsidR="0006784B" w:rsidRPr="007F3549">
        <w:rPr>
          <w:rStyle w:val="hps"/>
          <w:lang w:val="fr-FR"/>
        </w:rPr>
        <w:t>acceptable est élevé</w:t>
      </w:r>
      <w:r w:rsidR="007B20FC" w:rsidRPr="007F3549">
        <w:rPr>
          <w:lang w:val="fr-FR"/>
        </w:rPr>
        <w:t>;</w:t>
      </w:r>
    </w:p>
    <w:p w:rsidR="007B20FC" w:rsidRPr="007F3549" w:rsidRDefault="005F1AC2" w:rsidP="00B50D94">
      <w:pPr>
        <w:pStyle w:val="ONUMFS"/>
        <w:numPr>
          <w:ilvl w:val="1"/>
          <w:numId w:val="3"/>
        </w:numPr>
        <w:rPr>
          <w:lang w:val="fr-FR"/>
        </w:rPr>
      </w:pP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impact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de la </w:t>
      </w:r>
      <w:r w:rsidR="00EE0786" w:rsidRPr="007F3549">
        <w:rPr>
          <w:rStyle w:val="hps"/>
          <w:lang w:val="fr-FR"/>
        </w:rPr>
        <w:t>durée</w:t>
      </w:r>
      <w:r w:rsidRPr="007F3549">
        <w:rPr>
          <w:rStyle w:val="hps"/>
          <w:lang w:val="fr-FR"/>
        </w:rPr>
        <w:t xml:space="preserve"> </w:t>
      </w:r>
      <w:r w:rsidR="00EE0786" w:rsidRPr="007F3549">
        <w:rPr>
          <w:rStyle w:val="hps"/>
          <w:lang w:val="fr-FR"/>
        </w:rPr>
        <w:t>de placement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sur la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répartition </w:t>
      </w:r>
      <w:r w:rsidR="0006784B" w:rsidRPr="007F3549">
        <w:rPr>
          <w:rStyle w:val="hps"/>
          <w:lang w:val="fr-FR"/>
        </w:rPr>
        <w:t>des actifs</w:t>
      </w:r>
      <w:r w:rsidRPr="007F3549">
        <w:rPr>
          <w:lang w:val="fr-FR"/>
        </w:rPr>
        <w:t xml:space="preserve"> </w:t>
      </w:r>
      <w:r w:rsidR="0006784B" w:rsidRPr="007F3549">
        <w:rPr>
          <w:szCs w:val="22"/>
        </w:rPr>
        <w:t xml:space="preserve">– </w:t>
      </w:r>
      <w:r w:rsidRPr="007F3549">
        <w:rPr>
          <w:rStyle w:val="hps"/>
          <w:lang w:val="fr-FR"/>
        </w:rPr>
        <w:t>si</w:t>
      </w:r>
      <w:r w:rsidRPr="007F3549">
        <w:rPr>
          <w:lang w:val="fr-FR"/>
        </w:rPr>
        <w:t xml:space="preserve"> </w:t>
      </w:r>
      <w:r w:rsidR="0014166E" w:rsidRPr="007F3549">
        <w:rPr>
          <w:rStyle w:val="hps"/>
          <w:lang w:val="fr-FR"/>
        </w:rPr>
        <w:t>les</w:t>
      </w:r>
      <w:r w:rsidR="00EE0786" w:rsidRPr="007F3549">
        <w:rPr>
          <w:rStyle w:val="hps"/>
          <w:lang w:val="fr-FR"/>
        </w:rPr>
        <w:t xml:space="preserve"> liquidités sont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nécessaire</w:t>
      </w:r>
      <w:r w:rsidR="00EE0786" w:rsidRPr="007F3549">
        <w:rPr>
          <w:lang w:val="fr-FR"/>
        </w:rPr>
        <w:t xml:space="preserve">s </w:t>
      </w:r>
      <w:r w:rsidRPr="007F3549">
        <w:rPr>
          <w:rStyle w:val="hps"/>
          <w:lang w:val="fr-FR"/>
        </w:rPr>
        <w:t xml:space="preserve">dans un </w:t>
      </w:r>
      <w:r w:rsidR="003A1779" w:rsidRPr="007F3549">
        <w:rPr>
          <w:rStyle w:val="hps"/>
          <w:lang w:val="fr-FR"/>
        </w:rPr>
        <w:t xml:space="preserve">proche </w:t>
      </w:r>
      <w:r w:rsidRPr="007F3549">
        <w:rPr>
          <w:rStyle w:val="hps"/>
          <w:lang w:val="fr-FR"/>
        </w:rPr>
        <w:t>avenir</w:t>
      </w:r>
      <w:r w:rsidRPr="007F3549">
        <w:rPr>
          <w:lang w:val="fr-FR"/>
        </w:rPr>
        <w:t xml:space="preserve">, </w:t>
      </w:r>
      <w:r w:rsidR="003A1779" w:rsidRPr="007F3549">
        <w:rPr>
          <w:lang w:val="fr-FR"/>
        </w:rPr>
        <w:t>elles</w:t>
      </w:r>
      <w:r w:rsidRPr="007F3549">
        <w:rPr>
          <w:lang w:val="fr-FR"/>
        </w:rPr>
        <w:t xml:space="preserve"> </w:t>
      </w:r>
      <w:r w:rsidR="003A1779" w:rsidRPr="007F3549">
        <w:rPr>
          <w:rStyle w:val="hps"/>
          <w:lang w:val="fr-FR"/>
        </w:rPr>
        <w:t xml:space="preserve">doivent </w:t>
      </w:r>
      <w:r w:rsidRPr="007F3549">
        <w:rPr>
          <w:rStyle w:val="hps"/>
          <w:lang w:val="fr-FR"/>
        </w:rPr>
        <w:t xml:space="preserve">être </w:t>
      </w:r>
      <w:r w:rsidR="003A1779" w:rsidRPr="007F3549">
        <w:rPr>
          <w:rStyle w:val="hps"/>
          <w:lang w:val="fr-FR"/>
        </w:rPr>
        <w:t>placées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dans </w:t>
      </w:r>
      <w:r w:rsidR="003A1779" w:rsidRPr="007F3549">
        <w:rPr>
          <w:rStyle w:val="hps"/>
          <w:lang w:val="fr-FR"/>
        </w:rPr>
        <w:t>des</w:t>
      </w:r>
      <w:r w:rsidRPr="007F3549">
        <w:rPr>
          <w:rStyle w:val="hps"/>
          <w:lang w:val="fr-FR"/>
        </w:rPr>
        <w:t xml:space="preserve"> classes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actifs</w:t>
      </w:r>
      <w:r w:rsidRPr="007F3549">
        <w:rPr>
          <w:lang w:val="fr-FR"/>
        </w:rPr>
        <w:t xml:space="preserve"> </w:t>
      </w:r>
      <w:r w:rsidR="0014166E" w:rsidRPr="007F3549">
        <w:rPr>
          <w:rStyle w:val="hps"/>
          <w:lang w:val="fr-FR"/>
        </w:rPr>
        <w:t>convertissables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en </w:t>
      </w:r>
      <w:r w:rsidR="003A1779" w:rsidRPr="007F3549">
        <w:rPr>
          <w:rStyle w:val="hps"/>
          <w:lang w:val="fr-FR"/>
        </w:rPr>
        <w:t>liquidités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rapidement et à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coût faible </w:t>
      </w:r>
      <w:r w:rsidR="00EE0786" w:rsidRPr="007F3549">
        <w:rPr>
          <w:rStyle w:val="hps"/>
          <w:lang w:val="fr-FR"/>
        </w:rPr>
        <w:t>voire</w:t>
      </w:r>
      <w:r w:rsidRPr="007F3549">
        <w:rPr>
          <w:rStyle w:val="hps"/>
          <w:lang w:val="fr-FR"/>
        </w:rPr>
        <w:t xml:space="preserve"> nul</w:t>
      </w:r>
      <w:r w:rsidRPr="007F3549">
        <w:rPr>
          <w:lang w:val="fr-FR"/>
        </w:rPr>
        <w:t>.</w:t>
      </w:r>
      <w:r w:rsidR="00EE0786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même, si</w:t>
      </w:r>
      <w:r w:rsidRPr="007F3549">
        <w:rPr>
          <w:lang w:val="fr-FR"/>
        </w:rPr>
        <w:t xml:space="preserve"> </w:t>
      </w:r>
      <w:r w:rsidR="003A1779" w:rsidRPr="007F3549">
        <w:rPr>
          <w:rStyle w:val="hps"/>
          <w:lang w:val="fr-FR"/>
        </w:rPr>
        <w:t>les liquidités ne sont pas</w:t>
      </w:r>
      <w:r w:rsidRPr="007F3549">
        <w:rPr>
          <w:rStyle w:val="hps"/>
          <w:lang w:val="fr-FR"/>
        </w:rPr>
        <w:t xml:space="preserve"> </w:t>
      </w:r>
      <w:r w:rsidR="003A1779" w:rsidRPr="007F3549">
        <w:rPr>
          <w:rStyle w:val="hps"/>
          <w:lang w:val="fr-FR"/>
        </w:rPr>
        <w:t xml:space="preserve">nécessaires avant </w:t>
      </w:r>
      <w:r w:rsidRPr="007F3549">
        <w:rPr>
          <w:rStyle w:val="hps"/>
          <w:lang w:val="fr-FR"/>
        </w:rPr>
        <w:t>plusieurs années</w:t>
      </w:r>
      <w:r w:rsidRPr="007F3549">
        <w:rPr>
          <w:lang w:val="fr-FR"/>
        </w:rPr>
        <w:t xml:space="preserve">, </w:t>
      </w:r>
      <w:r w:rsidR="003A1779" w:rsidRPr="007F3549">
        <w:rPr>
          <w:lang w:val="fr-FR"/>
        </w:rPr>
        <w:t>elles peuvent</w:t>
      </w:r>
      <w:r w:rsidRPr="007F3549">
        <w:rPr>
          <w:rStyle w:val="hps"/>
          <w:lang w:val="fr-FR"/>
        </w:rPr>
        <w:t xml:space="preserve"> être </w:t>
      </w:r>
      <w:r w:rsidR="003A1779" w:rsidRPr="007F3549">
        <w:rPr>
          <w:rStyle w:val="hps"/>
          <w:lang w:val="fr-FR"/>
        </w:rPr>
        <w:t>placées</w:t>
      </w:r>
      <w:r w:rsidR="003A1779" w:rsidRPr="007F3549">
        <w:rPr>
          <w:lang w:val="fr-FR"/>
        </w:rPr>
        <w:t xml:space="preserve"> soit </w:t>
      </w:r>
      <w:r w:rsidRPr="007F3549">
        <w:rPr>
          <w:rStyle w:val="hps"/>
          <w:lang w:val="fr-FR"/>
        </w:rPr>
        <w:t xml:space="preserve">dans des actifs </w:t>
      </w:r>
      <w:r w:rsidR="003A1779" w:rsidRPr="007F3549">
        <w:rPr>
          <w:rStyle w:val="hps"/>
          <w:lang w:val="fr-FR"/>
        </w:rPr>
        <w:t xml:space="preserve">dont la conversion en liquidités prend un </w:t>
      </w:r>
      <w:r w:rsidRPr="007F3549">
        <w:rPr>
          <w:rStyle w:val="hps"/>
          <w:lang w:val="fr-FR"/>
        </w:rPr>
        <w:t>certain temps</w:t>
      </w:r>
      <w:r w:rsidR="003A1779" w:rsidRPr="007F3549">
        <w:rPr>
          <w:lang w:val="fr-FR"/>
        </w:rPr>
        <w:t xml:space="preserve"> (</w:t>
      </w:r>
      <w:r w:rsidRPr="007F3549">
        <w:rPr>
          <w:rStyle w:val="hps"/>
          <w:lang w:val="fr-FR"/>
        </w:rPr>
        <w:t>investissements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directs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dans 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immobilier</w:t>
      </w:r>
      <w:r w:rsidR="003A1779" w:rsidRPr="007F3549">
        <w:rPr>
          <w:rStyle w:val="hps"/>
          <w:lang w:val="fr-FR"/>
        </w:rPr>
        <w:t>, par exemple)</w:t>
      </w:r>
      <w:r w:rsidRPr="007F3549">
        <w:rPr>
          <w:lang w:val="fr-FR"/>
        </w:rPr>
        <w:t xml:space="preserve">, </w:t>
      </w:r>
      <w:r w:rsidR="003A1779" w:rsidRPr="007F3549">
        <w:rPr>
          <w:rStyle w:val="hps"/>
          <w:lang w:val="fr-FR"/>
        </w:rPr>
        <w:t>soit dans des actifs qui ne</w:t>
      </w:r>
      <w:r w:rsidRPr="007F3549">
        <w:rPr>
          <w:rStyle w:val="hps"/>
          <w:lang w:val="fr-FR"/>
        </w:rPr>
        <w:t xml:space="preserve"> </w:t>
      </w:r>
      <w:r w:rsidR="003A1779" w:rsidRPr="007F3549">
        <w:rPr>
          <w:rStyle w:val="hps"/>
          <w:lang w:val="fr-FR"/>
        </w:rPr>
        <w:t xml:space="preserve">doivent </w:t>
      </w:r>
      <w:r w:rsidRPr="007F3549">
        <w:rPr>
          <w:rStyle w:val="hps"/>
          <w:lang w:val="fr-FR"/>
        </w:rPr>
        <w:t>être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liquidés</w:t>
      </w:r>
      <w:r w:rsidR="003A1779" w:rsidRPr="007F3549">
        <w:rPr>
          <w:rStyle w:val="hps"/>
          <w:lang w:val="fr-FR"/>
        </w:rPr>
        <w:t xml:space="preserve"> que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lorsque les conditions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du marché le permettent</w:t>
      </w:r>
      <w:r w:rsidR="003A1779" w:rsidRPr="007F3549">
        <w:rPr>
          <w:rStyle w:val="hps"/>
          <w:lang w:val="fr-FR"/>
        </w:rPr>
        <w:t xml:space="preserve"> (</w:t>
      </w:r>
      <w:r w:rsidRPr="007F3549">
        <w:rPr>
          <w:rStyle w:val="hps"/>
          <w:lang w:val="fr-FR"/>
        </w:rPr>
        <w:t>avoirs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en actions</w:t>
      </w:r>
      <w:r w:rsidR="003A1779" w:rsidRPr="007F3549">
        <w:rPr>
          <w:rStyle w:val="hps"/>
          <w:lang w:val="fr-FR"/>
        </w:rPr>
        <w:t>, par exemple)</w:t>
      </w:r>
      <w:r w:rsidR="007B20FC" w:rsidRPr="007F3549">
        <w:rPr>
          <w:lang w:val="fr-FR"/>
        </w:rPr>
        <w:t>.</w:t>
      </w:r>
    </w:p>
    <w:p w:rsidR="007B20FC" w:rsidRPr="007F3549" w:rsidRDefault="005F1AC2" w:rsidP="00B50D94">
      <w:pPr>
        <w:pStyle w:val="ONUMFS"/>
        <w:numPr>
          <w:ilvl w:val="1"/>
          <w:numId w:val="3"/>
        </w:numPr>
        <w:rPr>
          <w:lang w:val="fr-FR"/>
        </w:rPr>
      </w:pPr>
      <w:r w:rsidRPr="007F3549">
        <w:rPr>
          <w:rStyle w:val="hps"/>
          <w:lang w:val="fr-FR"/>
        </w:rPr>
        <w:t>La volonté et la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capacité à supporter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les fluctuations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 la valeur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du portefeuille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(volatilité</w:t>
      </w:r>
      <w:r w:rsidRPr="007F3549">
        <w:rPr>
          <w:lang w:val="fr-FR"/>
        </w:rPr>
        <w:t xml:space="preserve">) </w:t>
      </w:r>
      <w:r w:rsidR="00CB04E1" w:rsidRPr="007F3549">
        <w:rPr>
          <w:szCs w:val="22"/>
        </w:rPr>
        <w:t xml:space="preserve">– </w:t>
      </w:r>
      <w:r w:rsidRPr="007F3549">
        <w:rPr>
          <w:rStyle w:val="hps"/>
          <w:lang w:val="fr-FR"/>
        </w:rPr>
        <w:t xml:space="preserve">la valeur des </w:t>
      </w:r>
      <w:r w:rsidR="00CB04E1" w:rsidRPr="007F3549">
        <w:rPr>
          <w:rStyle w:val="hps"/>
          <w:lang w:val="fr-FR"/>
        </w:rPr>
        <w:t>placements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peut aussi bien diminuer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qu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augmenter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au fil du temps</w:t>
      </w:r>
      <w:r w:rsidRPr="007F3549">
        <w:rPr>
          <w:lang w:val="fr-FR"/>
        </w:rPr>
        <w:t xml:space="preserve">. </w:t>
      </w:r>
      <w:r w:rsidR="00CB04E1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Cela </w:t>
      </w:r>
      <w:r w:rsidR="0014166E" w:rsidRPr="007F3549">
        <w:rPr>
          <w:rStyle w:val="hps"/>
          <w:lang w:val="fr-FR"/>
        </w:rPr>
        <w:t>vaut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non seulement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pour les</w:t>
      </w:r>
      <w:r w:rsidRPr="007F3549">
        <w:rPr>
          <w:rStyle w:val="hps"/>
          <w:lang w:val="fr-FR"/>
        </w:rPr>
        <w:t xml:space="preserve"> classes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actifs qui sont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considérées comme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plus</w:t>
      </w:r>
      <w:r w:rsidR="00EE0786" w:rsidRPr="007F3549">
        <w:rPr>
          <w:rStyle w:val="hps"/>
          <w:lang w:val="fr-FR"/>
        </w:rPr>
        <w:t xml:space="preserve"> </w:t>
      </w:r>
      <w:r w:rsidR="00617726" w:rsidRPr="007F3549">
        <w:rPr>
          <w:rStyle w:val="hps"/>
          <w:lang w:val="fr-FR"/>
        </w:rPr>
        <w:t>“</w:t>
      </w:r>
      <w:r w:rsidRPr="007F3549">
        <w:rPr>
          <w:rStyle w:val="hps"/>
          <w:lang w:val="fr-FR"/>
        </w:rPr>
        <w:t>risquées</w:t>
      </w:r>
      <w:r w:rsidR="00617726" w:rsidRPr="007F3549">
        <w:rPr>
          <w:rStyle w:val="hps"/>
          <w:lang w:val="fr-FR"/>
        </w:rPr>
        <w:t>”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(</w:t>
      </w:r>
      <w:r w:rsidRPr="007F3549">
        <w:rPr>
          <w:rStyle w:val="hps"/>
          <w:lang w:val="fr-FR"/>
        </w:rPr>
        <w:t>actions</w:t>
      </w:r>
      <w:r w:rsidR="003C2A12" w:rsidRPr="007F3549">
        <w:rPr>
          <w:rStyle w:val="hps"/>
          <w:lang w:val="fr-FR"/>
        </w:rPr>
        <w:t>, par exemple)</w:t>
      </w:r>
      <w:r w:rsidRPr="007F3549">
        <w:rPr>
          <w:lang w:val="fr-FR"/>
        </w:rPr>
        <w:t xml:space="preserve">, mais aussi </w:t>
      </w:r>
      <w:r w:rsidR="003C2A12" w:rsidRPr="007F3549">
        <w:rPr>
          <w:rStyle w:val="hps"/>
          <w:lang w:val="fr-FR"/>
        </w:rPr>
        <w:t>pour les placements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moins </w:t>
      </w:r>
      <w:r w:rsidR="00617726" w:rsidRPr="007F3549">
        <w:rPr>
          <w:rStyle w:val="hps"/>
          <w:lang w:val="fr-FR"/>
        </w:rPr>
        <w:t>“</w:t>
      </w:r>
      <w:r w:rsidRPr="007F3549">
        <w:rPr>
          <w:rStyle w:val="hps"/>
          <w:lang w:val="fr-FR"/>
        </w:rPr>
        <w:t>risqués</w:t>
      </w:r>
      <w:r w:rsidR="00617726" w:rsidRPr="007F3549">
        <w:rPr>
          <w:rStyle w:val="hps"/>
          <w:lang w:val="fr-FR"/>
        </w:rPr>
        <w:t>”</w:t>
      </w:r>
      <w:r w:rsidRPr="007F3549">
        <w:rPr>
          <w:lang w:val="fr-FR"/>
        </w:rPr>
        <w:t xml:space="preserve"> </w:t>
      </w:r>
      <w:r w:rsidR="003C2A12" w:rsidRPr="007F3549">
        <w:rPr>
          <w:lang w:val="fr-FR"/>
        </w:rPr>
        <w:t>(</w:t>
      </w:r>
      <w:r w:rsidRPr="007F3549">
        <w:rPr>
          <w:rStyle w:val="hps"/>
          <w:lang w:val="fr-FR"/>
        </w:rPr>
        <w:t>obligations</w:t>
      </w:r>
      <w:r w:rsidRPr="007F3549">
        <w:rPr>
          <w:lang w:val="fr-FR"/>
        </w:rPr>
        <w:t xml:space="preserve"> </w:t>
      </w:r>
      <w:r w:rsidR="003C2A12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452A17" w:rsidRPr="007F3549">
        <w:rPr>
          <w:lang w:val="fr-FR"/>
        </w:rPr>
        <w:t>État</w:t>
      </w:r>
      <w:r w:rsidR="003C2A12" w:rsidRPr="007F3549">
        <w:rPr>
          <w:lang w:val="fr-FR"/>
        </w:rPr>
        <w:t>, par exemple)</w:t>
      </w:r>
      <w:r w:rsidRPr="007F3549">
        <w:rPr>
          <w:lang w:val="fr-FR"/>
        </w:rPr>
        <w:t xml:space="preserve">. </w:t>
      </w:r>
      <w:r w:rsidR="003C2A12"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Sur</w:t>
      </w:r>
      <w:r w:rsidRPr="007F3549">
        <w:rPr>
          <w:rStyle w:val="hps"/>
          <w:lang w:val="fr-FR"/>
        </w:rPr>
        <w:t xml:space="preserve"> le marché actuel</w:t>
      </w:r>
      <w:r w:rsidRPr="007F3549">
        <w:rPr>
          <w:lang w:val="fr-FR"/>
        </w:rPr>
        <w:t xml:space="preserve">, les dépôts bancaires </w:t>
      </w:r>
      <w:r w:rsidRPr="007F3549">
        <w:rPr>
          <w:rStyle w:val="hps"/>
          <w:lang w:val="fr-FR"/>
        </w:rPr>
        <w:t>en francs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suisses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afficheraient</w:t>
      </w:r>
      <w:r w:rsidRPr="007F3549">
        <w:rPr>
          <w:rStyle w:val="hps"/>
          <w:lang w:val="fr-FR"/>
        </w:rPr>
        <w:t xml:space="preserve"> également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des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chutes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de valeur. </w:t>
      </w:r>
      <w:r w:rsidR="003C2A12" w:rsidRPr="007F3549">
        <w:rPr>
          <w:rStyle w:val="hps"/>
          <w:lang w:val="fr-FR"/>
        </w:rPr>
        <w:t xml:space="preserve"> Les placements</w:t>
      </w:r>
      <w:r w:rsidRPr="007F3549">
        <w:rPr>
          <w:lang w:val="fr-FR"/>
        </w:rPr>
        <w:t xml:space="preserve"> </w:t>
      </w:r>
      <w:r w:rsidR="00617726" w:rsidRPr="007F3549">
        <w:rPr>
          <w:rStyle w:val="hps"/>
          <w:lang w:val="fr-FR"/>
        </w:rPr>
        <w:t>“</w:t>
      </w:r>
      <w:r w:rsidRPr="007F3549">
        <w:rPr>
          <w:lang w:val="fr-FR"/>
        </w:rPr>
        <w:t>risqués</w:t>
      </w:r>
      <w:r w:rsidR="00617726" w:rsidRPr="007F3549">
        <w:rPr>
          <w:lang w:val="fr-FR"/>
        </w:rPr>
        <w:t>”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ont tendance à </w:t>
      </w:r>
      <w:r w:rsidR="003C2A12" w:rsidRPr="007F3549">
        <w:rPr>
          <w:rStyle w:val="hps"/>
          <w:lang w:val="fr-FR"/>
        </w:rPr>
        <w:t>aller de pair avec</w:t>
      </w:r>
      <w:r w:rsidRPr="007F3549">
        <w:rPr>
          <w:rStyle w:val="hps"/>
          <w:lang w:val="fr-FR"/>
        </w:rPr>
        <w:t xml:space="preserve"> des niveaux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élevés de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volatilité. </w:t>
      </w:r>
      <w:r w:rsidR="003C2A12" w:rsidRPr="007F3549">
        <w:rPr>
          <w:rStyle w:val="hps"/>
          <w:lang w:val="fr-FR"/>
        </w:rPr>
        <w:t xml:space="preserve"> </w:t>
      </w:r>
      <w:r w:rsidRPr="007F3549">
        <w:rPr>
          <w:rStyle w:val="hps"/>
          <w:lang w:val="fr-FR"/>
        </w:rPr>
        <w:t>Les fluctuations de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valeur</w:t>
      </w:r>
      <w:r w:rsidRPr="007F3549">
        <w:rPr>
          <w:lang w:val="fr-FR"/>
        </w:rPr>
        <w:t xml:space="preserve"> </w:t>
      </w:r>
      <w:r w:rsidR="0014166E" w:rsidRPr="007F3549">
        <w:rPr>
          <w:rStyle w:val="hps"/>
          <w:lang w:val="fr-FR"/>
        </w:rPr>
        <w:t>devraient</w:t>
      </w:r>
      <w:r w:rsidRPr="007F3549">
        <w:rPr>
          <w:rStyle w:val="hps"/>
          <w:lang w:val="fr-FR"/>
        </w:rPr>
        <w:t xml:space="preserve"> être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enregistrées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dans les comptes de l</w:t>
      </w:r>
      <w:r w:rsidR="00876E92" w:rsidRPr="007F3549">
        <w:rPr>
          <w:rStyle w:val="hps"/>
          <w:lang w:val="fr-FR"/>
        </w:rPr>
        <w:t>’</w:t>
      </w:r>
      <w:r w:rsidR="003C2A12" w:rsidRPr="007F3549">
        <w:rPr>
          <w:rStyle w:val="hps"/>
          <w:lang w:val="fr-FR"/>
        </w:rPr>
        <w:t xml:space="preserve">Organisation, de manière à ce </w:t>
      </w:r>
      <w:r w:rsidRPr="007F3549">
        <w:rPr>
          <w:rStyle w:val="hps"/>
          <w:lang w:val="fr-FR"/>
        </w:rPr>
        <w:t>que les pertes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et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profits non réalisés</w:t>
      </w:r>
      <w:r w:rsidR="003C2A12"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en matière</w:t>
      </w:r>
      <w:r w:rsidRPr="007F3549">
        <w:rPr>
          <w:rStyle w:val="hps"/>
          <w:lang w:val="fr-FR"/>
        </w:rPr>
        <w:t xml:space="preserve"> de placement</w:t>
      </w:r>
      <w:r w:rsidR="00B47004" w:rsidRPr="007F3549">
        <w:rPr>
          <w:rStyle w:val="hps"/>
          <w:lang w:val="fr-FR"/>
        </w:rPr>
        <w:t>s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figurent dans</w:t>
      </w:r>
      <w:r w:rsidRPr="007F3549">
        <w:rPr>
          <w:rStyle w:val="hps"/>
          <w:lang w:val="fr-FR"/>
        </w:rPr>
        <w:t xml:space="preserve"> </w:t>
      </w:r>
      <w:r w:rsidR="003C2A12" w:rsidRPr="007F3549">
        <w:rPr>
          <w:rStyle w:val="hps"/>
          <w:lang w:val="fr-FR"/>
        </w:rPr>
        <w:t>le compte de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>résultat de l</w:t>
      </w:r>
      <w:r w:rsidR="00876E92" w:rsidRPr="007F3549">
        <w:rPr>
          <w:rStyle w:val="hps"/>
          <w:lang w:val="fr-FR"/>
        </w:rPr>
        <w:t>’</w:t>
      </w:r>
      <w:r w:rsidR="003C2A12" w:rsidRPr="007F3549">
        <w:rPr>
          <w:rStyle w:val="hps"/>
          <w:lang w:val="fr-FR"/>
        </w:rPr>
        <w:t>exercice</w:t>
      </w:r>
      <w:r w:rsidRPr="007F3549">
        <w:rPr>
          <w:rStyle w:val="hps"/>
          <w:lang w:val="fr-FR"/>
        </w:rPr>
        <w:t xml:space="preserve"> ou</w:t>
      </w:r>
      <w:r w:rsidRPr="007F3549">
        <w:rPr>
          <w:lang w:val="fr-FR"/>
        </w:rPr>
        <w:t xml:space="preserve"> </w:t>
      </w:r>
      <w:r w:rsidR="003C2A12" w:rsidRPr="007F3549">
        <w:rPr>
          <w:lang w:val="fr-FR"/>
        </w:rPr>
        <w:t>qu</w:t>
      </w:r>
      <w:r w:rsidR="00876E92" w:rsidRPr="007F3549">
        <w:rPr>
          <w:lang w:val="fr-FR"/>
        </w:rPr>
        <w:t>’</w:t>
      </w:r>
      <w:r w:rsidR="003C2A12" w:rsidRPr="007F3549">
        <w:rPr>
          <w:lang w:val="fr-FR"/>
        </w:rPr>
        <w:t xml:space="preserve">ils soient </w:t>
      </w:r>
      <w:r w:rsidR="003C2A12" w:rsidRPr="007F3549">
        <w:rPr>
          <w:rStyle w:val="hps"/>
          <w:lang w:val="fr-FR"/>
        </w:rPr>
        <w:t>comptabilisés en diminution des</w:t>
      </w:r>
      <w:r w:rsidRPr="007F3549">
        <w:rPr>
          <w:rStyle w:val="hps"/>
          <w:lang w:val="fr-FR"/>
        </w:rPr>
        <w:t xml:space="preserve"> réserves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en fonction du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type de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placement</w:t>
      </w:r>
      <w:r w:rsidR="004B5BEC" w:rsidRPr="007F3549">
        <w:rPr>
          <w:rStyle w:val="hps"/>
          <w:lang w:val="fr-FR"/>
        </w:rPr>
        <w:t>s</w:t>
      </w:r>
      <w:r w:rsidRPr="007F3549">
        <w:rPr>
          <w:rStyle w:val="hps"/>
          <w:lang w:val="fr-FR"/>
        </w:rPr>
        <w:t xml:space="preserve"> </w:t>
      </w:r>
      <w:r w:rsidR="0014166E" w:rsidRPr="007F3549">
        <w:rPr>
          <w:rStyle w:val="hps"/>
          <w:lang w:val="fr-FR"/>
        </w:rPr>
        <w:t>effectués</w:t>
      </w:r>
      <w:r w:rsidRPr="007F3549">
        <w:rPr>
          <w:lang w:val="fr-FR"/>
        </w:rPr>
        <w:t xml:space="preserve">. </w:t>
      </w:r>
      <w:r w:rsidR="003C2A12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Les pertes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et </w:t>
      </w:r>
      <w:r w:rsidR="003C2A12" w:rsidRPr="007F3549">
        <w:rPr>
          <w:rStyle w:val="hps"/>
          <w:lang w:val="fr-FR"/>
        </w:rPr>
        <w:t xml:space="preserve">profits </w:t>
      </w:r>
      <w:r w:rsidRPr="007F3549">
        <w:rPr>
          <w:rStyle w:val="hps"/>
          <w:lang w:val="fr-FR"/>
        </w:rPr>
        <w:t>réalisés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ne seraient évidemment</w:t>
      </w:r>
      <w:r w:rsidRPr="007F3549">
        <w:rPr>
          <w:lang w:val="fr-FR"/>
        </w:rPr>
        <w:t xml:space="preserve"> </w:t>
      </w:r>
      <w:r w:rsidR="003C2A12" w:rsidRPr="007F3549">
        <w:rPr>
          <w:rStyle w:val="hps"/>
          <w:lang w:val="fr-FR"/>
        </w:rPr>
        <w:t xml:space="preserve">pas comptabilisés dans le compte de résultat de </w:t>
      </w:r>
      <w:r w:rsidR="001C45C8">
        <w:rPr>
          <w:rStyle w:val="hps"/>
          <w:lang w:val="fr-FR"/>
        </w:rPr>
        <w:t>l’</w:t>
      </w:r>
      <w:r w:rsidR="003C2A12" w:rsidRPr="007F3549">
        <w:rPr>
          <w:rStyle w:val="hps"/>
          <w:lang w:val="fr-FR"/>
        </w:rPr>
        <w:t>exercice</w:t>
      </w:r>
      <w:r w:rsidR="00871970" w:rsidRPr="007F3549">
        <w:rPr>
          <w:lang w:val="fr-FR"/>
        </w:rPr>
        <w:t>.</w:t>
      </w:r>
    </w:p>
    <w:p w:rsidR="00F67053" w:rsidRPr="007F3549" w:rsidRDefault="005F1AC2" w:rsidP="00B50D94">
      <w:pPr>
        <w:pStyle w:val="ONUMFS"/>
        <w:rPr>
          <w:lang w:val="fr-FR"/>
        </w:rPr>
      </w:pPr>
      <w:r w:rsidRPr="007F3549">
        <w:rPr>
          <w:lang w:val="fr-FR"/>
        </w:rPr>
        <w:t xml:space="preserve">Il est important de noter que le compromis entre risque et rendement dans un portefeuille de placements dépend </w:t>
      </w:r>
      <w:r w:rsidR="003C2A12" w:rsidRPr="007F3549">
        <w:rPr>
          <w:lang w:val="fr-FR"/>
        </w:rPr>
        <w:t>non</w:t>
      </w:r>
      <w:r w:rsidRPr="007F3549">
        <w:rPr>
          <w:lang w:val="fr-FR"/>
        </w:rPr>
        <w:t xml:space="preserve"> seulement </w:t>
      </w:r>
      <w:r w:rsidR="003C2A12" w:rsidRPr="007F3549">
        <w:rPr>
          <w:lang w:val="fr-FR"/>
        </w:rPr>
        <w:t>du</w:t>
      </w:r>
      <w:r w:rsidRPr="007F3549">
        <w:rPr>
          <w:lang w:val="fr-FR"/>
        </w:rPr>
        <w:t xml:space="preserve"> risque </w:t>
      </w:r>
      <w:r w:rsidR="003C2A12" w:rsidRPr="007F3549">
        <w:rPr>
          <w:lang w:val="fr-FR"/>
        </w:rPr>
        <w:t xml:space="preserve">et du profil de rendement de </w:t>
      </w:r>
      <w:r w:rsidRPr="007F3549">
        <w:rPr>
          <w:lang w:val="fr-FR"/>
        </w:rPr>
        <w:t xml:space="preserve">chaque actif, mais aussi </w:t>
      </w:r>
      <w:r w:rsidR="003C2A12" w:rsidRPr="007F3549">
        <w:rPr>
          <w:lang w:val="fr-FR"/>
        </w:rPr>
        <w:t>de</w:t>
      </w:r>
      <w:r w:rsidRPr="007F3549">
        <w:rPr>
          <w:lang w:val="fr-FR"/>
        </w:rPr>
        <w:t xml:space="preserve"> la corrélation </w:t>
      </w:r>
      <w:r w:rsidR="009C7AD8" w:rsidRPr="007F3549">
        <w:rPr>
          <w:lang w:val="fr-FR"/>
        </w:rPr>
        <w:t>entre les</w:t>
      </w:r>
      <w:r w:rsidRPr="007F3549">
        <w:rPr>
          <w:lang w:val="fr-FR"/>
        </w:rPr>
        <w:t xml:space="preserve"> rendements </w:t>
      </w:r>
      <w:r w:rsidR="009C7AD8" w:rsidRPr="007F3549">
        <w:rPr>
          <w:lang w:val="fr-FR"/>
        </w:rPr>
        <w:t xml:space="preserve">des </w:t>
      </w:r>
      <w:r w:rsidRPr="007F3549">
        <w:rPr>
          <w:lang w:val="fr-FR"/>
        </w:rPr>
        <w:t>actifs.</w:t>
      </w:r>
      <w:r w:rsidR="00DD07D9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 Si la corrélation entre les différents actifs détenus peut être </w:t>
      </w:r>
      <w:r w:rsidR="00A02E74" w:rsidRPr="007F3549">
        <w:rPr>
          <w:lang w:val="fr-FR"/>
        </w:rPr>
        <w:t>ramenée à un minimum</w:t>
      </w:r>
      <w:r w:rsidRPr="007F3549">
        <w:rPr>
          <w:lang w:val="fr-FR"/>
        </w:rPr>
        <w:t xml:space="preserve">, les rendements des différents actifs ne seront pas touchés de la même manière ou dans la même mesure par un événement </w:t>
      </w:r>
      <w:r w:rsidR="009C7AD8" w:rsidRPr="007F3549">
        <w:rPr>
          <w:lang w:val="fr-FR"/>
        </w:rPr>
        <w:t>survenu sur le</w:t>
      </w:r>
      <w:r w:rsidRPr="007F3549">
        <w:rPr>
          <w:lang w:val="fr-FR"/>
        </w:rPr>
        <w:t xml:space="preserve"> marché. </w:t>
      </w:r>
      <w:r w:rsidR="009C7AD8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Dans un portefeuille bien diversifié, </w:t>
      </w:r>
      <w:r w:rsidR="009C7AD8" w:rsidRPr="007F3549">
        <w:rPr>
          <w:lang w:val="fr-FR"/>
        </w:rPr>
        <w:t xml:space="preserve">au fur et à mesure que le rendement </w:t>
      </w:r>
      <w:r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une classe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actifs</w:t>
      </w:r>
      <w:r w:rsidR="009C7AD8" w:rsidRPr="007F3549">
        <w:rPr>
          <w:lang w:val="fr-FR"/>
        </w:rPr>
        <w:t xml:space="preserve"> baisse</w:t>
      </w:r>
      <w:r w:rsidRPr="007F3549">
        <w:rPr>
          <w:lang w:val="fr-FR"/>
        </w:rPr>
        <w:t xml:space="preserve">, </w:t>
      </w:r>
      <w:r w:rsidR="00912F9F" w:rsidRPr="007F3549">
        <w:rPr>
          <w:lang w:val="fr-FR"/>
        </w:rPr>
        <w:t>celui</w:t>
      </w:r>
      <w:r w:rsidRPr="007F3549">
        <w:rPr>
          <w:lang w:val="fr-FR"/>
        </w:rPr>
        <w:t xml:space="preserve">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une autre augmente </w:t>
      </w:r>
      <w:r w:rsidR="00912F9F" w:rsidRPr="007F3549">
        <w:rPr>
          <w:lang w:val="fr-FR"/>
        </w:rPr>
        <w:t>à des fins de compensation partielle ou totale</w:t>
      </w:r>
      <w:r w:rsidRPr="007F3549">
        <w:rPr>
          <w:lang w:val="fr-FR"/>
        </w:rPr>
        <w:t xml:space="preserve">. </w:t>
      </w:r>
      <w:r w:rsidR="00912F9F" w:rsidRPr="007F3549">
        <w:rPr>
          <w:lang w:val="fr-FR"/>
        </w:rPr>
        <w:t xml:space="preserve"> </w:t>
      </w:r>
      <w:r w:rsidRPr="007F3549">
        <w:rPr>
          <w:lang w:val="fr-FR"/>
        </w:rPr>
        <w:t>Il est donc important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investir dans une gamme de classes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actifs</w:t>
      </w:r>
      <w:r w:rsidR="00912F9F" w:rsidRPr="007F3549">
        <w:rPr>
          <w:lang w:val="fr-FR"/>
        </w:rPr>
        <w:t xml:space="preserve"> suffisamment diversifiés, permettant de créer</w:t>
      </w:r>
      <w:r w:rsidRPr="007F3549">
        <w:rPr>
          <w:lang w:val="fr-FR"/>
        </w:rPr>
        <w:t xml:space="preserve"> un portefeuille optimal. </w:t>
      </w:r>
      <w:r w:rsidR="00EE0786" w:rsidRPr="007F3549">
        <w:rPr>
          <w:lang w:val="fr-FR"/>
        </w:rPr>
        <w:t xml:space="preserve"> </w:t>
      </w:r>
      <w:r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EE0786" w:rsidRPr="007F3549">
        <w:rPr>
          <w:lang w:val="fr-FR"/>
        </w:rPr>
        <w:t>annexe </w:t>
      </w:r>
      <w:r w:rsidRPr="007F3549">
        <w:rPr>
          <w:lang w:val="fr-FR"/>
        </w:rPr>
        <w:t xml:space="preserve">3 montre comment un portefeuille </w:t>
      </w:r>
      <w:r w:rsidR="00912F9F" w:rsidRPr="007F3549">
        <w:rPr>
          <w:lang w:val="fr-FR"/>
        </w:rPr>
        <w:t xml:space="preserve">peut être </w:t>
      </w:r>
      <w:r w:rsidRPr="007F3549">
        <w:rPr>
          <w:lang w:val="fr-FR"/>
        </w:rPr>
        <w:t>diversifié</w:t>
      </w:r>
      <w:r w:rsidR="00912F9F" w:rsidRPr="007F3549">
        <w:rPr>
          <w:lang w:val="fr-FR"/>
        </w:rPr>
        <w:t>,</w:t>
      </w:r>
      <w:r w:rsidRPr="007F3549">
        <w:rPr>
          <w:lang w:val="fr-FR"/>
        </w:rPr>
        <w:t xml:space="preserve"> et 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impact </w:t>
      </w:r>
      <w:r w:rsidR="00912F9F" w:rsidRPr="007F3549">
        <w:rPr>
          <w:lang w:val="fr-FR"/>
        </w:rPr>
        <w:t>que ce type de portefeuille peut avoir sur</w:t>
      </w:r>
      <w:r w:rsidRPr="007F3549">
        <w:rPr>
          <w:lang w:val="fr-FR"/>
        </w:rPr>
        <w:t xml:space="preserve"> les rendements sur une période de plusieurs années </w:t>
      </w:r>
      <w:r w:rsidR="00EE0786" w:rsidRPr="007F3549">
        <w:rPr>
          <w:lang w:val="fr-FR"/>
        </w:rPr>
        <w:t>(les rendements historiques de janvier 2005 à décembre </w:t>
      </w:r>
      <w:r w:rsidRPr="007F3549">
        <w:rPr>
          <w:lang w:val="fr-FR"/>
        </w:rPr>
        <w:t xml:space="preserve">2014 et les rendements </w:t>
      </w:r>
      <w:r w:rsidR="00912F9F" w:rsidRPr="007F3549">
        <w:rPr>
          <w:lang w:val="fr-FR"/>
        </w:rPr>
        <w:t>escomptés</w:t>
      </w:r>
      <w:r w:rsidRPr="007F3549">
        <w:rPr>
          <w:lang w:val="fr-FR"/>
        </w:rPr>
        <w:t xml:space="preserve"> pour la période</w:t>
      </w:r>
      <w:r w:rsidR="00617726" w:rsidRPr="007F3549">
        <w:rPr>
          <w:lang w:val="fr-FR"/>
        </w:rPr>
        <w:t> </w:t>
      </w:r>
      <w:r w:rsidRPr="007F3549">
        <w:rPr>
          <w:lang w:val="fr-FR"/>
        </w:rPr>
        <w:t>2015</w:t>
      </w:r>
      <w:r w:rsidR="00BD351E" w:rsidRPr="007F3549">
        <w:rPr>
          <w:lang w:val="fr-FR"/>
        </w:rPr>
        <w:noBreakHyphen/>
      </w:r>
      <w:r w:rsidRPr="007F3549">
        <w:rPr>
          <w:lang w:val="fr-FR"/>
        </w:rPr>
        <w:t xml:space="preserve">2020). </w:t>
      </w:r>
      <w:r w:rsidR="00912F9F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Le degré de risque </w:t>
      </w:r>
      <w:r w:rsidR="00912F9F" w:rsidRPr="007F3549">
        <w:rPr>
          <w:lang w:val="fr-FR"/>
        </w:rPr>
        <w:t>associé à</w:t>
      </w:r>
      <w:r w:rsidRPr="007F3549">
        <w:rPr>
          <w:lang w:val="fr-FR"/>
        </w:rPr>
        <w:t xml:space="preserve"> ces rend</w:t>
      </w:r>
      <w:r w:rsidR="00912F9F" w:rsidRPr="007F3549">
        <w:rPr>
          <w:lang w:val="fr-FR"/>
        </w:rPr>
        <w:t>ements est également illustré</w:t>
      </w:r>
      <w:r w:rsidRPr="007F3549">
        <w:rPr>
          <w:lang w:val="fr-FR"/>
        </w:rPr>
        <w:t xml:space="preserve">. </w:t>
      </w:r>
      <w:r w:rsidR="00912F9F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La colonne intitulée </w:t>
      </w:r>
      <w:r w:rsidR="00617726" w:rsidRPr="007F3549">
        <w:rPr>
          <w:lang w:val="fr-FR"/>
        </w:rPr>
        <w:t>“</w:t>
      </w:r>
      <w:r w:rsidR="00912F9F" w:rsidRPr="007F3549">
        <w:rPr>
          <w:lang w:val="fr-FR"/>
        </w:rPr>
        <w:t>p</w:t>
      </w:r>
      <w:r w:rsidRPr="007F3549">
        <w:rPr>
          <w:lang w:val="fr-FR"/>
        </w:rPr>
        <w:t>ortefeuille</w:t>
      </w:r>
      <w:r w:rsidR="00617726" w:rsidRPr="007F3549">
        <w:rPr>
          <w:lang w:val="fr-FR"/>
        </w:rPr>
        <w:t>”</w:t>
      </w:r>
      <w:r w:rsidRPr="007F3549">
        <w:rPr>
          <w:lang w:val="fr-FR"/>
        </w:rPr>
        <w:t xml:space="preserve"> </w:t>
      </w:r>
      <w:r w:rsidR="00912F9F" w:rsidRPr="007F3549">
        <w:rPr>
          <w:lang w:val="fr-FR"/>
        </w:rPr>
        <w:t>indique quelle sera</w:t>
      </w:r>
      <w:r w:rsidRPr="007F3549">
        <w:rPr>
          <w:lang w:val="fr-FR"/>
        </w:rPr>
        <w:t xml:space="preserve"> la position </w:t>
      </w:r>
      <w:r w:rsidR="00912F9F" w:rsidRPr="007F3549">
        <w:rPr>
          <w:lang w:val="fr-FR"/>
        </w:rPr>
        <w:t>de</w:t>
      </w:r>
      <w:r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OMPI </w:t>
      </w:r>
      <w:r w:rsidR="00912F9F" w:rsidRPr="007F3549">
        <w:rPr>
          <w:lang w:val="fr-FR"/>
        </w:rPr>
        <w:t>en matière de placements à partir du moment où</w:t>
      </w:r>
      <w:r w:rsidRPr="007F3549">
        <w:rPr>
          <w:lang w:val="fr-FR"/>
        </w:rPr>
        <w:t xml:space="preserve"> les </w:t>
      </w:r>
      <w:r w:rsidR="00912F9F" w:rsidRPr="007F3549">
        <w:rPr>
          <w:lang w:val="fr-FR"/>
        </w:rPr>
        <w:t>comptes de dépôt</w:t>
      </w:r>
      <w:r w:rsidRPr="007F3549">
        <w:rPr>
          <w:lang w:val="fr-FR"/>
        </w:rPr>
        <w:t xml:space="preserve"> </w:t>
      </w:r>
      <w:r w:rsidR="00912F9F" w:rsidRPr="007F3549">
        <w:rPr>
          <w:lang w:val="fr-FR"/>
        </w:rPr>
        <w:t>que l</w:t>
      </w:r>
      <w:r w:rsidR="00876E92" w:rsidRPr="007F3549">
        <w:rPr>
          <w:lang w:val="fr-FR"/>
        </w:rPr>
        <w:t>’</w:t>
      </w:r>
      <w:r w:rsidR="00912F9F" w:rsidRPr="007F3549">
        <w:rPr>
          <w:lang w:val="fr-FR"/>
        </w:rPr>
        <w:t>Organisation détient</w:t>
      </w:r>
      <w:r w:rsidRPr="007F3549">
        <w:rPr>
          <w:lang w:val="fr-FR"/>
        </w:rPr>
        <w:t xml:space="preserve"> </w:t>
      </w:r>
      <w:r w:rsidR="00912F9F" w:rsidRPr="007F3549">
        <w:rPr>
          <w:lang w:val="fr-FR"/>
        </w:rPr>
        <w:t>auprès de</w:t>
      </w:r>
      <w:r w:rsidRPr="007F3549">
        <w:rPr>
          <w:lang w:val="fr-FR"/>
        </w:rPr>
        <w:t xml:space="preserve"> l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AFF </w:t>
      </w:r>
      <w:r w:rsidR="00912F9F" w:rsidRPr="007F3549">
        <w:rPr>
          <w:lang w:val="fr-FR"/>
        </w:rPr>
        <w:t>seront arrivés à échéance</w:t>
      </w:r>
      <w:r w:rsidRPr="007F3549">
        <w:rPr>
          <w:lang w:val="fr-FR"/>
        </w:rPr>
        <w:t xml:space="preserve"> et </w:t>
      </w:r>
      <w:r w:rsidR="00912F9F" w:rsidRPr="007F3549">
        <w:rPr>
          <w:lang w:val="fr-FR"/>
        </w:rPr>
        <w:t>seront</w:t>
      </w:r>
      <w:r w:rsidRPr="007F3549">
        <w:rPr>
          <w:lang w:val="fr-FR"/>
        </w:rPr>
        <w:t xml:space="preserve"> crédités </w:t>
      </w:r>
      <w:r w:rsidR="00912F9F" w:rsidRPr="007F3549">
        <w:rPr>
          <w:lang w:val="fr-FR"/>
        </w:rPr>
        <w:t>sur les</w:t>
      </w:r>
      <w:r w:rsidRPr="007F3549">
        <w:rPr>
          <w:lang w:val="fr-FR"/>
        </w:rPr>
        <w:t xml:space="preserve"> comptes détenus </w:t>
      </w:r>
      <w:r w:rsidR="00912F9F" w:rsidRPr="007F3549">
        <w:rPr>
          <w:lang w:val="fr-FR"/>
        </w:rPr>
        <w:t>auprès</w:t>
      </w:r>
      <w:r w:rsidRPr="007F3549">
        <w:rPr>
          <w:lang w:val="fr-FR"/>
        </w:rPr>
        <w:t xml:space="preserve"> </w:t>
      </w:r>
      <w:r w:rsidR="0014166E" w:rsidRPr="007F3549">
        <w:rPr>
          <w:lang w:val="fr-FR"/>
        </w:rPr>
        <w:t>de ses</w:t>
      </w:r>
      <w:r w:rsidRPr="007F3549">
        <w:rPr>
          <w:lang w:val="fr-FR"/>
        </w:rPr>
        <w:t xml:space="preserve"> partenaires bancaires com</w:t>
      </w:r>
      <w:r w:rsidR="00E93EDE" w:rsidRPr="007F3549">
        <w:rPr>
          <w:lang w:val="fr-FR"/>
        </w:rPr>
        <w:t xml:space="preserve">merciaux. </w:t>
      </w:r>
      <w:r w:rsidR="00912F9F" w:rsidRPr="007F3549">
        <w:rPr>
          <w:lang w:val="fr-FR"/>
        </w:rPr>
        <w:t xml:space="preserve"> </w:t>
      </w:r>
      <w:r w:rsidR="00E93EDE" w:rsidRPr="007F3549">
        <w:rPr>
          <w:lang w:val="fr-FR"/>
        </w:rPr>
        <w:t xml:space="preserve">La colonne intitulée </w:t>
      </w:r>
      <w:r w:rsidR="00617726" w:rsidRPr="007F3549">
        <w:rPr>
          <w:lang w:val="fr-FR"/>
        </w:rPr>
        <w:t>“</w:t>
      </w:r>
      <w:r w:rsidR="00912F9F" w:rsidRPr="007F3549">
        <w:rPr>
          <w:lang w:val="fr-FR"/>
        </w:rPr>
        <w:t>stratégie </w:t>
      </w:r>
      <w:r w:rsidRPr="007F3549">
        <w:rPr>
          <w:lang w:val="fr-FR"/>
        </w:rPr>
        <w:t>C</w:t>
      </w:r>
      <w:r w:rsidR="00617726" w:rsidRPr="007F3549">
        <w:rPr>
          <w:lang w:val="fr-FR"/>
        </w:rPr>
        <w:t>”</w:t>
      </w:r>
      <w:r w:rsidRPr="007F3549">
        <w:rPr>
          <w:lang w:val="fr-FR"/>
        </w:rPr>
        <w:t xml:space="preserve"> </w:t>
      </w:r>
      <w:r w:rsidR="00452A17" w:rsidRPr="007F3549">
        <w:rPr>
          <w:lang w:val="fr-FR"/>
        </w:rPr>
        <w:t>illustre</w:t>
      </w:r>
      <w:r w:rsidRPr="007F3549">
        <w:rPr>
          <w:lang w:val="fr-FR"/>
        </w:rPr>
        <w:t xml:space="preserve"> </w:t>
      </w:r>
      <w:r w:rsidR="00912F9F" w:rsidRPr="007F3549">
        <w:rPr>
          <w:lang w:val="fr-FR"/>
        </w:rPr>
        <w:t>le cas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>une caisse de retraite type, basé</w:t>
      </w:r>
      <w:r w:rsidR="00912F9F" w:rsidRPr="007F3549">
        <w:rPr>
          <w:lang w:val="fr-FR"/>
        </w:rPr>
        <w:t>e</w:t>
      </w:r>
      <w:r w:rsidRPr="007F3549">
        <w:rPr>
          <w:lang w:val="fr-FR"/>
        </w:rPr>
        <w:t xml:space="preserve"> en Suisse, qui a accepté un niveau de risque modéré </w:t>
      </w:r>
      <w:r w:rsidR="00912F9F" w:rsidRPr="007F3549">
        <w:rPr>
          <w:lang w:val="fr-FR"/>
        </w:rPr>
        <w:t>et créé</w:t>
      </w:r>
      <w:r w:rsidRPr="007F3549">
        <w:rPr>
          <w:lang w:val="fr-FR"/>
        </w:rPr>
        <w:t xml:space="preserve"> un portefeuille bien diversifié. </w:t>
      </w:r>
      <w:r w:rsidR="00912F9F" w:rsidRPr="007F3549">
        <w:rPr>
          <w:lang w:val="fr-FR"/>
        </w:rPr>
        <w:t xml:space="preserve"> </w:t>
      </w:r>
      <w:r w:rsidR="00B27FC1" w:rsidRPr="007F3549">
        <w:rPr>
          <w:lang w:val="fr-FR"/>
        </w:rPr>
        <w:t>La création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un portefeuille optimal nécessite une expertise complète </w:t>
      </w:r>
      <w:r w:rsidR="0017607F" w:rsidRPr="007F3549">
        <w:rPr>
          <w:lang w:val="fr-FR"/>
        </w:rPr>
        <w:t>et de l</w:t>
      </w:r>
      <w:r w:rsidR="00876E92" w:rsidRPr="007F3549">
        <w:rPr>
          <w:lang w:val="fr-FR"/>
        </w:rPr>
        <w:t>’</w:t>
      </w:r>
      <w:r w:rsidR="0017607F" w:rsidRPr="007F3549">
        <w:rPr>
          <w:lang w:val="fr-FR"/>
        </w:rPr>
        <w:t xml:space="preserve">expérience </w:t>
      </w:r>
      <w:r w:rsidR="00B27FC1" w:rsidRPr="007F3549">
        <w:rPr>
          <w:lang w:val="fr-FR"/>
        </w:rPr>
        <w:t>en matière de placements</w:t>
      </w:r>
      <w:r w:rsidRPr="007F3549">
        <w:rPr>
          <w:lang w:val="fr-FR"/>
        </w:rPr>
        <w:t xml:space="preserve">, ainsi </w:t>
      </w:r>
      <w:r w:rsidR="00B27FC1" w:rsidRPr="007F3549">
        <w:rPr>
          <w:lang w:val="fr-FR"/>
        </w:rPr>
        <w:t>qu</w:t>
      </w:r>
      <w:r w:rsidR="00876E92" w:rsidRPr="007F3549">
        <w:rPr>
          <w:lang w:val="fr-FR"/>
        </w:rPr>
        <w:t>’</w:t>
      </w:r>
      <w:r w:rsidR="00B27FC1" w:rsidRPr="007F3549">
        <w:rPr>
          <w:lang w:val="fr-FR"/>
        </w:rPr>
        <w:t>un solide suivi des performances</w:t>
      </w:r>
      <w:r w:rsidRPr="007F3549">
        <w:rPr>
          <w:lang w:val="fr-FR"/>
        </w:rPr>
        <w:t xml:space="preserve"> et </w:t>
      </w:r>
      <w:r w:rsidR="00B27FC1" w:rsidRPr="007F3549">
        <w:rPr>
          <w:lang w:val="fr-FR"/>
        </w:rPr>
        <w:t xml:space="preserve">des </w:t>
      </w:r>
      <w:r w:rsidRPr="007F3549">
        <w:rPr>
          <w:lang w:val="fr-FR"/>
        </w:rPr>
        <w:t>processus d</w:t>
      </w:r>
      <w:r w:rsidR="00876E92" w:rsidRPr="007F3549">
        <w:rPr>
          <w:lang w:val="fr-FR"/>
        </w:rPr>
        <w:t>’</w:t>
      </w:r>
      <w:r w:rsidRPr="007F3549">
        <w:rPr>
          <w:lang w:val="fr-FR"/>
        </w:rPr>
        <w:t xml:space="preserve">analyse complets qui </w:t>
      </w:r>
      <w:r w:rsidR="0017607F" w:rsidRPr="007F3549">
        <w:rPr>
          <w:lang w:val="fr-FR"/>
        </w:rPr>
        <w:t>permettent d</w:t>
      </w:r>
      <w:r w:rsidR="00876E92" w:rsidRPr="007F3549">
        <w:rPr>
          <w:lang w:val="fr-FR"/>
        </w:rPr>
        <w:t>’</w:t>
      </w:r>
      <w:r w:rsidR="0017607F" w:rsidRPr="007F3549">
        <w:rPr>
          <w:lang w:val="fr-FR"/>
        </w:rPr>
        <w:t>effectuer des</w:t>
      </w:r>
      <w:r w:rsidRPr="007F3549">
        <w:rPr>
          <w:lang w:val="fr-FR"/>
        </w:rPr>
        <w:t xml:space="preserve"> ajustements </w:t>
      </w:r>
      <w:r w:rsidR="0017607F" w:rsidRPr="007F3549">
        <w:rPr>
          <w:lang w:val="fr-FR"/>
        </w:rPr>
        <w:t xml:space="preserve">réguliers </w:t>
      </w:r>
      <w:r w:rsidR="00B27FC1" w:rsidRPr="007F3549">
        <w:rPr>
          <w:lang w:val="fr-FR"/>
        </w:rPr>
        <w:t>pour</w:t>
      </w:r>
      <w:r w:rsidRPr="007F3549">
        <w:rPr>
          <w:lang w:val="fr-FR"/>
        </w:rPr>
        <w:t xml:space="preserve"> </w:t>
      </w:r>
      <w:r w:rsidR="0017607F" w:rsidRPr="007F3549">
        <w:rPr>
          <w:lang w:val="fr-FR"/>
        </w:rPr>
        <w:t xml:space="preserve">que la </w:t>
      </w:r>
      <w:r w:rsidRPr="007F3549">
        <w:rPr>
          <w:lang w:val="fr-FR"/>
        </w:rPr>
        <w:t>diversification du portefeuille</w:t>
      </w:r>
      <w:r w:rsidR="0017607F" w:rsidRPr="007F3549">
        <w:rPr>
          <w:lang w:val="fr-FR"/>
        </w:rPr>
        <w:t xml:space="preserve"> </w:t>
      </w:r>
      <w:r w:rsidR="00B47004" w:rsidRPr="007F3549">
        <w:rPr>
          <w:lang w:val="fr-FR"/>
        </w:rPr>
        <w:t>demeure</w:t>
      </w:r>
      <w:r w:rsidR="0017607F" w:rsidRPr="007F3549">
        <w:rPr>
          <w:lang w:val="fr-FR"/>
        </w:rPr>
        <w:t xml:space="preserve"> optimale</w:t>
      </w:r>
      <w:r w:rsidR="003A25A3" w:rsidRPr="007F3549">
        <w:rPr>
          <w:lang w:val="fr-FR"/>
        </w:rPr>
        <w:t>.</w:t>
      </w:r>
    </w:p>
    <w:p w:rsidR="004856AB" w:rsidRPr="007F3549" w:rsidRDefault="007B1551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Il est proposé de</w:t>
      </w:r>
      <w:r w:rsidR="009E2964" w:rsidRPr="007F3549">
        <w:rPr>
          <w:rStyle w:val="hps"/>
          <w:lang w:val="fr-FR"/>
        </w:rPr>
        <w:t xml:space="preserve"> créer</w:t>
      </w:r>
      <w:r w:rsidR="005F1AC2" w:rsidRPr="007F3549">
        <w:rPr>
          <w:rStyle w:val="hps"/>
          <w:lang w:val="fr-FR"/>
        </w:rPr>
        <w:t xml:space="preserve"> des portefeuilles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gérés à </w:t>
      </w:r>
      <w:r w:rsidR="009E2964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9E2964" w:rsidRPr="007F3549">
        <w:rPr>
          <w:rStyle w:val="hps"/>
          <w:lang w:val="fr-FR"/>
        </w:rPr>
        <w:t xml:space="preserve">extérieur, à la fois pour </w:t>
      </w:r>
      <w:r w:rsidR="00EB01C9" w:rsidRPr="007F3549">
        <w:rPr>
          <w:rStyle w:val="hps"/>
          <w:lang w:val="fr-FR"/>
        </w:rPr>
        <w:t>les fonds propres</w:t>
      </w:r>
      <w:r w:rsidR="009E2964" w:rsidRPr="007F3549">
        <w:rPr>
          <w:rStyle w:val="hps"/>
          <w:lang w:val="fr-FR"/>
        </w:rPr>
        <w:t xml:space="preserve"> et </w:t>
      </w:r>
      <w:r w:rsidR="0014166E" w:rsidRPr="007F3549">
        <w:rPr>
          <w:rStyle w:val="hps"/>
          <w:lang w:val="fr-FR"/>
        </w:rPr>
        <w:t xml:space="preserve">pour </w:t>
      </w:r>
      <w:r w:rsidR="009E2964" w:rsidRPr="007F3549">
        <w:rPr>
          <w:rStyle w:val="hps"/>
          <w:lang w:val="fr-FR"/>
        </w:rPr>
        <w:t>la trésorerie stratégique de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 xml:space="preserve">OMPI. </w:t>
      </w:r>
      <w:r w:rsidR="009E2964" w:rsidRPr="007F3549">
        <w:rPr>
          <w:rStyle w:val="hps"/>
          <w:lang w:val="fr-FR"/>
        </w:rPr>
        <w:t xml:space="preserve"> </w:t>
      </w:r>
      <w:r w:rsidR="005F1AC2" w:rsidRPr="007F3549">
        <w:rPr>
          <w:rStyle w:val="hps"/>
          <w:lang w:val="fr-FR"/>
        </w:rPr>
        <w:t>Les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gestionnaires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seraient </w:t>
      </w:r>
      <w:r w:rsidR="00452A17" w:rsidRPr="007F3549">
        <w:rPr>
          <w:rStyle w:val="hps"/>
          <w:lang w:val="fr-FR"/>
        </w:rPr>
        <w:t xml:space="preserve">sélectionnés par </w:t>
      </w:r>
      <w:r w:rsidR="00452A17" w:rsidRPr="007F3549">
        <w:rPr>
          <w:rStyle w:val="hps"/>
          <w:lang w:val="fr-FR"/>
        </w:rPr>
        <w:lastRenderedPageBreak/>
        <w:t>le biais</w:t>
      </w:r>
      <w:r w:rsidR="005F1AC2" w:rsidRPr="007F3549">
        <w:rPr>
          <w:rStyle w:val="hps"/>
          <w:lang w:val="fr-FR"/>
        </w:rPr>
        <w:t xml:space="preserve"> d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>un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appel d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>offres</w:t>
      </w:r>
      <w:r w:rsidR="00452A17" w:rsidRPr="007F3549">
        <w:rPr>
          <w:rStyle w:val="hps"/>
          <w:lang w:val="fr-FR"/>
        </w:rPr>
        <w:t>, et chacun des</w:t>
      </w:r>
      <w:r w:rsidR="005F1AC2" w:rsidRPr="007F3549">
        <w:rPr>
          <w:lang w:val="fr-FR"/>
        </w:rPr>
        <w:t xml:space="preserve"> </w:t>
      </w:r>
      <w:r w:rsidR="00452A17" w:rsidRPr="007F3549">
        <w:rPr>
          <w:lang w:val="fr-FR"/>
        </w:rPr>
        <w:t>deux </w:t>
      </w:r>
      <w:r w:rsidR="005F1AC2" w:rsidRPr="007F3549">
        <w:rPr>
          <w:rStyle w:val="hps"/>
          <w:lang w:val="fr-FR"/>
        </w:rPr>
        <w:t>portefeuilles</w:t>
      </w:r>
      <w:r w:rsidR="005F1AC2" w:rsidRPr="007F3549">
        <w:rPr>
          <w:lang w:val="fr-FR"/>
        </w:rPr>
        <w:t xml:space="preserve"> </w:t>
      </w:r>
      <w:r w:rsidR="00452A17" w:rsidRPr="007F3549">
        <w:rPr>
          <w:rStyle w:val="hps"/>
          <w:lang w:val="fr-FR"/>
        </w:rPr>
        <w:t xml:space="preserve">serait réparti </w:t>
      </w:r>
      <w:r w:rsidR="005F1AC2" w:rsidRPr="007F3549">
        <w:rPr>
          <w:rStyle w:val="hps"/>
          <w:lang w:val="fr-FR"/>
        </w:rPr>
        <w:t>entre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au moins deux</w:t>
      </w:r>
      <w:r w:rsidR="00452A17" w:rsidRPr="007F3549">
        <w:rPr>
          <w:rStyle w:val="hps"/>
          <w:lang w:val="fr-FR"/>
        </w:rPr>
        <w:t> </w:t>
      </w:r>
      <w:r w:rsidR="005F1AC2" w:rsidRPr="007F3549">
        <w:rPr>
          <w:rStyle w:val="hps"/>
          <w:lang w:val="fr-FR"/>
        </w:rPr>
        <w:t>gestionnaires de fonds</w:t>
      </w:r>
      <w:r w:rsidR="00452A17" w:rsidRPr="007F3549">
        <w:rPr>
          <w:rStyle w:val="hps"/>
          <w:lang w:val="fr-FR"/>
        </w:rPr>
        <w:t xml:space="preserve"> disposant de deux options, </w:t>
      </w:r>
      <w:r w:rsidR="00876E92" w:rsidRPr="007F3549">
        <w:rPr>
          <w:rStyle w:val="hps"/>
          <w:lang w:val="fr-FR"/>
        </w:rPr>
        <w:t>à savoir</w:t>
      </w:r>
      <w:r w:rsidR="00452A17" w:rsidRPr="007F3549">
        <w:rPr>
          <w:rStyle w:val="hps"/>
          <w:lang w:val="fr-FR"/>
        </w:rPr>
        <w:t xml:space="preserve"> la gestion active et la gestion passive</w:t>
      </w:r>
      <w:r w:rsidR="005F1AC2" w:rsidRPr="007F3549">
        <w:rPr>
          <w:lang w:val="fr-FR"/>
        </w:rPr>
        <w:t xml:space="preserve">. </w:t>
      </w:r>
      <w:r w:rsidR="00452A17" w:rsidRPr="007F3549">
        <w:rPr>
          <w:lang w:val="fr-FR"/>
        </w:rPr>
        <w:t xml:space="preserve"> </w:t>
      </w:r>
      <w:r w:rsidR="006B3E26" w:rsidRPr="007F3549">
        <w:rPr>
          <w:rStyle w:val="hps"/>
          <w:lang w:val="fr-FR"/>
        </w:rPr>
        <w:t>Le dossier d</w:t>
      </w:r>
      <w:r w:rsidR="00876E92" w:rsidRPr="007F3549">
        <w:rPr>
          <w:rStyle w:val="hps"/>
          <w:lang w:val="fr-FR"/>
        </w:rPr>
        <w:t>’</w:t>
      </w:r>
      <w:r w:rsidR="006B3E26" w:rsidRPr="007F3549">
        <w:rPr>
          <w:rStyle w:val="hps"/>
          <w:lang w:val="fr-FR"/>
        </w:rPr>
        <w:t>appel d</w:t>
      </w:r>
      <w:r w:rsidR="00876E92" w:rsidRPr="007F3549">
        <w:rPr>
          <w:rStyle w:val="hps"/>
          <w:lang w:val="fr-FR"/>
        </w:rPr>
        <w:t>’</w:t>
      </w:r>
      <w:r w:rsidR="006B3E26" w:rsidRPr="007F3549">
        <w:rPr>
          <w:rStyle w:val="hps"/>
          <w:lang w:val="fr-FR"/>
        </w:rPr>
        <w:t xml:space="preserve">offres </w:t>
      </w:r>
      <w:r w:rsidR="005F1AC2" w:rsidRPr="007F3549">
        <w:rPr>
          <w:rStyle w:val="hps"/>
          <w:lang w:val="fr-FR"/>
        </w:rPr>
        <w:t>stipulerait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que les rendements</w:t>
      </w:r>
      <w:r w:rsidR="005F1AC2" w:rsidRPr="007F3549">
        <w:rPr>
          <w:lang w:val="fr-FR"/>
        </w:rPr>
        <w:t xml:space="preserve"> </w:t>
      </w:r>
      <w:r w:rsidR="006B3E26" w:rsidRPr="007F3549">
        <w:rPr>
          <w:rStyle w:val="hps"/>
          <w:lang w:val="fr-FR"/>
        </w:rPr>
        <w:t>doivent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être </w:t>
      </w:r>
      <w:r w:rsidR="006B3E26" w:rsidRPr="007F3549">
        <w:rPr>
          <w:rStyle w:val="hps"/>
          <w:lang w:val="fr-FR"/>
        </w:rPr>
        <w:t xml:space="preserve">exprimés hors </w:t>
      </w:r>
      <w:r w:rsidR="005F1AC2" w:rsidRPr="007F3549">
        <w:rPr>
          <w:rStyle w:val="hps"/>
          <w:lang w:val="fr-FR"/>
        </w:rPr>
        <w:t>frais de gestion</w:t>
      </w:r>
      <w:r w:rsidR="005F1AC2" w:rsidRPr="007F3549">
        <w:rPr>
          <w:lang w:val="fr-FR"/>
        </w:rPr>
        <w:t>.</w:t>
      </w:r>
      <w:r w:rsidR="006B3E26" w:rsidRPr="007F3549">
        <w:rPr>
          <w:lang w:val="fr-FR"/>
        </w:rPr>
        <w:t xml:space="preserve"> 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Les </w:t>
      </w:r>
      <w:r w:rsidR="003804B3" w:rsidRPr="007F3549">
        <w:rPr>
          <w:rStyle w:val="hps"/>
          <w:lang w:val="fr-FR"/>
        </w:rPr>
        <w:t>obligations en matière</w:t>
      </w:r>
      <w:r w:rsidR="0014166E" w:rsidRPr="007F3549">
        <w:rPr>
          <w:rStyle w:val="hps"/>
          <w:lang w:val="fr-FR"/>
        </w:rPr>
        <w:t xml:space="preserve"> d</w:t>
      </w:r>
      <w:r w:rsidR="00876E92" w:rsidRPr="007F3549">
        <w:rPr>
          <w:rStyle w:val="hps"/>
          <w:lang w:val="fr-FR"/>
        </w:rPr>
        <w:t>’</w:t>
      </w:r>
      <w:r w:rsidR="0014166E" w:rsidRPr="007F3549">
        <w:rPr>
          <w:rStyle w:val="hps"/>
          <w:lang w:val="fr-FR"/>
        </w:rPr>
        <w:t xml:space="preserve">établissement de rapports </w:t>
      </w:r>
      <w:r w:rsidR="005F1AC2" w:rsidRPr="007F3549">
        <w:rPr>
          <w:rStyle w:val="hps"/>
          <w:lang w:val="fr-FR"/>
        </w:rPr>
        <w:t>ser</w:t>
      </w:r>
      <w:r w:rsidR="003804B3" w:rsidRPr="007F3549">
        <w:rPr>
          <w:rStyle w:val="hps"/>
          <w:lang w:val="fr-FR"/>
        </w:rPr>
        <w:t>aien</w:t>
      </w:r>
      <w:r w:rsidR="005F1AC2" w:rsidRPr="007F3549">
        <w:rPr>
          <w:rStyle w:val="hps"/>
          <w:lang w:val="fr-FR"/>
        </w:rPr>
        <w:t>t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précisées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dans </w:t>
      </w:r>
      <w:r w:rsidR="003804B3" w:rsidRPr="007F3549">
        <w:rPr>
          <w:rStyle w:val="hps"/>
          <w:lang w:val="fr-FR"/>
        </w:rPr>
        <w:t>le dossier d</w:t>
      </w:r>
      <w:r w:rsidR="00876E92" w:rsidRPr="007F3549">
        <w:rPr>
          <w:rStyle w:val="hps"/>
          <w:lang w:val="fr-FR"/>
        </w:rPr>
        <w:t>’</w:t>
      </w:r>
      <w:r w:rsidR="003804B3" w:rsidRPr="007F3549">
        <w:rPr>
          <w:rStyle w:val="hps"/>
          <w:lang w:val="fr-FR"/>
        </w:rPr>
        <w:t>appel d</w:t>
      </w:r>
      <w:r w:rsidR="00876E92" w:rsidRPr="007F3549">
        <w:rPr>
          <w:rStyle w:val="hps"/>
          <w:lang w:val="fr-FR"/>
        </w:rPr>
        <w:t>’</w:t>
      </w:r>
      <w:r w:rsidR="003804B3" w:rsidRPr="007F3549">
        <w:rPr>
          <w:rStyle w:val="hps"/>
          <w:lang w:val="fr-FR"/>
        </w:rPr>
        <w:t xml:space="preserve">offres, </w:t>
      </w:r>
      <w:r w:rsidR="005F1AC2" w:rsidRPr="007F3549">
        <w:rPr>
          <w:rStyle w:val="hps"/>
          <w:lang w:val="fr-FR"/>
        </w:rPr>
        <w:t>et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un dépositaire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global (</w:t>
      </w:r>
      <w:r w:rsidR="005F1AC2" w:rsidRPr="007F3549">
        <w:rPr>
          <w:lang w:val="fr-FR"/>
        </w:rPr>
        <w:t>qui sera</w:t>
      </w:r>
      <w:r w:rsidR="003804B3" w:rsidRPr="007F3549">
        <w:rPr>
          <w:lang w:val="fr-FR"/>
        </w:rPr>
        <w:t>it</w:t>
      </w:r>
      <w:r w:rsidR="005F1AC2" w:rsidRPr="007F3549">
        <w:rPr>
          <w:lang w:val="fr-FR"/>
        </w:rPr>
        <w:t xml:space="preserve"> </w:t>
      </w:r>
      <w:r w:rsidR="004C7385" w:rsidRPr="007F3549">
        <w:rPr>
          <w:lang w:val="fr-FR"/>
        </w:rPr>
        <w:t xml:space="preserve">également </w:t>
      </w:r>
      <w:r w:rsidR="003804B3" w:rsidRPr="007F3549">
        <w:rPr>
          <w:lang w:val="fr-FR"/>
        </w:rPr>
        <w:t>sélectionné</w:t>
      </w:r>
      <w:r w:rsidR="005F1AC2" w:rsidRPr="007F3549">
        <w:rPr>
          <w:lang w:val="fr-FR"/>
        </w:rPr>
        <w:t xml:space="preserve"> par </w:t>
      </w:r>
      <w:r w:rsidR="004C7385" w:rsidRPr="007F3549">
        <w:rPr>
          <w:lang w:val="fr-FR"/>
        </w:rPr>
        <w:t>le biais d</w:t>
      </w:r>
      <w:r w:rsidR="00876E92" w:rsidRPr="007F3549">
        <w:rPr>
          <w:lang w:val="fr-FR"/>
        </w:rPr>
        <w:t>’</w:t>
      </w:r>
      <w:r w:rsidR="004C7385" w:rsidRPr="007F3549">
        <w:rPr>
          <w:lang w:val="fr-FR"/>
        </w:rPr>
        <w:t xml:space="preserve">un </w:t>
      </w:r>
      <w:r w:rsidR="005F1AC2" w:rsidRPr="007F3549">
        <w:rPr>
          <w:rStyle w:val="hps"/>
          <w:lang w:val="fr-FR"/>
        </w:rPr>
        <w:t>appel d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>offres</w:t>
      </w:r>
      <w:r w:rsidR="005F1AC2" w:rsidRPr="007F3549">
        <w:rPr>
          <w:lang w:val="fr-FR"/>
        </w:rPr>
        <w:t xml:space="preserve">) </w:t>
      </w:r>
      <w:r w:rsidR="005F1AC2" w:rsidRPr="007F3549">
        <w:rPr>
          <w:rStyle w:val="hps"/>
          <w:lang w:val="fr-FR"/>
        </w:rPr>
        <w:t>serait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mis en place</w:t>
      </w:r>
      <w:r w:rsidR="005F1AC2" w:rsidRPr="007F3549">
        <w:rPr>
          <w:lang w:val="fr-FR"/>
        </w:rPr>
        <w:t xml:space="preserve">. </w:t>
      </w:r>
      <w:r w:rsidR="003804B3" w:rsidRPr="007F3549">
        <w:rPr>
          <w:lang w:val="fr-FR"/>
        </w:rPr>
        <w:t xml:space="preserve"> </w:t>
      </w:r>
      <w:r w:rsidR="003804B3" w:rsidRPr="007F3549">
        <w:rPr>
          <w:rStyle w:val="hps"/>
          <w:lang w:val="fr-FR"/>
        </w:rPr>
        <w:t>Ce</w:t>
      </w:r>
      <w:r w:rsidR="005F1AC2" w:rsidRPr="007F3549">
        <w:rPr>
          <w:rStyle w:val="hps"/>
          <w:lang w:val="fr-FR"/>
        </w:rPr>
        <w:t xml:space="preserve"> dépositaire</w:t>
      </w:r>
      <w:r w:rsidR="005F1AC2" w:rsidRPr="007F3549">
        <w:rPr>
          <w:lang w:val="fr-FR"/>
        </w:rPr>
        <w:t xml:space="preserve"> </w:t>
      </w:r>
      <w:r w:rsidR="003804B3" w:rsidRPr="007F3549">
        <w:rPr>
          <w:rStyle w:val="hps"/>
          <w:lang w:val="fr-FR"/>
        </w:rPr>
        <w:t>détiendrait</w:t>
      </w:r>
      <w:r w:rsidR="005F1AC2" w:rsidRPr="007F3549">
        <w:rPr>
          <w:rStyle w:val="hps"/>
          <w:lang w:val="fr-FR"/>
        </w:rPr>
        <w:t xml:space="preserve"> les placements</w:t>
      </w:r>
      <w:r w:rsidR="005F1AC2" w:rsidRPr="007F3549">
        <w:rPr>
          <w:lang w:val="fr-FR"/>
        </w:rPr>
        <w:t xml:space="preserve"> </w:t>
      </w:r>
      <w:r w:rsidR="003804B3" w:rsidRPr="007F3549">
        <w:rPr>
          <w:rStyle w:val="hps"/>
          <w:lang w:val="fr-FR"/>
        </w:rPr>
        <w:t>pour le compte de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>OMPI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et </w:t>
      </w:r>
      <w:r w:rsidR="003804B3" w:rsidRPr="007F3549">
        <w:rPr>
          <w:rStyle w:val="hps"/>
          <w:lang w:val="fr-FR"/>
        </w:rPr>
        <w:t>jouerait</w:t>
      </w:r>
      <w:r w:rsidR="005F1AC2" w:rsidRPr="007F3549">
        <w:rPr>
          <w:rStyle w:val="hps"/>
          <w:lang w:val="fr-FR"/>
        </w:rPr>
        <w:t xml:space="preserve"> un rôle</w:t>
      </w:r>
      <w:r w:rsidR="005F1AC2" w:rsidRPr="007F3549">
        <w:rPr>
          <w:lang w:val="fr-FR"/>
        </w:rPr>
        <w:t xml:space="preserve"> </w:t>
      </w:r>
      <w:r w:rsidR="00EE0786" w:rsidRPr="007F3549">
        <w:rPr>
          <w:rStyle w:val="hps"/>
          <w:lang w:val="fr-FR"/>
        </w:rPr>
        <w:t>proa</w:t>
      </w:r>
      <w:r w:rsidR="00EE0786" w:rsidRPr="007F3549">
        <w:rPr>
          <w:lang w:val="fr-FR"/>
        </w:rPr>
        <w:t>ctif</w:t>
      </w:r>
      <w:r w:rsidR="005F1AC2" w:rsidRPr="007F3549">
        <w:rPr>
          <w:lang w:val="fr-FR"/>
        </w:rPr>
        <w:t xml:space="preserve"> </w:t>
      </w:r>
      <w:r w:rsidR="005B2E76" w:rsidRPr="007F3549">
        <w:rPr>
          <w:lang w:val="fr-FR"/>
        </w:rPr>
        <w:t>en matière de</w:t>
      </w:r>
      <w:r w:rsidR="005F1AC2" w:rsidRPr="007F3549">
        <w:rPr>
          <w:rStyle w:val="hps"/>
          <w:lang w:val="fr-FR"/>
        </w:rPr>
        <w:t xml:space="preserve"> suivi des </w:t>
      </w:r>
      <w:r w:rsidR="003804B3" w:rsidRPr="007F3549">
        <w:rPr>
          <w:rStyle w:val="hps"/>
          <w:lang w:val="fr-FR"/>
        </w:rPr>
        <w:t>placements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et </w:t>
      </w:r>
      <w:r w:rsidR="003804B3" w:rsidRPr="007F3549">
        <w:rPr>
          <w:rStyle w:val="hps"/>
          <w:lang w:val="fr-FR"/>
        </w:rPr>
        <w:t>des</w:t>
      </w:r>
      <w:r w:rsidR="005F1AC2" w:rsidRPr="007F3549">
        <w:rPr>
          <w:rStyle w:val="hps"/>
          <w:lang w:val="fr-FR"/>
        </w:rPr>
        <w:t xml:space="preserve"> performance</w:t>
      </w:r>
      <w:r w:rsidR="003804B3" w:rsidRPr="007F3549">
        <w:rPr>
          <w:lang w:val="fr-FR"/>
        </w:rPr>
        <w:t xml:space="preserve">s </w:t>
      </w:r>
      <w:r w:rsidR="005F1AC2" w:rsidRPr="007F3549">
        <w:rPr>
          <w:rStyle w:val="hps"/>
          <w:lang w:val="fr-FR"/>
        </w:rPr>
        <w:t>des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gestionnaires de fonds</w:t>
      </w:r>
      <w:r w:rsidR="00EA3CE5" w:rsidRPr="007F3549">
        <w:rPr>
          <w:lang w:val="fr-FR"/>
        </w:rPr>
        <w:t>.</w:t>
      </w:r>
    </w:p>
    <w:p w:rsidR="00871970" w:rsidRPr="007F3549" w:rsidRDefault="004C7385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 xml:space="preserve">La </w:t>
      </w:r>
      <w:r w:rsidR="005F1AC2" w:rsidRPr="007F3549">
        <w:rPr>
          <w:rStyle w:val="hps"/>
          <w:lang w:val="fr-FR"/>
        </w:rPr>
        <w:t>trésorerie d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>exploitation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serait gérée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en interne</w:t>
      </w:r>
      <w:r w:rsidR="005F1AC2" w:rsidRPr="007F3549">
        <w:rPr>
          <w:lang w:val="fr-FR"/>
        </w:rPr>
        <w:t xml:space="preserve">. </w:t>
      </w:r>
      <w:r w:rsidR="005B2E76" w:rsidRPr="007F3549">
        <w:rPr>
          <w:lang w:val="fr-FR"/>
        </w:rPr>
        <w:t xml:space="preserve"> Les r</w:t>
      </w:r>
      <w:r w:rsidR="005F1AC2" w:rsidRPr="007F3549">
        <w:rPr>
          <w:rStyle w:val="hps"/>
          <w:lang w:val="fr-FR"/>
        </w:rPr>
        <w:t>apports sur</w:t>
      </w:r>
      <w:r w:rsidR="005F1AC2" w:rsidRPr="007F3549">
        <w:rPr>
          <w:lang w:val="fr-FR"/>
        </w:rPr>
        <w:t xml:space="preserve"> </w:t>
      </w:r>
      <w:r w:rsidR="005B2E76" w:rsidRPr="007F3549">
        <w:rPr>
          <w:rStyle w:val="hps"/>
          <w:lang w:val="fr-FR"/>
        </w:rPr>
        <w:t>les performances afférentes à la</w:t>
      </w:r>
      <w:r w:rsidR="005F1AC2" w:rsidRPr="007F3549">
        <w:rPr>
          <w:lang w:val="fr-FR"/>
        </w:rPr>
        <w:t xml:space="preserve"> </w:t>
      </w:r>
      <w:r w:rsidR="005B2E76" w:rsidRPr="007F3549">
        <w:rPr>
          <w:lang w:val="fr-FR"/>
        </w:rPr>
        <w:t xml:space="preserve">trésorerie </w:t>
      </w:r>
      <w:r w:rsidR="005F1AC2" w:rsidRPr="007F3549">
        <w:rPr>
          <w:rStyle w:val="hps"/>
          <w:lang w:val="fr-FR"/>
        </w:rPr>
        <w:t>d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>exploitation et</w:t>
      </w:r>
      <w:r w:rsidR="005F1AC2" w:rsidRPr="007F3549">
        <w:rPr>
          <w:lang w:val="fr-FR"/>
        </w:rPr>
        <w:t xml:space="preserve"> </w:t>
      </w:r>
      <w:r w:rsidR="005B2E76" w:rsidRPr="007F3549">
        <w:rPr>
          <w:lang w:val="fr-FR"/>
        </w:rPr>
        <w:t>sur celles des</w:t>
      </w:r>
      <w:r w:rsidR="005F1AC2" w:rsidRPr="007F3549">
        <w:rPr>
          <w:rStyle w:val="hps"/>
          <w:lang w:val="fr-FR"/>
        </w:rPr>
        <w:t xml:space="preserve"> gestionnaires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de fonds </w:t>
      </w:r>
      <w:r w:rsidR="005B2E76" w:rsidRPr="007F3549">
        <w:rPr>
          <w:rStyle w:val="hps"/>
          <w:lang w:val="fr-FR"/>
        </w:rPr>
        <w:t xml:space="preserve">extérieurs en ce qui concerne </w:t>
      </w:r>
      <w:r w:rsidR="00EB01C9" w:rsidRPr="007F3549">
        <w:rPr>
          <w:rStyle w:val="hps"/>
          <w:lang w:val="fr-FR"/>
        </w:rPr>
        <w:t xml:space="preserve">les fonds propres </w:t>
      </w:r>
      <w:r w:rsidR="0014166E" w:rsidRPr="007F3549">
        <w:rPr>
          <w:rStyle w:val="hps"/>
          <w:lang w:val="fr-FR"/>
        </w:rPr>
        <w:t xml:space="preserve">et la trésorerie stratégique </w:t>
      </w:r>
      <w:r w:rsidR="005B2E76" w:rsidRPr="007F3549">
        <w:rPr>
          <w:rStyle w:val="hps"/>
          <w:lang w:val="fr-FR"/>
        </w:rPr>
        <w:t xml:space="preserve">seraient </w:t>
      </w:r>
      <w:r w:rsidR="00F13F38" w:rsidRPr="007F3549">
        <w:rPr>
          <w:rStyle w:val="hps"/>
          <w:lang w:val="fr-FR"/>
        </w:rPr>
        <w:t>examinés</w:t>
      </w:r>
      <w:r w:rsidR="005F1AC2" w:rsidRPr="007F3549">
        <w:rPr>
          <w:lang w:val="fr-FR"/>
        </w:rPr>
        <w:t xml:space="preserve"> </w:t>
      </w:r>
      <w:r w:rsidR="005B2E76" w:rsidRPr="007F3549">
        <w:rPr>
          <w:rStyle w:val="hps"/>
          <w:lang w:val="fr-FR"/>
        </w:rPr>
        <w:t>régulièrement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par le </w:t>
      </w:r>
      <w:r w:rsidR="00DD77E0" w:rsidRPr="007F3549">
        <w:rPr>
          <w:rStyle w:val="hps"/>
          <w:lang w:val="fr-FR"/>
        </w:rPr>
        <w:t>Comité consultatif des investissements</w:t>
      </w:r>
      <w:r w:rsidR="005F1AC2" w:rsidRPr="007F3549">
        <w:rPr>
          <w:lang w:val="fr-FR"/>
        </w:rPr>
        <w:t>.</w:t>
      </w:r>
      <w:r w:rsidR="005B2E76" w:rsidRPr="007F3549">
        <w:rPr>
          <w:lang w:val="fr-FR"/>
        </w:rPr>
        <w:t xml:space="preserve"> 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Les deux</w:t>
      </w:r>
      <w:r w:rsidR="005B2E76" w:rsidRPr="007F3549">
        <w:rPr>
          <w:rStyle w:val="hps"/>
          <w:lang w:val="fr-FR"/>
        </w:rPr>
        <w:t> </w:t>
      </w:r>
      <w:r w:rsidR="00004F41" w:rsidRPr="007F3549">
        <w:rPr>
          <w:lang w:val="fr-FR"/>
        </w:rPr>
        <w:t>p</w:t>
      </w:r>
      <w:r w:rsidR="005F1AC2" w:rsidRPr="007F3549">
        <w:rPr>
          <w:rStyle w:val="hps"/>
          <w:lang w:val="fr-FR"/>
        </w:rPr>
        <w:t xml:space="preserve">olitiques </w:t>
      </w:r>
      <w:r w:rsidR="00004F41" w:rsidRPr="007F3549">
        <w:rPr>
          <w:rStyle w:val="hps"/>
          <w:lang w:val="fr-FR"/>
        </w:rPr>
        <w:t>en matière de placements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(</w:t>
      </w:r>
      <w:r w:rsidR="005F1AC2" w:rsidRPr="007F3549">
        <w:rPr>
          <w:lang w:val="fr-FR"/>
        </w:rPr>
        <w:t>l</w:t>
      </w:r>
      <w:r w:rsidR="00876E92" w:rsidRPr="007F3549">
        <w:rPr>
          <w:lang w:val="fr-FR"/>
        </w:rPr>
        <w:t>’</w:t>
      </w:r>
      <w:r w:rsidR="005F1AC2" w:rsidRPr="007F3549">
        <w:rPr>
          <w:lang w:val="fr-FR"/>
        </w:rPr>
        <w:t>un</w:t>
      </w:r>
      <w:r w:rsidR="00004F41" w:rsidRPr="007F3549">
        <w:rPr>
          <w:lang w:val="fr-FR"/>
        </w:rPr>
        <w:t>e</w:t>
      </w:r>
      <w:r w:rsidR="005F1AC2" w:rsidRPr="007F3549">
        <w:rPr>
          <w:lang w:val="fr-FR"/>
        </w:rPr>
        <w:t xml:space="preserve"> </w:t>
      </w:r>
      <w:r w:rsidR="00004F41" w:rsidRPr="007F3549">
        <w:rPr>
          <w:lang w:val="fr-FR"/>
        </w:rPr>
        <w:t>dédiée à la</w:t>
      </w:r>
      <w:r w:rsidR="005F1AC2" w:rsidRPr="007F3549">
        <w:rPr>
          <w:lang w:val="fr-FR"/>
        </w:rPr>
        <w:t xml:space="preserve"> </w:t>
      </w:r>
      <w:r w:rsidR="00004F41" w:rsidRPr="007F3549">
        <w:rPr>
          <w:rStyle w:val="hps"/>
          <w:lang w:val="fr-FR"/>
        </w:rPr>
        <w:t>trésorerie d</w:t>
      </w:r>
      <w:r w:rsidR="00876E92" w:rsidRPr="007F3549">
        <w:rPr>
          <w:rStyle w:val="hps"/>
          <w:lang w:val="fr-FR"/>
        </w:rPr>
        <w:t>’</w:t>
      </w:r>
      <w:r w:rsidR="00004F41" w:rsidRPr="007F3549">
        <w:rPr>
          <w:rStyle w:val="hps"/>
          <w:lang w:val="fr-FR"/>
        </w:rPr>
        <w:t>exploitation</w:t>
      </w:r>
      <w:r w:rsidR="00004F41" w:rsidRPr="007F3549">
        <w:rPr>
          <w:lang w:val="fr-FR"/>
        </w:rPr>
        <w:t xml:space="preserve"> et au</w:t>
      </w:r>
      <w:r w:rsidR="00EB01C9" w:rsidRPr="007F3549">
        <w:rPr>
          <w:rStyle w:val="hps"/>
          <w:lang w:val="fr-FR"/>
        </w:rPr>
        <w:t xml:space="preserve">x fonds propres </w:t>
      </w:r>
      <w:r w:rsidR="005F1AC2" w:rsidRPr="007F3549">
        <w:rPr>
          <w:rStyle w:val="hps"/>
          <w:lang w:val="fr-FR"/>
        </w:rPr>
        <w:t>et</w:t>
      </w:r>
      <w:r w:rsidR="005F1AC2" w:rsidRPr="007F3549">
        <w:rPr>
          <w:lang w:val="fr-FR"/>
        </w:rPr>
        <w:t xml:space="preserve"> </w:t>
      </w:r>
      <w:r w:rsidR="00004F41"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="00004F41" w:rsidRPr="007F3549">
        <w:rPr>
          <w:rStyle w:val="hps"/>
          <w:lang w:val="fr-FR"/>
        </w:rPr>
        <w:t xml:space="preserve">autre </w:t>
      </w:r>
      <w:r w:rsidR="0014166E" w:rsidRPr="007F3549">
        <w:rPr>
          <w:rStyle w:val="hps"/>
          <w:lang w:val="fr-FR"/>
        </w:rPr>
        <w:t>à la trésorerie stratégique</w:t>
      </w:r>
      <w:r w:rsidR="005F1AC2" w:rsidRPr="007F3549">
        <w:rPr>
          <w:rStyle w:val="hps"/>
          <w:lang w:val="fr-FR"/>
        </w:rPr>
        <w:t>)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>suivraient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le </w:t>
      </w:r>
      <w:r w:rsidR="00277C94" w:rsidRPr="007F3549">
        <w:rPr>
          <w:rStyle w:val="hps"/>
          <w:lang w:val="fr-FR"/>
        </w:rPr>
        <w:t>modèle</w:t>
      </w:r>
      <w:r w:rsidR="005F1AC2" w:rsidRPr="007F3549">
        <w:rPr>
          <w:lang w:val="fr-FR"/>
        </w:rPr>
        <w:t xml:space="preserve"> </w:t>
      </w:r>
      <w:r w:rsidR="005F1AC2" w:rsidRPr="007F3549">
        <w:rPr>
          <w:rStyle w:val="hps"/>
          <w:lang w:val="fr-FR"/>
        </w:rPr>
        <w:t xml:space="preserve">indiqué </w:t>
      </w:r>
      <w:r w:rsidR="00004F41" w:rsidRPr="007F3549">
        <w:rPr>
          <w:rStyle w:val="hps"/>
          <w:lang w:val="fr-FR"/>
        </w:rPr>
        <w:t>dans</w:t>
      </w:r>
      <w:r w:rsidR="005F1AC2" w:rsidRPr="007F3549">
        <w:rPr>
          <w:rStyle w:val="hps"/>
          <w:lang w:val="fr-FR"/>
        </w:rPr>
        <w:t xml:space="preserve"> l</w:t>
      </w:r>
      <w:r w:rsidR="00876E92" w:rsidRPr="007F3549">
        <w:rPr>
          <w:rStyle w:val="hps"/>
          <w:lang w:val="fr-FR"/>
        </w:rPr>
        <w:t>’</w:t>
      </w:r>
      <w:r w:rsidR="005F1AC2" w:rsidRPr="007F3549">
        <w:rPr>
          <w:rStyle w:val="hps"/>
          <w:lang w:val="fr-FR"/>
        </w:rPr>
        <w:t>annexe</w:t>
      </w:r>
      <w:r w:rsidR="00EE0786" w:rsidRPr="007F3549">
        <w:rPr>
          <w:lang w:val="fr-FR"/>
        </w:rPr>
        <w:t> </w:t>
      </w:r>
      <w:r w:rsidR="005F1AC2" w:rsidRPr="007F3549">
        <w:rPr>
          <w:rStyle w:val="hps"/>
          <w:lang w:val="fr-FR"/>
        </w:rPr>
        <w:t>4</w:t>
      </w:r>
      <w:r w:rsidR="00871970" w:rsidRPr="007F3549">
        <w:rPr>
          <w:lang w:val="fr-FR"/>
        </w:rPr>
        <w:t>.</w:t>
      </w:r>
    </w:p>
    <w:p w:rsidR="007D6C4F" w:rsidRPr="007F3549" w:rsidRDefault="005F1AC2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La gestion de la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trésorerie d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exploitation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en interne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et </w:t>
      </w:r>
      <w:r w:rsidR="00D22C61" w:rsidRPr="007F3549">
        <w:rPr>
          <w:rStyle w:val="hps"/>
          <w:lang w:val="fr-FR"/>
        </w:rPr>
        <w:t>le besoin</w:t>
      </w:r>
      <w:r w:rsidRPr="007F3549">
        <w:rPr>
          <w:rStyle w:val="hps"/>
          <w:lang w:val="fr-FR"/>
        </w:rPr>
        <w:t xml:space="preserve"> </w:t>
      </w:r>
      <w:r w:rsidR="00F940F8" w:rsidRPr="007F3549">
        <w:rPr>
          <w:rStyle w:val="hps"/>
          <w:lang w:val="fr-FR"/>
        </w:rPr>
        <w:t>de travailler en liaison avec</w:t>
      </w:r>
      <w:r w:rsidRPr="007F3549">
        <w:rPr>
          <w:lang w:val="fr-FR"/>
        </w:rPr>
        <w:t xml:space="preserve"> </w:t>
      </w:r>
      <w:r w:rsidR="00D22C61" w:rsidRPr="007F3549">
        <w:rPr>
          <w:rStyle w:val="hps"/>
          <w:lang w:val="fr-FR"/>
        </w:rPr>
        <w:t>des</w:t>
      </w:r>
      <w:r w:rsidRPr="007F3549">
        <w:rPr>
          <w:rStyle w:val="hps"/>
          <w:lang w:val="fr-FR"/>
        </w:rPr>
        <w:t xml:space="preserve"> gestionnaires de fonds</w:t>
      </w:r>
      <w:r w:rsidRPr="007F3549">
        <w:rPr>
          <w:lang w:val="fr-FR"/>
        </w:rPr>
        <w:t xml:space="preserve"> </w:t>
      </w:r>
      <w:r w:rsidR="00004F41" w:rsidRPr="007F3549">
        <w:rPr>
          <w:rStyle w:val="hps"/>
          <w:lang w:val="fr-FR"/>
        </w:rPr>
        <w:t>extérieurs</w:t>
      </w:r>
      <w:r w:rsidRPr="007F3549">
        <w:rPr>
          <w:lang w:val="fr-FR"/>
        </w:rPr>
        <w:t xml:space="preserve"> </w:t>
      </w:r>
      <w:r w:rsidR="00D22C61" w:rsidRPr="007F3549">
        <w:rPr>
          <w:rStyle w:val="hps"/>
          <w:lang w:val="fr-FR"/>
        </w:rPr>
        <w:t>nécessiteront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des ressources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au sein du Secrétariat</w:t>
      </w:r>
      <w:r w:rsidRPr="007F3549">
        <w:rPr>
          <w:lang w:val="fr-FR"/>
        </w:rPr>
        <w:t xml:space="preserve">. </w:t>
      </w:r>
      <w:r w:rsidR="00004F41"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L</w:t>
      </w:r>
      <w:r w:rsidR="00876E92" w:rsidRPr="007F3549">
        <w:rPr>
          <w:rStyle w:val="hps"/>
          <w:lang w:val="fr-FR"/>
        </w:rPr>
        <w:t>’</w:t>
      </w:r>
      <w:r w:rsidRPr="007F3549">
        <w:rPr>
          <w:rStyle w:val="hps"/>
          <w:lang w:val="fr-FR"/>
        </w:rPr>
        <w:t>OMPI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a contacté plusieurs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autres </w:t>
      </w:r>
      <w:r w:rsidR="00004F41" w:rsidRPr="007F3549">
        <w:rPr>
          <w:rStyle w:val="hps"/>
          <w:lang w:val="fr-FR"/>
        </w:rPr>
        <w:t>institutions</w:t>
      </w:r>
      <w:r w:rsidRPr="007F3549">
        <w:rPr>
          <w:lang w:val="fr-FR"/>
        </w:rPr>
        <w:t xml:space="preserve"> </w:t>
      </w:r>
      <w:r w:rsidR="00D22C61" w:rsidRPr="007F3549">
        <w:rPr>
          <w:rStyle w:val="hps"/>
          <w:lang w:val="fr-FR"/>
        </w:rPr>
        <w:t>au</w:t>
      </w:r>
      <w:r w:rsidRPr="007F3549">
        <w:rPr>
          <w:rStyle w:val="hps"/>
          <w:lang w:val="fr-FR"/>
        </w:rPr>
        <w:t xml:space="preserve"> sujet de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 xml:space="preserve">la dotation </w:t>
      </w:r>
      <w:r w:rsidR="00783835" w:rsidRPr="007F3549">
        <w:rPr>
          <w:rStyle w:val="hps"/>
          <w:lang w:val="fr-FR"/>
        </w:rPr>
        <w:t>de la Section de la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trésorerie</w:t>
      </w:r>
      <w:r w:rsidR="00004F41" w:rsidRPr="007F3549">
        <w:rPr>
          <w:rStyle w:val="hps"/>
          <w:lang w:val="fr-FR"/>
        </w:rPr>
        <w:t>,</w:t>
      </w:r>
      <w:r w:rsidRPr="007F3549">
        <w:rPr>
          <w:rStyle w:val="hps"/>
          <w:lang w:val="fr-FR"/>
        </w:rPr>
        <w:t xml:space="preserve"> et</w:t>
      </w:r>
      <w:r w:rsidRPr="007F3549">
        <w:rPr>
          <w:lang w:val="fr-FR"/>
        </w:rPr>
        <w:t xml:space="preserve"> </w:t>
      </w:r>
      <w:r w:rsidR="00004F41" w:rsidRPr="007F3549">
        <w:rPr>
          <w:lang w:val="fr-FR"/>
        </w:rPr>
        <w:t>d</w:t>
      </w:r>
      <w:r w:rsidR="00876E92" w:rsidRPr="007F3549">
        <w:rPr>
          <w:lang w:val="fr-FR"/>
        </w:rPr>
        <w:t>’</w:t>
      </w:r>
      <w:r w:rsidR="00004F41" w:rsidRPr="007F3549">
        <w:rPr>
          <w:lang w:val="fr-FR"/>
        </w:rPr>
        <w:t>après les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indications</w:t>
      </w:r>
      <w:r w:rsidRPr="007F3549">
        <w:rPr>
          <w:lang w:val="fr-FR"/>
        </w:rPr>
        <w:t xml:space="preserve"> </w:t>
      </w:r>
      <w:r w:rsidRPr="007F3549">
        <w:rPr>
          <w:rStyle w:val="hps"/>
          <w:lang w:val="fr-FR"/>
        </w:rPr>
        <w:t>préliminaires</w:t>
      </w:r>
      <w:r w:rsidR="00004F41" w:rsidRPr="007F3549">
        <w:rPr>
          <w:lang w:val="fr-FR"/>
        </w:rPr>
        <w:t xml:space="preserve">, il faudra </w:t>
      </w:r>
      <w:r w:rsidR="00F13F38" w:rsidRPr="007F3549">
        <w:rPr>
          <w:rStyle w:val="hps"/>
          <w:lang w:val="fr-FR"/>
        </w:rPr>
        <w:t>au</w:t>
      </w:r>
      <w:r w:rsidRPr="007F3549">
        <w:rPr>
          <w:rStyle w:val="hps"/>
          <w:lang w:val="fr-FR"/>
        </w:rPr>
        <w:t xml:space="preserve"> moins un</w:t>
      </w:r>
      <w:r w:rsidRPr="007F3549">
        <w:rPr>
          <w:lang w:val="fr-FR"/>
        </w:rPr>
        <w:t xml:space="preserve"> </w:t>
      </w:r>
      <w:r w:rsidR="00D22C61" w:rsidRPr="007F3549">
        <w:rPr>
          <w:rStyle w:val="hps"/>
          <w:lang w:val="fr-FR"/>
        </w:rPr>
        <w:t xml:space="preserve">administrateur </w:t>
      </w:r>
      <w:r w:rsidRPr="007F3549">
        <w:rPr>
          <w:rStyle w:val="hps"/>
          <w:lang w:val="fr-FR"/>
        </w:rPr>
        <w:t>à temps plein</w:t>
      </w:r>
      <w:r w:rsidR="007D6C4F" w:rsidRPr="007F3549">
        <w:rPr>
          <w:lang w:val="fr-FR"/>
        </w:rPr>
        <w:t>.</w:t>
      </w:r>
    </w:p>
    <w:p w:rsidR="00BF24CD" w:rsidRPr="007F3549" w:rsidRDefault="005F1AC2" w:rsidP="00B50D94">
      <w:pPr>
        <w:pStyle w:val="ONUMFS"/>
        <w:rPr>
          <w:lang w:val="fr-FR"/>
        </w:rPr>
      </w:pPr>
      <w:r w:rsidRPr="007F3549">
        <w:rPr>
          <w:rStyle w:val="hps"/>
          <w:lang w:val="fr-FR"/>
        </w:rPr>
        <w:t>Le</w:t>
      </w:r>
      <w:r w:rsidRPr="007F3549">
        <w:rPr>
          <w:rStyle w:val="shorttext"/>
          <w:lang w:val="fr-FR"/>
        </w:rPr>
        <w:t xml:space="preserve"> </w:t>
      </w:r>
      <w:r w:rsidRPr="007F3549">
        <w:rPr>
          <w:rStyle w:val="hps"/>
          <w:lang w:val="fr-FR"/>
        </w:rPr>
        <w:t>paragraphe de décision</w:t>
      </w:r>
      <w:r w:rsidRPr="007F3549">
        <w:rPr>
          <w:rStyle w:val="shorttext"/>
          <w:lang w:val="fr-FR"/>
        </w:rPr>
        <w:t xml:space="preserve"> </w:t>
      </w:r>
      <w:r w:rsidR="007B73E2" w:rsidRPr="007F3549">
        <w:rPr>
          <w:rStyle w:val="hps"/>
          <w:lang w:val="fr-FR"/>
        </w:rPr>
        <w:t>ci</w:t>
      </w:r>
      <w:r w:rsidR="00BD351E" w:rsidRPr="007F3549">
        <w:rPr>
          <w:rStyle w:val="hps"/>
          <w:lang w:val="fr-FR"/>
        </w:rPr>
        <w:noBreakHyphen/>
      </w:r>
      <w:r w:rsidR="007B73E2" w:rsidRPr="007F3549">
        <w:rPr>
          <w:rStyle w:val="hps"/>
          <w:lang w:val="fr-FR"/>
        </w:rPr>
        <w:t>après</w:t>
      </w:r>
      <w:r w:rsidRPr="007F3549">
        <w:rPr>
          <w:rStyle w:val="hps"/>
          <w:lang w:val="fr-FR"/>
        </w:rPr>
        <w:t xml:space="preserve"> est proposé</w:t>
      </w:r>
      <w:r w:rsidR="00BF24CD" w:rsidRPr="007F3549">
        <w:rPr>
          <w:lang w:val="fr-FR"/>
        </w:rPr>
        <w:t>.</w:t>
      </w:r>
    </w:p>
    <w:p w:rsidR="00BF24CD" w:rsidRPr="007F3549" w:rsidRDefault="005F1AC2" w:rsidP="00B50D94">
      <w:pPr>
        <w:pStyle w:val="ONUMFS"/>
        <w:ind w:left="1134"/>
        <w:rPr>
          <w:i/>
          <w:lang w:val="fr-FR"/>
        </w:rPr>
      </w:pPr>
      <w:r w:rsidRPr="007F3549">
        <w:rPr>
          <w:rStyle w:val="hps"/>
          <w:i/>
          <w:lang w:val="fr-FR"/>
        </w:rPr>
        <w:t>Le Comité</w:t>
      </w:r>
      <w:r w:rsidRPr="007F3549">
        <w:rPr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>du programme et budget</w:t>
      </w:r>
      <w:r w:rsidRPr="007F3549">
        <w:rPr>
          <w:i/>
          <w:lang w:val="fr-FR"/>
        </w:rPr>
        <w:t xml:space="preserve">, </w:t>
      </w:r>
      <w:r w:rsidRPr="007F3549">
        <w:rPr>
          <w:rStyle w:val="hps"/>
          <w:i/>
          <w:lang w:val="fr-FR"/>
        </w:rPr>
        <w:t xml:space="preserve">reconnaissant </w:t>
      </w:r>
      <w:r w:rsidR="00127E92" w:rsidRPr="007F3549">
        <w:rPr>
          <w:rStyle w:val="hps"/>
          <w:i/>
          <w:lang w:val="fr-FR"/>
        </w:rPr>
        <w:t xml:space="preserve">que </w:t>
      </w:r>
      <w:r w:rsidRPr="007F3549">
        <w:rPr>
          <w:rStyle w:val="hps"/>
          <w:i/>
          <w:lang w:val="fr-FR"/>
        </w:rPr>
        <w:t>les</w:t>
      </w:r>
      <w:r w:rsidRPr="007F3549">
        <w:rPr>
          <w:i/>
          <w:lang w:val="fr-FR"/>
        </w:rPr>
        <w:t xml:space="preserve"> deux</w:t>
      </w:r>
      <w:r w:rsidR="00127E92" w:rsidRPr="007F3549">
        <w:rPr>
          <w:i/>
          <w:lang w:val="fr-FR"/>
        </w:rPr>
        <w:t> </w:t>
      </w:r>
      <w:r w:rsidRPr="007F3549">
        <w:rPr>
          <w:rStyle w:val="hps"/>
          <w:i/>
          <w:lang w:val="fr-FR"/>
        </w:rPr>
        <w:t xml:space="preserve">politiques </w:t>
      </w:r>
      <w:r w:rsidR="008702B7" w:rsidRPr="007F3549">
        <w:rPr>
          <w:rStyle w:val="hps"/>
          <w:i/>
          <w:lang w:val="fr-FR"/>
        </w:rPr>
        <w:t xml:space="preserve">en matière </w:t>
      </w:r>
      <w:r w:rsidR="007B73E2" w:rsidRPr="007F3549">
        <w:rPr>
          <w:rStyle w:val="hps"/>
          <w:i/>
          <w:lang w:val="fr-FR"/>
        </w:rPr>
        <w:t>de placements</w:t>
      </w:r>
      <w:r w:rsidRPr="007F3549">
        <w:rPr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>(</w:t>
      </w:r>
      <w:r w:rsidR="00127E92" w:rsidRPr="007F3549">
        <w:rPr>
          <w:rStyle w:val="hps"/>
          <w:i/>
          <w:lang w:val="fr-FR"/>
        </w:rPr>
        <w:t>l</w:t>
      </w:r>
      <w:r w:rsidR="00876E92" w:rsidRPr="007F3549">
        <w:rPr>
          <w:rStyle w:val="hps"/>
          <w:i/>
          <w:lang w:val="fr-FR"/>
        </w:rPr>
        <w:t>’</w:t>
      </w:r>
      <w:r w:rsidR="00127E92" w:rsidRPr="007F3549">
        <w:rPr>
          <w:rStyle w:val="hps"/>
          <w:i/>
          <w:lang w:val="fr-FR"/>
        </w:rPr>
        <w:t>une afférente à la trésorerie d</w:t>
      </w:r>
      <w:r w:rsidR="00876E92" w:rsidRPr="007F3549">
        <w:rPr>
          <w:rStyle w:val="hps"/>
          <w:i/>
          <w:lang w:val="fr-FR"/>
        </w:rPr>
        <w:t>’</w:t>
      </w:r>
      <w:r w:rsidR="00127E92" w:rsidRPr="007F3549">
        <w:rPr>
          <w:rStyle w:val="hps"/>
          <w:i/>
          <w:lang w:val="fr-FR"/>
        </w:rPr>
        <w:t>exploitation</w:t>
      </w:r>
      <w:r w:rsidR="00127E92" w:rsidRPr="007F3549">
        <w:rPr>
          <w:i/>
          <w:lang w:val="fr-FR"/>
        </w:rPr>
        <w:t xml:space="preserve"> et </w:t>
      </w:r>
      <w:r w:rsidR="00EB01C9" w:rsidRPr="007F3549">
        <w:rPr>
          <w:i/>
          <w:lang w:val="fr-FR"/>
        </w:rPr>
        <w:t>aux fonds propres</w:t>
      </w:r>
      <w:r w:rsidR="00127E92" w:rsidRPr="007F3549">
        <w:rPr>
          <w:rStyle w:val="hps"/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>et</w:t>
      </w:r>
      <w:r w:rsidRPr="007F3549">
        <w:rPr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>l</w:t>
      </w:r>
      <w:r w:rsidR="00876E92" w:rsidRPr="007F3549">
        <w:rPr>
          <w:rStyle w:val="hps"/>
          <w:i/>
          <w:lang w:val="fr-FR"/>
        </w:rPr>
        <w:t>’</w:t>
      </w:r>
      <w:r w:rsidRPr="007F3549">
        <w:rPr>
          <w:rStyle w:val="hps"/>
          <w:i/>
          <w:lang w:val="fr-FR"/>
        </w:rPr>
        <w:t xml:space="preserve">autre </w:t>
      </w:r>
      <w:r w:rsidR="00127E92" w:rsidRPr="007F3549">
        <w:rPr>
          <w:rStyle w:val="hps"/>
          <w:i/>
          <w:lang w:val="fr-FR"/>
        </w:rPr>
        <w:t>à la</w:t>
      </w:r>
      <w:r w:rsidRPr="007F3549">
        <w:rPr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>trésorerie</w:t>
      </w:r>
      <w:r w:rsidRPr="007F3549">
        <w:rPr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>stratégique)</w:t>
      </w:r>
      <w:r w:rsidR="00127E92" w:rsidRPr="007F3549">
        <w:rPr>
          <w:rStyle w:val="hps"/>
          <w:i/>
          <w:lang w:val="fr-FR"/>
        </w:rPr>
        <w:t xml:space="preserve"> représentent une nécessité</w:t>
      </w:r>
      <w:r w:rsidRPr="007F3549">
        <w:rPr>
          <w:i/>
          <w:lang w:val="fr-FR"/>
        </w:rPr>
        <w:t xml:space="preserve">, a recommandé que </w:t>
      </w:r>
      <w:r w:rsidRPr="007F3549">
        <w:rPr>
          <w:rStyle w:val="hps"/>
          <w:i/>
          <w:lang w:val="fr-FR"/>
        </w:rPr>
        <w:t>ces</w:t>
      </w:r>
      <w:r w:rsidRPr="007F3549">
        <w:rPr>
          <w:i/>
          <w:lang w:val="fr-FR"/>
        </w:rPr>
        <w:t xml:space="preserve"> </w:t>
      </w:r>
      <w:r w:rsidR="00127E92" w:rsidRPr="007F3549">
        <w:rPr>
          <w:i/>
          <w:lang w:val="fr-FR"/>
        </w:rPr>
        <w:t>deux </w:t>
      </w:r>
      <w:r w:rsidRPr="007F3549">
        <w:rPr>
          <w:rStyle w:val="hps"/>
          <w:i/>
          <w:lang w:val="fr-FR"/>
        </w:rPr>
        <w:t>politiques</w:t>
      </w:r>
      <w:r w:rsidRPr="007F3549">
        <w:rPr>
          <w:i/>
          <w:lang w:val="fr-FR"/>
        </w:rPr>
        <w:t xml:space="preserve"> </w:t>
      </w:r>
      <w:r w:rsidR="007B73E2" w:rsidRPr="007F3549">
        <w:rPr>
          <w:rStyle w:val="hps"/>
          <w:i/>
          <w:lang w:val="fr-FR"/>
        </w:rPr>
        <w:t>soient établies</w:t>
      </w:r>
      <w:r w:rsidRPr="007F3549">
        <w:rPr>
          <w:rStyle w:val="hps"/>
          <w:i/>
          <w:lang w:val="fr-FR"/>
        </w:rPr>
        <w:t xml:space="preserve"> </w:t>
      </w:r>
      <w:r w:rsidR="009520D0" w:rsidRPr="007F3549">
        <w:rPr>
          <w:rStyle w:val="hps"/>
          <w:i/>
          <w:lang w:val="fr-FR"/>
        </w:rPr>
        <w:t>en vue de leur</w:t>
      </w:r>
      <w:r w:rsidRPr="007F3549">
        <w:rPr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 xml:space="preserve">approbation </w:t>
      </w:r>
      <w:r w:rsidR="009520D0" w:rsidRPr="007F3549">
        <w:rPr>
          <w:rStyle w:val="hps"/>
          <w:i/>
          <w:lang w:val="fr-FR"/>
        </w:rPr>
        <w:t>à sa</w:t>
      </w:r>
      <w:r w:rsidRPr="007F3549">
        <w:rPr>
          <w:i/>
          <w:lang w:val="fr-FR"/>
        </w:rPr>
        <w:t xml:space="preserve"> </w:t>
      </w:r>
      <w:r w:rsidRPr="007F3549">
        <w:rPr>
          <w:rStyle w:val="hps"/>
          <w:i/>
          <w:lang w:val="fr-FR"/>
        </w:rPr>
        <w:t>prochaine session et</w:t>
      </w:r>
      <w:r w:rsidRPr="007F3549">
        <w:rPr>
          <w:i/>
          <w:lang w:val="fr-FR"/>
        </w:rPr>
        <w:t xml:space="preserve"> </w:t>
      </w:r>
      <w:r w:rsidR="00127E92" w:rsidRPr="007F3549">
        <w:rPr>
          <w:rStyle w:val="hps"/>
          <w:i/>
          <w:lang w:val="fr-FR"/>
        </w:rPr>
        <w:t>qu</w:t>
      </w:r>
      <w:r w:rsidR="00876E92" w:rsidRPr="007F3549">
        <w:rPr>
          <w:rStyle w:val="hps"/>
          <w:i/>
          <w:lang w:val="fr-FR"/>
        </w:rPr>
        <w:t>’</w:t>
      </w:r>
      <w:r w:rsidR="00127E92" w:rsidRPr="007F3549">
        <w:rPr>
          <w:rStyle w:val="hps"/>
          <w:i/>
          <w:lang w:val="fr-FR"/>
        </w:rPr>
        <w:t>elles</w:t>
      </w:r>
      <w:r w:rsidRPr="007F3549">
        <w:rPr>
          <w:i/>
          <w:lang w:val="fr-FR"/>
        </w:rPr>
        <w:t xml:space="preserve"> </w:t>
      </w:r>
      <w:r w:rsidR="007B73E2" w:rsidRPr="007F3549">
        <w:rPr>
          <w:rStyle w:val="hps"/>
          <w:i/>
          <w:lang w:val="fr-FR"/>
        </w:rPr>
        <w:t>comprennent</w:t>
      </w:r>
      <w:r w:rsidRPr="007F3549">
        <w:rPr>
          <w:rStyle w:val="hps"/>
          <w:i/>
          <w:lang w:val="fr-FR"/>
        </w:rPr>
        <w:t xml:space="preserve"> les éléments </w:t>
      </w:r>
      <w:r w:rsidR="00155EE8" w:rsidRPr="007F3549">
        <w:rPr>
          <w:rStyle w:val="hps"/>
          <w:i/>
          <w:lang w:val="fr-FR"/>
        </w:rPr>
        <w:t>ci</w:t>
      </w:r>
      <w:r w:rsidR="00BD351E" w:rsidRPr="007F3549">
        <w:rPr>
          <w:rStyle w:val="hps"/>
          <w:i/>
          <w:lang w:val="fr-FR"/>
        </w:rPr>
        <w:noBreakHyphen/>
      </w:r>
      <w:r w:rsidR="00155EE8" w:rsidRPr="007F3549">
        <w:rPr>
          <w:rStyle w:val="hps"/>
          <w:i/>
          <w:lang w:val="fr-FR"/>
        </w:rPr>
        <w:t>après</w:t>
      </w:r>
      <w:r w:rsidRPr="007F3549">
        <w:rPr>
          <w:rStyle w:val="hps"/>
          <w:i/>
          <w:lang w:val="fr-FR"/>
        </w:rPr>
        <w:t> </w:t>
      </w:r>
      <w:r w:rsidR="00BF24CD" w:rsidRPr="007F3549">
        <w:rPr>
          <w:rStyle w:val="hps"/>
          <w:i/>
          <w:lang w:val="fr-FR"/>
        </w:rPr>
        <w:t>:</w:t>
      </w:r>
    </w:p>
    <w:p w:rsidR="00BF24CD" w:rsidRPr="007F3549" w:rsidRDefault="00104E5A" w:rsidP="00B50D94">
      <w:pPr>
        <w:pStyle w:val="ONUMFS"/>
        <w:numPr>
          <w:ilvl w:val="2"/>
          <w:numId w:val="3"/>
        </w:numPr>
        <w:ind w:left="1701"/>
        <w:rPr>
          <w:i/>
          <w:lang w:val="fr-FR"/>
        </w:rPr>
      </w:pPr>
      <w:r w:rsidRPr="007F3549">
        <w:rPr>
          <w:i/>
          <w:lang w:val="fr-FR"/>
        </w:rPr>
        <w:t>l</w:t>
      </w:r>
      <w:r w:rsidR="009520D0" w:rsidRPr="007F3549">
        <w:rPr>
          <w:i/>
          <w:lang w:val="fr-FR"/>
        </w:rPr>
        <w:t>a définition des placements à court terme comme étant des placements arrivant à échéance au bout d</w:t>
      </w:r>
      <w:r w:rsidR="00876E92" w:rsidRPr="007F3549">
        <w:rPr>
          <w:i/>
          <w:lang w:val="fr-FR"/>
        </w:rPr>
        <w:t>’</w:t>
      </w:r>
      <w:r w:rsidR="009520D0" w:rsidRPr="007F3549">
        <w:rPr>
          <w:i/>
          <w:lang w:val="fr-FR"/>
        </w:rPr>
        <w:t>un an maximum</w:t>
      </w:r>
      <w:r w:rsidR="00BF24CD" w:rsidRPr="007F3549">
        <w:rPr>
          <w:i/>
          <w:lang w:val="fr-FR"/>
        </w:rPr>
        <w:t>;</w:t>
      </w:r>
    </w:p>
    <w:p w:rsidR="00BF24CD" w:rsidRPr="007F3549" w:rsidRDefault="00104E5A" w:rsidP="00B50D94">
      <w:pPr>
        <w:pStyle w:val="ONUMFS"/>
        <w:numPr>
          <w:ilvl w:val="2"/>
          <w:numId w:val="3"/>
        </w:numPr>
        <w:ind w:left="1701"/>
        <w:rPr>
          <w:i/>
          <w:lang w:val="fr-FR"/>
        </w:rPr>
      </w:pPr>
      <w:r w:rsidRPr="007F3549">
        <w:rPr>
          <w:i/>
          <w:lang w:val="fr-FR"/>
        </w:rPr>
        <w:t>d</w:t>
      </w:r>
      <w:r w:rsidR="00155EE8" w:rsidRPr="007F3549">
        <w:rPr>
          <w:i/>
          <w:lang w:val="fr-FR"/>
        </w:rPr>
        <w:t xml:space="preserve">es notations minimales en ce qui concerne les placements à court terme, </w:t>
      </w:r>
      <w:r w:rsidR="00876E92" w:rsidRPr="007F3549">
        <w:rPr>
          <w:i/>
          <w:lang w:val="fr-FR"/>
        </w:rPr>
        <w:t>à savoir</w:t>
      </w:r>
      <w:r w:rsidR="00155EE8" w:rsidRPr="007F3549">
        <w:rPr>
          <w:i/>
          <w:lang w:val="fr-FR"/>
        </w:rPr>
        <w:t xml:space="preserve"> A</w:t>
      </w:r>
      <w:r w:rsidR="00BD351E" w:rsidRPr="007F3549">
        <w:rPr>
          <w:i/>
          <w:lang w:val="fr-FR"/>
        </w:rPr>
        <w:noBreakHyphen/>
      </w:r>
      <w:r w:rsidR="00155EE8" w:rsidRPr="007F3549">
        <w:rPr>
          <w:i/>
          <w:lang w:val="fr-FR"/>
        </w:rPr>
        <w:t>2/P</w:t>
      </w:r>
      <w:r w:rsidR="00BD351E" w:rsidRPr="007F3549">
        <w:rPr>
          <w:i/>
          <w:lang w:val="fr-FR"/>
        </w:rPr>
        <w:noBreakHyphen/>
      </w:r>
      <w:r w:rsidR="00155EE8" w:rsidRPr="007F3549">
        <w:rPr>
          <w:i/>
          <w:lang w:val="fr-FR"/>
        </w:rPr>
        <w:t>2 pour les dépôts à terme auprès de banques et A3</w:t>
      </w:r>
      <w:r w:rsidR="00BD351E" w:rsidRPr="007F3549">
        <w:rPr>
          <w:i/>
          <w:lang w:val="fr-FR"/>
        </w:rPr>
        <w:noBreakHyphen/>
      </w:r>
      <w:r w:rsidR="00155EE8" w:rsidRPr="007F3549">
        <w:rPr>
          <w:i/>
          <w:lang w:val="fr-FR"/>
        </w:rPr>
        <w:t>P3 pour les obligations d</w:t>
      </w:r>
      <w:r w:rsidR="00876E92" w:rsidRPr="007F3549">
        <w:rPr>
          <w:i/>
          <w:lang w:val="fr-FR"/>
        </w:rPr>
        <w:t>’</w:t>
      </w:r>
      <w:r w:rsidR="00155EE8" w:rsidRPr="007F3549">
        <w:rPr>
          <w:i/>
          <w:lang w:val="fr-FR"/>
        </w:rPr>
        <w:t>État;</w:t>
      </w:r>
    </w:p>
    <w:p w:rsidR="00BF24CD" w:rsidRPr="007F3549" w:rsidRDefault="00104E5A" w:rsidP="00B50D94">
      <w:pPr>
        <w:pStyle w:val="ONUMFS"/>
        <w:numPr>
          <w:ilvl w:val="2"/>
          <w:numId w:val="3"/>
        </w:numPr>
        <w:ind w:left="1701"/>
        <w:rPr>
          <w:i/>
          <w:lang w:val="fr-FR"/>
        </w:rPr>
      </w:pPr>
      <w:r w:rsidRPr="007F3549">
        <w:rPr>
          <w:i/>
          <w:lang w:val="fr-FR"/>
        </w:rPr>
        <w:t>d</w:t>
      </w:r>
      <w:r w:rsidR="00155EE8" w:rsidRPr="007F3549">
        <w:rPr>
          <w:i/>
          <w:lang w:val="fr-FR"/>
        </w:rPr>
        <w:t xml:space="preserve">es notations minimales révisées en ce qui concerne les placements à court terme et à long terme, </w:t>
      </w:r>
      <w:r w:rsidR="00876E92" w:rsidRPr="007F3549">
        <w:rPr>
          <w:i/>
          <w:lang w:val="fr-FR"/>
        </w:rPr>
        <w:t>à savoir</w:t>
      </w:r>
      <w:r w:rsidR="00155EE8" w:rsidRPr="007F3549">
        <w:rPr>
          <w:i/>
          <w:lang w:val="fr-FR"/>
        </w:rPr>
        <w:t xml:space="preserve"> A</w:t>
      </w:r>
      <w:r w:rsidR="00BD351E" w:rsidRPr="007F3549">
        <w:rPr>
          <w:i/>
          <w:lang w:val="fr-FR"/>
        </w:rPr>
        <w:noBreakHyphen/>
      </w:r>
      <w:r w:rsidR="00155EE8" w:rsidRPr="007F3549">
        <w:rPr>
          <w:i/>
          <w:lang w:val="fr-FR"/>
        </w:rPr>
        <w:t>/A3 pour les dépôts à terme auprès de banques et les obligations d</w:t>
      </w:r>
      <w:r w:rsidR="00876E92" w:rsidRPr="007F3549">
        <w:rPr>
          <w:i/>
          <w:lang w:val="fr-FR"/>
        </w:rPr>
        <w:t>’</w:t>
      </w:r>
      <w:r w:rsidR="00155EE8" w:rsidRPr="007F3549">
        <w:rPr>
          <w:i/>
          <w:lang w:val="fr-FR"/>
        </w:rPr>
        <w:t>État</w:t>
      </w:r>
      <w:r w:rsidR="00882AEF" w:rsidRPr="007F3549">
        <w:rPr>
          <w:i/>
          <w:lang w:val="fr-FR"/>
        </w:rPr>
        <w:t>, BBB</w:t>
      </w:r>
      <w:r w:rsidR="00BD351E" w:rsidRPr="007F3549">
        <w:rPr>
          <w:i/>
          <w:lang w:val="fr-FR"/>
        </w:rPr>
        <w:noBreakHyphen/>
      </w:r>
      <w:r w:rsidR="00882AEF" w:rsidRPr="007F3549">
        <w:rPr>
          <w:i/>
          <w:lang w:val="fr-FR"/>
        </w:rPr>
        <w:t>/Baa</w:t>
      </w:r>
      <w:r w:rsidR="009E4013" w:rsidRPr="007F3549">
        <w:rPr>
          <w:i/>
          <w:lang w:val="fr-FR"/>
        </w:rPr>
        <w:t>3</w:t>
      </w:r>
      <w:r w:rsidR="00155EE8" w:rsidRPr="007F3549">
        <w:rPr>
          <w:i/>
          <w:lang w:val="fr-FR"/>
        </w:rPr>
        <w:t> pour les obligations d</w:t>
      </w:r>
      <w:r w:rsidR="00876E92" w:rsidRPr="007F3549">
        <w:rPr>
          <w:i/>
          <w:lang w:val="fr-FR"/>
        </w:rPr>
        <w:t>’</w:t>
      </w:r>
      <w:r w:rsidR="00155EE8" w:rsidRPr="007F3549">
        <w:rPr>
          <w:i/>
          <w:lang w:val="fr-FR"/>
        </w:rPr>
        <w:t>entreprises</w:t>
      </w:r>
      <w:r w:rsidR="00882AEF" w:rsidRPr="007F3549">
        <w:rPr>
          <w:i/>
          <w:lang w:val="fr-FR"/>
        </w:rPr>
        <w:t>;</w:t>
      </w:r>
    </w:p>
    <w:p w:rsidR="00BF24CD" w:rsidRPr="007F3549" w:rsidRDefault="00104E5A" w:rsidP="00B50D94">
      <w:pPr>
        <w:pStyle w:val="ONUMFS"/>
        <w:numPr>
          <w:ilvl w:val="2"/>
          <w:numId w:val="3"/>
        </w:numPr>
        <w:ind w:left="1701"/>
        <w:rPr>
          <w:i/>
          <w:lang w:val="fr-FR"/>
        </w:rPr>
      </w:pPr>
      <w:r w:rsidRPr="007F3549">
        <w:rPr>
          <w:i/>
          <w:lang w:val="fr-FR"/>
        </w:rPr>
        <w:t xml:space="preserve">une réduction du nombre </w:t>
      </w:r>
      <w:r w:rsidR="001C45C8">
        <w:rPr>
          <w:i/>
          <w:lang w:val="fr-FR"/>
        </w:rPr>
        <w:t>minimal</w:t>
      </w:r>
      <w:r w:rsidRPr="007F3549">
        <w:rPr>
          <w:i/>
          <w:lang w:val="fr-FR"/>
        </w:rPr>
        <w:t xml:space="preserve"> d</w:t>
      </w:r>
      <w:r w:rsidR="00876E92" w:rsidRPr="007F3549">
        <w:rPr>
          <w:i/>
          <w:lang w:val="fr-FR"/>
        </w:rPr>
        <w:t>’</w:t>
      </w:r>
      <w:r w:rsidRPr="007F3549">
        <w:rPr>
          <w:i/>
          <w:lang w:val="fr-FR"/>
        </w:rPr>
        <w:t xml:space="preserve">institutions financières auprès desquelles </w:t>
      </w:r>
      <w:r w:rsidR="001D5A95" w:rsidRPr="007F3549">
        <w:rPr>
          <w:i/>
          <w:lang w:val="fr-FR"/>
        </w:rPr>
        <w:t xml:space="preserve">il est possible de détenir </w:t>
      </w:r>
      <w:r w:rsidRPr="007F3549">
        <w:rPr>
          <w:i/>
          <w:lang w:val="fr-FR"/>
        </w:rPr>
        <w:t>la trésorerie d</w:t>
      </w:r>
      <w:r w:rsidR="00876E92" w:rsidRPr="007F3549">
        <w:rPr>
          <w:i/>
          <w:lang w:val="fr-FR"/>
        </w:rPr>
        <w:t>’</w:t>
      </w:r>
      <w:r w:rsidRPr="007F3549">
        <w:rPr>
          <w:i/>
          <w:lang w:val="fr-FR"/>
        </w:rPr>
        <w:t>exploitation à quatre institutions</w:t>
      </w:r>
      <w:r w:rsidR="00BF24CD" w:rsidRPr="007F3549">
        <w:rPr>
          <w:i/>
          <w:lang w:val="fr-FR"/>
        </w:rPr>
        <w:t>;</w:t>
      </w:r>
    </w:p>
    <w:p w:rsidR="00BF24CD" w:rsidRPr="007F3549" w:rsidRDefault="001D5A95" w:rsidP="00B50D94">
      <w:pPr>
        <w:pStyle w:val="ONUMFS"/>
        <w:numPr>
          <w:ilvl w:val="2"/>
          <w:numId w:val="3"/>
        </w:numPr>
        <w:ind w:left="1701"/>
        <w:rPr>
          <w:i/>
          <w:lang w:val="fr-FR"/>
        </w:rPr>
      </w:pPr>
      <w:r w:rsidRPr="007F3549">
        <w:rPr>
          <w:i/>
          <w:lang w:val="fr-FR"/>
        </w:rPr>
        <w:t xml:space="preserve">le recours à des gestionnaires de fonds extérieurs pour la gestion </w:t>
      </w:r>
      <w:r w:rsidR="00783835" w:rsidRPr="007F3549">
        <w:rPr>
          <w:i/>
          <w:lang w:val="fr-FR"/>
        </w:rPr>
        <w:t>des fonds propres et de la trésorerie stratégique</w:t>
      </w:r>
      <w:r w:rsidR="00BF24CD" w:rsidRPr="007F3549">
        <w:rPr>
          <w:i/>
          <w:lang w:val="fr-FR"/>
        </w:rPr>
        <w:t>;</w:t>
      </w:r>
    </w:p>
    <w:p w:rsidR="00882AEF" w:rsidRPr="007F3549" w:rsidRDefault="001D5A95" w:rsidP="00B50D94">
      <w:pPr>
        <w:pStyle w:val="ONUMFS"/>
        <w:numPr>
          <w:ilvl w:val="2"/>
          <w:numId w:val="3"/>
        </w:numPr>
        <w:ind w:left="1701"/>
        <w:rPr>
          <w:i/>
          <w:lang w:val="fr-FR"/>
        </w:rPr>
      </w:pPr>
      <w:r w:rsidRPr="007F3549">
        <w:rPr>
          <w:i/>
          <w:lang w:val="fr-FR"/>
        </w:rPr>
        <w:t>le remboursement des deux tranches de l</w:t>
      </w:r>
      <w:r w:rsidR="00876E92" w:rsidRPr="007F3549">
        <w:rPr>
          <w:i/>
          <w:lang w:val="fr-FR"/>
        </w:rPr>
        <w:t>’</w:t>
      </w:r>
      <w:r w:rsidRPr="007F3549">
        <w:rPr>
          <w:i/>
          <w:lang w:val="fr-FR"/>
        </w:rPr>
        <w:t>emprunt pour le nouveau bâtiment, dont les échéances sont novembre 2015 et janvier 2016</w:t>
      </w:r>
      <w:r w:rsidR="00882AEF" w:rsidRPr="007F3549">
        <w:rPr>
          <w:i/>
          <w:lang w:val="fr-FR"/>
        </w:rPr>
        <w:t>;</w:t>
      </w:r>
    </w:p>
    <w:p w:rsidR="00BF24CD" w:rsidRPr="007F3549" w:rsidRDefault="00C9557F" w:rsidP="00B50D94">
      <w:pPr>
        <w:pStyle w:val="ONUMFS"/>
        <w:numPr>
          <w:ilvl w:val="2"/>
          <w:numId w:val="3"/>
        </w:numPr>
        <w:ind w:left="1701"/>
        <w:rPr>
          <w:i/>
          <w:lang w:val="fr-FR"/>
        </w:rPr>
      </w:pPr>
      <w:r w:rsidRPr="007F3549">
        <w:rPr>
          <w:i/>
          <w:lang w:val="fr-FR"/>
        </w:rPr>
        <w:t>une liste révisée des classes d</w:t>
      </w:r>
      <w:r w:rsidR="00876E92" w:rsidRPr="007F3549">
        <w:rPr>
          <w:i/>
          <w:lang w:val="fr-FR"/>
        </w:rPr>
        <w:t>’</w:t>
      </w:r>
      <w:r w:rsidRPr="007F3549">
        <w:rPr>
          <w:i/>
          <w:lang w:val="fr-FR"/>
        </w:rPr>
        <w:t xml:space="preserve">actifs acceptables, </w:t>
      </w:r>
      <w:r w:rsidR="00876E92" w:rsidRPr="007F3549">
        <w:rPr>
          <w:i/>
          <w:lang w:val="fr-FR"/>
        </w:rPr>
        <w:t>à savoir</w:t>
      </w:r>
      <w:r w:rsidR="00617726" w:rsidRPr="007F3549">
        <w:rPr>
          <w:i/>
          <w:lang w:val="fr-FR"/>
        </w:rPr>
        <w:t> </w:t>
      </w:r>
      <w:r w:rsidR="00BF24CD" w:rsidRPr="007F3549">
        <w:rPr>
          <w:i/>
          <w:lang w:val="fr-FR"/>
        </w:rPr>
        <w:t>:</w:t>
      </w:r>
    </w:p>
    <w:p w:rsidR="00BF24CD" w:rsidRPr="007F3549" w:rsidRDefault="00446799" w:rsidP="007F3549">
      <w:pPr>
        <w:pStyle w:val="ONUME"/>
        <w:keepNext/>
        <w:numPr>
          <w:ilvl w:val="0"/>
          <w:numId w:val="14"/>
        </w:numPr>
        <w:tabs>
          <w:tab w:val="left" w:pos="2835"/>
          <w:tab w:val="left" w:pos="6379"/>
        </w:tabs>
        <w:ind w:left="2268" w:firstLine="0"/>
        <w:rPr>
          <w:i/>
          <w:szCs w:val="22"/>
          <w:u w:val="single"/>
          <w:lang w:val="fr-FR"/>
        </w:rPr>
      </w:pPr>
      <w:r w:rsidRPr="007F3549">
        <w:rPr>
          <w:i/>
          <w:szCs w:val="22"/>
          <w:u w:val="single"/>
          <w:lang w:val="fr-FR"/>
        </w:rPr>
        <w:lastRenderedPageBreak/>
        <w:t>D</w:t>
      </w:r>
      <w:r w:rsidR="00A30A30" w:rsidRPr="007F3549">
        <w:rPr>
          <w:i/>
          <w:szCs w:val="22"/>
          <w:u w:val="single"/>
          <w:lang w:val="fr-FR"/>
        </w:rPr>
        <w:t>ans le cadre de la politique en matière d</w:t>
      </w:r>
      <w:r w:rsidR="00876E92" w:rsidRPr="007F3549">
        <w:rPr>
          <w:i/>
          <w:szCs w:val="22"/>
          <w:u w:val="single"/>
          <w:lang w:val="fr-FR"/>
        </w:rPr>
        <w:t>’</w:t>
      </w:r>
      <w:r w:rsidR="00A30A30" w:rsidRPr="007F3549">
        <w:rPr>
          <w:i/>
          <w:szCs w:val="22"/>
          <w:u w:val="single"/>
          <w:lang w:val="fr-FR"/>
        </w:rPr>
        <w:t>investissements applicable à la trésorerie d</w:t>
      </w:r>
      <w:r w:rsidR="00876E92" w:rsidRPr="007F3549">
        <w:rPr>
          <w:i/>
          <w:szCs w:val="22"/>
          <w:u w:val="single"/>
          <w:lang w:val="fr-FR"/>
        </w:rPr>
        <w:t>’</w:t>
      </w:r>
      <w:r w:rsidR="00A30A30" w:rsidRPr="007F3549">
        <w:rPr>
          <w:i/>
          <w:szCs w:val="22"/>
          <w:u w:val="single"/>
          <w:lang w:val="fr-FR"/>
        </w:rPr>
        <w:t xml:space="preserve">exploitation et </w:t>
      </w:r>
      <w:r w:rsidR="00007A61" w:rsidRPr="007F3549">
        <w:rPr>
          <w:i/>
          <w:szCs w:val="22"/>
          <w:u w:val="single"/>
          <w:lang w:val="fr-FR"/>
        </w:rPr>
        <w:t>aux fonds propres</w:t>
      </w:r>
      <w:r w:rsidR="00A30A30" w:rsidRPr="007F3549">
        <w:rPr>
          <w:i/>
          <w:szCs w:val="22"/>
          <w:u w:val="single"/>
          <w:lang w:val="fr-FR"/>
        </w:rPr>
        <w:t> </w:t>
      </w:r>
      <w:r w:rsidR="00D321FB" w:rsidRPr="007F3549">
        <w:rPr>
          <w:i/>
          <w:szCs w:val="22"/>
          <w:u w:val="single"/>
          <w:lang w:val="fr-FR"/>
        </w:rPr>
        <w:t>:</w:t>
      </w:r>
    </w:p>
    <w:p w:rsidR="007D0D8A" w:rsidRPr="007F3549" w:rsidRDefault="007D0D8A" w:rsidP="007F3549">
      <w:pPr>
        <w:pStyle w:val="ONUME"/>
        <w:keepNext/>
        <w:tabs>
          <w:tab w:val="left" w:pos="3969"/>
          <w:tab w:val="left" w:pos="6946"/>
        </w:tabs>
        <w:ind w:left="3969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I.</w:t>
      </w:r>
      <w:r w:rsidRPr="007F3549">
        <w:rPr>
          <w:i/>
          <w:szCs w:val="22"/>
          <w:lang w:val="fr-FR"/>
        </w:rPr>
        <w:tab/>
      </w:r>
      <w:r w:rsidR="00A30A30" w:rsidRPr="007F3549">
        <w:rPr>
          <w:i/>
          <w:szCs w:val="22"/>
          <w:lang w:val="fr-FR"/>
        </w:rPr>
        <w:t>Trésorerie ou équivalent </w:t>
      </w:r>
      <w:r w:rsidRPr="007F3549">
        <w:rPr>
          <w:i/>
          <w:szCs w:val="22"/>
          <w:lang w:val="fr-FR"/>
        </w:rPr>
        <w:t>: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a)</w:t>
      </w:r>
      <w:r w:rsidRPr="007F3549">
        <w:rPr>
          <w:i/>
          <w:szCs w:val="22"/>
          <w:lang w:val="fr-FR"/>
        </w:rPr>
        <w:tab/>
      </w:r>
      <w:r w:rsidR="00D341F0" w:rsidRPr="007F3549">
        <w:rPr>
          <w:i/>
          <w:lang w:val="fr-FR"/>
        </w:rPr>
        <w:t>Dépôts à vue</w:t>
      </w:r>
      <w:r w:rsidR="00687422" w:rsidRPr="007F3549">
        <w:rPr>
          <w:i/>
          <w:lang w:val="fr-FR"/>
        </w:rPr>
        <w:t>, comptes d</w:t>
      </w:r>
      <w:r w:rsidR="00876E92" w:rsidRPr="007F3549">
        <w:rPr>
          <w:i/>
          <w:lang w:val="fr-FR"/>
        </w:rPr>
        <w:t>’</w:t>
      </w:r>
      <w:r w:rsidR="00687422" w:rsidRPr="007F3549">
        <w:rPr>
          <w:i/>
          <w:lang w:val="fr-FR"/>
        </w:rPr>
        <w:t>épargne ou comptes de dépôt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b)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lang w:val="fr-FR"/>
        </w:rPr>
        <w:t>Certificats de dépôts/dépôts à terme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c)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szCs w:val="22"/>
          <w:lang w:val="fr-FR"/>
        </w:rPr>
        <w:t>Dépôts structurés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d)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szCs w:val="22"/>
          <w:lang w:val="fr-FR"/>
        </w:rPr>
        <w:t>Dépôts croisés dans deux</w:t>
      </w:r>
      <w:r w:rsidR="00617726" w:rsidRPr="007F3549">
        <w:rPr>
          <w:i/>
          <w:szCs w:val="22"/>
          <w:lang w:val="fr-FR"/>
        </w:rPr>
        <w:t> </w:t>
      </w:r>
      <w:r w:rsidR="00687422" w:rsidRPr="007F3549">
        <w:rPr>
          <w:i/>
          <w:szCs w:val="22"/>
          <w:lang w:val="fr-FR"/>
        </w:rPr>
        <w:t>devises</w:t>
      </w:r>
    </w:p>
    <w:p w:rsidR="007D0D8A" w:rsidRPr="007F3549" w:rsidRDefault="007D0D8A" w:rsidP="007F3549">
      <w:pPr>
        <w:pStyle w:val="ONUME"/>
        <w:tabs>
          <w:tab w:val="left" w:pos="3969"/>
          <w:tab w:val="left" w:pos="4536"/>
          <w:tab w:val="left" w:pos="6946"/>
        </w:tabs>
        <w:ind w:left="3969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II.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szCs w:val="22"/>
          <w:lang w:val="fr-FR"/>
        </w:rPr>
        <w:t>Investissements sur les marchés monétaires </w:t>
      </w:r>
      <w:r w:rsidRPr="007F3549">
        <w:rPr>
          <w:i/>
          <w:szCs w:val="22"/>
          <w:lang w:val="fr-FR"/>
        </w:rPr>
        <w:t>: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a)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szCs w:val="22"/>
          <w:lang w:val="fr-FR"/>
        </w:rPr>
        <w:t>Billet de trésorerie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b)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szCs w:val="22"/>
          <w:lang w:val="fr-FR"/>
        </w:rPr>
        <w:t>Mise/prise en pension de titres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c)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szCs w:val="22"/>
          <w:lang w:val="fr-FR"/>
        </w:rPr>
        <w:t>Acceptation bancaire</w:t>
      </w:r>
    </w:p>
    <w:p w:rsidR="007D0D8A" w:rsidRPr="007F3549" w:rsidRDefault="007D0D8A" w:rsidP="007F3549">
      <w:pPr>
        <w:pStyle w:val="ONUME"/>
        <w:tabs>
          <w:tab w:val="left" w:pos="3969"/>
          <w:tab w:val="left" w:pos="4536"/>
          <w:tab w:val="left" w:pos="6946"/>
        </w:tabs>
        <w:ind w:left="3969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III.</w:t>
      </w:r>
      <w:r w:rsidRPr="007F3549">
        <w:rPr>
          <w:i/>
          <w:szCs w:val="22"/>
          <w:lang w:val="fr-FR"/>
        </w:rPr>
        <w:tab/>
      </w:r>
      <w:r w:rsidR="00687422" w:rsidRPr="007F3549">
        <w:rPr>
          <w:i/>
          <w:szCs w:val="22"/>
          <w:lang w:val="fr-FR"/>
        </w:rPr>
        <w:t>Obligations, effets ou autres obligations (à court, moyen ou long terme) et autres produits à revenu fixe </w:t>
      </w:r>
      <w:r w:rsidRPr="007F3549">
        <w:rPr>
          <w:i/>
          <w:lang w:val="fr-FR"/>
        </w:rPr>
        <w:t>: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a)</w:t>
      </w:r>
      <w:r w:rsidRPr="007F3549">
        <w:rPr>
          <w:i/>
          <w:szCs w:val="22"/>
          <w:lang w:val="fr-FR"/>
        </w:rPr>
        <w:tab/>
      </w:r>
      <w:r w:rsidR="00446799" w:rsidRPr="007F3549">
        <w:rPr>
          <w:i/>
          <w:lang w:val="fr-FR"/>
        </w:rPr>
        <w:t>Obligations d</w:t>
      </w:r>
      <w:r w:rsidR="00876E92" w:rsidRPr="007F3549">
        <w:rPr>
          <w:i/>
          <w:lang w:val="fr-FR"/>
        </w:rPr>
        <w:t>’</w:t>
      </w:r>
      <w:r w:rsidR="00446799" w:rsidRPr="007F3549">
        <w:rPr>
          <w:i/>
          <w:lang w:val="fr-FR"/>
        </w:rPr>
        <w:t>État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b)</w:t>
      </w:r>
      <w:r w:rsidRPr="007F3549">
        <w:rPr>
          <w:i/>
          <w:szCs w:val="22"/>
          <w:lang w:val="fr-FR"/>
        </w:rPr>
        <w:tab/>
      </w:r>
      <w:r w:rsidR="00446799" w:rsidRPr="007F3549">
        <w:rPr>
          <w:i/>
          <w:lang w:val="fr-FR"/>
        </w:rPr>
        <w:t>Obligations sous</w:t>
      </w:r>
      <w:r w:rsidR="00BD351E" w:rsidRPr="007F3549">
        <w:rPr>
          <w:i/>
          <w:lang w:val="fr-FR"/>
        </w:rPr>
        <w:noBreakHyphen/>
      </w:r>
      <w:r w:rsidR="00446799" w:rsidRPr="007F3549">
        <w:rPr>
          <w:i/>
          <w:lang w:val="fr-FR"/>
        </w:rPr>
        <w:t>souveraines – provinciales, municipales ou territoriales, par exemple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c)</w:t>
      </w:r>
      <w:r w:rsidRPr="007F3549">
        <w:rPr>
          <w:i/>
          <w:szCs w:val="22"/>
          <w:lang w:val="fr-FR"/>
        </w:rPr>
        <w:tab/>
      </w:r>
      <w:r w:rsidR="00446799" w:rsidRPr="007F3549">
        <w:rPr>
          <w:i/>
          <w:lang w:val="fr-FR"/>
        </w:rPr>
        <w:t>Obligations supranationales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d)</w:t>
      </w:r>
      <w:r w:rsidRPr="007F3549">
        <w:rPr>
          <w:i/>
          <w:szCs w:val="22"/>
          <w:lang w:val="fr-FR"/>
        </w:rPr>
        <w:tab/>
      </w:r>
      <w:r w:rsidR="00446799" w:rsidRPr="007F3549">
        <w:rPr>
          <w:i/>
          <w:lang w:val="fr-FR"/>
        </w:rPr>
        <w:t>Obligations d</w:t>
      </w:r>
      <w:r w:rsidR="00876E92" w:rsidRPr="007F3549">
        <w:rPr>
          <w:i/>
          <w:lang w:val="fr-FR"/>
        </w:rPr>
        <w:t>’</w:t>
      </w:r>
      <w:r w:rsidR="00446799" w:rsidRPr="007F3549">
        <w:rPr>
          <w:i/>
          <w:lang w:val="fr-FR"/>
        </w:rPr>
        <w:t>entreprises</w:t>
      </w:r>
    </w:p>
    <w:p w:rsidR="007D0D8A" w:rsidRPr="007F3549" w:rsidRDefault="007D0D8A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e)</w:t>
      </w:r>
      <w:r w:rsidRPr="007F3549">
        <w:rPr>
          <w:i/>
          <w:szCs w:val="22"/>
          <w:lang w:val="fr-FR"/>
        </w:rPr>
        <w:tab/>
      </w:r>
      <w:r w:rsidR="00446799" w:rsidRPr="007F3549">
        <w:rPr>
          <w:i/>
          <w:lang w:val="fr-FR"/>
        </w:rPr>
        <w:t>Placements privés</w:t>
      </w:r>
    </w:p>
    <w:p w:rsidR="007D0D8A" w:rsidRPr="007F3549" w:rsidRDefault="007D0D8A" w:rsidP="007F3549">
      <w:pPr>
        <w:pStyle w:val="ONUME"/>
        <w:tabs>
          <w:tab w:val="left" w:pos="3969"/>
          <w:tab w:val="left" w:pos="5103"/>
          <w:tab w:val="left" w:pos="6946"/>
        </w:tabs>
        <w:ind w:left="3969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IV.</w:t>
      </w:r>
      <w:r w:rsidRPr="007F3549">
        <w:rPr>
          <w:i/>
          <w:szCs w:val="22"/>
          <w:lang w:val="fr-FR"/>
        </w:rPr>
        <w:tab/>
      </w:r>
      <w:r w:rsidR="00446799" w:rsidRPr="007F3549">
        <w:rPr>
          <w:i/>
          <w:szCs w:val="22"/>
          <w:lang w:val="fr-FR"/>
        </w:rPr>
        <w:t>Sociétés d</w:t>
      </w:r>
      <w:r w:rsidR="00876E92" w:rsidRPr="007F3549">
        <w:rPr>
          <w:i/>
          <w:szCs w:val="22"/>
          <w:lang w:val="fr-FR"/>
        </w:rPr>
        <w:t>’</w:t>
      </w:r>
      <w:r w:rsidR="00446799" w:rsidRPr="007F3549">
        <w:rPr>
          <w:i/>
          <w:szCs w:val="22"/>
          <w:lang w:val="fr-FR"/>
        </w:rPr>
        <w:t>investissement immobilier à patrimoine propre</w:t>
      </w:r>
    </w:p>
    <w:p w:rsidR="00BF24CD" w:rsidRPr="007F3549" w:rsidRDefault="00BF0582" w:rsidP="00A314DC">
      <w:pPr>
        <w:pStyle w:val="ONUME"/>
        <w:numPr>
          <w:ilvl w:val="0"/>
          <w:numId w:val="14"/>
        </w:numPr>
        <w:tabs>
          <w:tab w:val="left" w:pos="2835"/>
          <w:tab w:val="left" w:pos="4536"/>
          <w:tab w:val="left" w:pos="6379"/>
        </w:tabs>
        <w:ind w:left="2268" w:firstLine="0"/>
        <w:rPr>
          <w:i/>
          <w:szCs w:val="22"/>
          <w:u w:val="single"/>
          <w:lang w:val="fr-FR"/>
        </w:rPr>
      </w:pPr>
      <w:r w:rsidRPr="007F3549">
        <w:rPr>
          <w:i/>
          <w:szCs w:val="22"/>
          <w:u w:val="single"/>
          <w:lang w:val="fr-FR"/>
        </w:rPr>
        <w:t>Dans le cadre de la politique en matière d</w:t>
      </w:r>
      <w:r w:rsidR="00876E92" w:rsidRPr="007F3549">
        <w:rPr>
          <w:i/>
          <w:szCs w:val="22"/>
          <w:u w:val="single"/>
          <w:lang w:val="fr-FR"/>
        </w:rPr>
        <w:t>’</w:t>
      </w:r>
      <w:r w:rsidRPr="007F3549">
        <w:rPr>
          <w:i/>
          <w:szCs w:val="22"/>
          <w:u w:val="single"/>
          <w:lang w:val="fr-FR"/>
        </w:rPr>
        <w:t>investissements applicable à la trésorerie stratégique </w:t>
      </w:r>
      <w:r w:rsidR="00D321FB" w:rsidRPr="007F3549">
        <w:rPr>
          <w:i/>
          <w:szCs w:val="22"/>
          <w:u w:val="single"/>
          <w:lang w:val="fr-FR"/>
        </w:rPr>
        <w:t>:</w:t>
      </w:r>
    </w:p>
    <w:p w:rsidR="00882AEF" w:rsidRPr="007F3549" w:rsidRDefault="006D39CB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a)</w:t>
      </w:r>
      <w:r w:rsidRPr="007F3549">
        <w:rPr>
          <w:i/>
          <w:szCs w:val="22"/>
          <w:lang w:val="fr-FR"/>
        </w:rPr>
        <w:tab/>
      </w:r>
      <w:r w:rsidR="00BF0582" w:rsidRPr="007F3549">
        <w:rPr>
          <w:i/>
          <w:szCs w:val="22"/>
          <w:lang w:val="fr-FR"/>
        </w:rPr>
        <w:t>Toutes les classes d</w:t>
      </w:r>
      <w:r w:rsidR="00876E92" w:rsidRPr="007F3549">
        <w:rPr>
          <w:i/>
          <w:szCs w:val="22"/>
          <w:lang w:val="fr-FR"/>
        </w:rPr>
        <w:t>’</w:t>
      </w:r>
      <w:r w:rsidR="00BF0582" w:rsidRPr="007F3549">
        <w:rPr>
          <w:i/>
          <w:szCs w:val="22"/>
          <w:lang w:val="fr-FR"/>
        </w:rPr>
        <w:t xml:space="preserve">actifs </w:t>
      </w:r>
      <w:r w:rsidR="00D256FF" w:rsidRPr="007F3549">
        <w:rPr>
          <w:i/>
          <w:szCs w:val="22"/>
          <w:lang w:val="fr-FR"/>
        </w:rPr>
        <w:t>applicables à</w:t>
      </w:r>
      <w:r w:rsidR="00BF0582" w:rsidRPr="007F3549">
        <w:rPr>
          <w:i/>
          <w:szCs w:val="22"/>
          <w:lang w:val="fr-FR"/>
        </w:rPr>
        <w:t xml:space="preserve"> la trésorerie d</w:t>
      </w:r>
      <w:r w:rsidR="00876E92" w:rsidRPr="007F3549">
        <w:rPr>
          <w:i/>
          <w:szCs w:val="22"/>
          <w:lang w:val="fr-FR"/>
        </w:rPr>
        <w:t>’</w:t>
      </w:r>
      <w:r w:rsidR="00BF0582" w:rsidRPr="007F3549">
        <w:rPr>
          <w:i/>
          <w:szCs w:val="22"/>
          <w:lang w:val="fr-FR"/>
        </w:rPr>
        <w:t xml:space="preserve">exploitation et </w:t>
      </w:r>
      <w:r w:rsidR="00D256FF" w:rsidRPr="007F3549">
        <w:rPr>
          <w:i/>
          <w:szCs w:val="22"/>
          <w:lang w:val="fr-FR"/>
        </w:rPr>
        <w:t>aux</w:t>
      </w:r>
      <w:r w:rsidR="00007A61" w:rsidRPr="007F3549">
        <w:rPr>
          <w:i/>
          <w:szCs w:val="22"/>
          <w:lang w:val="fr-FR"/>
        </w:rPr>
        <w:t xml:space="preserve"> fonds propres</w:t>
      </w:r>
      <w:r w:rsidR="00BF0582" w:rsidRPr="007F3549">
        <w:rPr>
          <w:i/>
          <w:szCs w:val="22"/>
          <w:lang w:val="fr-FR"/>
        </w:rPr>
        <w:t xml:space="preserve"> </w:t>
      </w:r>
      <w:r w:rsidR="006F631C">
        <w:rPr>
          <w:i/>
          <w:szCs w:val="22"/>
          <w:lang w:val="fr-FR"/>
        </w:rPr>
        <w:t>sont</w:t>
      </w:r>
      <w:r w:rsidR="00BF0582" w:rsidRPr="007F3549">
        <w:rPr>
          <w:i/>
          <w:szCs w:val="22"/>
          <w:lang w:val="fr-FR"/>
        </w:rPr>
        <w:t xml:space="preserve"> </w:t>
      </w:r>
      <w:r w:rsidR="006F631C">
        <w:rPr>
          <w:i/>
          <w:szCs w:val="22"/>
          <w:lang w:val="fr-FR"/>
        </w:rPr>
        <w:t>stipulées</w:t>
      </w:r>
      <w:r w:rsidR="003F715C" w:rsidRPr="007F3549">
        <w:rPr>
          <w:i/>
          <w:szCs w:val="22"/>
          <w:lang w:val="fr-FR"/>
        </w:rPr>
        <w:t>;</w:t>
      </w:r>
    </w:p>
    <w:p w:rsidR="00BF24CD" w:rsidRPr="007F3549" w:rsidRDefault="006D39CB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b)</w:t>
      </w:r>
      <w:r w:rsidRPr="007F3549">
        <w:rPr>
          <w:i/>
          <w:szCs w:val="22"/>
          <w:lang w:val="fr-FR"/>
        </w:rPr>
        <w:tab/>
      </w:r>
      <w:r w:rsidR="0095342B" w:rsidRPr="007F3549">
        <w:rPr>
          <w:i/>
          <w:szCs w:val="22"/>
          <w:lang w:val="fr-FR"/>
        </w:rPr>
        <w:t>I</w:t>
      </w:r>
      <w:r w:rsidR="00A62776" w:rsidRPr="007F3549">
        <w:rPr>
          <w:i/>
          <w:szCs w:val="22"/>
          <w:lang w:val="fr-FR"/>
        </w:rPr>
        <w:t>nvestissements directs dans des biens immobiliers</w:t>
      </w:r>
      <w:r w:rsidR="00B87E36" w:rsidRPr="007F3549">
        <w:rPr>
          <w:i/>
          <w:szCs w:val="22"/>
          <w:lang w:val="fr-FR"/>
        </w:rPr>
        <w:t>;</w:t>
      </w:r>
    </w:p>
    <w:p w:rsidR="00BF24CD" w:rsidRPr="007F3549" w:rsidRDefault="006D39CB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c)</w:t>
      </w:r>
      <w:r w:rsidRPr="007F3549">
        <w:rPr>
          <w:i/>
          <w:szCs w:val="22"/>
          <w:lang w:val="fr-FR"/>
        </w:rPr>
        <w:tab/>
      </w:r>
      <w:r w:rsidR="005820A6" w:rsidRPr="007F3549">
        <w:rPr>
          <w:i/>
          <w:szCs w:val="22"/>
          <w:lang w:val="fr-FR"/>
        </w:rPr>
        <w:t>Actions</w:t>
      </w:r>
      <w:r w:rsidR="00BF24CD" w:rsidRPr="007F3549">
        <w:rPr>
          <w:i/>
          <w:szCs w:val="22"/>
          <w:lang w:val="fr-FR"/>
        </w:rPr>
        <w:t xml:space="preserve"> </w:t>
      </w:r>
      <w:r w:rsidR="005820A6" w:rsidRPr="007F3549">
        <w:rPr>
          <w:i/>
          <w:szCs w:val="22"/>
          <w:lang w:val="fr-FR"/>
        </w:rPr>
        <w:t>et fonds communs de placement en actions</w:t>
      </w:r>
      <w:r w:rsidR="003F715C" w:rsidRPr="007F3549">
        <w:rPr>
          <w:i/>
          <w:szCs w:val="22"/>
          <w:lang w:val="fr-FR"/>
        </w:rPr>
        <w:t>;</w:t>
      </w:r>
    </w:p>
    <w:p w:rsidR="007439B0" w:rsidRPr="007F3549" w:rsidRDefault="006D39CB" w:rsidP="007F3549">
      <w:pPr>
        <w:pStyle w:val="ONUME"/>
        <w:tabs>
          <w:tab w:val="left" w:pos="4536"/>
          <w:tab w:val="left" w:pos="5103"/>
          <w:tab w:val="left" w:pos="6946"/>
        </w:tabs>
        <w:ind w:left="4536" w:hanging="567"/>
        <w:rPr>
          <w:i/>
          <w:lang w:val="fr-FR"/>
        </w:rPr>
      </w:pPr>
      <w:r w:rsidRPr="007F3549">
        <w:rPr>
          <w:i/>
          <w:szCs w:val="22"/>
          <w:lang w:val="fr-FR"/>
        </w:rPr>
        <w:t>d)</w:t>
      </w:r>
      <w:r w:rsidRPr="007F3549">
        <w:rPr>
          <w:i/>
          <w:szCs w:val="22"/>
          <w:lang w:val="fr-FR"/>
        </w:rPr>
        <w:tab/>
      </w:r>
      <w:r w:rsidR="00B87E36" w:rsidRPr="007F3549">
        <w:rPr>
          <w:i/>
          <w:szCs w:val="22"/>
          <w:lang w:val="fr-FR"/>
        </w:rPr>
        <w:t>Fonds spéculatifs</w:t>
      </w:r>
      <w:r w:rsidR="003F715C" w:rsidRPr="007F3549">
        <w:rPr>
          <w:i/>
          <w:szCs w:val="22"/>
          <w:lang w:val="fr-FR"/>
        </w:rPr>
        <w:t>.</w:t>
      </w:r>
    </w:p>
    <w:p w:rsidR="007439B0" w:rsidRDefault="007439B0" w:rsidP="007439B0">
      <w:pPr>
        <w:ind w:left="5534"/>
        <w:rPr>
          <w:lang w:val="fr-FR"/>
        </w:rPr>
      </w:pPr>
    </w:p>
    <w:p w:rsidR="007F3549" w:rsidRPr="007F3549" w:rsidRDefault="007F3549" w:rsidP="007439B0">
      <w:pPr>
        <w:ind w:left="5534"/>
        <w:rPr>
          <w:lang w:val="fr-FR"/>
        </w:rPr>
      </w:pPr>
    </w:p>
    <w:p w:rsidR="007439B0" w:rsidRPr="007F3549" w:rsidRDefault="007439B0" w:rsidP="007439B0">
      <w:pPr>
        <w:ind w:left="5534"/>
        <w:rPr>
          <w:lang w:val="fr-FR"/>
        </w:rPr>
      </w:pPr>
      <w:r w:rsidRPr="007F3549">
        <w:rPr>
          <w:lang w:val="fr-FR"/>
        </w:rPr>
        <w:t>[</w:t>
      </w:r>
      <w:r w:rsidR="00B50D94" w:rsidRPr="007F3549">
        <w:rPr>
          <w:lang w:val="fr-FR"/>
        </w:rPr>
        <w:t>Les annexes suivent</w:t>
      </w:r>
      <w:r w:rsidR="005820A6" w:rsidRPr="007F3549">
        <w:rPr>
          <w:lang w:val="fr-FR"/>
        </w:rPr>
        <w:t>.</w:t>
      </w:r>
      <w:r w:rsidRPr="007F3549">
        <w:rPr>
          <w:lang w:val="fr-FR"/>
        </w:rPr>
        <w:t>]</w:t>
      </w:r>
    </w:p>
    <w:p w:rsidR="003E300A" w:rsidRPr="007F3549" w:rsidRDefault="003E300A" w:rsidP="00BF24CD">
      <w:pPr>
        <w:pStyle w:val="Endofdocument-Annex"/>
        <w:rPr>
          <w:sz w:val="18"/>
          <w:szCs w:val="18"/>
          <w:lang w:val="fr-FR"/>
        </w:rPr>
        <w:sectPr w:rsidR="003E300A" w:rsidRPr="007F3549" w:rsidSect="00B50D94">
          <w:headerReference w:type="default" r:id="rId13"/>
          <w:endnotePr>
            <w:numFmt w:val="decimal"/>
          </w:endnotePr>
          <w:pgSz w:w="11906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882AEF" w:rsidRPr="007F3549" w:rsidRDefault="0023695C" w:rsidP="0023695C">
      <w:pPr>
        <w:jc w:val="center"/>
        <w:rPr>
          <w:lang w:val="fr-FR"/>
        </w:rPr>
      </w:pPr>
      <w:r w:rsidRPr="0023695C">
        <w:rPr>
          <w:noProof/>
          <w:lang w:eastAsia="en-US"/>
        </w:rPr>
        <w:lastRenderedPageBreak/>
        <w:drawing>
          <wp:inline distT="0" distB="0" distL="0" distR="0" wp14:anchorId="7D8F6100" wp14:editId="00892C1F">
            <wp:extent cx="8215952" cy="5351393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939" cy="53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51" w:rsidRPr="007F3549" w:rsidRDefault="00831BAC" w:rsidP="00F8608F">
      <w:pPr>
        <w:pStyle w:val="ONUME"/>
        <w:jc w:val="center"/>
        <w:rPr>
          <w:i/>
          <w:sz w:val="20"/>
          <w:lang w:val="fr-FR"/>
        </w:rPr>
      </w:pPr>
      <w:r w:rsidRPr="007F3549">
        <w:rPr>
          <w:i/>
          <w:sz w:val="20"/>
          <w:lang w:val="fr-FR"/>
        </w:rPr>
        <w:t>Ce graphique a été reproduit avec l</w:t>
      </w:r>
      <w:r w:rsidR="00876E92" w:rsidRPr="007F3549">
        <w:rPr>
          <w:i/>
          <w:sz w:val="20"/>
          <w:lang w:val="fr-FR"/>
        </w:rPr>
        <w:t>’</w:t>
      </w:r>
      <w:r w:rsidRPr="007F3549">
        <w:rPr>
          <w:i/>
          <w:sz w:val="20"/>
          <w:lang w:val="fr-FR"/>
        </w:rPr>
        <w:t xml:space="preserve">aimable autorisation de la </w:t>
      </w:r>
      <w:r w:rsidRPr="007F3549">
        <w:rPr>
          <w:i/>
          <w:sz w:val="20"/>
        </w:rPr>
        <w:t xml:space="preserve">Finance and </w:t>
      </w:r>
      <w:r w:rsidRPr="007F3549">
        <w:rPr>
          <w:i/>
          <w:sz w:val="20"/>
          <w:lang w:val="fr-FR"/>
        </w:rPr>
        <w:t xml:space="preserve">Management </w:t>
      </w:r>
      <w:proofErr w:type="spellStart"/>
      <w:r w:rsidRPr="007F3549">
        <w:rPr>
          <w:i/>
          <w:sz w:val="20"/>
          <w:lang w:val="fr-FR"/>
        </w:rPr>
        <w:t>Faculty</w:t>
      </w:r>
      <w:proofErr w:type="spellEnd"/>
      <w:r w:rsidRPr="007F3549">
        <w:rPr>
          <w:i/>
          <w:sz w:val="20"/>
          <w:lang w:val="fr-FR"/>
        </w:rPr>
        <w:t xml:space="preserve">, Institute of </w:t>
      </w:r>
      <w:proofErr w:type="spellStart"/>
      <w:r w:rsidRPr="007F3549">
        <w:rPr>
          <w:i/>
          <w:sz w:val="20"/>
          <w:lang w:val="fr-FR"/>
        </w:rPr>
        <w:t>Chartered</w:t>
      </w:r>
      <w:proofErr w:type="spellEnd"/>
      <w:r w:rsidRPr="007F3549">
        <w:rPr>
          <w:i/>
          <w:sz w:val="20"/>
          <w:lang w:val="fr-FR"/>
        </w:rPr>
        <w:t xml:space="preserve"> </w:t>
      </w:r>
      <w:proofErr w:type="spellStart"/>
      <w:r w:rsidRPr="007F3549">
        <w:rPr>
          <w:i/>
          <w:sz w:val="20"/>
          <w:lang w:val="fr-FR"/>
        </w:rPr>
        <w:t>Accountants</w:t>
      </w:r>
      <w:proofErr w:type="spellEnd"/>
      <w:r w:rsidRPr="007F3549">
        <w:rPr>
          <w:i/>
          <w:sz w:val="20"/>
          <w:lang w:val="fr-FR"/>
        </w:rPr>
        <w:t xml:space="preserve"> </w:t>
      </w:r>
      <w:r w:rsidR="00D256FF" w:rsidRPr="007F3549">
        <w:rPr>
          <w:i/>
          <w:sz w:val="20"/>
          <w:lang w:val="fr-FR"/>
        </w:rPr>
        <w:t>(</w:t>
      </w:r>
      <w:r w:rsidRPr="007F3549">
        <w:rPr>
          <w:i/>
          <w:sz w:val="20"/>
          <w:lang w:val="fr-FR"/>
        </w:rPr>
        <w:t>Angleterre et Pays de Galle</w:t>
      </w:r>
      <w:r w:rsidR="00D256FF" w:rsidRPr="007F3549">
        <w:rPr>
          <w:i/>
          <w:sz w:val="20"/>
          <w:lang w:val="fr-FR"/>
        </w:rPr>
        <w:t>s)</w:t>
      </w:r>
      <w:r w:rsidRPr="007F3549">
        <w:rPr>
          <w:i/>
          <w:sz w:val="20"/>
          <w:lang w:val="fr-FR"/>
        </w:rPr>
        <w:t>.</w:t>
      </w:r>
    </w:p>
    <w:p w:rsidR="006D39CB" w:rsidRPr="007F3549" w:rsidRDefault="00B22D9B" w:rsidP="00A314DC">
      <w:pPr>
        <w:pStyle w:val="ONUME"/>
        <w:ind w:left="10206" w:firstLine="567"/>
        <w:rPr>
          <w:szCs w:val="22"/>
          <w:lang w:val="fr-FR"/>
        </w:rPr>
        <w:sectPr w:rsidR="006D39CB" w:rsidRPr="007F3549" w:rsidSect="006D39CB">
          <w:headerReference w:type="default" r:id="rId15"/>
          <w:headerReference w:type="first" r:id="rId16"/>
          <w:endnotePr>
            <w:numFmt w:val="decimal"/>
          </w:endnotePr>
          <w:pgSz w:w="16840" w:h="11906" w:orient="landscape" w:code="9"/>
          <w:pgMar w:top="1417" w:right="567" w:bottom="1134" w:left="1417" w:header="510" w:footer="1020" w:gutter="0"/>
          <w:cols w:space="720"/>
          <w:titlePg/>
          <w:docGrid w:linePitch="299"/>
        </w:sectPr>
      </w:pPr>
      <w:r w:rsidRPr="007F3549">
        <w:rPr>
          <w:szCs w:val="22"/>
          <w:lang w:val="fr-FR"/>
        </w:rPr>
        <w:t>[</w:t>
      </w:r>
      <w:r w:rsidR="00B91195" w:rsidRPr="007F3549">
        <w:rPr>
          <w:szCs w:val="22"/>
          <w:lang w:val="fr-FR"/>
        </w:rPr>
        <w:t>L</w:t>
      </w:r>
      <w:r w:rsidR="00876E92" w:rsidRPr="007F3549">
        <w:rPr>
          <w:szCs w:val="22"/>
          <w:lang w:val="fr-FR"/>
        </w:rPr>
        <w:t>’</w:t>
      </w:r>
      <w:r w:rsidR="00B91195" w:rsidRPr="007F3549">
        <w:rPr>
          <w:szCs w:val="22"/>
          <w:lang w:val="fr-FR"/>
        </w:rPr>
        <w:t>annexe </w:t>
      </w:r>
      <w:r w:rsidRPr="007F3549">
        <w:rPr>
          <w:szCs w:val="22"/>
          <w:lang w:val="fr-FR"/>
        </w:rPr>
        <w:t xml:space="preserve">II </w:t>
      </w:r>
      <w:r w:rsidR="00B91195" w:rsidRPr="007F3549">
        <w:rPr>
          <w:szCs w:val="22"/>
          <w:lang w:val="fr-FR"/>
        </w:rPr>
        <w:t>suit.</w:t>
      </w:r>
      <w:r w:rsidRPr="007F3549">
        <w:rPr>
          <w:szCs w:val="22"/>
          <w:lang w:val="fr-FR"/>
        </w:rPr>
        <w:t>]</w:t>
      </w:r>
    </w:p>
    <w:p w:rsidR="006A4E51" w:rsidRPr="007F3549" w:rsidRDefault="00094D98" w:rsidP="00094D98">
      <w:pPr>
        <w:rPr>
          <w:sz w:val="18"/>
          <w:szCs w:val="18"/>
          <w:lang w:val="fr-FR"/>
        </w:rPr>
      </w:pPr>
      <w:r w:rsidRPr="007F3549">
        <w:rPr>
          <w:noProof/>
          <w:lang w:eastAsia="en-US"/>
        </w:rPr>
        <w:lastRenderedPageBreak/>
        <w:drawing>
          <wp:inline distT="0" distB="0" distL="0" distR="0" wp14:anchorId="1691F6EA" wp14:editId="78BA203C">
            <wp:extent cx="9070884" cy="5271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576" cy="527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98" w:rsidRPr="007F3549" w:rsidRDefault="00094D98" w:rsidP="00094D98">
      <w:pPr>
        <w:rPr>
          <w:sz w:val="18"/>
          <w:szCs w:val="18"/>
          <w:lang w:val="fr-FR"/>
        </w:rPr>
      </w:pPr>
    </w:p>
    <w:p w:rsidR="00E24FE5" w:rsidRPr="007F3549" w:rsidRDefault="00B22D9B" w:rsidP="00A314DC">
      <w:pPr>
        <w:pStyle w:val="ONUME"/>
        <w:ind w:left="10206" w:firstLine="567"/>
        <w:rPr>
          <w:szCs w:val="22"/>
          <w:lang w:val="fr-FR"/>
        </w:rPr>
      </w:pPr>
      <w:r w:rsidRPr="007F3549">
        <w:rPr>
          <w:szCs w:val="22"/>
          <w:lang w:val="fr-FR"/>
        </w:rPr>
        <w:t>[</w:t>
      </w:r>
      <w:r w:rsidR="00094D98" w:rsidRPr="007F3549">
        <w:rPr>
          <w:szCs w:val="22"/>
          <w:lang w:val="fr-FR"/>
        </w:rPr>
        <w:t>L</w:t>
      </w:r>
      <w:r w:rsidR="00876E92" w:rsidRPr="007F3549">
        <w:rPr>
          <w:szCs w:val="22"/>
          <w:lang w:val="fr-FR"/>
        </w:rPr>
        <w:t>’</w:t>
      </w:r>
      <w:r w:rsidR="00094D98" w:rsidRPr="007F3549">
        <w:rPr>
          <w:szCs w:val="22"/>
          <w:lang w:val="fr-FR"/>
        </w:rPr>
        <w:t>annexe</w:t>
      </w:r>
      <w:r w:rsidR="00617726" w:rsidRPr="007F3549">
        <w:rPr>
          <w:szCs w:val="22"/>
          <w:lang w:val="fr-FR"/>
        </w:rPr>
        <w:t> </w:t>
      </w:r>
      <w:r w:rsidR="00094D98" w:rsidRPr="007F3549">
        <w:rPr>
          <w:szCs w:val="22"/>
          <w:lang w:val="fr-FR"/>
        </w:rPr>
        <w:t>III suit</w:t>
      </w:r>
      <w:r w:rsidRPr="007F3549">
        <w:rPr>
          <w:szCs w:val="22"/>
          <w:lang w:val="fr-FR"/>
        </w:rPr>
        <w:t>]</w:t>
      </w:r>
    </w:p>
    <w:p w:rsidR="00094D98" w:rsidRPr="007F3549" w:rsidRDefault="00094D98" w:rsidP="00094D98">
      <w:pPr>
        <w:rPr>
          <w:lang w:val="fr-FR"/>
        </w:rPr>
      </w:pPr>
    </w:p>
    <w:p w:rsidR="00094D98" w:rsidRPr="007F3549" w:rsidRDefault="00094D98" w:rsidP="00A314DC">
      <w:pPr>
        <w:pStyle w:val="ONUME"/>
        <w:ind w:left="10206" w:firstLine="567"/>
        <w:rPr>
          <w:szCs w:val="22"/>
          <w:lang w:val="fr-FR"/>
        </w:rPr>
        <w:sectPr w:rsidR="00094D98" w:rsidRPr="007F3549" w:rsidSect="006D39CB">
          <w:headerReference w:type="default" r:id="rId18"/>
          <w:headerReference w:type="first" r:id="rId19"/>
          <w:endnotePr>
            <w:numFmt w:val="decimal"/>
          </w:endnotePr>
          <w:pgSz w:w="16840" w:h="11906" w:orient="landscape" w:code="9"/>
          <w:pgMar w:top="1417" w:right="567" w:bottom="1134" w:left="1417" w:header="510" w:footer="1020" w:gutter="0"/>
          <w:pgNumType w:start="1"/>
          <w:cols w:space="720"/>
          <w:titlePg/>
          <w:docGrid w:linePitch="299"/>
        </w:sectPr>
      </w:pPr>
    </w:p>
    <w:p w:rsidR="00862D0A" w:rsidRPr="007F3549" w:rsidRDefault="005A016B" w:rsidP="003E300A">
      <w:pPr>
        <w:pStyle w:val="ONUME"/>
        <w:rPr>
          <w:b/>
          <w:szCs w:val="22"/>
          <w:lang w:val="fr-FR"/>
        </w:rPr>
      </w:pPr>
      <w:r w:rsidRPr="007F3549">
        <w:rPr>
          <w:b/>
          <w:szCs w:val="22"/>
          <w:lang w:val="fr-FR"/>
        </w:rPr>
        <w:lastRenderedPageBreak/>
        <w:t>LA CRÉATION D</w:t>
      </w:r>
      <w:r w:rsidR="00876E92" w:rsidRPr="007F3549">
        <w:rPr>
          <w:b/>
          <w:szCs w:val="22"/>
          <w:lang w:val="fr-FR"/>
        </w:rPr>
        <w:t>’</w:t>
      </w:r>
      <w:r w:rsidRPr="007F3549">
        <w:rPr>
          <w:b/>
          <w:szCs w:val="22"/>
          <w:lang w:val="fr-FR"/>
        </w:rPr>
        <w:t>UN PORTEFEUILLE OPTIMAL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68" w:type="dxa"/>
          <w:bottom w:w="113" w:type="dxa"/>
          <w:right w:w="68" w:type="dxa"/>
        </w:tblCellMar>
        <w:tblLook w:val="04A0" w:firstRow="1" w:lastRow="0" w:firstColumn="1" w:lastColumn="0" w:noHBand="0" w:noVBand="1"/>
      </w:tblPr>
      <w:tblGrid>
        <w:gridCol w:w="6305"/>
        <w:gridCol w:w="2091"/>
        <w:gridCol w:w="2091"/>
        <w:gridCol w:w="2091"/>
        <w:gridCol w:w="2091"/>
      </w:tblGrid>
      <w:tr w:rsidR="00BD351E" w:rsidRPr="007F3549" w:rsidTr="0023695C">
        <w:trPr>
          <w:cantSplit/>
        </w:trPr>
        <w:tc>
          <w:tcPr>
            <w:tcW w:w="6305" w:type="dxa"/>
            <w:shd w:val="pct10" w:color="auto" w:fill="auto"/>
          </w:tcPr>
          <w:p w:rsidR="00862D0A" w:rsidRPr="007F3549" w:rsidRDefault="00A62776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Catégorie d</w:t>
            </w:r>
            <w:r w:rsidR="00876E92" w:rsidRPr="007F3549">
              <w:rPr>
                <w:b/>
                <w:sz w:val="20"/>
                <w:lang w:val="fr-FR"/>
              </w:rPr>
              <w:t>’</w:t>
            </w:r>
            <w:r w:rsidRPr="007F3549">
              <w:rPr>
                <w:b/>
                <w:sz w:val="20"/>
                <w:lang w:val="fr-FR"/>
              </w:rPr>
              <w:t>actifs</w:t>
            </w:r>
          </w:p>
        </w:tc>
        <w:tc>
          <w:tcPr>
            <w:tcW w:w="2091" w:type="dxa"/>
            <w:shd w:val="pct10" w:color="auto" w:fill="auto"/>
          </w:tcPr>
          <w:p w:rsidR="00862D0A" w:rsidRPr="007F3549" w:rsidRDefault="00A62776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Portefeuille</w:t>
            </w:r>
          </w:p>
          <w:p w:rsidR="00862D0A" w:rsidRPr="007F3549" w:rsidRDefault="00862D0A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%</w:t>
            </w:r>
          </w:p>
        </w:tc>
        <w:tc>
          <w:tcPr>
            <w:tcW w:w="2091" w:type="dxa"/>
            <w:shd w:val="pct10" w:color="auto" w:fill="auto"/>
          </w:tcPr>
          <w:p w:rsidR="00862D0A" w:rsidRPr="007F3549" w:rsidRDefault="00A62776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EB0008" w:rsidRPr="007F3549">
              <w:rPr>
                <w:b/>
                <w:sz w:val="20"/>
                <w:lang w:val="fr-FR"/>
              </w:rPr>
              <w:t>A</w:t>
            </w:r>
          </w:p>
          <w:p w:rsidR="00EB0008" w:rsidRPr="007F3549" w:rsidRDefault="00EB0008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%</w:t>
            </w:r>
          </w:p>
        </w:tc>
        <w:tc>
          <w:tcPr>
            <w:tcW w:w="2091" w:type="dxa"/>
            <w:shd w:val="pct10" w:color="auto" w:fill="auto"/>
          </w:tcPr>
          <w:p w:rsidR="00EB0008" w:rsidRPr="007F3549" w:rsidRDefault="00A62776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EB0008" w:rsidRPr="007F3549">
              <w:rPr>
                <w:b/>
                <w:sz w:val="20"/>
                <w:lang w:val="fr-FR"/>
              </w:rPr>
              <w:t>B</w:t>
            </w:r>
          </w:p>
          <w:p w:rsidR="00862D0A" w:rsidRPr="007F3549" w:rsidRDefault="00EB0008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%</w:t>
            </w:r>
          </w:p>
        </w:tc>
        <w:tc>
          <w:tcPr>
            <w:tcW w:w="2091" w:type="dxa"/>
            <w:shd w:val="pct10" w:color="auto" w:fill="auto"/>
          </w:tcPr>
          <w:p w:rsidR="00EB0008" w:rsidRPr="007F3549" w:rsidRDefault="00A62776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EB0008" w:rsidRPr="007F3549">
              <w:rPr>
                <w:b/>
                <w:sz w:val="20"/>
                <w:lang w:val="fr-FR"/>
              </w:rPr>
              <w:t>C</w:t>
            </w:r>
          </w:p>
          <w:p w:rsidR="00862D0A" w:rsidRPr="007F3549" w:rsidRDefault="00EB0008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%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862D0A" w:rsidRPr="007F3549" w:rsidRDefault="005A016B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Marché monétaire en</w:t>
            </w:r>
            <w:r w:rsidR="00CE73A1" w:rsidRPr="007F3549">
              <w:rPr>
                <w:sz w:val="20"/>
                <w:lang w:val="fr-FR"/>
              </w:rPr>
              <w:t xml:space="preserve"> CHF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100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10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862D0A" w:rsidRPr="007F3549" w:rsidRDefault="005A016B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Obligations CHF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25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25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862D0A" w:rsidRPr="007F3549" w:rsidRDefault="00124073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Obligations d</w:t>
            </w:r>
            <w:r w:rsidR="00876E92" w:rsidRPr="007F3549">
              <w:rPr>
                <w:sz w:val="20"/>
                <w:lang w:val="fr-FR"/>
              </w:rPr>
              <w:t>’</w:t>
            </w:r>
            <w:r w:rsidRPr="007F3549">
              <w:rPr>
                <w:sz w:val="20"/>
                <w:lang w:val="fr-FR"/>
              </w:rPr>
              <w:t>entreprises en monnaie étrangère</w:t>
            </w:r>
            <w:r w:rsidR="0022611D" w:rsidRPr="007F3549">
              <w:rPr>
                <w:sz w:val="20"/>
                <w:lang w:val="fr-FR"/>
              </w:rPr>
              <w:t xml:space="preserve"> </w:t>
            </w:r>
            <w:r w:rsidR="00CE73A1" w:rsidRPr="007F3549">
              <w:rPr>
                <w:sz w:val="20"/>
                <w:lang w:val="fr-FR"/>
              </w:rPr>
              <w:t>(</w:t>
            </w:r>
            <w:r w:rsidR="00C1750D" w:rsidRPr="007F3549">
              <w:rPr>
                <w:sz w:val="20"/>
                <w:lang w:val="fr-FR"/>
              </w:rPr>
              <w:t>couvertes en</w:t>
            </w:r>
            <w:r w:rsidR="00CE73A1" w:rsidRPr="007F3549">
              <w:rPr>
                <w:sz w:val="20"/>
                <w:lang w:val="fr-FR"/>
              </w:rPr>
              <w:t xml:space="preserve"> CHF)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25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20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862D0A" w:rsidRPr="007F3549" w:rsidRDefault="00124073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Valeurs nominales totales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100</w:t>
            </w:r>
          </w:p>
        </w:tc>
        <w:tc>
          <w:tcPr>
            <w:tcW w:w="2091" w:type="dxa"/>
            <w:shd w:val="clear" w:color="auto" w:fill="auto"/>
          </w:tcPr>
          <w:p w:rsidR="00862D0A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55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Actions Suisse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10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Actions étrangères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15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C1750D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Nombre total d</w:t>
            </w:r>
            <w:r w:rsidR="00876E92" w:rsidRPr="007F3549">
              <w:rPr>
                <w:b/>
                <w:sz w:val="20"/>
                <w:lang w:val="fr-FR"/>
              </w:rPr>
              <w:t>’</w:t>
            </w:r>
            <w:r w:rsidRPr="007F3549">
              <w:rPr>
                <w:b/>
                <w:sz w:val="20"/>
                <w:lang w:val="fr-FR"/>
              </w:rPr>
              <w:t>actions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25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Immobilier</w:t>
            </w:r>
            <w:r w:rsidR="00526131" w:rsidRPr="007F3549">
              <w:rPr>
                <w:sz w:val="20"/>
                <w:lang w:val="fr-FR"/>
              </w:rPr>
              <w:t xml:space="preserve"> CH (</w:t>
            </w:r>
            <w:r w:rsidRPr="007F3549">
              <w:rPr>
                <w:sz w:val="20"/>
                <w:lang w:val="fr-FR"/>
              </w:rPr>
              <w:t>fonds</w:t>
            </w:r>
            <w:r w:rsidR="00526131" w:rsidRPr="007F3549">
              <w:rPr>
                <w:sz w:val="20"/>
                <w:lang w:val="fr-FR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10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 xml:space="preserve">Total </w:t>
            </w:r>
            <w:r w:rsidR="00124073" w:rsidRPr="007F3549">
              <w:rPr>
                <w:b/>
                <w:sz w:val="20"/>
                <w:lang w:val="fr-FR"/>
              </w:rPr>
              <w:t>de l</w:t>
            </w:r>
            <w:r w:rsidR="00876E92" w:rsidRPr="007F3549">
              <w:rPr>
                <w:b/>
                <w:sz w:val="20"/>
                <w:lang w:val="fr-FR"/>
              </w:rPr>
              <w:t>’</w:t>
            </w:r>
            <w:r w:rsidR="00124073" w:rsidRPr="007F3549">
              <w:rPr>
                <w:b/>
                <w:sz w:val="20"/>
                <w:lang w:val="fr-FR"/>
              </w:rPr>
              <w:t>immobilier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Titres assurantiels</w:t>
            </w:r>
            <w:r w:rsidR="00526131" w:rsidRPr="007F3549">
              <w:rPr>
                <w:sz w:val="20"/>
                <w:lang w:val="fr-FR"/>
              </w:rPr>
              <w:t xml:space="preserve"> (</w:t>
            </w:r>
            <w:r w:rsidRPr="007F3549">
              <w:rPr>
                <w:sz w:val="20"/>
                <w:lang w:val="fr-FR"/>
              </w:rPr>
              <w:t>couverts en</w:t>
            </w:r>
            <w:r w:rsidR="00526131" w:rsidRPr="007F3549">
              <w:rPr>
                <w:sz w:val="20"/>
                <w:lang w:val="fr-FR"/>
              </w:rPr>
              <w:t xml:space="preserve"> CHF)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Fonds spéculatifs</w:t>
            </w:r>
            <w:r w:rsidR="00526131" w:rsidRPr="007F3549">
              <w:rPr>
                <w:sz w:val="20"/>
                <w:lang w:val="fr-FR"/>
              </w:rPr>
              <w:t xml:space="preserve"> (</w:t>
            </w:r>
            <w:r w:rsidRPr="007F3549">
              <w:rPr>
                <w:sz w:val="20"/>
                <w:lang w:val="fr-FR"/>
              </w:rPr>
              <w:t xml:space="preserve">couverts en </w:t>
            </w:r>
            <w:r w:rsidR="00526131" w:rsidRPr="007F3549">
              <w:rPr>
                <w:sz w:val="20"/>
                <w:lang w:val="fr-FR"/>
              </w:rPr>
              <w:t>CHF)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Nombre total d</w:t>
            </w:r>
            <w:r w:rsidR="00876E92" w:rsidRPr="007F3549">
              <w:rPr>
                <w:b/>
                <w:sz w:val="20"/>
                <w:lang w:val="fr-FR"/>
              </w:rPr>
              <w:t>’</w:t>
            </w:r>
            <w:r w:rsidRPr="007F3549">
              <w:rPr>
                <w:b/>
                <w:sz w:val="20"/>
                <w:lang w:val="fr-FR"/>
              </w:rPr>
              <w:t>autres investissements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Nombre total d</w:t>
            </w:r>
            <w:r w:rsidR="00876E92" w:rsidRPr="007F3549">
              <w:rPr>
                <w:b/>
                <w:sz w:val="20"/>
                <w:lang w:val="fr-FR"/>
              </w:rPr>
              <w:t>’</w:t>
            </w:r>
            <w:r w:rsidRPr="007F3549">
              <w:rPr>
                <w:b/>
                <w:sz w:val="20"/>
                <w:lang w:val="fr-FR"/>
              </w:rPr>
              <w:t>actifs corporels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45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pct10" w:color="auto" w:fill="auto"/>
          </w:tcPr>
          <w:p w:rsidR="00526131" w:rsidRPr="007F3549" w:rsidRDefault="00526131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Total</w:t>
            </w:r>
          </w:p>
        </w:tc>
        <w:tc>
          <w:tcPr>
            <w:tcW w:w="2091" w:type="dxa"/>
            <w:shd w:val="pct10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100</w:t>
            </w:r>
          </w:p>
        </w:tc>
        <w:tc>
          <w:tcPr>
            <w:tcW w:w="2091" w:type="dxa"/>
            <w:shd w:val="pct10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100</w:t>
            </w:r>
          </w:p>
        </w:tc>
        <w:tc>
          <w:tcPr>
            <w:tcW w:w="2091" w:type="dxa"/>
            <w:shd w:val="pct10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100</w:t>
            </w:r>
          </w:p>
        </w:tc>
        <w:tc>
          <w:tcPr>
            <w:tcW w:w="2091" w:type="dxa"/>
            <w:shd w:val="pct10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100</w:t>
            </w:r>
          </w:p>
        </w:tc>
      </w:tr>
      <w:tr w:rsidR="00BD351E" w:rsidRPr="007F3549" w:rsidTr="0023695C">
        <w:trPr>
          <w:cantSplit/>
        </w:trPr>
        <w:tc>
          <w:tcPr>
            <w:tcW w:w="6305" w:type="dxa"/>
            <w:shd w:val="clear" w:color="auto" w:fill="auto"/>
          </w:tcPr>
          <w:p w:rsidR="00526131" w:rsidRPr="007F3549" w:rsidRDefault="00124073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Exposition au risque de change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526131" w:rsidRPr="007F3549" w:rsidRDefault="00526131" w:rsidP="0023695C">
            <w:pPr>
              <w:pStyle w:val="ONUME"/>
              <w:spacing w:after="0"/>
              <w:jc w:val="right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15</w:t>
            </w:r>
          </w:p>
        </w:tc>
      </w:tr>
    </w:tbl>
    <w:p w:rsidR="00862D0A" w:rsidRPr="007F3549" w:rsidRDefault="004C13C2" w:rsidP="003E300A">
      <w:pPr>
        <w:pStyle w:val="ONUME"/>
        <w:rPr>
          <w:sz w:val="20"/>
          <w:lang w:val="fr-FR"/>
        </w:rPr>
      </w:pPr>
      <w:r w:rsidRPr="007F3549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F267" wp14:editId="538C2BC3">
                <wp:simplePos x="0" y="0"/>
                <wp:positionH relativeFrom="column">
                  <wp:posOffset>80645</wp:posOffset>
                </wp:positionH>
                <wp:positionV relativeFrom="paragraph">
                  <wp:posOffset>192405</wp:posOffset>
                </wp:positionV>
                <wp:extent cx="5600700" cy="0"/>
                <wp:effectExtent l="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.35pt;margin-top:15.15pt;width:4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" strokecolor="black [3213]" strokeweight="2.5pt">
                <v:stroke endarrow="open"/>
              </v:shape>
            </w:pict>
          </mc:Fallback>
        </mc:AlternateContent>
      </w:r>
    </w:p>
    <w:p w:rsidR="00DC4916" w:rsidRPr="007F3549" w:rsidRDefault="005A016B">
      <w:pPr>
        <w:pStyle w:val="ONUME"/>
        <w:ind w:firstLine="2552"/>
        <w:rPr>
          <w:sz w:val="20"/>
          <w:lang w:val="fr-FR"/>
        </w:rPr>
      </w:pPr>
      <w:r w:rsidRPr="007F3549">
        <w:rPr>
          <w:sz w:val="20"/>
          <w:lang w:val="fr-FR"/>
        </w:rPr>
        <w:t>D</w:t>
      </w:r>
      <w:r w:rsidR="004C13C2" w:rsidRPr="007F3549">
        <w:rPr>
          <w:sz w:val="20"/>
          <w:lang w:val="fr-FR"/>
        </w:rPr>
        <w:t>iversification</w:t>
      </w:r>
      <w:r w:rsidRPr="007F3549">
        <w:rPr>
          <w:sz w:val="20"/>
          <w:lang w:val="fr-FR"/>
        </w:rPr>
        <w:t xml:space="preserve"> croissante</w:t>
      </w:r>
      <w:r w:rsidR="00DC4916" w:rsidRPr="007F3549">
        <w:rPr>
          <w:sz w:val="20"/>
          <w:lang w:val="fr-FR"/>
        </w:rPr>
        <w:br w:type="page"/>
      </w:r>
    </w:p>
    <w:tbl>
      <w:tblPr>
        <w:tblStyle w:val="TableGrid"/>
        <w:tblW w:w="0" w:type="auto"/>
        <w:tblCellMar>
          <w:top w:w="85" w:type="dxa"/>
          <w:left w:w="68" w:type="dxa"/>
          <w:bottom w:w="85" w:type="dxa"/>
          <w:right w:w="68" w:type="dxa"/>
        </w:tblCellMar>
        <w:tblLook w:val="04A0" w:firstRow="1" w:lastRow="0" w:firstColumn="1" w:lastColumn="0" w:noHBand="0" w:noVBand="1"/>
      </w:tblPr>
      <w:tblGrid>
        <w:gridCol w:w="6297"/>
        <w:gridCol w:w="2093"/>
        <w:gridCol w:w="2093"/>
        <w:gridCol w:w="2093"/>
        <w:gridCol w:w="2093"/>
      </w:tblGrid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2611D" w:rsidRPr="007F3549" w:rsidRDefault="00740ECD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lastRenderedPageBreak/>
              <w:t>Risque/rendement des structures de portefeuille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2611D" w:rsidRPr="007F3549" w:rsidRDefault="00693EBB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Portefeuille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2611D" w:rsidRPr="007F3549" w:rsidRDefault="00693EBB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22611D" w:rsidRPr="007F3549">
              <w:rPr>
                <w:b/>
                <w:sz w:val="20"/>
                <w:lang w:val="fr-FR"/>
              </w:rPr>
              <w:t>A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2611D" w:rsidRPr="007F3549" w:rsidRDefault="00693EBB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22611D" w:rsidRPr="007F3549">
              <w:rPr>
                <w:b/>
                <w:sz w:val="20"/>
                <w:lang w:val="fr-FR"/>
              </w:rPr>
              <w:t>B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2611D" w:rsidRPr="007F3549" w:rsidRDefault="00693EBB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22611D" w:rsidRPr="007F3549">
              <w:rPr>
                <w:b/>
                <w:sz w:val="20"/>
                <w:lang w:val="fr-FR"/>
              </w:rPr>
              <w:t>C</w:t>
            </w: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11D" w:rsidRPr="007F3549" w:rsidRDefault="0023695C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Scénarios</w:t>
            </w:r>
            <w:r w:rsidRPr="007F3549">
              <w:rPr>
                <w:b/>
                <w:sz w:val="20"/>
                <w:lang w:val="fr-FR"/>
              </w:rPr>
              <w:t xml:space="preserve"> </w:t>
            </w:r>
            <w:r w:rsidR="007B4255" w:rsidRPr="007F3549">
              <w:rPr>
                <w:b/>
                <w:sz w:val="20"/>
                <w:lang w:val="fr-FR"/>
              </w:rPr>
              <w:t>à moyen terme</w:t>
            </w:r>
            <w:r w:rsidR="0022611D" w:rsidRPr="007F3549">
              <w:rPr>
                <w:b/>
                <w:sz w:val="20"/>
                <w:lang w:val="fr-FR"/>
              </w:rPr>
              <w:t xml:space="preserve"> (2015</w:t>
            </w:r>
            <w:r w:rsidR="00BD351E" w:rsidRPr="007F3549">
              <w:rPr>
                <w:b/>
                <w:sz w:val="20"/>
                <w:lang w:val="fr-FR"/>
              </w:rPr>
              <w:noBreakHyphen/>
            </w:r>
            <w:r w:rsidR="0022611D" w:rsidRPr="007F3549">
              <w:rPr>
                <w:b/>
                <w:sz w:val="20"/>
                <w:lang w:val="fr-FR"/>
              </w:rPr>
              <w:t>2020)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11D" w:rsidRPr="007F3549" w:rsidRDefault="00740ECD" w:rsidP="0023695C">
            <w:pPr>
              <w:pStyle w:val="ONUME"/>
              <w:spacing w:after="0"/>
              <w:ind w:firstLine="426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 xml:space="preserve">Potentiel de rendement </w:t>
            </w:r>
            <w:r w:rsidR="00617726" w:rsidRPr="007F3549">
              <w:rPr>
                <w:sz w:val="20"/>
                <w:lang w:val="fr-FR"/>
              </w:rPr>
              <w:t>“</w:t>
            </w:r>
            <w:r w:rsidRPr="007F3549">
              <w:rPr>
                <w:sz w:val="20"/>
                <w:lang w:val="fr-FR"/>
              </w:rPr>
              <w:t>scénario de base</w:t>
            </w:r>
            <w:r w:rsidR="00617726" w:rsidRPr="007F3549">
              <w:rPr>
                <w:sz w:val="20"/>
                <w:lang w:val="fr-FR"/>
              </w:rPr>
              <w:t>”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3901B2"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="003901B2" w:rsidRPr="007F3549">
              <w:rPr>
                <w:sz w:val="20"/>
                <w:lang w:val="fr-FR"/>
              </w:rPr>
              <w:t>5%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FB1D7D"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="00FB1D7D"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4%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7198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3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11D" w:rsidRPr="007F3549" w:rsidRDefault="00740ECD" w:rsidP="0023695C">
            <w:pPr>
              <w:pStyle w:val="ONUME"/>
              <w:spacing w:after="0"/>
              <w:ind w:firstLine="426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 xml:space="preserve">Potentiel de rendement </w:t>
            </w:r>
            <w:r w:rsidR="00617726" w:rsidRPr="007F3549">
              <w:rPr>
                <w:sz w:val="20"/>
                <w:lang w:val="fr-FR"/>
              </w:rPr>
              <w:t>“</w:t>
            </w:r>
            <w:r w:rsidRPr="007F3549">
              <w:rPr>
                <w:sz w:val="20"/>
                <w:lang w:val="fr-FR"/>
              </w:rPr>
              <w:t>forte croissance économique</w:t>
            </w:r>
            <w:r w:rsidR="00617726" w:rsidRPr="007F3549">
              <w:rPr>
                <w:sz w:val="20"/>
                <w:lang w:val="fr-FR"/>
              </w:rPr>
              <w:t>”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2</w:t>
            </w:r>
            <w:r w:rsidR="0031126F" w:rsidRPr="007F3549">
              <w:rPr>
                <w:sz w:val="20"/>
                <w:lang w:val="fr-FR"/>
              </w:rPr>
              <w:t>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FB1D7D"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="00FB1D7D"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8%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7198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3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7%</w:t>
            </w: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11D" w:rsidRPr="007F3549" w:rsidRDefault="00740ECD" w:rsidP="0023695C">
            <w:pPr>
              <w:pStyle w:val="ONUME"/>
              <w:spacing w:after="0"/>
              <w:ind w:firstLine="426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 xml:space="preserve">Potentiel de rendement </w:t>
            </w:r>
            <w:r w:rsidR="00617726" w:rsidRPr="007F3549">
              <w:rPr>
                <w:sz w:val="20"/>
                <w:lang w:val="fr-FR"/>
              </w:rPr>
              <w:t>“</w:t>
            </w:r>
            <w:r w:rsidRPr="007F3549">
              <w:rPr>
                <w:sz w:val="20"/>
                <w:lang w:val="fr-FR"/>
              </w:rPr>
              <w:t>faible croissance économique</w:t>
            </w:r>
            <w:r w:rsidR="00617726" w:rsidRPr="007F3549">
              <w:rPr>
                <w:sz w:val="20"/>
                <w:lang w:val="fr-FR"/>
              </w:rPr>
              <w:t>”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FB1D7D"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="00FB1D7D" w:rsidRPr="007F3549">
              <w:rPr>
                <w:sz w:val="20"/>
                <w:lang w:val="fr-FR"/>
              </w:rPr>
              <w:t>6%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5%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7198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2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2%</w:t>
            </w: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11D" w:rsidRPr="007F3549" w:rsidRDefault="0023695C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Scénarios</w:t>
            </w:r>
            <w:r w:rsidR="007B4255" w:rsidRPr="007F3549">
              <w:rPr>
                <w:b/>
                <w:sz w:val="20"/>
                <w:lang w:val="fr-FR"/>
              </w:rPr>
              <w:t xml:space="preserve"> à long terme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22611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11D" w:rsidRPr="007F3549" w:rsidRDefault="007B4255" w:rsidP="0023695C">
            <w:pPr>
              <w:pStyle w:val="ONUME"/>
              <w:spacing w:after="0"/>
              <w:ind w:firstLine="426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Rendement escompté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BD351E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noBreakHyphen/>
            </w:r>
            <w:r w:rsidR="00FB1D7D" w:rsidRPr="007F3549">
              <w:rPr>
                <w:b/>
                <w:sz w:val="20"/>
                <w:lang w:val="fr-FR"/>
              </w:rPr>
              <w:t>0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="00FB1D7D" w:rsidRPr="007F3549">
              <w:rPr>
                <w:b/>
                <w:sz w:val="20"/>
                <w:lang w:val="fr-FR"/>
              </w:rPr>
              <w:t>5%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BD351E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noBreakHyphen/>
            </w:r>
            <w:r w:rsidR="00FB1D7D" w:rsidRPr="007F3549">
              <w:rPr>
                <w:b/>
                <w:sz w:val="20"/>
                <w:lang w:val="fr-FR"/>
              </w:rPr>
              <w:t>0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="00FB1D7D" w:rsidRPr="007F3549">
              <w:rPr>
                <w:b/>
                <w:sz w:val="20"/>
                <w:lang w:val="fr-FR"/>
              </w:rPr>
              <w:t>3%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Pr="007F3549">
              <w:rPr>
                <w:b/>
                <w:sz w:val="20"/>
                <w:lang w:val="fr-FR"/>
              </w:rPr>
              <w:t>3%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7198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2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Pr="007F3549">
              <w:rPr>
                <w:b/>
                <w:sz w:val="20"/>
                <w:lang w:val="fr-FR"/>
              </w:rPr>
              <w:t>3%</w:t>
            </w: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11D" w:rsidRPr="007F3549" w:rsidRDefault="007B4255" w:rsidP="0023695C">
            <w:pPr>
              <w:pStyle w:val="ONUME"/>
              <w:spacing w:after="0"/>
              <w:ind w:firstLine="426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Rendements historiques</w:t>
            </w:r>
            <w:r w:rsidR="0022611D" w:rsidRPr="007F3549">
              <w:rPr>
                <w:sz w:val="20"/>
                <w:lang w:val="fr-FR"/>
              </w:rPr>
              <w:t xml:space="preserve"> (</w:t>
            </w:r>
            <w:r w:rsidRPr="007F3549">
              <w:rPr>
                <w:sz w:val="20"/>
                <w:lang w:val="fr-FR"/>
              </w:rPr>
              <w:t>janv. 2005 – déc. 2014</w:t>
            </w:r>
            <w:r w:rsidR="0022611D" w:rsidRPr="007F3549">
              <w:rPr>
                <w:sz w:val="20"/>
                <w:lang w:val="fr-FR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8%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9%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B1D7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2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0%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11D" w:rsidRPr="007F3549" w:rsidRDefault="00F7198D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4</w:t>
            </w:r>
            <w:r w:rsidR="00740EC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</w:tr>
      <w:tr w:rsidR="00BD351E" w:rsidRPr="007F3549" w:rsidTr="0023695C">
        <w:trPr>
          <w:cantSplit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DA3947" w:rsidRPr="007F3549" w:rsidRDefault="007B4255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Risque</w:t>
            </w:r>
            <w:r w:rsidR="00DA3947" w:rsidRPr="007F3549">
              <w:rPr>
                <w:b/>
                <w:sz w:val="20"/>
                <w:lang w:val="fr-FR"/>
              </w:rPr>
              <w:t xml:space="preserve"> (</w:t>
            </w:r>
            <w:r w:rsidR="00740ECD" w:rsidRPr="007F3549">
              <w:rPr>
                <w:b/>
                <w:sz w:val="20"/>
                <w:lang w:val="fr-FR"/>
              </w:rPr>
              <w:t>volatilité</w:t>
            </w:r>
            <w:r w:rsidRPr="007F3549">
              <w:rPr>
                <w:b/>
                <w:sz w:val="20"/>
                <w:lang w:val="fr-FR"/>
              </w:rPr>
              <w:t xml:space="preserve"> annuelle</w:t>
            </w:r>
            <w:r w:rsidR="00DA3947" w:rsidRPr="007F3549">
              <w:rPr>
                <w:b/>
                <w:sz w:val="20"/>
                <w:lang w:val="fr-FR"/>
              </w:rPr>
              <w:t>) (</w:t>
            </w:r>
            <w:r w:rsidRPr="007F3549">
              <w:rPr>
                <w:b/>
                <w:sz w:val="20"/>
                <w:lang w:val="fr-FR"/>
              </w:rPr>
              <w:t>janv. 2005 – déc. 2014</w:t>
            </w:r>
            <w:r w:rsidR="00DA3947" w:rsidRPr="007F3549">
              <w:rPr>
                <w:b/>
                <w:sz w:val="20"/>
                <w:lang w:val="fr-FR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DA3947" w:rsidRPr="007F3549" w:rsidRDefault="00FB1D7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0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Pr="007F3549">
              <w:rPr>
                <w:b/>
                <w:sz w:val="20"/>
                <w:lang w:val="fr-FR"/>
              </w:rPr>
              <w:t>3%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DA3947" w:rsidRPr="007F3549" w:rsidRDefault="00FB1D7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Pr="007F3549">
              <w:rPr>
                <w:b/>
                <w:sz w:val="20"/>
                <w:lang w:val="fr-FR"/>
              </w:rPr>
              <w:t>2%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DA3947" w:rsidRPr="007F3549" w:rsidRDefault="00FB1D7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1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Pr="007F3549">
              <w:rPr>
                <w:b/>
                <w:sz w:val="20"/>
                <w:lang w:val="fr-FR"/>
              </w:rPr>
              <w:t>6%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DA3947" w:rsidRPr="007F3549" w:rsidRDefault="00F7198D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4</w:t>
            </w:r>
            <w:r w:rsidR="00740ECD" w:rsidRPr="007F3549">
              <w:rPr>
                <w:b/>
                <w:sz w:val="20"/>
                <w:lang w:val="fr-FR"/>
              </w:rPr>
              <w:t>,</w:t>
            </w:r>
            <w:r w:rsidRPr="007F3549">
              <w:rPr>
                <w:b/>
                <w:sz w:val="20"/>
                <w:lang w:val="fr-FR"/>
              </w:rPr>
              <w:t>5%</w:t>
            </w:r>
          </w:p>
        </w:tc>
      </w:tr>
    </w:tbl>
    <w:p w:rsidR="00D156CF" w:rsidRPr="007F3549" w:rsidRDefault="00D156CF" w:rsidP="0023695C">
      <w:pPr>
        <w:rPr>
          <w:lang w:val="fr-FR"/>
        </w:rPr>
      </w:pPr>
    </w:p>
    <w:tbl>
      <w:tblPr>
        <w:tblStyle w:val="TableGrid"/>
        <w:tblW w:w="0" w:type="auto"/>
        <w:tblCellMar>
          <w:top w:w="85" w:type="dxa"/>
          <w:left w:w="68" w:type="dxa"/>
          <w:bottom w:w="85" w:type="dxa"/>
          <w:right w:w="68" w:type="dxa"/>
        </w:tblCellMar>
        <w:tblLook w:val="04A0" w:firstRow="1" w:lastRow="0" w:firstColumn="1" w:lastColumn="0" w:noHBand="0" w:noVBand="1"/>
      </w:tblPr>
      <w:tblGrid>
        <w:gridCol w:w="8383"/>
        <w:gridCol w:w="2095"/>
        <w:gridCol w:w="2095"/>
        <w:gridCol w:w="2096"/>
      </w:tblGrid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918E0" w:rsidRPr="007F3549" w:rsidRDefault="000918E0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918E0" w:rsidRPr="007F3549" w:rsidRDefault="00693EBB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0918E0" w:rsidRPr="007F3549">
              <w:rPr>
                <w:b/>
                <w:sz w:val="20"/>
                <w:lang w:val="fr-FR"/>
              </w:rPr>
              <w:t>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918E0" w:rsidRPr="007F3549" w:rsidRDefault="00693EBB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0918E0" w:rsidRPr="007F3549">
              <w:rPr>
                <w:b/>
                <w:sz w:val="20"/>
                <w:lang w:val="fr-FR"/>
              </w:rPr>
              <w:t>B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918E0" w:rsidRPr="007F3549" w:rsidRDefault="00693EBB" w:rsidP="0023695C">
            <w:pPr>
              <w:pStyle w:val="ONUME"/>
              <w:spacing w:after="0"/>
              <w:rPr>
                <w:b/>
                <w:sz w:val="20"/>
                <w:lang w:val="fr-FR"/>
              </w:rPr>
            </w:pPr>
            <w:r w:rsidRPr="007F3549">
              <w:rPr>
                <w:b/>
                <w:sz w:val="20"/>
                <w:lang w:val="fr-FR"/>
              </w:rPr>
              <w:t>Stratégie </w:t>
            </w:r>
            <w:r w:rsidR="000918E0" w:rsidRPr="007F3549">
              <w:rPr>
                <w:b/>
                <w:sz w:val="20"/>
                <w:lang w:val="fr-FR"/>
              </w:rPr>
              <w:t>C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5570A1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Meilleure année civile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DC4916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3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4%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7%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15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0%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5570A1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Moyenne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DC4916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9%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2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0%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4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5570A1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Pire année civile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DC4916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0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3B3FB5" w:rsidRPr="007F3549">
              <w:rPr>
                <w:sz w:val="20"/>
                <w:lang w:val="fr-FR"/>
              </w:rPr>
              <w:t>0</w:t>
            </w:r>
            <w:r w:rsidR="00C1750D" w:rsidRPr="007F3549">
              <w:rPr>
                <w:sz w:val="20"/>
                <w:lang w:val="fr-FR"/>
              </w:rPr>
              <w:t>,</w:t>
            </w:r>
            <w:r w:rsidR="003B3FB5"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3B3FB5" w:rsidRPr="007F3549">
              <w:rPr>
                <w:sz w:val="20"/>
                <w:lang w:val="fr-FR"/>
              </w:rPr>
              <w:t>13</w:t>
            </w:r>
            <w:r w:rsidR="00C1750D" w:rsidRPr="007F3549">
              <w:rPr>
                <w:sz w:val="20"/>
                <w:lang w:val="fr-FR"/>
              </w:rPr>
              <w:t>,</w:t>
            </w:r>
            <w:r w:rsidR="003B3FB5" w:rsidRPr="007F3549">
              <w:rPr>
                <w:sz w:val="20"/>
                <w:lang w:val="fr-FR"/>
              </w:rPr>
              <w:t>1%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0F753E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Meilleure période sur 12 mois glissants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DC4916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6%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8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19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9%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0F753E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Pire période sur 12 mois glissants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3B3FB5" w:rsidRPr="007F3549">
              <w:rPr>
                <w:sz w:val="20"/>
                <w:lang w:val="fr-FR"/>
              </w:rPr>
              <w:t>1</w:t>
            </w:r>
            <w:r w:rsidR="00C1750D" w:rsidRPr="007F3549">
              <w:rPr>
                <w:sz w:val="20"/>
                <w:lang w:val="fr-FR"/>
              </w:rPr>
              <w:t>,</w:t>
            </w:r>
            <w:r w:rsidR="003B3FB5" w:rsidRPr="007F3549">
              <w:rPr>
                <w:sz w:val="20"/>
                <w:lang w:val="fr-FR"/>
              </w:rPr>
              <w:t>0</w:t>
            </w:r>
            <w:r w:rsidR="00DC4916" w:rsidRPr="007F3549">
              <w:rPr>
                <w:sz w:val="20"/>
                <w:lang w:val="fr-FR"/>
              </w:rPr>
              <w:t>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3B3FB5" w:rsidRPr="007F3549">
              <w:rPr>
                <w:sz w:val="20"/>
                <w:lang w:val="fr-FR"/>
              </w:rPr>
              <w:t>1</w:t>
            </w:r>
            <w:r w:rsidR="00C1750D" w:rsidRPr="007F3549">
              <w:rPr>
                <w:sz w:val="20"/>
                <w:lang w:val="fr-FR"/>
              </w:rPr>
              <w:t>,</w:t>
            </w:r>
            <w:r w:rsidR="003B3FB5" w:rsidRPr="007F3549">
              <w:rPr>
                <w:sz w:val="20"/>
                <w:lang w:val="fr-FR"/>
              </w:rPr>
              <w:t>6%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3B3FB5" w:rsidRPr="007F3549">
              <w:rPr>
                <w:sz w:val="20"/>
                <w:lang w:val="fr-FR"/>
              </w:rPr>
              <w:t>14</w:t>
            </w:r>
            <w:r w:rsidR="00C1750D" w:rsidRPr="007F3549">
              <w:rPr>
                <w:sz w:val="20"/>
                <w:lang w:val="fr-FR"/>
              </w:rPr>
              <w:t>,</w:t>
            </w:r>
            <w:r w:rsidR="003B3FB5" w:rsidRPr="007F3549">
              <w:rPr>
                <w:sz w:val="20"/>
                <w:lang w:val="fr-FR"/>
              </w:rPr>
              <w:t>3%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23695C" w:rsidP="0023695C">
            <w:pPr>
              <w:pStyle w:val="ONUME"/>
              <w:spacing w:after="0"/>
              <w:ind w:firstLine="426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Scénarios</w:t>
            </w:r>
            <w:r w:rsidR="00BA7CFD" w:rsidRPr="007F3549">
              <w:rPr>
                <w:b/>
                <w:sz w:val="20"/>
                <w:lang w:val="fr-FR"/>
              </w:rPr>
              <w:t xml:space="preserve"> historiques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0918E0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0918E0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0918E0" w:rsidP="0023695C">
            <w:pPr>
              <w:pStyle w:val="ONUME"/>
              <w:spacing w:after="0"/>
              <w:jc w:val="center"/>
              <w:rPr>
                <w:b/>
                <w:sz w:val="20"/>
                <w:lang w:val="fr-FR"/>
              </w:rPr>
            </w:pP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0F753E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Crise financière</w:t>
            </w:r>
            <w:r w:rsidR="000918E0" w:rsidRPr="007F3549">
              <w:rPr>
                <w:sz w:val="20"/>
                <w:lang w:val="fr-FR"/>
              </w:rPr>
              <w:t xml:space="preserve"> (</w:t>
            </w:r>
            <w:r w:rsidR="00BA7CFD" w:rsidRPr="007F3549">
              <w:rPr>
                <w:sz w:val="20"/>
                <w:lang w:val="fr-FR"/>
              </w:rPr>
              <w:t>juin </w:t>
            </w:r>
            <w:r w:rsidR="000918E0" w:rsidRPr="007F3549">
              <w:rPr>
                <w:sz w:val="20"/>
                <w:lang w:val="fr-FR"/>
              </w:rPr>
              <w:t xml:space="preserve">2007 – </w:t>
            </w:r>
            <w:r w:rsidR="00BA7CFD" w:rsidRPr="007F3549">
              <w:rPr>
                <w:sz w:val="20"/>
                <w:lang w:val="fr-FR"/>
              </w:rPr>
              <w:t>févr</w:t>
            </w:r>
            <w:r w:rsidR="000918E0" w:rsidRPr="007F3549">
              <w:rPr>
                <w:sz w:val="20"/>
                <w:lang w:val="fr-FR"/>
              </w:rPr>
              <w:t>. 2009)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3%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1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8%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BD351E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noBreakHyphen/>
            </w:r>
            <w:r w:rsidR="003B3FB5" w:rsidRPr="007F3549">
              <w:rPr>
                <w:sz w:val="20"/>
                <w:lang w:val="fr-FR"/>
              </w:rPr>
              <w:t>15</w:t>
            </w:r>
            <w:r w:rsidR="00C1750D" w:rsidRPr="007F3549">
              <w:rPr>
                <w:sz w:val="20"/>
                <w:lang w:val="fr-FR"/>
              </w:rPr>
              <w:t>,</w:t>
            </w:r>
            <w:r w:rsidR="003B3FB5" w:rsidRPr="007F3549">
              <w:rPr>
                <w:sz w:val="20"/>
                <w:lang w:val="fr-FR"/>
              </w:rPr>
              <w:t>2%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0F753E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 xml:space="preserve">Obligation Rallye </w:t>
            </w:r>
            <w:r w:rsidR="003B3FB5" w:rsidRPr="007F3549">
              <w:rPr>
                <w:sz w:val="20"/>
                <w:lang w:val="fr-FR"/>
              </w:rPr>
              <w:t>(</w:t>
            </w:r>
            <w:r w:rsidR="00BA7CFD" w:rsidRPr="007F3549">
              <w:rPr>
                <w:sz w:val="20"/>
                <w:lang w:val="fr-FR"/>
              </w:rPr>
              <w:t>juillet </w:t>
            </w:r>
            <w:r w:rsidR="003B3FB5" w:rsidRPr="007F3549">
              <w:rPr>
                <w:sz w:val="20"/>
                <w:lang w:val="fr-FR"/>
              </w:rPr>
              <w:t xml:space="preserve">2008 – </w:t>
            </w:r>
            <w:r w:rsidR="00BA7CFD" w:rsidRPr="007F3549">
              <w:rPr>
                <w:sz w:val="20"/>
                <w:lang w:val="fr-FR"/>
              </w:rPr>
              <w:t>août </w:t>
            </w:r>
            <w:r w:rsidR="00307FF0" w:rsidRPr="007F3549">
              <w:rPr>
                <w:sz w:val="20"/>
                <w:lang w:val="fr-FR"/>
              </w:rPr>
              <w:t>2010</w:t>
            </w:r>
            <w:r w:rsidR="003B3FB5" w:rsidRPr="007F3549">
              <w:rPr>
                <w:sz w:val="20"/>
                <w:lang w:val="fr-FR"/>
              </w:rPr>
              <w:t>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9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9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7%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6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7%</w:t>
            </w:r>
          </w:p>
        </w:tc>
      </w:tr>
      <w:tr w:rsidR="00BD351E" w:rsidRPr="007F3549" w:rsidTr="0023695C">
        <w:trPr>
          <w:cantSplit/>
        </w:trPr>
        <w:tc>
          <w:tcPr>
            <w:tcW w:w="8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18E0" w:rsidRPr="007F3549" w:rsidRDefault="00BA7CFD" w:rsidP="0023695C">
            <w:pPr>
              <w:pStyle w:val="ONUME"/>
              <w:spacing w:after="0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 xml:space="preserve">Crise </w:t>
            </w:r>
            <w:r w:rsidR="003B3FB5" w:rsidRPr="007F3549">
              <w:rPr>
                <w:sz w:val="20"/>
                <w:lang w:val="fr-FR"/>
              </w:rPr>
              <w:t>EUR (</w:t>
            </w:r>
            <w:r w:rsidRPr="007F3549">
              <w:rPr>
                <w:sz w:val="20"/>
                <w:lang w:val="fr-FR"/>
              </w:rPr>
              <w:t>avril 2011</w:t>
            </w:r>
            <w:r w:rsidR="00876E92" w:rsidRPr="007F3549">
              <w:rPr>
                <w:sz w:val="20"/>
                <w:lang w:val="fr-FR"/>
              </w:rPr>
              <w:t xml:space="preserve"> – </w:t>
            </w:r>
            <w:r w:rsidRPr="007F3549">
              <w:rPr>
                <w:sz w:val="20"/>
                <w:lang w:val="fr-FR"/>
              </w:rPr>
              <w:t>sept. </w:t>
            </w:r>
            <w:r w:rsidR="003B3FB5" w:rsidRPr="007F3549">
              <w:rPr>
                <w:sz w:val="20"/>
                <w:lang w:val="fr-FR"/>
              </w:rPr>
              <w:t>2012)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4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5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1%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18E0" w:rsidRPr="007F3549" w:rsidRDefault="003B3FB5" w:rsidP="0023695C">
            <w:pPr>
              <w:pStyle w:val="ONUME"/>
              <w:spacing w:after="0"/>
              <w:jc w:val="center"/>
              <w:rPr>
                <w:sz w:val="20"/>
                <w:lang w:val="fr-FR"/>
              </w:rPr>
            </w:pPr>
            <w:r w:rsidRPr="007F3549">
              <w:rPr>
                <w:sz w:val="20"/>
                <w:lang w:val="fr-FR"/>
              </w:rPr>
              <w:t>6</w:t>
            </w:r>
            <w:r w:rsidR="00C1750D" w:rsidRPr="007F3549">
              <w:rPr>
                <w:sz w:val="20"/>
                <w:lang w:val="fr-FR"/>
              </w:rPr>
              <w:t>,</w:t>
            </w:r>
            <w:r w:rsidRPr="007F3549">
              <w:rPr>
                <w:sz w:val="20"/>
                <w:lang w:val="fr-FR"/>
              </w:rPr>
              <w:t>7%</w:t>
            </w:r>
          </w:p>
        </w:tc>
      </w:tr>
    </w:tbl>
    <w:p w:rsidR="00755C90" w:rsidRPr="007F3549" w:rsidRDefault="00806CCC" w:rsidP="0023695C">
      <w:pPr>
        <w:pStyle w:val="ONUME"/>
        <w:tabs>
          <w:tab w:val="left" w:pos="993"/>
          <w:tab w:val="left" w:pos="8222"/>
        </w:tabs>
        <w:ind w:right="539"/>
        <w:rPr>
          <w:i/>
          <w:sz w:val="20"/>
          <w:lang w:val="fr-FR"/>
        </w:rPr>
      </w:pPr>
      <w:r w:rsidRPr="007F3549">
        <w:rPr>
          <w:sz w:val="20"/>
          <w:lang w:val="fr-FR"/>
        </w:rPr>
        <w:tab/>
        <w:t>Base</w:t>
      </w:r>
      <w:r w:rsidR="00A62776" w:rsidRPr="007F3549">
        <w:rPr>
          <w:sz w:val="20"/>
          <w:lang w:val="fr-FR"/>
        </w:rPr>
        <w:t> </w:t>
      </w:r>
      <w:r w:rsidR="00BA7CFD" w:rsidRPr="007F3549">
        <w:rPr>
          <w:sz w:val="20"/>
          <w:lang w:val="fr-FR"/>
        </w:rPr>
        <w:t>: j</w:t>
      </w:r>
      <w:r w:rsidRPr="007F3549">
        <w:rPr>
          <w:sz w:val="20"/>
          <w:lang w:val="fr-FR"/>
        </w:rPr>
        <w:t>an</w:t>
      </w:r>
      <w:r w:rsidR="00BA7CFD" w:rsidRPr="007F3549">
        <w:rPr>
          <w:sz w:val="20"/>
          <w:lang w:val="fr-FR"/>
        </w:rPr>
        <w:t>v</w:t>
      </w:r>
      <w:r w:rsidRPr="007F3549">
        <w:rPr>
          <w:sz w:val="20"/>
          <w:lang w:val="fr-FR"/>
        </w:rPr>
        <w:t xml:space="preserve">. </w:t>
      </w:r>
      <w:r w:rsidR="005A016B" w:rsidRPr="007F3549">
        <w:rPr>
          <w:sz w:val="20"/>
          <w:lang w:val="fr-FR"/>
        </w:rPr>
        <w:t>20</w:t>
      </w:r>
      <w:r w:rsidR="00BA7CFD" w:rsidRPr="007F3549">
        <w:rPr>
          <w:sz w:val="20"/>
          <w:lang w:val="fr-FR"/>
        </w:rPr>
        <w:t>05 – d</w:t>
      </w:r>
      <w:r w:rsidR="005A016B" w:rsidRPr="007F3549">
        <w:rPr>
          <w:sz w:val="20"/>
          <w:lang w:val="fr-FR"/>
        </w:rPr>
        <w:t>é</w:t>
      </w:r>
      <w:r w:rsidRPr="007F3549">
        <w:rPr>
          <w:sz w:val="20"/>
          <w:lang w:val="fr-FR"/>
        </w:rPr>
        <w:t xml:space="preserve">c. </w:t>
      </w:r>
      <w:r w:rsidR="005A016B" w:rsidRPr="007F3549">
        <w:rPr>
          <w:sz w:val="20"/>
          <w:lang w:val="fr-FR"/>
        </w:rPr>
        <w:t>20</w:t>
      </w:r>
      <w:r w:rsidRPr="007F3549">
        <w:rPr>
          <w:sz w:val="20"/>
          <w:lang w:val="fr-FR"/>
        </w:rPr>
        <w:t>14</w:t>
      </w:r>
      <w:r w:rsidRPr="007F3549">
        <w:rPr>
          <w:sz w:val="20"/>
          <w:lang w:val="fr-FR"/>
        </w:rPr>
        <w:tab/>
      </w:r>
      <w:r w:rsidR="00A62776" w:rsidRPr="007F3549">
        <w:rPr>
          <w:i/>
          <w:sz w:val="20"/>
          <w:lang w:val="fr-FR"/>
        </w:rPr>
        <w:t>Informations reproduites avec l</w:t>
      </w:r>
      <w:r w:rsidR="00876E92" w:rsidRPr="007F3549">
        <w:rPr>
          <w:i/>
          <w:sz w:val="20"/>
          <w:lang w:val="fr-FR"/>
        </w:rPr>
        <w:t>’</w:t>
      </w:r>
      <w:r w:rsidR="00A62776" w:rsidRPr="007F3549">
        <w:rPr>
          <w:i/>
          <w:sz w:val="20"/>
          <w:lang w:val="fr-FR"/>
        </w:rPr>
        <w:t>aimable autorisation de</w:t>
      </w:r>
      <w:r w:rsidR="00755C90" w:rsidRPr="007F3549">
        <w:rPr>
          <w:i/>
          <w:sz w:val="20"/>
          <w:lang w:val="fr-FR"/>
        </w:rPr>
        <w:t xml:space="preserve"> </w:t>
      </w:r>
      <w:r w:rsidR="00A62776" w:rsidRPr="007F3549">
        <w:rPr>
          <w:i/>
          <w:sz w:val="20"/>
          <w:lang w:val="fr-FR"/>
        </w:rPr>
        <w:t>Crédit</w:t>
      </w:r>
      <w:r w:rsidR="00755C90" w:rsidRPr="007F3549">
        <w:rPr>
          <w:i/>
          <w:sz w:val="20"/>
          <w:lang w:val="fr-FR"/>
        </w:rPr>
        <w:t xml:space="preserve"> Suisse</w:t>
      </w:r>
    </w:p>
    <w:p w:rsidR="003B5CCF" w:rsidRPr="007F3549" w:rsidRDefault="003B5CCF" w:rsidP="0023695C">
      <w:pPr>
        <w:pStyle w:val="ONUME"/>
        <w:ind w:left="10206" w:firstLine="567"/>
        <w:rPr>
          <w:lang w:val="fr-FR"/>
        </w:rPr>
      </w:pPr>
      <w:r w:rsidRPr="007F3549">
        <w:rPr>
          <w:lang w:val="fr-FR"/>
        </w:rPr>
        <w:t>[</w:t>
      </w:r>
      <w:r w:rsidR="005F5775" w:rsidRPr="0023695C">
        <w:rPr>
          <w:szCs w:val="22"/>
          <w:lang w:val="fr-FR"/>
        </w:rPr>
        <w:t>L</w:t>
      </w:r>
      <w:r w:rsidR="00876E92" w:rsidRPr="0023695C">
        <w:rPr>
          <w:szCs w:val="22"/>
          <w:lang w:val="fr-FR"/>
        </w:rPr>
        <w:t>’</w:t>
      </w:r>
      <w:r w:rsidR="005F5775" w:rsidRPr="0023695C">
        <w:rPr>
          <w:szCs w:val="22"/>
          <w:lang w:val="fr-FR"/>
        </w:rPr>
        <w:t>annexe</w:t>
      </w:r>
      <w:r w:rsidR="005F5775" w:rsidRPr="007F3549">
        <w:rPr>
          <w:lang w:val="fr-FR"/>
        </w:rPr>
        <w:t> </w:t>
      </w:r>
      <w:r w:rsidRPr="007F3549">
        <w:rPr>
          <w:lang w:val="fr-FR"/>
        </w:rPr>
        <w:t xml:space="preserve">IV </w:t>
      </w:r>
      <w:r w:rsidR="005F5775" w:rsidRPr="007F3549">
        <w:rPr>
          <w:lang w:val="fr-FR"/>
        </w:rPr>
        <w:t>suit.</w:t>
      </w:r>
      <w:r w:rsidRPr="007F3549">
        <w:rPr>
          <w:lang w:val="fr-FR"/>
        </w:rPr>
        <w:t>]</w:t>
      </w:r>
    </w:p>
    <w:p w:rsidR="003B5CCF" w:rsidRPr="007F3549" w:rsidRDefault="003B5CCF" w:rsidP="00A314DC">
      <w:pPr>
        <w:pStyle w:val="Endofdocument-Annex"/>
        <w:rPr>
          <w:lang w:val="fr-FR"/>
        </w:rPr>
      </w:pPr>
    </w:p>
    <w:p w:rsidR="003B5CCF" w:rsidRPr="007F3549" w:rsidRDefault="003B5CCF" w:rsidP="00A314DC">
      <w:pPr>
        <w:pStyle w:val="Endofdocument-Annex"/>
        <w:rPr>
          <w:lang w:val="fr-FR"/>
        </w:rPr>
        <w:sectPr w:rsidR="003B5CCF" w:rsidRPr="007F3549" w:rsidSect="006D39CB">
          <w:headerReference w:type="default" r:id="rId20"/>
          <w:headerReference w:type="first" r:id="rId21"/>
          <w:endnotePr>
            <w:numFmt w:val="decimal"/>
          </w:endnotePr>
          <w:pgSz w:w="16840" w:h="11906" w:orient="landscape" w:code="9"/>
          <w:pgMar w:top="1417" w:right="567" w:bottom="1134" w:left="1417" w:header="510" w:footer="1020" w:gutter="0"/>
          <w:cols w:space="720"/>
          <w:titlePg/>
          <w:docGrid w:linePitch="299"/>
        </w:sectPr>
      </w:pPr>
    </w:p>
    <w:p w:rsidR="003E300A" w:rsidRPr="007F3549" w:rsidRDefault="007B73E2" w:rsidP="003E300A">
      <w:pPr>
        <w:pStyle w:val="ONUME"/>
        <w:rPr>
          <w:b/>
          <w:szCs w:val="22"/>
          <w:lang w:val="fr-FR"/>
        </w:rPr>
      </w:pPr>
      <w:r w:rsidRPr="007F3549">
        <w:rPr>
          <w:b/>
          <w:szCs w:val="22"/>
          <w:lang w:val="fr-FR"/>
        </w:rPr>
        <w:lastRenderedPageBreak/>
        <w:t>POLITIQUE EN MATIÈRE DE PLACEMENT (MODÈLE)</w:t>
      </w:r>
    </w:p>
    <w:p w:rsidR="003E300A" w:rsidRPr="007F3549" w:rsidRDefault="006C12DC" w:rsidP="003E300A">
      <w:pPr>
        <w:pStyle w:val="ONUME"/>
        <w:rPr>
          <w:szCs w:val="22"/>
          <w:lang w:val="fr-FR"/>
        </w:rPr>
      </w:pPr>
      <w:r w:rsidRPr="007F3549">
        <w:rPr>
          <w:szCs w:val="22"/>
          <w:lang w:val="fr-FR"/>
        </w:rPr>
        <w:t xml:space="preserve">La société extérieure indépendante </w:t>
      </w:r>
      <w:proofErr w:type="spellStart"/>
      <w:r w:rsidR="00E328CE" w:rsidRPr="007F3549">
        <w:rPr>
          <w:szCs w:val="22"/>
          <w:lang w:val="fr-FR"/>
        </w:rPr>
        <w:t>Zanders</w:t>
      </w:r>
      <w:proofErr w:type="spellEnd"/>
      <w:r w:rsidR="00E328CE" w:rsidRPr="007F3549">
        <w:rPr>
          <w:szCs w:val="22"/>
          <w:lang w:val="fr-FR"/>
        </w:rPr>
        <w:t>, spécialisée dans le conseil en trésorerie, a conseillé de faire figurer les éléments suivants</w:t>
      </w:r>
      <w:r w:rsidRPr="007F3549">
        <w:rPr>
          <w:szCs w:val="22"/>
          <w:lang w:val="fr-FR"/>
        </w:rPr>
        <w:t xml:space="preserve"> </w:t>
      </w:r>
      <w:r w:rsidR="00E328CE" w:rsidRPr="007F3549">
        <w:rPr>
          <w:szCs w:val="22"/>
          <w:lang w:val="fr-FR"/>
        </w:rPr>
        <w:t>dans une politique en matière de placements</w:t>
      </w:r>
      <w:r w:rsidRPr="007F3549">
        <w:rPr>
          <w:szCs w:val="22"/>
          <w:lang w:val="fr-FR"/>
        </w:rPr>
        <w:t>, sur la base des meilleures pratiques</w:t>
      </w:r>
      <w:r w:rsidR="00E328CE" w:rsidRPr="007F3549">
        <w:rPr>
          <w:szCs w:val="22"/>
          <w:lang w:val="fr-FR"/>
        </w:rPr>
        <w:t> </w:t>
      </w:r>
      <w:r w:rsidR="003E300A" w:rsidRPr="007F3549">
        <w:rPr>
          <w:szCs w:val="22"/>
          <w:lang w:val="fr-FR"/>
        </w:rPr>
        <w:t>:</w:t>
      </w:r>
    </w:p>
    <w:p w:rsidR="003E300A" w:rsidRPr="007F3549" w:rsidRDefault="003E300A" w:rsidP="001150C9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szCs w:val="22"/>
          <w:lang w:val="fr-FR"/>
        </w:rPr>
        <w:t xml:space="preserve">Description </w:t>
      </w:r>
      <w:r w:rsidR="007B73E2" w:rsidRPr="007F3549">
        <w:rPr>
          <w:szCs w:val="22"/>
          <w:lang w:val="fr-FR"/>
        </w:rPr>
        <w:t>de l</w:t>
      </w:r>
      <w:r w:rsidR="00876E92" w:rsidRPr="007F3549">
        <w:rPr>
          <w:szCs w:val="22"/>
          <w:lang w:val="fr-FR"/>
        </w:rPr>
        <w:t>’</w:t>
      </w:r>
      <w:r w:rsidR="007B73E2" w:rsidRPr="007F3549">
        <w:rPr>
          <w:szCs w:val="22"/>
          <w:lang w:val="fr-FR"/>
        </w:rPr>
        <w:t>investisseur</w:t>
      </w:r>
    </w:p>
    <w:p w:rsidR="003E300A" w:rsidRPr="007F3549" w:rsidRDefault="007B73E2" w:rsidP="00A12BE5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szCs w:val="22"/>
          <w:lang w:val="fr-FR"/>
        </w:rPr>
        <w:t>Objectifs de la politique</w:t>
      </w:r>
    </w:p>
    <w:p w:rsidR="003E300A" w:rsidRPr="007F3549" w:rsidRDefault="007F6BC4" w:rsidP="002D5273">
      <w:pPr>
        <w:pStyle w:val="ONUME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>Ces deux sections expliqueraient que l</w:t>
      </w:r>
      <w:r w:rsidR="00876E92" w:rsidRPr="007F3549">
        <w:rPr>
          <w:i/>
          <w:szCs w:val="22"/>
          <w:lang w:val="fr-FR"/>
        </w:rPr>
        <w:t>’</w:t>
      </w:r>
      <w:r w:rsidRPr="007F3549">
        <w:rPr>
          <w:i/>
          <w:szCs w:val="22"/>
          <w:lang w:val="fr-FR"/>
        </w:rPr>
        <w:t>OMPI est une institution spécialisée de l</w:t>
      </w:r>
      <w:r w:rsidR="00876E92" w:rsidRPr="007F3549">
        <w:rPr>
          <w:i/>
          <w:szCs w:val="22"/>
          <w:lang w:val="fr-FR"/>
        </w:rPr>
        <w:t>’</w:t>
      </w:r>
      <w:r w:rsidRPr="007F3549">
        <w:rPr>
          <w:i/>
          <w:szCs w:val="22"/>
          <w:lang w:val="fr-FR"/>
        </w:rPr>
        <w:t>ONU</w:t>
      </w:r>
      <w:r w:rsidR="003E300A" w:rsidRPr="007F3549">
        <w:rPr>
          <w:i/>
          <w:szCs w:val="22"/>
          <w:lang w:val="fr-FR"/>
        </w:rPr>
        <w:t xml:space="preserve">, </w:t>
      </w:r>
      <w:r w:rsidRPr="007F3549">
        <w:rPr>
          <w:i/>
          <w:szCs w:val="22"/>
          <w:lang w:val="fr-FR"/>
        </w:rPr>
        <w:t xml:space="preserve">fourniraient un bref descriptif de ses activités et </w:t>
      </w:r>
      <w:r w:rsidR="001A065E" w:rsidRPr="007F3549">
        <w:rPr>
          <w:i/>
          <w:szCs w:val="22"/>
          <w:lang w:val="fr-FR"/>
        </w:rPr>
        <w:t>indiqueraient</w:t>
      </w:r>
      <w:r w:rsidRPr="007F3549">
        <w:rPr>
          <w:i/>
          <w:szCs w:val="22"/>
          <w:lang w:val="fr-FR"/>
        </w:rPr>
        <w:t xml:space="preserve"> quels placements sont couverts par la politique</w:t>
      </w:r>
      <w:r w:rsidR="003E300A" w:rsidRPr="007F3549">
        <w:rPr>
          <w:i/>
          <w:szCs w:val="22"/>
          <w:lang w:val="fr-FR"/>
        </w:rPr>
        <w:t xml:space="preserve"> (</w:t>
      </w:r>
      <w:r w:rsidR="00CB7A9A" w:rsidRPr="007F3549">
        <w:rPr>
          <w:i/>
          <w:szCs w:val="22"/>
          <w:lang w:val="fr-FR"/>
        </w:rPr>
        <w:t>qu</w:t>
      </w:r>
      <w:r w:rsidR="00876E92" w:rsidRPr="007F3549">
        <w:rPr>
          <w:i/>
          <w:szCs w:val="22"/>
          <w:lang w:val="fr-FR"/>
        </w:rPr>
        <w:t>’</w:t>
      </w:r>
      <w:r w:rsidR="00CB7A9A" w:rsidRPr="007F3549">
        <w:rPr>
          <w:i/>
          <w:szCs w:val="22"/>
          <w:lang w:val="fr-FR"/>
        </w:rPr>
        <w:t>il s</w:t>
      </w:r>
      <w:r w:rsidR="00876E92" w:rsidRPr="007F3549">
        <w:rPr>
          <w:i/>
          <w:szCs w:val="22"/>
          <w:lang w:val="fr-FR"/>
        </w:rPr>
        <w:t>’</w:t>
      </w:r>
      <w:r w:rsidR="00CB7A9A" w:rsidRPr="007F3549">
        <w:rPr>
          <w:i/>
          <w:szCs w:val="22"/>
          <w:lang w:val="fr-FR"/>
        </w:rPr>
        <w:t>agisse de ceux relatifs à la trésorerie d</w:t>
      </w:r>
      <w:r w:rsidR="00876E92" w:rsidRPr="007F3549">
        <w:rPr>
          <w:i/>
          <w:szCs w:val="22"/>
          <w:lang w:val="fr-FR"/>
        </w:rPr>
        <w:t>’</w:t>
      </w:r>
      <w:r w:rsidR="00CB7A9A" w:rsidRPr="007F3549">
        <w:rPr>
          <w:i/>
          <w:szCs w:val="22"/>
          <w:lang w:val="fr-FR"/>
        </w:rPr>
        <w:t xml:space="preserve">exploitation et aux </w:t>
      </w:r>
      <w:r w:rsidR="00007A61" w:rsidRPr="007F3549">
        <w:rPr>
          <w:i/>
          <w:szCs w:val="22"/>
          <w:lang w:val="fr-FR"/>
        </w:rPr>
        <w:t>fonds propres</w:t>
      </w:r>
      <w:r w:rsidR="003E300A" w:rsidRPr="007F3549">
        <w:rPr>
          <w:i/>
          <w:szCs w:val="22"/>
          <w:lang w:val="fr-FR"/>
        </w:rPr>
        <w:t xml:space="preserve"> </w:t>
      </w:r>
      <w:r w:rsidR="00CB7A9A" w:rsidRPr="007F3549">
        <w:rPr>
          <w:i/>
          <w:szCs w:val="22"/>
          <w:lang w:val="fr-FR"/>
        </w:rPr>
        <w:t>ou de ceux relatifs à la trésorerie stratégique</w:t>
      </w:r>
      <w:r w:rsidR="00561A0B" w:rsidRPr="007F3549">
        <w:rPr>
          <w:i/>
          <w:szCs w:val="22"/>
          <w:lang w:val="fr-FR"/>
        </w:rPr>
        <w:t>).</w:t>
      </w:r>
    </w:p>
    <w:p w:rsidR="00561A0B" w:rsidRPr="007F3549" w:rsidRDefault="00B325F7" w:rsidP="00A12BE5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szCs w:val="22"/>
          <w:lang w:val="fr-FR"/>
        </w:rPr>
        <w:t>Définition des parties impliquées dans le processus de gestion des placements</w:t>
      </w:r>
    </w:p>
    <w:p w:rsidR="00561A0B" w:rsidRPr="007F3549" w:rsidRDefault="00B325F7" w:rsidP="00561A0B">
      <w:pPr>
        <w:pStyle w:val="ONUME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 xml:space="preserve">Les parties impliquées sont le Comité consultatif des </w:t>
      </w:r>
      <w:r w:rsidRPr="007F3549">
        <w:rPr>
          <w:i/>
          <w:lang w:val="fr-FR"/>
        </w:rPr>
        <w:t>investissements</w:t>
      </w:r>
      <w:r w:rsidR="00561A0B" w:rsidRPr="007F3549">
        <w:rPr>
          <w:i/>
          <w:szCs w:val="22"/>
          <w:lang w:val="fr-FR"/>
        </w:rPr>
        <w:t xml:space="preserve">, </w:t>
      </w:r>
      <w:r w:rsidRPr="007F3549">
        <w:rPr>
          <w:i/>
          <w:szCs w:val="22"/>
          <w:lang w:val="fr-FR"/>
        </w:rPr>
        <w:t>la Section de la trésorerie de la Division des finances</w:t>
      </w:r>
      <w:r w:rsidR="00561A0B" w:rsidRPr="007F3549">
        <w:rPr>
          <w:i/>
          <w:szCs w:val="22"/>
          <w:lang w:val="fr-FR"/>
        </w:rPr>
        <w:t xml:space="preserve">, </w:t>
      </w:r>
      <w:r w:rsidRPr="007F3549">
        <w:rPr>
          <w:i/>
          <w:szCs w:val="22"/>
          <w:lang w:val="fr-FR"/>
        </w:rPr>
        <w:t>le contrôleur</w:t>
      </w:r>
      <w:r w:rsidR="00561A0B" w:rsidRPr="007F3549">
        <w:rPr>
          <w:i/>
          <w:szCs w:val="22"/>
          <w:lang w:val="fr-FR"/>
        </w:rPr>
        <w:t xml:space="preserve">, </w:t>
      </w:r>
      <w:r w:rsidRPr="007F3549">
        <w:rPr>
          <w:i/>
          <w:szCs w:val="22"/>
          <w:lang w:val="fr-FR"/>
        </w:rPr>
        <w:t xml:space="preserve">les </w:t>
      </w:r>
      <w:r w:rsidRPr="007F3549">
        <w:rPr>
          <w:i/>
          <w:lang w:val="fr-FR"/>
        </w:rPr>
        <w:t>gestionnaires de placements extérieurs</w:t>
      </w:r>
      <w:r w:rsidRPr="007F3549">
        <w:rPr>
          <w:i/>
          <w:szCs w:val="22"/>
          <w:lang w:val="fr-FR"/>
        </w:rPr>
        <w:t xml:space="preserve"> et éventuellement la banque dépositaire</w:t>
      </w:r>
      <w:r w:rsidR="00A822E9" w:rsidRPr="007F3549">
        <w:rPr>
          <w:i/>
          <w:szCs w:val="22"/>
          <w:lang w:val="fr-FR"/>
        </w:rPr>
        <w:t>.</w:t>
      </w:r>
    </w:p>
    <w:p w:rsidR="00A822E9" w:rsidRPr="007F3549" w:rsidRDefault="0090648B" w:rsidP="00A12BE5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lang w:val="fr-FR"/>
        </w:rPr>
        <w:t xml:space="preserve">Les responsabilités des parties impliquées </w:t>
      </w:r>
      <w:r w:rsidR="00A12BE5" w:rsidRPr="007F3549">
        <w:rPr>
          <w:szCs w:val="22"/>
          <w:lang w:val="fr-FR"/>
        </w:rPr>
        <w:t>(</w:t>
      </w:r>
      <w:r w:rsidRPr="007F3549">
        <w:rPr>
          <w:szCs w:val="22"/>
          <w:lang w:val="fr-FR"/>
        </w:rPr>
        <w:t>comme défini au point </w:t>
      </w:r>
      <w:r w:rsidR="00A822E9" w:rsidRPr="007F3549">
        <w:rPr>
          <w:szCs w:val="22"/>
          <w:lang w:val="fr-FR"/>
        </w:rPr>
        <w:t xml:space="preserve">3).  </w:t>
      </w:r>
      <w:r w:rsidRPr="007F3549">
        <w:rPr>
          <w:szCs w:val="22"/>
          <w:lang w:val="fr-FR"/>
        </w:rPr>
        <w:t>Exemples </w:t>
      </w:r>
      <w:r w:rsidR="00A822E9" w:rsidRPr="007F3549">
        <w:rPr>
          <w:szCs w:val="22"/>
          <w:lang w:val="fr-FR"/>
        </w:rPr>
        <w:t>:</w:t>
      </w:r>
    </w:p>
    <w:p w:rsidR="00A822E9" w:rsidRPr="007F3549" w:rsidRDefault="0090648B" w:rsidP="002D5273">
      <w:pPr>
        <w:pStyle w:val="ONUME"/>
        <w:numPr>
          <w:ilvl w:val="0"/>
          <w:numId w:val="8"/>
        </w:numPr>
        <w:ind w:left="1134" w:hanging="567"/>
        <w:rPr>
          <w:szCs w:val="22"/>
          <w:lang w:val="fr-FR"/>
        </w:rPr>
      </w:pPr>
      <w:r w:rsidRPr="007F3549">
        <w:rPr>
          <w:szCs w:val="22"/>
          <w:lang w:val="fr-FR"/>
        </w:rPr>
        <w:t>Exécution et suivi de la politique en matière de placements</w:t>
      </w:r>
      <w:r w:rsidR="00A822E9" w:rsidRPr="007F3549">
        <w:rPr>
          <w:szCs w:val="22"/>
          <w:lang w:val="fr-FR"/>
        </w:rPr>
        <w:t>;</w:t>
      </w:r>
    </w:p>
    <w:p w:rsidR="00A822E9" w:rsidRPr="007F3549" w:rsidRDefault="0090648B" w:rsidP="002D5273">
      <w:pPr>
        <w:pStyle w:val="ONUME"/>
        <w:numPr>
          <w:ilvl w:val="0"/>
          <w:numId w:val="8"/>
        </w:numPr>
        <w:ind w:left="1134" w:hanging="567"/>
        <w:rPr>
          <w:szCs w:val="22"/>
          <w:lang w:val="fr-FR"/>
        </w:rPr>
      </w:pPr>
      <w:r w:rsidRPr="007F3549">
        <w:rPr>
          <w:lang w:val="fr-FR"/>
        </w:rPr>
        <w:t>Examen et mise à jour de la politique en matière de placements</w:t>
      </w:r>
      <w:r w:rsidR="00A822E9" w:rsidRPr="007F3549">
        <w:rPr>
          <w:szCs w:val="22"/>
          <w:lang w:val="fr-FR"/>
        </w:rPr>
        <w:t>;</w:t>
      </w:r>
    </w:p>
    <w:p w:rsidR="00A822E9" w:rsidRPr="007F3549" w:rsidRDefault="00B03A3D" w:rsidP="002D5273">
      <w:pPr>
        <w:pStyle w:val="ONUME"/>
        <w:numPr>
          <w:ilvl w:val="0"/>
          <w:numId w:val="8"/>
        </w:numPr>
        <w:ind w:left="1134" w:hanging="567"/>
        <w:rPr>
          <w:szCs w:val="22"/>
          <w:lang w:val="fr-FR"/>
        </w:rPr>
      </w:pPr>
      <w:r w:rsidRPr="007F3549">
        <w:rPr>
          <w:lang w:val="fr-FR"/>
        </w:rPr>
        <w:t>Coopération</w:t>
      </w:r>
      <w:r w:rsidR="0090648B" w:rsidRPr="007F3549">
        <w:rPr>
          <w:lang w:val="fr-FR"/>
        </w:rPr>
        <w:t xml:space="preserve"> </w:t>
      </w:r>
      <w:r w:rsidRPr="007F3549">
        <w:rPr>
          <w:lang w:val="fr-FR"/>
        </w:rPr>
        <w:t xml:space="preserve">avec </w:t>
      </w:r>
      <w:r w:rsidR="00DB49BF" w:rsidRPr="007F3549">
        <w:rPr>
          <w:lang w:val="fr-FR"/>
        </w:rPr>
        <w:t>l</w:t>
      </w:r>
      <w:r w:rsidR="0090648B" w:rsidRPr="007F3549">
        <w:rPr>
          <w:lang w:val="fr-FR"/>
        </w:rPr>
        <w:t xml:space="preserve">es gestionnaires </w:t>
      </w:r>
      <w:r w:rsidR="00447CC0" w:rsidRPr="007F3549">
        <w:rPr>
          <w:lang w:val="fr-FR"/>
        </w:rPr>
        <w:t>de placements extérieurs</w:t>
      </w:r>
      <w:r w:rsidR="0090648B" w:rsidRPr="007F3549">
        <w:rPr>
          <w:lang w:val="fr-FR"/>
        </w:rPr>
        <w:t xml:space="preserve"> et la banque dépositaire</w:t>
      </w:r>
      <w:r w:rsidR="00A822E9" w:rsidRPr="007F3549">
        <w:rPr>
          <w:szCs w:val="22"/>
          <w:lang w:val="fr-FR"/>
        </w:rPr>
        <w:t>;</w:t>
      </w:r>
    </w:p>
    <w:p w:rsidR="00A822E9" w:rsidRPr="007F3549" w:rsidRDefault="0090648B" w:rsidP="002D5273">
      <w:pPr>
        <w:pStyle w:val="ONUME"/>
        <w:numPr>
          <w:ilvl w:val="0"/>
          <w:numId w:val="8"/>
        </w:numPr>
        <w:ind w:left="1134" w:hanging="567"/>
        <w:rPr>
          <w:szCs w:val="22"/>
          <w:lang w:val="fr-FR"/>
        </w:rPr>
      </w:pPr>
      <w:r w:rsidRPr="007F3549">
        <w:rPr>
          <w:lang w:val="fr-FR"/>
        </w:rPr>
        <w:t xml:space="preserve">Surveillance des gestionnaires </w:t>
      </w:r>
      <w:r w:rsidR="00447CC0" w:rsidRPr="007F3549">
        <w:rPr>
          <w:lang w:val="fr-FR"/>
        </w:rPr>
        <w:t xml:space="preserve">de placements </w:t>
      </w:r>
      <w:r w:rsidRPr="007F3549">
        <w:rPr>
          <w:lang w:val="fr-FR"/>
        </w:rPr>
        <w:t>extérieurs et de la banque dépositaire;</w:t>
      </w:r>
    </w:p>
    <w:p w:rsidR="00A822E9" w:rsidRPr="007F3549" w:rsidRDefault="0090648B" w:rsidP="002D5273">
      <w:pPr>
        <w:pStyle w:val="ONUME"/>
        <w:numPr>
          <w:ilvl w:val="0"/>
          <w:numId w:val="8"/>
        </w:numPr>
        <w:ind w:left="1134" w:hanging="567"/>
        <w:rPr>
          <w:szCs w:val="22"/>
          <w:lang w:val="fr-FR"/>
        </w:rPr>
      </w:pPr>
      <w:r w:rsidRPr="007F3549">
        <w:rPr>
          <w:lang w:val="fr-FR"/>
        </w:rPr>
        <w:t>Responsabilités en ce qui concerne les investissements gérés en interne</w:t>
      </w:r>
      <w:r w:rsidR="00A822E9" w:rsidRPr="007F3549">
        <w:rPr>
          <w:szCs w:val="22"/>
          <w:lang w:val="fr-FR"/>
        </w:rPr>
        <w:t>;</w:t>
      </w:r>
    </w:p>
    <w:p w:rsidR="00A822E9" w:rsidRPr="007F3549" w:rsidRDefault="0090648B" w:rsidP="002D5273">
      <w:pPr>
        <w:pStyle w:val="ONUME"/>
        <w:numPr>
          <w:ilvl w:val="0"/>
          <w:numId w:val="8"/>
        </w:numPr>
        <w:ind w:left="1134" w:hanging="567"/>
        <w:rPr>
          <w:szCs w:val="22"/>
          <w:lang w:val="fr-FR"/>
        </w:rPr>
      </w:pPr>
      <w:r w:rsidRPr="007F3549">
        <w:rPr>
          <w:szCs w:val="22"/>
          <w:lang w:val="fr-FR"/>
        </w:rPr>
        <w:t>Établissement de rapports</w:t>
      </w:r>
    </w:p>
    <w:p w:rsidR="00A822E9" w:rsidRPr="007F3549" w:rsidRDefault="00DB49BF" w:rsidP="00A12BE5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szCs w:val="22"/>
          <w:lang w:val="fr-FR"/>
        </w:rPr>
        <w:t>Exposé des objectifs et contraintes en matière de placements</w:t>
      </w:r>
    </w:p>
    <w:p w:rsidR="00A822E9" w:rsidRPr="007F3549" w:rsidRDefault="00DB49BF" w:rsidP="00A822E9">
      <w:pPr>
        <w:pStyle w:val="ONUME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 xml:space="preserve">Cette section doit comprendre une description détaillée des besoins spécifiques en matière de placements </w:t>
      </w:r>
      <w:r w:rsidR="00076009" w:rsidRPr="007F3549">
        <w:rPr>
          <w:i/>
          <w:szCs w:val="22"/>
          <w:lang w:val="fr-FR"/>
        </w:rPr>
        <w:t>pour les différents types de trésorerie énumérés</w:t>
      </w:r>
      <w:r w:rsidR="006A4E51" w:rsidRPr="007F3549">
        <w:rPr>
          <w:i/>
          <w:szCs w:val="22"/>
          <w:lang w:val="fr-FR"/>
        </w:rPr>
        <w:t xml:space="preserve"> (</w:t>
      </w:r>
      <w:r w:rsidR="00076009" w:rsidRPr="007F3549">
        <w:rPr>
          <w:i/>
          <w:szCs w:val="22"/>
          <w:lang w:val="fr-FR"/>
        </w:rPr>
        <w:t>trésorerie d</w:t>
      </w:r>
      <w:r w:rsidR="00876E92" w:rsidRPr="007F3549">
        <w:rPr>
          <w:i/>
          <w:szCs w:val="22"/>
          <w:lang w:val="fr-FR"/>
        </w:rPr>
        <w:t>’</w:t>
      </w:r>
      <w:r w:rsidR="00076009" w:rsidRPr="007F3549">
        <w:rPr>
          <w:i/>
          <w:szCs w:val="22"/>
          <w:lang w:val="fr-FR"/>
        </w:rPr>
        <w:t>exploitation, fonds propres, trésorerie stratégique</w:t>
      </w:r>
      <w:r w:rsidR="006A4E51" w:rsidRPr="007F3549">
        <w:rPr>
          <w:i/>
          <w:szCs w:val="22"/>
          <w:lang w:val="fr-FR"/>
        </w:rPr>
        <w:t>)</w:t>
      </w:r>
      <w:r w:rsidR="00D936CA" w:rsidRPr="007F3549">
        <w:rPr>
          <w:i/>
          <w:szCs w:val="22"/>
          <w:lang w:val="fr-FR"/>
        </w:rPr>
        <w:t>,</w:t>
      </w:r>
      <w:r w:rsidR="00A822E9" w:rsidRPr="007F3549">
        <w:rPr>
          <w:i/>
          <w:szCs w:val="22"/>
          <w:lang w:val="fr-FR"/>
        </w:rPr>
        <w:t xml:space="preserve"> </w:t>
      </w:r>
      <w:r w:rsidR="00076009" w:rsidRPr="007F3549">
        <w:rPr>
          <w:i/>
          <w:szCs w:val="22"/>
          <w:lang w:val="fr-FR"/>
        </w:rPr>
        <w:t>ainsi que des précisions sur les horizons de placement qui s</w:t>
      </w:r>
      <w:r w:rsidR="00876E92" w:rsidRPr="007F3549">
        <w:rPr>
          <w:i/>
          <w:szCs w:val="22"/>
          <w:lang w:val="fr-FR"/>
        </w:rPr>
        <w:t>’</w:t>
      </w:r>
      <w:r w:rsidR="00076009" w:rsidRPr="007F3549">
        <w:rPr>
          <w:i/>
          <w:szCs w:val="22"/>
          <w:lang w:val="fr-FR"/>
        </w:rPr>
        <w:t>appliquent à chaque type de trésorerie</w:t>
      </w:r>
      <w:r w:rsidR="00A822E9" w:rsidRPr="007F3549">
        <w:rPr>
          <w:i/>
          <w:szCs w:val="22"/>
          <w:lang w:val="fr-FR"/>
        </w:rPr>
        <w:t xml:space="preserve">.  </w:t>
      </w:r>
      <w:r w:rsidR="00076009" w:rsidRPr="007F3549">
        <w:rPr>
          <w:i/>
          <w:szCs w:val="22"/>
          <w:lang w:val="fr-FR"/>
        </w:rPr>
        <w:t xml:space="preserve">Elle doit également comprendre des informations spécifiques sur les rendements et la tolérance </w:t>
      </w:r>
      <w:r w:rsidR="00876E92" w:rsidRPr="007F3549">
        <w:rPr>
          <w:i/>
          <w:szCs w:val="22"/>
          <w:lang w:val="fr-FR"/>
        </w:rPr>
        <w:t>à l’égard</w:t>
      </w:r>
      <w:r w:rsidR="00076009" w:rsidRPr="007F3549">
        <w:rPr>
          <w:i/>
          <w:szCs w:val="22"/>
          <w:lang w:val="fr-FR"/>
        </w:rPr>
        <w:t xml:space="preserve"> des risques</w:t>
      </w:r>
      <w:r w:rsidR="006A4E51" w:rsidRPr="007F3549">
        <w:rPr>
          <w:i/>
          <w:szCs w:val="22"/>
          <w:lang w:val="fr-FR"/>
        </w:rPr>
        <w:t>.</w:t>
      </w:r>
    </w:p>
    <w:p w:rsidR="00A822E9" w:rsidRPr="007F3549" w:rsidRDefault="00076009" w:rsidP="00A12BE5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szCs w:val="22"/>
          <w:lang w:val="fr-FR"/>
        </w:rPr>
        <w:t>Classes d</w:t>
      </w:r>
      <w:r w:rsidR="00876E92" w:rsidRPr="007F3549">
        <w:rPr>
          <w:szCs w:val="22"/>
          <w:lang w:val="fr-FR"/>
        </w:rPr>
        <w:t>’</w:t>
      </w:r>
      <w:r w:rsidRPr="007F3549">
        <w:rPr>
          <w:szCs w:val="22"/>
          <w:lang w:val="fr-FR"/>
        </w:rPr>
        <w:t>actifs éligibles, assorties de leurs notations respectives</w:t>
      </w:r>
    </w:p>
    <w:p w:rsidR="00A822E9" w:rsidRPr="007F3549" w:rsidRDefault="00076009" w:rsidP="00A12BE5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szCs w:val="22"/>
          <w:lang w:val="fr-FR"/>
        </w:rPr>
        <w:t>Définition des mesures des performances et des données de référence à utiliser pour l</w:t>
      </w:r>
      <w:r w:rsidR="00876E92" w:rsidRPr="007F3549">
        <w:rPr>
          <w:szCs w:val="22"/>
          <w:lang w:val="fr-FR"/>
        </w:rPr>
        <w:t>’</w:t>
      </w:r>
      <w:r w:rsidRPr="007F3549">
        <w:rPr>
          <w:szCs w:val="22"/>
          <w:lang w:val="fr-FR"/>
        </w:rPr>
        <w:t>évaluation des performances</w:t>
      </w:r>
    </w:p>
    <w:p w:rsidR="00561A0B" w:rsidRPr="007F3549" w:rsidRDefault="00076009" w:rsidP="00A12BE5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7F3549">
        <w:rPr>
          <w:szCs w:val="22"/>
          <w:lang w:val="fr-FR"/>
        </w:rPr>
        <w:t>Stratégies et styles de placements</w:t>
      </w:r>
    </w:p>
    <w:p w:rsidR="00D9575E" w:rsidRPr="007F3549" w:rsidRDefault="00076009" w:rsidP="006A4E51">
      <w:pPr>
        <w:pStyle w:val="ONUME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 xml:space="preserve">Dans cette section, il convient </w:t>
      </w:r>
      <w:r w:rsidR="00520150" w:rsidRPr="007F3549">
        <w:rPr>
          <w:i/>
          <w:szCs w:val="22"/>
          <w:lang w:val="fr-FR"/>
        </w:rPr>
        <w:t>d</w:t>
      </w:r>
      <w:r w:rsidR="00876E92" w:rsidRPr="007F3549">
        <w:rPr>
          <w:i/>
          <w:szCs w:val="22"/>
          <w:lang w:val="fr-FR"/>
        </w:rPr>
        <w:t>’</w:t>
      </w:r>
      <w:r w:rsidR="00520150" w:rsidRPr="007F3549">
        <w:rPr>
          <w:i/>
          <w:szCs w:val="22"/>
          <w:lang w:val="fr-FR"/>
        </w:rPr>
        <w:t>examiner</w:t>
      </w:r>
      <w:r w:rsidRPr="007F3549">
        <w:rPr>
          <w:i/>
          <w:szCs w:val="22"/>
          <w:lang w:val="fr-FR"/>
        </w:rPr>
        <w:t xml:space="preserve"> si la stratégie </w:t>
      </w:r>
      <w:r w:rsidR="00520150" w:rsidRPr="007F3549">
        <w:rPr>
          <w:i/>
          <w:szCs w:val="22"/>
          <w:lang w:val="fr-FR"/>
        </w:rPr>
        <w:t>en matière de placements</w:t>
      </w:r>
      <w:r w:rsidRPr="007F3549">
        <w:rPr>
          <w:i/>
          <w:szCs w:val="22"/>
          <w:lang w:val="fr-FR"/>
        </w:rPr>
        <w:t xml:space="preserve"> </w:t>
      </w:r>
      <w:r w:rsidR="00520150" w:rsidRPr="007F3549">
        <w:rPr>
          <w:i/>
          <w:szCs w:val="22"/>
          <w:lang w:val="fr-FR"/>
        </w:rPr>
        <w:t>doit</w:t>
      </w:r>
      <w:r w:rsidRPr="007F3549">
        <w:rPr>
          <w:i/>
          <w:szCs w:val="22"/>
          <w:lang w:val="fr-FR"/>
        </w:rPr>
        <w:t xml:space="preserve"> </w:t>
      </w:r>
      <w:r w:rsidR="00520150" w:rsidRPr="007F3549">
        <w:rPr>
          <w:i/>
          <w:szCs w:val="22"/>
          <w:lang w:val="fr-FR"/>
        </w:rPr>
        <w:t xml:space="preserve">être active ou passive </w:t>
      </w:r>
      <w:r w:rsidRPr="007F3549">
        <w:rPr>
          <w:i/>
          <w:szCs w:val="22"/>
          <w:lang w:val="fr-FR"/>
        </w:rPr>
        <w:t xml:space="preserve">(il </w:t>
      </w:r>
      <w:r w:rsidR="00520150" w:rsidRPr="007F3549">
        <w:rPr>
          <w:i/>
          <w:szCs w:val="22"/>
          <w:lang w:val="fr-FR"/>
        </w:rPr>
        <w:t>s</w:t>
      </w:r>
      <w:r w:rsidR="00876E92" w:rsidRPr="007F3549">
        <w:rPr>
          <w:i/>
          <w:szCs w:val="22"/>
          <w:lang w:val="fr-FR"/>
        </w:rPr>
        <w:t>’</w:t>
      </w:r>
      <w:r w:rsidR="00520150" w:rsidRPr="007F3549">
        <w:rPr>
          <w:i/>
          <w:szCs w:val="22"/>
          <w:lang w:val="fr-FR"/>
        </w:rPr>
        <w:t>agit des</w:t>
      </w:r>
      <w:r w:rsidRPr="007F3549">
        <w:rPr>
          <w:i/>
          <w:szCs w:val="22"/>
          <w:lang w:val="fr-FR"/>
        </w:rPr>
        <w:t xml:space="preserve"> stratégies employées par les gestionnaires de placements </w:t>
      </w:r>
      <w:r w:rsidR="00520150" w:rsidRPr="007F3549">
        <w:rPr>
          <w:i/>
          <w:szCs w:val="22"/>
          <w:lang w:val="fr-FR"/>
        </w:rPr>
        <w:t>extérieurs</w:t>
      </w:r>
      <w:r w:rsidR="006A4E51" w:rsidRPr="007F3549">
        <w:rPr>
          <w:i/>
          <w:szCs w:val="22"/>
          <w:lang w:val="fr-FR"/>
        </w:rPr>
        <w:t>).</w:t>
      </w:r>
    </w:p>
    <w:p w:rsidR="00D31DBD" w:rsidRPr="007F3549" w:rsidRDefault="00A532E7" w:rsidP="00D9575E">
      <w:pPr>
        <w:pStyle w:val="ONUME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lastRenderedPageBreak/>
        <w:t>Les directives relatives au rééquilibrage des portefeuilles</w:t>
      </w:r>
      <w:r w:rsidR="00D31DBD" w:rsidRPr="007F3549">
        <w:rPr>
          <w:i/>
          <w:szCs w:val="22"/>
          <w:lang w:val="fr-FR"/>
        </w:rPr>
        <w:t xml:space="preserve"> </w:t>
      </w:r>
      <w:r w:rsidRPr="007F3549">
        <w:rPr>
          <w:i/>
          <w:szCs w:val="22"/>
          <w:lang w:val="fr-FR"/>
        </w:rPr>
        <w:t>sont établies d</w:t>
      </w:r>
      <w:r w:rsidR="00876E92" w:rsidRPr="007F3549">
        <w:rPr>
          <w:i/>
          <w:szCs w:val="22"/>
          <w:lang w:val="fr-FR"/>
        </w:rPr>
        <w:t>’</w:t>
      </w:r>
      <w:r w:rsidRPr="007F3549">
        <w:rPr>
          <w:i/>
          <w:szCs w:val="22"/>
          <w:lang w:val="fr-FR"/>
        </w:rPr>
        <w:t>après les retours d</w:t>
      </w:r>
      <w:r w:rsidR="00876E92" w:rsidRPr="007F3549">
        <w:rPr>
          <w:i/>
          <w:szCs w:val="22"/>
          <w:lang w:val="fr-FR"/>
        </w:rPr>
        <w:t>’</w:t>
      </w:r>
      <w:r w:rsidRPr="007F3549">
        <w:rPr>
          <w:i/>
          <w:szCs w:val="22"/>
          <w:lang w:val="fr-FR"/>
        </w:rPr>
        <w:t>information obtenus à l</w:t>
      </w:r>
      <w:r w:rsidR="00876E92" w:rsidRPr="007F3549">
        <w:rPr>
          <w:i/>
          <w:szCs w:val="22"/>
          <w:lang w:val="fr-FR"/>
        </w:rPr>
        <w:t>’</w:t>
      </w:r>
      <w:r w:rsidRPr="007F3549">
        <w:rPr>
          <w:i/>
          <w:szCs w:val="22"/>
          <w:lang w:val="fr-FR"/>
        </w:rPr>
        <w:t>issue du processus de gestion des placements</w:t>
      </w:r>
      <w:r w:rsidR="00D9575E" w:rsidRPr="007F3549">
        <w:rPr>
          <w:i/>
          <w:szCs w:val="22"/>
          <w:lang w:val="fr-FR"/>
        </w:rPr>
        <w:t xml:space="preserve"> (</w:t>
      </w:r>
      <w:r w:rsidRPr="007F3549">
        <w:rPr>
          <w:i/>
          <w:szCs w:val="22"/>
          <w:lang w:val="fr-FR"/>
        </w:rPr>
        <w:t>voir le point 4</w:t>
      </w:r>
      <w:r w:rsidR="00327D18">
        <w:rPr>
          <w:i/>
          <w:szCs w:val="22"/>
          <w:lang w:val="fr-FR"/>
        </w:rPr>
        <w:t>.</w:t>
      </w:r>
      <w:r w:rsidRPr="007F3549">
        <w:rPr>
          <w:i/>
          <w:szCs w:val="22"/>
          <w:lang w:val="fr-FR"/>
        </w:rPr>
        <w:t>f) ci</w:t>
      </w:r>
      <w:r w:rsidR="00BD351E" w:rsidRPr="007F3549">
        <w:rPr>
          <w:i/>
          <w:szCs w:val="22"/>
          <w:lang w:val="fr-FR"/>
        </w:rPr>
        <w:noBreakHyphen/>
      </w:r>
      <w:r w:rsidRPr="007F3549">
        <w:rPr>
          <w:i/>
          <w:szCs w:val="22"/>
          <w:lang w:val="fr-FR"/>
        </w:rPr>
        <w:t>dessus</w:t>
      </w:r>
      <w:r w:rsidR="00D9575E" w:rsidRPr="007F3549">
        <w:rPr>
          <w:i/>
          <w:szCs w:val="22"/>
          <w:lang w:val="fr-FR"/>
        </w:rPr>
        <w:t>)</w:t>
      </w:r>
      <w:r w:rsidR="00D31DBD" w:rsidRPr="007F3549">
        <w:rPr>
          <w:i/>
          <w:szCs w:val="22"/>
          <w:lang w:val="fr-FR"/>
        </w:rPr>
        <w:t>.</w:t>
      </w:r>
    </w:p>
    <w:p w:rsidR="00BF24CD" w:rsidRPr="007F3549" w:rsidRDefault="00A532E7" w:rsidP="00D31DBD">
      <w:pPr>
        <w:pStyle w:val="ONUME"/>
        <w:rPr>
          <w:i/>
          <w:szCs w:val="22"/>
          <w:lang w:val="fr-FR"/>
        </w:rPr>
      </w:pPr>
      <w:r w:rsidRPr="007F3549">
        <w:rPr>
          <w:i/>
          <w:szCs w:val="22"/>
          <w:lang w:val="fr-FR"/>
        </w:rPr>
        <w:t xml:space="preserve">Cette section doit expliquer </w:t>
      </w:r>
      <w:r w:rsidR="00E652A1" w:rsidRPr="007F3549">
        <w:rPr>
          <w:i/>
          <w:szCs w:val="22"/>
          <w:lang w:val="fr-FR"/>
        </w:rPr>
        <w:t>quelle suite sera donnée au</w:t>
      </w:r>
      <w:r w:rsidRPr="007F3549">
        <w:rPr>
          <w:i/>
          <w:szCs w:val="22"/>
          <w:lang w:val="fr-FR"/>
        </w:rPr>
        <w:t xml:space="preserve"> processus de suivi/</w:t>
      </w:r>
      <w:r w:rsidR="00E652A1" w:rsidRPr="007F3549">
        <w:rPr>
          <w:i/>
          <w:szCs w:val="22"/>
          <w:lang w:val="fr-FR"/>
        </w:rPr>
        <w:t>comment l</w:t>
      </w:r>
      <w:r w:rsidRPr="007F3549">
        <w:rPr>
          <w:i/>
          <w:szCs w:val="22"/>
          <w:lang w:val="fr-FR"/>
        </w:rPr>
        <w:t xml:space="preserve">es portefeuilles seront rééquilibrés en cas de dépassement de la limite de tolérance </w:t>
      </w:r>
      <w:r w:rsidR="00876E92" w:rsidRPr="007F3549">
        <w:rPr>
          <w:i/>
          <w:szCs w:val="22"/>
          <w:lang w:val="fr-FR"/>
        </w:rPr>
        <w:t>à l’égard</w:t>
      </w:r>
      <w:r w:rsidRPr="007F3549">
        <w:rPr>
          <w:i/>
          <w:szCs w:val="22"/>
          <w:lang w:val="fr-FR"/>
        </w:rPr>
        <w:t xml:space="preserve"> des risques</w:t>
      </w:r>
      <w:r w:rsidR="00362A51" w:rsidRPr="007F3549">
        <w:rPr>
          <w:i/>
          <w:szCs w:val="22"/>
          <w:lang w:val="fr-FR"/>
        </w:rPr>
        <w:t>.</w:t>
      </w:r>
    </w:p>
    <w:p w:rsidR="00D31DBD" w:rsidRDefault="00D31DBD" w:rsidP="00A314DC">
      <w:pPr>
        <w:pStyle w:val="ONUME"/>
        <w:spacing w:after="0"/>
        <w:rPr>
          <w:i/>
          <w:szCs w:val="22"/>
          <w:lang w:val="fr-FR"/>
        </w:rPr>
      </w:pPr>
    </w:p>
    <w:p w:rsidR="00327D18" w:rsidRPr="007F3549" w:rsidRDefault="00327D18" w:rsidP="00A314DC">
      <w:pPr>
        <w:pStyle w:val="ONUME"/>
        <w:spacing w:after="0"/>
        <w:rPr>
          <w:i/>
          <w:szCs w:val="22"/>
          <w:lang w:val="fr-FR"/>
        </w:rPr>
      </w:pPr>
    </w:p>
    <w:p w:rsidR="001358BB" w:rsidRPr="00BD351E" w:rsidRDefault="001358BB" w:rsidP="00A314DC">
      <w:pPr>
        <w:pStyle w:val="Endofdocument-Annex"/>
        <w:rPr>
          <w:lang w:val="fr-FR"/>
        </w:rPr>
      </w:pPr>
      <w:r w:rsidRPr="007F3549">
        <w:rPr>
          <w:lang w:val="fr-FR"/>
        </w:rPr>
        <w:t>[</w:t>
      </w:r>
      <w:r w:rsidR="00B91195" w:rsidRPr="007F3549">
        <w:rPr>
          <w:lang w:val="fr-FR"/>
        </w:rPr>
        <w:t>Fin de l</w:t>
      </w:r>
      <w:r w:rsidR="00876E92" w:rsidRPr="007F3549">
        <w:rPr>
          <w:lang w:val="fr-FR"/>
        </w:rPr>
        <w:t>’</w:t>
      </w:r>
      <w:r w:rsidR="00B91195" w:rsidRPr="007F3549">
        <w:rPr>
          <w:lang w:val="fr-FR"/>
        </w:rPr>
        <w:t>annexe </w:t>
      </w:r>
      <w:r w:rsidR="002D5273" w:rsidRPr="007F3549">
        <w:rPr>
          <w:lang w:val="fr-FR"/>
        </w:rPr>
        <w:t>IV</w:t>
      </w:r>
      <w:r w:rsidRPr="007F3549">
        <w:rPr>
          <w:lang w:val="fr-FR"/>
        </w:rPr>
        <w:t xml:space="preserve"> </w:t>
      </w:r>
      <w:r w:rsidR="00B91195" w:rsidRPr="007F3549">
        <w:rPr>
          <w:lang w:val="fr-FR"/>
        </w:rPr>
        <w:t>et du document</w:t>
      </w:r>
      <w:r w:rsidRPr="007F3549">
        <w:rPr>
          <w:lang w:val="fr-FR"/>
        </w:rPr>
        <w:t>]</w:t>
      </w:r>
    </w:p>
    <w:sectPr w:rsidR="001358BB" w:rsidRPr="00BD351E" w:rsidSect="00B50D94">
      <w:headerReference w:type="default" r:id="rId22"/>
      <w:headerReference w:type="first" r:id="rId23"/>
      <w:endnotePr>
        <w:numFmt w:val="decimal"/>
      </w:endnotePr>
      <w:pgSz w:w="11906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1E" w:rsidRPr="00657AE4" w:rsidRDefault="00BD351E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</w:endnote>
  <w:endnote w:type="continuationSeparator" w:id="0">
    <w:p w:rsidR="00BD351E" w:rsidRPr="00657AE4" w:rsidRDefault="00BD351E" w:rsidP="003B38C1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  <w:p w:rsidR="00BD351E" w:rsidRPr="00657AE4" w:rsidRDefault="00BD351E" w:rsidP="003B38C1">
      <w:pPr>
        <w:spacing w:after="60"/>
        <w:rPr>
          <w:sz w:val="14"/>
          <w:szCs w:val="14"/>
        </w:rPr>
      </w:pPr>
      <w:r w:rsidRPr="00657AE4">
        <w:rPr>
          <w:sz w:val="14"/>
          <w:szCs w:val="14"/>
        </w:rPr>
        <w:t>[Endnote continued from previous page]</w:t>
      </w:r>
    </w:p>
  </w:endnote>
  <w:endnote w:type="continuationNotice" w:id="1">
    <w:p w:rsidR="00BD351E" w:rsidRPr="00657AE4" w:rsidRDefault="00BD351E" w:rsidP="003B38C1">
      <w:pPr>
        <w:spacing w:before="60"/>
        <w:jc w:val="right"/>
        <w:rPr>
          <w:sz w:val="14"/>
          <w:szCs w:val="14"/>
        </w:rPr>
      </w:pPr>
      <w:r w:rsidRPr="00657AE4">
        <w:rPr>
          <w:sz w:val="14"/>
          <w:szCs w:val="14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1E" w:rsidRPr="00657AE4" w:rsidRDefault="00BD351E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</w:footnote>
  <w:footnote w:type="continuationSeparator" w:id="0">
    <w:p w:rsidR="00BD351E" w:rsidRPr="00657AE4" w:rsidRDefault="00BD351E" w:rsidP="008B60B2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  <w:p w:rsidR="00BD351E" w:rsidRPr="00657AE4" w:rsidRDefault="00BD351E" w:rsidP="008B60B2">
      <w:pPr>
        <w:spacing w:after="60"/>
        <w:rPr>
          <w:sz w:val="14"/>
          <w:szCs w:val="14"/>
        </w:rPr>
      </w:pPr>
      <w:r w:rsidRPr="00657AE4">
        <w:rPr>
          <w:sz w:val="14"/>
          <w:szCs w:val="14"/>
        </w:rPr>
        <w:t>[Footnote continued from previous page]</w:t>
      </w:r>
    </w:p>
  </w:footnote>
  <w:footnote w:type="continuationNotice" w:id="1">
    <w:p w:rsidR="00BD351E" w:rsidRPr="00657AE4" w:rsidRDefault="00BD351E" w:rsidP="008B60B2">
      <w:pPr>
        <w:spacing w:before="60"/>
        <w:jc w:val="right"/>
        <w:rPr>
          <w:sz w:val="14"/>
          <w:szCs w:val="14"/>
        </w:rPr>
      </w:pPr>
      <w:r w:rsidRPr="00657AE4">
        <w:rPr>
          <w:sz w:val="14"/>
          <w:szCs w:val="14"/>
        </w:rPr>
        <w:t>[Footnote continued on next page]</w:t>
      </w:r>
    </w:p>
  </w:footnote>
  <w:footnote w:id="2">
    <w:p w:rsidR="00BD351E" w:rsidRPr="00D949E7" w:rsidRDefault="00BD351E">
      <w:pPr>
        <w:pStyle w:val="FootnoteText"/>
        <w:rPr>
          <w:lang w:val="fr-FR"/>
        </w:rPr>
      </w:pPr>
      <w:r w:rsidRPr="00D949E7">
        <w:rPr>
          <w:rStyle w:val="FootnoteReference"/>
          <w:lang w:val="fr-FR"/>
        </w:rPr>
        <w:footnoteRef/>
      </w:r>
      <w:r w:rsidRPr="00D949E7">
        <w:rPr>
          <w:lang w:val="fr-FR"/>
        </w:rPr>
        <w:t xml:space="preserve"> </w:t>
      </w:r>
      <w:r w:rsidR="007F3549">
        <w:rPr>
          <w:lang w:val="fr-FR"/>
        </w:rPr>
        <w:tab/>
      </w:r>
      <w:r w:rsidRPr="00D949E7">
        <w:rPr>
          <w:lang w:val="fr-FR"/>
        </w:rPr>
        <w:t xml:space="preserve">Pour des </w:t>
      </w:r>
      <w:r>
        <w:rPr>
          <w:lang w:val="fr-FR"/>
        </w:rPr>
        <w:t>précisions</w:t>
      </w:r>
      <w:r w:rsidRPr="00D949E7">
        <w:rPr>
          <w:lang w:val="fr-FR"/>
        </w:rPr>
        <w:t xml:space="preserve"> sur les notations, voir l’annexe 2</w:t>
      </w:r>
    </w:p>
  </w:footnote>
  <w:footnote w:id="3">
    <w:p w:rsidR="00BD351E" w:rsidRPr="00AE16A8" w:rsidRDefault="00BD351E" w:rsidP="007F3549">
      <w:pPr>
        <w:pStyle w:val="FootnoteText"/>
        <w:keepLines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="007F3549">
        <w:tab/>
      </w:r>
      <w:r w:rsidRPr="00AE16A8">
        <w:rPr>
          <w:rStyle w:val="hps"/>
          <w:lang w:val="fr-FR"/>
        </w:rPr>
        <w:t xml:space="preserve">La </w:t>
      </w:r>
      <w:r w:rsidRPr="00347A88">
        <w:rPr>
          <w:rStyle w:val="hps"/>
          <w:lang w:val="fr-FR"/>
        </w:rPr>
        <w:t>gestion active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désigne une stratégie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de gestion de portefeuille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où le gestionnaire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fait des placements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spécifiques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dans le but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de surperformer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un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indice-repère de placements</w:t>
      </w:r>
      <w:r w:rsidRPr="00347A88">
        <w:rPr>
          <w:lang w:val="fr-FR"/>
        </w:rPr>
        <w:t xml:space="preserve">.  </w:t>
      </w:r>
      <w:r w:rsidRPr="00347A88">
        <w:rPr>
          <w:rStyle w:val="hps"/>
          <w:lang w:val="fr-FR"/>
        </w:rPr>
        <w:t>Grâce à la</w:t>
      </w:r>
      <w:r w:rsidRPr="00AE16A8">
        <w:rPr>
          <w:rStyle w:val="hps"/>
          <w:lang w:val="fr-FR"/>
        </w:rPr>
        <w:t xml:space="preserve"> gestion</w:t>
      </w:r>
      <w:r w:rsidRPr="00AE16A8">
        <w:rPr>
          <w:lang w:val="fr-FR"/>
        </w:rPr>
        <w:t xml:space="preserve"> </w:t>
      </w:r>
      <w:r w:rsidRPr="00AE16A8">
        <w:rPr>
          <w:rStyle w:val="hps"/>
          <w:lang w:val="fr-FR"/>
        </w:rPr>
        <w:t>passive</w:t>
      </w:r>
      <w:r w:rsidRPr="00AE16A8">
        <w:rPr>
          <w:lang w:val="fr-FR"/>
        </w:rPr>
        <w:t xml:space="preserve">, les </w:t>
      </w:r>
      <w:r w:rsidRPr="00347A88">
        <w:rPr>
          <w:lang w:val="fr-FR"/>
        </w:rPr>
        <w:t xml:space="preserve">investisseurs </w:t>
      </w:r>
      <w:r w:rsidRPr="00347A88">
        <w:rPr>
          <w:rStyle w:val="hps"/>
          <w:lang w:val="fr-FR"/>
        </w:rPr>
        <w:t>tablent sur un taux de rendement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qui</w:t>
      </w:r>
      <w:r w:rsidRPr="00347A88">
        <w:rPr>
          <w:lang w:val="fr-FR"/>
        </w:rPr>
        <w:t xml:space="preserve"> </w:t>
      </w:r>
      <w:r>
        <w:rPr>
          <w:rStyle w:val="hps"/>
          <w:lang w:val="fr-FR"/>
        </w:rPr>
        <w:t>reflète</w:t>
      </w:r>
      <w:r w:rsidRPr="00347A88">
        <w:rPr>
          <w:rStyle w:val="hps"/>
          <w:lang w:val="fr-FR"/>
        </w:rPr>
        <w:t xml:space="preserve"> fidèlement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la pondération</w:t>
      </w:r>
      <w:r w:rsidRPr="00347A88">
        <w:rPr>
          <w:lang w:val="fr-FR"/>
        </w:rPr>
        <w:t xml:space="preserve"> </w:t>
      </w:r>
      <w:r>
        <w:rPr>
          <w:rStyle w:val="hps"/>
          <w:lang w:val="fr-FR"/>
        </w:rPr>
        <w:t>des placements</w:t>
      </w:r>
      <w:r w:rsidRPr="00347A88">
        <w:rPr>
          <w:rStyle w:val="hps"/>
          <w:lang w:val="fr-FR"/>
        </w:rPr>
        <w:t xml:space="preserve"> et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les rendements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d’un</w:t>
      </w:r>
      <w:r w:rsidRPr="00347A88">
        <w:rPr>
          <w:lang w:val="fr-FR"/>
        </w:rPr>
        <w:t xml:space="preserve"> </w:t>
      </w:r>
      <w:r>
        <w:rPr>
          <w:rStyle w:val="hps"/>
          <w:lang w:val="fr-FR"/>
        </w:rPr>
        <w:t xml:space="preserve">indice-repère, </w:t>
      </w:r>
      <w:r w:rsidRPr="00347A88">
        <w:rPr>
          <w:rStyle w:val="hps"/>
          <w:lang w:val="fr-FR"/>
        </w:rPr>
        <w:t>et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investissent souvent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dans</w:t>
      </w:r>
      <w:r w:rsidRPr="00347A88">
        <w:rPr>
          <w:lang w:val="fr-FR"/>
        </w:rPr>
        <w:t xml:space="preserve"> </w:t>
      </w:r>
      <w:r w:rsidRPr="00347A88">
        <w:rPr>
          <w:rStyle w:val="hps"/>
          <w:lang w:val="fr-FR"/>
        </w:rPr>
        <w:t>un fonds indiciel.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Pr="00B614E1" w:rsidRDefault="00BD351E" w:rsidP="00477D6B">
    <w:pPr>
      <w:jc w:val="right"/>
      <w:rPr>
        <w:szCs w:val="22"/>
        <w:lang w:val="fr-FR"/>
      </w:rPr>
    </w:pPr>
    <w:bookmarkStart w:id="5" w:name="Code2"/>
    <w:bookmarkEnd w:id="5"/>
    <w:r w:rsidRPr="00B614E1">
      <w:rPr>
        <w:szCs w:val="22"/>
        <w:lang w:val="fr-FR"/>
      </w:rPr>
      <w:t>WO/PBC/23/7</w:t>
    </w:r>
  </w:p>
  <w:p w:rsidR="00BD351E" w:rsidRPr="00B614E1" w:rsidRDefault="00BD351E" w:rsidP="00477D6B">
    <w:pPr>
      <w:jc w:val="right"/>
      <w:rPr>
        <w:szCs w:val="22"/>
        <w:lang w:val="fr-FR"/>
      </w:rPr>
    </w:pPr>
    <w:proofErr w:type="gramStart"/>
    <w:r w:rsidRPr="00B614E1">
      <w:rPr>
        <w:szCs w:val="22"/>
        <w:lang w:val="fr-FR"/>
      </w:rPr>
      <w:t>page</w:t>
    </w:r>
    <w:proofErr w:type="gramEnd"/>
    <w:r w:rsidRPr="00B614E1">
      <w:rPr>
        <w:szCs w:val="22"/>
        <w:lang w:val="fr-FR"/>
      </w:rPr>
      <w:t xml:space="preserve"> </w:t>
    </w:r>
    <w:r w:rsidRPr="00B614E1">
      <w:rPr>
        <w:szCs w:val="22"/>
        <w:lang w:val="fr-FR"/>
      </w:rPr>
      <w:fldChar w:fldCharType="begin"/>
    </w:r>
    <w:r w:rsidRPr="00B614E1">
      <w:rPr>
        <w:szCs w:val="22"/>
        <w:lang w:val="fr-FR"/>
      </w:rPr>
      <w:instrText xml:space="preserve"> PAGE  \* MERGEFORMAT </w:instrText>
    </w:r>
    <w:r w:rsidRPr="00B614E1">
      <w:rPr>
        <w:szCs w:val="22"/>
        <w:lang w:val="fr-FR"/>
      </w:rPr>
      <w:fldChar w:fldCharType="separate"/>
    </w:r>
    <w:r w:rsidR="004D611C">
      <w:rPr>
        <w:noProof/>
        <w:szCs w:val="22"/>
        <w:lang w:val="fr-FR"/>
      </w:rPr>
      <w:t>4</w:t>
    </w:r>
    <w:r w:rsidRPr="00B614E1">
      <w:rPr>
        <w:szCs w:val="22"/>
        <w:lang w:val="fr-FR"/>
      </w:rPr>
      <w:fldChar w:fldCharType="end"/>
    </w:r>
  </w:p>
  <w:p w:rsidR="00BD351E" w:rsidRPr="00B614E1" w:rsidRDefault="00BD351E" w:rsidP="00477D6B">
    <w:pPr>
      <w:jc w:val="right"/>
      <w:rPr>
        <w:szCs w:val="22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06386088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:rsidR="00BD351E" w:rsidRPr="00AA117F" w:rsidRDefault="00BD351E">
        <w:pPr>
          <w:pStyle w:val="Header"/>
          <w:jc w:val="right"/>
          <w:rPr>
            <w:szCs w:val="22"/>
          </w:rPr>
        </w:pPr>
        <w:r w:rsidRPr="00AA117F">
          <w:rPr>
            <w:szCs w:val="22"/>
          </w:rPr>
          <w:t>WO/PBC/23/7</w:t>
        </w:r>
      </w:p>
      <w:p w:rsidR="00BD351E" w:rsidRPr="00AA117F" w:rsidRDefault="00BD351E">
        <w:pPr>
          <w:pStyle w:val="Header"/>
          <w:jc w:val="right"/>
          <w:rPr>
            <w:szCs w:val="22"/>
          </w:rPr>
        </w:pPr>
        <w:r>
          <w:rPr>
            <w:szCs w:val="22"/>
          </w:rPr>
          <w:t>ANNEX II</w:t>
        </w:r>
      </w:p>
    </w:sdtContent>
  </w:sdt>
  <w:p w:rsidR="00BD351E" w:rsidRPr="00657AE4" w:rsidRDefault="00BD351E" w:rsidP="00477D6B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Pr="00AA117F" w:rsidRDefault="00BD351E" w:rsidP="003E300A">
    <w:pPr>
      <w:pStyle w:val="Header"/>
      <w:jc w:val="right"/>
      <w:rPr>
        <w:szCs w:val="22"/>
      </w:rPr>
    </w:pPr>
    <w:r w:rsidRPr="00AA117F">
      <w:rPr>
        <w:szCs w:val="22"/>
      </w:rPr>
      <w:t>WO/PBC/23/7</w:t>
    </w:r>
  </w:p>
  <w:p w:rsidR="00BD351E" w:rsidRPr="00AA117F" w:rsidRDefault="00BD351E" w:rsidP="003E300A">
    <w:pPr>
      <w:pStyle w:val="Header"/>
      <w:jc w:val="right"/>
      <w:rPr>
        <w:szCs w:val="22"/>
      </w:rPr>
    </w:pPr>
    <w:r>
      <w:rPr>
        <w:szCs w:val="22"/>
      </w:rPr>
      <w:t>ANNEXE</w:t>
    </w:r>
    <w:r w:rsidRPr="00AA117F">
      <w:rPr>
        <w:szCs w:val="22"/>
      </w:rPr>
      <w:t xml:space="preserve"> I</w:t>
    </w:r>
  </w:p>
  <w:p w:rsidR="00BD351E" w:rsidRPr="00657AE4" w:rsidRDefault="00BD351E" w:rsidP="003E300A">
    <w:pPr>
      <w:pStyle w:val="Header"/>
      <w:jc w:val="right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lang w:val="fr-FR"/>
      </w:rPr>
      <w:id w:val="330487025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:rsidR="00BD351E" w:rsidRPr="00B614E1" w:rsidRDefault="00BD351E">
        <w:pPr>
          <w:pStyle w:val="Header"/>
          <w:jc w:val="right"/>
          <w:rPr>
            <w:szCs w:val="22"/>
            <w:lang w:val="fr-FR"/>
          </w:rPr>
        </w:pPr>
        <w:r w:rsidRPr="00B614E1">
          <w:rPr>
            <w:szCs w:val="22"/>
            <w:lang w:val="fr-FR"/>
          </w:rPr>
          <w:t>WO/PBC/23/7</w:t>
        </w:r>
      </w:p>
      <w:p w:rsidR="00BD351E" w:rsidRPr="00B614E1" w:rsidRDefault="00BD351E" w:rsidP="00DD77E0">
        <w:pPr>
          <w:pStyle w:val="Header"/>
          <w:jc w:val="right"/>
          <w:rPr>
            <w:lang w:val="fr-FR"/>
          </w:rPr>
        </w:pPr>
        <w:r w:rsidRPr="00B614E1">
          <w:rPr>
            <w:szCs w:val="22"/>
            <w:lang w:val="fr-FR"/>
          </w:rPr>
          <w:t xml:space="preserve">Annexe II, </w:t>
        </w:r>
        <w:r w:rsidRPr="00B614E1">
          <w:rPr>
            <w:lang w:val="fr-FR"/>
          </w:rPr>
          <w:t xml:space="preserve">page </w:t>
        </w:r>
        <w:r w:rsidRPr="00B614E1">
          <w:rPr>
            <w:lang w:val="fr-FR"/>
          </w:rPr>
          <w:fldChar w:fldCharType="begin"/>
        </w:r>
        <w:r w:rsidRPr="00B614E1">
          <w:rPr>
            <w:lang w:val="fr-FR"/>
          </w:rPr>
          <w:instrText>PAGE   \* MERGEFORMAT</w:instrText>
        </w:r>
        <w:r w:rsidRPr="00B614E1">
          <w:rPr>
            <w:lang w:val="fr-FR"/>
          </w:rPr>
          <w:fldChar w:fldCharType="separate"/>
        </w:r>
        <w:r>
          <w:rPr>
            <w:noProof/>
            <w:lang w:val="fr-FR"/>
          </w:rPr>
          <w:t>2</w:t>
        </w:r>
        <w:r w:rsidRPr="00B614E1">
          <w:rPr>
            <w:lang w:val="fr-FR"/>
          </w:rPr>
          <w:fldChar w:fldCharType="end"/>
        </w:r>
      </w:p>
      <w:p w:rsidR="00BD351E" w:rsidRPr="00B614E1" w:rsidRDefault="004D611C">
        <w:pPr>
          <w:pStyle w:val="Header"/>
          <w:jc w:val="right"/>
          <w:rPr>
            <w:szCs w:val="22"/>
            <w:lang w:val="fr-FR"/>
          </w:rPr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Pr="006D39CB" w:rsidRDefault="00BD351E" w:rsidP="003E300A">
    <w:pPr>
      <w:pStyle w:val="Header"/>
      <w:jc w:val="right"/>
      <w:rPr>
        <w:szCs w:val="22"/>
      </w:rPr>
    </w:pPr>
    <w:r w:rsidRPr="006D39CB">
      <w:rPr>
        <w:szCs w:val="22"/>
      </w:rPr>
      <w:t>WO/PBC/23/7</w:t>
    </w:r>
  </w:p>
  <w:p w:rsidR="00BD351E" w:rsidRPr="006D39CB" w:rsidRDefault="00BD351E" w:rsidP="003E300A">
    <w:pPr>
      <w:pStyle w:val="Header"/>
      <w:jc w:val="right"/>
      <w:rPr>
        <w:szCs w:val="22"/>
      </w:rPr>
    </w:pPr>
    <w:r w:rsidRPr="006D39CB">
      <w:rPr>
        <w:szCs w:val="22"/>
      </w:rPr>
      <w:t>ANNEXE II</w:t>
    </w:r>
  </w:p>
  <w:p w:rsidR="00BD351E" w:rsidRPr="006D39CB" w:rsidRDefault="00BD351E" w:rsidP="003E300A">
    <w:pPr>
      <w:pStyle w:val="Header"/>
      <w:jc w:val="right"/>
      <w:rPr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id w:val="-1944993190"/>
      <w:docPartObj>
        <w:docPartGallery w:val="Page Numbers (Top of Page)"/>
        <w:docPartUnique/>
      </w:docPartObj>
    </w:sdtPr>
    <w:sdtEndPr/>
    <w:sdtContent>
      <w:p w:rsidR="00BD351E" w:rsidRPr="00B614E1" w:rsidRDefault="00BD351E">
        <w:pPr>
          <w:pStyle w:val="Header"/>
          <w:jc w:val="right"/>
          <w:rPr>
            <w:lang w:val="fr-FR"/>
          </w:rPr>
        </w:pPr>
        <w:r w:rsidRPr="00B614E1">
          <w:rPr>
            <w:lang w:val="fr-FR"/>
          </w:rPr>
          <w:t>WO/PBC/23/7</w:t>
        </w:r>
      </w:p>
      <w:p w:rsidR="00BD351E" w:rsidRPr="00B614E1" w:rsidRDefault="00BD351E">
        <w:pPr>
          <w:pStyle w:val="Header"/>
          <w:jc w:val="right"/>
          <w:rPr>
            <w:lang w:val="fr-FR"/>
          </w:rPr>
        </w:pPr>
        <w:r w:rsidRPr="00B614E1">
          <w:rPr>
            <w:lang w:val="fr-FR"/>
          </w:rPr>
          <w:t>Annexe III, page 2</w:t>
        </w:r>
      </w:p>
    </w:sdtContent>
  </w:sdt>
  <w:p w:rsidR="00BD351E" w:rsidRPr="006D39CB" w:rsidRDefault="00BD351E" w:rsidP="00477D6B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Pr="006D39CB" w:rsidRDefault="00BD351E" w:rsidP="003E300A">
    <w:pPr>
      <w:pStyle w:val="Header"/>
      <w:jc w:val="right"/>
    </w:pPr>
    <w:r w:rsidRPr="006D39CB">
      <w:t>WO/PBC/23/7</w:t>
    </w:r>
  </w:p>
  <w:p w:rsidR="00BD351E" w:rsidRPr="006D39CB" w:rsidRDefault="00BD351E" w:rsidP="003E300A">
    <w:pPr>
      <w:pStyle w:val="Header"/>
      <w:jc w:val="right"/>
    </w:pPr>
    <w:r w:rsidRPr="006D39CB">
      <w:t>ANNEXE III</w:t>
    </w:r>
  </w:p>
  <w:p w:rsidR="00BD351E" w:rsidRPr="006D39CB" w:rsidRDefault="00BD351E" w:rsidP="003E300A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67264"/>
      <w:docPartObj>
        <w:docPartGallery w:val="Page Numbers (Top of Page)"/>
        <w:docPartUnique/>
      </w:docPartObj>
    </w:sdtPr>
    <w:sdtEndPr/>
    <w:sdtContent>
      <w:p w:rsidR="00BD351E" w:rsidRPr="006D39CB" w:rsidRDefault="00BD351E">
        <w:pPr>
          <w:pStyle w:val="Header"/>
          <w:jc w:val="right"/>
        </w:pPr>
        <w:r w:rsidRPr="006D39CB">
          <w:t>WO/PBC/23/7</w:t>
        </w:r>
      </w:p>
      <w:p w:rsidR="00BD351E" w:rsidRPr="006D39CB" w:rsidRDefault="00BD351E">
        <w:pPr>
          <w:pStyle w:val="Header"/>
          <w:jc w:val="right"/>
        </w:pPr>
        <w:proofErr w:type="spellStart"/>
        <w:r w:rsidRPr="006D39CB">
          <w:t>Annex</w:t>
        </w:r>
        <w:r>
          <w:t>e</w:t>
        </w:r>
        <w:proofErr w:type="spellEnd"/>
        <w:r w:rsidRPr="006D39CB">
          <w:t xml:space="preserve"> IV, page 2</w:t>
        </w:r>
      </w:p>
    </w:sdtContent>
  </w:sdt>
  <w:p w:rsidR="00BD351E" w:rsidRPr="006D39CB" w:rsidRDefault="00BD351E" w:rsidP="00477D6B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Pr="006D39CB" w:rsidRDefault="00BD351E" w:rsidP="003E300A">
    <w:pPr>
      <w:pStyle w:val="Header"/>
      <w:jc w:val="right"/>
    </w:pPr>
    <w:r w:rsidRPr="006D39CB">
      <w:t>WO/PBC/23/7</w:t>
    </w:r>
  </w:p>
  <w:p w:rsidR="00BD351E" w:rsidRPr="006D39CB" w:rsidRDefault="00BD351E" w:rsidP="003E300A">
    <w:pPr>
      <w:pStyle w:val="Header"/>
      <w:jc w:val="right"/>
    </w:pPr>
    <w:r w:rsidRPr="006D39CB">
      <w:t>ANNEXE IV</w:t>
    </w:r>
  </w:p>
  <w:p w:rsidR="00BD351E" w:rsidRPr="006D39CB" w:rsidRDefault="00BD351E" w:rsidP="003E3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142"/>
    <w:multiLevelType w:val="hybridMultilevel"/>
    <w:tmpl w:val="9B9406D6"/>
    <w:lvl w:ilvl="0" w:tplc="B07E510C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6CD29E3"/>
    <w:multiLevelType w:val="multilevel"/>
    <w:tmpl w:val="5C720F2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B46845"/>
    <w:multiLevelType w:val="hybridMultilevel"/>
    <w:tmpl w:val="F2EE3D32"/>
    <w:lvl w:ilvl="0" w:tplc="B2087C9A">
      <w:start w:val="1"/>
      <w:numFmt w:val="lowerLetter"/>
      <w:lvlText w:val="(%1)"/>
      <w:lvlJc w:val="left"/>
      <w:pPr>
        <w:ind w:left="7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3" w:hanging="360"/>
      </w:pPr>
    </w:lvl>
    <w:lvl w:ilvl="2" w:tplc="0409001B" w:tentative="1">
      <w:start w:val="1"/>
      <w:numFmt w:val="lowerRoman"/>
      <w:lvlText w:val="%3."/>
      <w:lvlJc w:val="right"/>
      <w:pPr>
        <w:ind w:left="8683" w:hanging="180"/>
      </w:pPr>
    </w:lvl>
    <w:lvl w:ilvl="3" w:tplc="0409000F" w:tentative="1">
      <w:start w:val="1"/>
      <w:numFmt w:val="decimal"/>
      <w:lvlText w:val="%4."/>
      <w:lvlJc w:val="left"/>
      <w:pPr>
        <w:ind w:left="9403" w:hanging="360"/>
      </w:pPr>
    </w:lvl>
    <w:lvl w:ilvl="4" w:tplc="04090019" w:tentative="1">
      <w:start w:val="1"/>
      <w:numFmt w:val="lowerLetter"/>
      <w:lvlText w:val="%5."/>
      <w:lvlJc w:val="left"/>
      <w:pPr>
        <w:ind w:left="10123" w:hanging="360"/>
      </w:pPr>
    </w:lvl>
    <w:lvl w:ilvl="5" w:tplc="0409001B" w:tentative="1">
      <w:start w:val="1"/>
      <w:numFmt w:val="lowerRoman"/>
      <w:lvlText w:val="%6."/>
      <w:lvlJc w:val="right"/>
      <w:pPr>
        <w:ind w:left="10843" w:hanging="180"/>
      </w:pPr>
    </w:lvl>
    <w:lvl w:ilvl="6" w:tplc="0409000F" w:tentative="1">
      <w:start w:val="1"/>
      <w:numFmt w:val="decimal"/>
      <w:lvlText w:val="%7."/>
      <w:lvlJc w:val="left"/>
      <w:pPr>
        <w:ind w:left="11563" w:hanging="360"/>
      </w:pPr>
    </w:lvl>
    <w:lvl w:ilvl="7" w:tplc="04090019" w:tentative="1">
      <w:start w:val="1"/>
      <w:numFmt w:val="lowerLetter"/>
      <w:lvlText w:val="%8."/>
      <w:lvlJc w:val="left"/>
      <w:pPr>
        <w:ind w:left="12283" w:hanging="360"/>
      </w:pPr>
    </w:lvl>
    <w:lvl w:ilvl="8" w:tplc="0409001B" w:tentative="1">
      <w:start w:val="1"/>
      <w:numFmt w:val="lowerRoman"/>
      <w:lvlText w:val="%9."/>
      <w:lvlJc w:val="right"/>
      <w:pPr>
        <w:ind w:left="13003" w:hanging="180"/>
      </w:pPr>
    </w:lvl>
  </w:abstractNum>
  <w:abstractNum w:abstractNumId="3">
    <w:nsid w:val="12D36459"/>
    <w:multiLevelType w:val="hybridMultilevel"/>
    <w:tmpl w:val="EF448362"/>
    <w:lvl w:ilvl="0" w:tplc="04090017">
      <w:start w:val="1"/>
      <w:numFmt w:val="lowerLetter"/>
      <w:lvlText w:val="%1)"/>
      <w:lvlJc w:val="left"/>
      <w:pPr>
        <w:ind w:left="7243" w:hanging="360"/>
      </w:pPr>
    </w:lvl>
    <w:lvl w:ilvl="1" w:tplc="04090019" w:tentative="1">
      <w:start w:val="1"/>
      <w:numFmt w:val="lowerLetter"/>
      <w:lvlText w:val="%2."/>
      <w:lvlJc w:val="left"/>
      <w:pPr>
        <w:ind w:left="7963" w:hanging="360"/>
      </w:pPr>
    </w:lvl>
    <w:lvl w:ilvl="2" w:tplc="0409001B" w:tentative="1">
      <w:start w:val="1"/>
      <w:numFmt w:val="lowerRoman"/>
      <w:lvlText w:val="%3."/>
      <w:lvlJc w:val="right"/>
      <w:pPr>
        <w:ind w:left="8683" w:hanging="180"/>
      </w:pPr>
    </w:lvl>
    <w:lvl w:ilvl="3" w:tplc="0409000F" w:tentative="1">
      <w:start w:val="1"/>
      <w:numFmt w:val="decimal"/>
      <w:lvlText w:val="%4."/>
      <w:lvlJc w:val="left"/>
      <w:pPr>
        <w:ind w:left="9403" w:hanging="360"/>
      </w:pPr>
    </w:lvl>
    <w:lvl w:ilvl="4" w:tplc="04090019" w:tentative="1">
      <w:start w:val="1"/>
      <w:numFmt w:val="lowerLetter"/>
      <w:lvlText w:val="%5."/>
      <w:lvlJc w:val="left"/>
      <w:pPr>
        <w:ind w:left="10123" w:hanging="360"/>
      </w:pPr>
    </w:lvl>
    <w:lvl w:ilvl="5" w:tplc="0409001B" w:tentative="1">
      <w:start w:val="1"/>
      <w:numFmt w:val="lowerRoman"/>
      <w:lvlText w:val="%6."/>
      <w:lvlJc w:val="right"/>
      <w:pPr>
        <w:ind w:left="10843" w:hanging="180"/>
      </w:pPr>
    </w:lvl>
    <w:lvl w:ilvl="6" w:tplc="0409000F" w:tentative="1">
      <w:start w:val="1"/>
      <w:numFmt w:val="decimal"/>
      <w:lvlText w:val="%7."/>
      <w:lvlJc w:val="left"/>
      <w:pPr>
        <w:ind w:left="11563" w:hanging="360"/>
      </w:pPr>
    </w:lvl>
    <w:lvl w:ilvl="7" w:tplc="04090019" w:tentative="1">
      <w:start w:val="1"/>
      <w:numFmt w:val="lowerLetter"/>
      <w:lvlText w:val="%8."/>
      <w:lvlJc w:val="left"/>
      <w:pPr>
        <w:ind w:left="12283" w:hanging="360"/>
      </w:pPr>
    </w:lvl>
    <w:lvl w:ilvl="8" w:tplc="0409001B" w:tentative="1">
      <w:start w:val="1"/>
      <w:numFmt w:val="lowerRoman"/>
      <w:lvlText w:val="%9."/>
      <w:lvlJc w:val="right"/>
      <w:pPr>
        <w:ind w:left="13003" w:hanging="180"/>
      </w:pPr>
    </w:lvl>
  </w:abstractNum>
  <w:abstractNum w:abstractNumId="4">
    <w:nsid w:val="145F3252"/>
    <w:multiLevelType w:val="hybridMultilevel"/>
    <w:tmpl w:val="6AEC7D84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635B1"/>
    <w:multiLevelType w:val="hybridMultilevel"/>
    <w:tmpl w:val="2F7E5D5C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0D3"/>
    <w:multiLevelType w:val="hybridMultilevel"/>
    <w:tmpl w:val="59C8CCA4"/>
    <w:lvl w:ilvl="0" w:tplc="13D6574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9A2"/>
    <w:multiLevelType w:val="multilevel"/>
    <w:tmpl w:val="3F90C83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7088"/>
        </w:tabs>
        <w:ind w:left="6521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23F7623"/>
    <w:multiLevelType w:val="hybridMultilevel"/>
    <w:tmpl w:val="EB40781C"/>
    <w:lvl w:ilvl="0" w:tplc="B2087C9A">
      <w:start w:val="1"/>
      <w:numFmt w:val="lowerLetter"/>
      <w:lvlText w:val="(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22E14A96"/>
    <w:multiLevelType w:val="hybridMultilevel"/>
    <w:tmpl w:val="118474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62DD9"/>
    <w:multiLevelType w:val="hybridMultilevel"/>
    <w:tmpl w:val="13AADF9E"/>
    <w:lvl w:ilvl="0" w:tplc="04090015">
      <w:start w:val="1"/>
      <w:numFmt w:val="upperLetter"/>
      <w:lvlText w:val="%1."/>
      <w:lvlJc w:val="left"/>
      <w:pPr>
        <w:ind w:left="7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3" w:hanging="360"/>
      </w:pPr>
    </w:lvl>
    <w:lvl w:ilvl="2" w:tplc="0409001B" w:tentative="1">
      <w:start w:val="1"/>
      <w:numFmt w:val="lowerRoman"/>
      <w:lvlText w:val="%3."/>
      <w:lvlJc w:val="right"/>
      <w:pPr>
        <w:ind w:left="8473" w:hanging="180"/>
      </w:pPr>
    </w:lvl>
    <w:lvl w:ilvl="3" w:tplc="0409000F" w:tentative="1">
      <w:start w:val="1"/>
      <w:numFmt w:val="decimal"/>
      <w:lvlText w:val="%4."/>
      <w:lvlJc w:val="left"/>
      <w:pPr>
        <w:ind w:left="9193" w:hanging="360"/>
      </w:pPr>
    </w:lvl>
    <w:lvl w:ilvl="4" w:tplc="04090019" w:tentative="1">
      <w:start w:val="1"/>
      <w:numFmt w:val="lowerLetter"/>
      <w:lvlText w:val="%5."/>
      <w:lvlJc w:val="left"/>
      <w:pPr>
        <w:ind w:left="9913" w:hanging="360"/>
      </w:pPr>
    </w:lvl>
    <w:lvl w:ilvl="5" w:tplc="0409001B" w:tentative="1">
      <w:start w:val="1"/>
      <w:numFmt w:val="lowerRoman"/>
      <w:lvlText w:val="%6."/>
      <w:lvlJc w:val="right"/>
      <w:pPr>
        <w:ind w:left="10633" w:hanging="180"/>
      </w:pPr>
    </w:lvl>
    <w:lvl w:ilvl="6" w:tplc="0409000F" w:tentative="1">
      <w:start w:val="1"/>
      <w:numFmt w:val="decimal"/>
      <w:lvlText w:val="%7."/>
      <w:lvlJc w:val="left"/>
      <w:pPr>
        <w:ind w:left="11353" w:hanging="360"/>
      </w:pPr>
    </w:lvl>
    <w:lvl w:ilvl="7" w:tplc="04090019" w:tentative="1">
      <w:start w:val="1"/>
      <w:numFmt w:val="lowerLetter"/>
      <w:lvlText w:val="%8."/>
      <w:lvlJc w:val="left"/>
      <w:pPr>
        <w:ind w:left="12073" w:hanging="360"/>
      </w:pPr>
    </w:lvl>
    <w:lvl w:ilvl="8" w:tplc="0409001B" w:tentative="1">
      <w:start w:val="1"/>
      <w:numFmt w:val="lowerRoman"/>
      <w:lvlText w:val="%9."/>
      <w:lvlJc w:val="right"/>
      <w:pPr>
        <w:ind w:left="12793" w:hanging="180"/>
      </w:pPr>
    </w:lvl>
  </w:abstractNum>
  <w:abstractNum w:abstractNumId="11">
    <w:nsid w:val="31106E65"/>
    <w:multiLevelType w:val="hybridMultilevel"/>
    <w:tmpl w:val="BB66B222"/>
    <w:lvl w:ilvl="0" w:tplc="62C6C150">
      <w:start w:val="1"/>
      <w:numFmt w:val="lowerRoman"/>
      <w:pStyle w:val="Style2"/>
      <w:lvlText w:val="(%1)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>
    <w:nsid w:val="3258131B"/>
    <w:multiLevelType w:val="hybridMultilevel"/>
    <w:tmpl w:val="24C60240"/>
    <w:lvl w:ilvl="0" w:tplc="BBA429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3">
      <w:start w:val="1"/>
      <w:numFmt w:val="upperRoman"/>
      <w:lvlText w:val="%7."/>
      <w:lvlJc w:val="righ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2275B"/>
    <w:multiLevelType w:val="hybridMultilevel"/>
    <w:tmpl w:val="1FA68F3E"/>
    <w:lvl w:ilvl="0" w:tplc="040C0019">
      <w:start w:val="1"/>
      <w:numFmt w:val="lowerLetter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34183E58"/>
    <w:multiLevelType w:val="hybridMultilevel"/>
    <w:tmpl w:val="B0E4B9C4"/>
    <w:lvl w:ilvl="0" w:tplc="0409000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9" w:hanging="360"/>
      </w:pPr>
      <w:rPr>
        <w:rFonts w:ascii="Wingdings" w:hAnsi="Wingdings" w:hint="default"/>
      </w:rPr>
    </w:lvl>
  </w:abstractNum>
  <w:abstractNum w:abstractNumId="15">
    <w:nsid w:val="37FF7993"/>
    <w:multiLevelType w:val="hybridMultilevel"/>
    <w:tmpl w:val="2F7E5D5C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2467E"/>
    <w:multiLevelType w:val="hybridMultilevel"/>
    <w:tmpl w:val="02EC5EB2"/>
    <w:lvl w:ilvl="0" w:tplc="2F149790">
      <w:start w:val="1"/>
      <w:numFmt w:val="lowerLetter"/>
      <w:lvlText w:val="%1)"/>
      <w:lvlJc w:val="left"/>
      <w:pPr>
        <w:ind w:left="1134" w:hanging="56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3F3635DC"/>
    <w:multiLevelType w:val="hybridMultilevel"/>
    <w:tmpl w:val="5E1E1CD0"/>
    <w:lvl w:ilvl="0" w:tplc="96F6DDBA">
      <w:start w:val="1"/>
      <w:numFmt w:val="lowerLetter"/>
      <w:lvlText w:val="(%1)"/>
      <w:lvlJc w:val="left"/>
      <w:pPr>
        <w:ind w:left="66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333" w:hanging="360"/>
      </w:pPr>
    </w:lvl>
    <w:lvl w:ilvl="2" w:tplc="0409001B" w:tentative="1">
      <w:start w:val="1"/>
      <w:numFmt w:val="lowerRoman"/>
      <w:lvlText w:val="%3."/>
      <w:lvlJc w:val="right"/>
      <w:pPr>
        <w:ind w:left="8053" w:hanging="180"/>
      </w:pPr>
    </w:lvl>
    <w:lvl w:ilvl="3" w:tplc="0409000F" w:tentative="1">
      <w:start w:val="1"/>
      <w:numFmt w:val="decimal"/>
      <w:lvlText w:val="%4."/>
      <w:lvlJc w:val="left"/>
      <w:pPr>
        <w:ind w:left="8773" w:hanging="360"/>
      </w:pPr>
    </w:lvl>
    <w:lvl w:ilvl="4" w:tplc="04090019" w:tentative="1">
      <w:start w:val="1"/>
      <w:numFmt w:val="lowerLetter"/>
      <w:lvlText w:val="%5."/>
      <w:lvlJc w:val="left"/>
      <w:pPr>
        <w:ind w:left="9493" w:hanging="360"/>
      </w:pPr>
    </w:lvl>
    <w:lvl w:ilvl="5" w:tplc="0409001B" w:tentative="1">
      <w:start w:val="1"/>
      <w:numFmt w:val="lowerRoman"/>
      <w:lvlText w:val="%6."/>
      <w:lvlJc w:val="right"/>
      <w:pPr>
        <w:ind w:left="10213" w:hanging="180"/>
      </w:pPr>
    </w:lvl>
    <w:lvl w:ilvl="6" w:tplc="0409000F" w:tentative="1">
      <w:start w:val="1"/>
      <w:numFmt w:val="decimal"/>
      <w:lvlText w:val="%7."/>
      <w:lvlJc w:val="left"/>
      <w:pPr>
        <w:ind w:left="10933" w:hanging="360"/>
      </w:pPr>
    </w:lvl>
    <w:lvl w:ilvl="7" w:tplc="04090019" w:tentative="1">
      <w:start w:val="1"/>
      <w:numFmt w:val="lowerLetter"/>
      <w:lvlText w:val="%8."/>
      <w:lvlJc w:val="left"/>
      <w:pPr>
        <w:ind w:left="11653" w:hanging="360"/>
      </w:pPr>
    </w:lvl>
    <w:lvl w:ilvl="8" w:tplc="0409001B" w:tentative="1">
      <w:start w:val="1"/>
      <w:numFmt w:val="lowerRoman"/>
      <w:lvlText w:val="%9."/>
      <w:lvlJc w:val="right"/>
      <w:pPr>
        <w:ind w:left="12373" w:hanging="180"/>
      </w:pPr>
    </w:lvl>
  </w:abstractNum>
  <w:abstractNum w:abstractNumId="18">
    <w:nsid w:val="456C0710"/>
    <w:multiLevelType w:val="hybridMultilevel"/>
    <w:tmpl w:val="D17E74F0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5C5BF3"/>
    <w:multiLevelType w:val="hybridMultilevel"/>
    <w:tmpl w:val="8A704BC8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B4525"/>
    <w:multiLevelType w:val="hybridMultilevel"/>
    <w:tmpl w:val="74F8C27C"/>
    <w:lvl w:ilvl="0" w:tplc="230CFB90">
      <w:start w:val="1"/>
      <w:numFmt w:val="lowerRoman"/>
      <w:lvlText w:val="(%1)"/>
      <w:lvlJc w:val="left"/>
      <w:pPr>
        <w:ind w:left="6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2">
    <w:nsid w:val="58324D33"/>
    <w:multiLevelType w:val="hybridMultilevel"/>
    <w:tmpl w:val="D17E74F0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57DAA"/>
    <w:multiLevelType w:val="hybridMultilevel"/>
    <w:tmpl w:val="EB40781C"/>
    <w:lvl w:ilvl="0" w:tplc="B2087C9A">
      <w:start w:val="1"/>
      <w:numFmt w:val="lowerLetter"/>
      <w:lvlText w:val="(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66D13207"/>
    <w:multiLevelType w:val="hybridMultilevel"/>
    <w:tmpl w:val="DD743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25055"/>
    <w:multiLevelType w:val="multilevel"/>
    <w:tmpl w:val="10BA24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134" w:firstLine="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6">
    <w:nsid w:val="7F303ADE"/>
    <w:multiLevelType w:val="hybridMultilevel"/>
    <w:tmpl w:val="9B9406D6"/>
    <w:lvl w:ilvl="0" w:tplc="B07E510C">
      <w:start w:val="1"/>
      <w:numFmt w:val="lowerLetter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4"/>
  </w:num>
  <w:num w:numId="5">
    <w:abstractNumId w:val="20"/>
  </w:num>
  <w:num w:numId="6">
    <w:abstractNumId w:val="2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26"/>
  </w:num>
  <w:num w:numId="11">
    <w:abstractNumId w:val="5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3"/>
  </w:num>
  <w:num w:numId="17">
    <w:abstractNumId w:val="2"/>
  </w:num>
  <w:num w:numId="18">
    <w:abstractNumId w:val="11"/>
  </w:num>
  <w:num w:numId="19">
    <w:abstractNumId w:val="17"/>
  </w:num>
  <w:num w:numId="20">
    <w:abstractNumId w:val="6"/>
  </w:num>
  <w:num w:numId="21">
    <w:abstractNumId w:val="18"/>
  </w:num>
  <w:num w:numId="22">
    <w:abstractNumId w:val="8"/>
  </w:num>
  <w:num w:numId="23">
    <w:abstractNumId w:val="23"/>
  </w:num>
  <w:num w:numId="24">
    <w:abstractNumId w:val="24"/>
  </w:num>
  <w:num w:numId="25">
    <w:abstractNumId w:val="13"/>
  </w:num>
  <w:num w:numId="26">
    <w:abstractNumId w:val="0"/>
  </w:num>
  <w:num w:numId="27">
    <w:abstractNumId w:val="16"/>
  </w:num>
  <w:num w:numId="28">
    <w:abstractNumId w:val="2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22"/>
    <w:rsid w:val="00004F41"/>
    <w:rsid w:val="00007A61"/>
    <w:rsid w:val="00014968"/>
    <w:rsid w:val="00022EBE"/>
    <w:rsid w:val="00023218"/>
    <w:rsid w:val="00030202"/>
    <w:rsid w:val="00033BE7"/>
    <w:rsid w:val="0003716F"/>
    <w:rsid w:val="00043CAA"/>
    <w:rsid w:val="00044161"/>
    <w:rsid w:val="00056083"/>
    <w:rsid w:val="00057C24"/>
    <w:rsid w:val="0006784B"/>
    <w:rsid w:val="00075432"/>
    <w:rsid w:val="00075A67"/>
    <w:rsid w:val="00076009"/>
    <w:rsid w:val="00083D5D"/>
    <w:rsid w:val="000856A8"/>
    <w:rsid w:val="00087374"/>
    <w:rsid w:val="000918E0"/>
    <w:rsid w:val="0009385B"/>
    <w:rsid w:val="00094D98"/>
    <w:rsid w:val="000968ED"/>
    <w:rsid w:val="000978CE"/>
    <w:rsid w:val="000A2992"/>
    <w:rsid w:val="000A5E2F"/>
    <w:rsid w:val="000C67B6"/>
    <w:rsid w:val="000F07E1"/>
    <w:rsid w:val="000F2D7A"/>
    <w:rsid w:val="000F3B85"/>
    <w:rsid w:val="000F5E56"/>
    <w:rsid w:val="000F753E"/>
    <w:rsid w:val="00104E5A"/>
    <w:rsid w:val="0011339C"/>
    <w:rsid w:val="001141EF"/>
    <w:rsid w:val="001150C9"/>
    <w:rsid w:val="0011638C"/>
    <w:rsid w:val="00124073"/>
    <w:rsid w:val="00127E92"/>
    <w:rsid w:val="00132BDD"/>
    <w:rsid w:val="001358BB"/>
    <w:rsid w:val="001362EE"/>
    <w:rsid w:val="0014166E"/>
    <w:rsid w:val="00144205"/>
    <w:rsid w:val="00155EE8"/>
    <w:rsid w:val="001614B4"/>
    <w:rsid w:val="00163E3E"/>
    <w:rsid w:val="0016667F"/>
    <w:rsid w:val="00170CBE"/>
    <w:rsid w:val="0017355D"/>
    <w:rsid w:val="0017607F"/>
    <w:rsid w:val="001832A6"/>
    <w:rsid w:val="00183640"/>
    <w:rsid w:val="0018569C"/>
    <w:rsid w:val="001A065E"/>
    <w:rsid w:val="001A1C1A"/>
    <w:rsid w:val="001C45C8"/>
    <w:rsid w:val="001D272B"/>
    <w:rsid w:val="001D3C2D"/>
    <w:rsid w:val="001D5A95"/>
    <w:rsid w:val="001D69D6"/>
    <w:rsid w:val="001F0D21"/>
    <w:rsid w:val="001F13FE"/>
    <w:rsid w:val="001F3B22"/>
    <w:rsid w:val="001F6705"/>
    <w:rsid w:val="00205364"/>
    <w:rsid w:val="00210B2C"/>
    <w:rsid w:val="002229FF"/>
    <w:rsid w:val="0022611D"/>
    <w:rsid w:val="002276CB"/>
    <w:rsid w:val="0023502E"/>
    <w:rsid w:val="0023695C"/>
    <w:rsid w:val="00240C8D"/>
    <w:rsid w:val="002437EF"/>
    <w:rsid w:val="00244178"/>
    <w:rsid w:val="00244C36"/>
    <w:rsid w:val="002465F0"/>
    <w:rsid w:val="00250820"/>
    <w:rsid w:val="0025354E"/>
    <w:rsid w:val="00253A97"/>
    <w:rsid w:val="0025429D"/>
    <w:rsid w:val="002634C4"/>
    <w:rsid w:val="00265172"/>
    <w:rsid w:val="00266D91"/>
    <w:rsid w:val="00277C94"/>
    <w:rsid w:val="00285750"/>
    <w:rsid w:val="00292375"/>
    <w:rsid w:val="002928D3"/>
    <w:rsid w:val="002A056B"/>
    <w:rsid w:val="002A0CC0"/>
    <w:rsid w:val="002A68D7"/>
    <w:rsid w:val="002C02EA"/>
    <w:rsid w:val="002D5273"/>
    <w:rsid w:val="002D5BA1"/>
    <w:rsid w:val="002E737E"/>
    <w:rsid w:val="002F1FE6"/>
    <w:rsid w:val="002F4E68"/>
    <w:rsid w:val="002F7FC0"/>
    <w:rsid w:val="003057AD"/>
    <w:rsid w:val="00306CF6"/>
    <w:rsid w:val="00307FF0"/>
    <w:rsid w:val="00311172"/>
    <w:rsid w:val="0031126F"/>
    <w:rsid w:val="00312356"/>
    <w:rsid w:val="00312D8A"/>
    <w:rsid w:val="00312F7F"/>
    <w:rsid w:val="00316B9B"/>
    <w:rsid w:val="00326029"/>
    <w:rsid w:val="00327D18"/>
    <w:rsid w:val="00343634"/>
    <w:rsid w:val="00347A88"/>
    <w:rsid w:val="00351C0A"/>
    <w:rsid w:val="0035607C"/>
    <w:rsid w:val="00361450"/>
    <w:rsid w:val="00361BA8"/>
    <w:rsid w:val="00362A51"/>
    <w:rsid w:val="003673CF"/>
    <w:rsid w:val="003804B3"/>
    <w:rsid w:val="003805B9"/>
    <w:rsid w:val="003845C1"/>
    <w:rsid w:val="003901B2"/>
    <w:rsid w:val="00397D6E"/>
    <w:rsid w:val="003A1779"/>
    <w:rsid w:val="003A25A3"/>
    <w:rsid w:val="003A5055"/>
    <w:rsid w:val="003A552F"/>
    <w:rsid w:val="003A6F89"/>
    <w:rsid w:val="003B38C1"/>
    <w:rsid w:val="003B3FB5"/>
    <w:rsid w:val="003B5CCF"/>
    <w:rsid w:val="003C2A12"/>
    <w:rsid w:val="003C7605"/>
    <w:rsid w:val="003D27AD"/>
    <w:rsid w:val="003D4A8F"/>
    <w:rsid w:val="003E300A"/>
    <w:rsid w:val="003F715C"/>
    <w:rsid w:val="00400C2B"/>
    <w:rsid w:val="0040107A"/>
    <w:rsid w:val="00401266"/>
    <w:rsid w:val="00403532"/>
    <w:rsid w:val="00405F2A"/>
    <w:rsid w:val="004060D7"/>
    <w:rsid w:val="00407887"/>
    <w:rsid w:val="004239D1"/>
    <w:rsid w:val="00423E3E"/>
    <w:rsid w:val="00427AF4"/>
    <w:rsid w:val="00430625"/>
    <w:rsid w:val="004465F3"/>
    <w:rsid w:val="00446799"/>
    <w:rsid w:val="00447CC0"/>
    <w:rsid w:val="00452A17"/>
    <w:rsid w:val="004647DA"/>
    <w:rsid w:val="00466ABA"/>
    <w:rsid w:val="00471563"/>
    <w:rsid w:val="00471B80"/>
    <w:rsid w:val="00474062"/>
    <w:rsid w:val="00476D2E"/>
    <w:rsid w:val="00477D6B"/>
    <w:rsid w:val="00477DC9"/>
    <w:rsid w:val="004856AB"/>
    <w:rsid w:val="00491705"/>
    <w:rsid w:val="00495801"/>
    <w:rsid w:val="004A02E2"/>
    <w:rsid w:val="004B00BF"/>
    <w:rsid w:val="004B5BEC"/>
    <w:rsid w:val="004B6BDF"/>
    <w:rsid w:val="004B798F"/>
    <w:rsid w:val="004C13C2"/>
    <w:rsid w:val="004C7385"/>
    <w:rsid w:val="004D16F9"/>
    <w:rsid w:val="004D611C"/>
    <w:rsid w:val="004E5FC5"/>
    <w:rsid w:val="004F618C"/>
    <w:rsid w:val="005019FF"/>
    <w:rsid w:val="00502381"/>
    <w:rsid w:val="005025F5"/>
    <w:rsid w:val="00504F51"/>
    <w:rsid w:val="00520150"/>
    <w:rsid w:val="00521827"/>
    <w:rsid w:val="00525B3A"/>
    <w:rsid w:val="00526131"/>
    <w:rsid w:val="0053053B"/>
    <w:rsid w:val="0053057A"/>
    <w:rsid w:val="005328D8"/>
    <w:rsid w:val="005346B5"/>
    <w:rsid w:val="00550931"/>
    <w:rsid w:val="005538EC"/>
    <w:rsid w:val="005570A1"/>
    <w:rsid w:val="00560A29"/>
    <w:rsid w:val="00561A0B"/>
    <w:rsid w:val="005820A6"/>
    <w:rsid w:val="00584493"/>
    <w:rsid w:val="0059310A"/>
    <w:rsid w:val="0059677B"/>
    <w:rsid w:val="00596824"/>
    <w:rsid w:val="005A016B"/>
    <w:rsid w:val="005B2E76"/>
    <w:rsid w:val="005B7C8F"/>
    <w:rsid w:val="005C2EB8"/>
    <w:rsid w:val="005C6649"/>
    <w:rsid w:val="005D2A72"/>
    <w:rsid w:val="005D383C"/>
    <w:rsid w:val="005D6332"/>
    <w:rsid w:val="005F1AC2"/>
    <w:rsid w:val="005F2D4B"/>
    <w:rsid w:val="005F5775"/>
    <w:rsid w:val="006031C1"/>
    <w:rsid w:val="00605827"/>
    <w:rsid w:val="00617726"/>
    <w:rsid w:val="00623648"/>
    <w:rsid w:val="00630AA1"/>
    <w:rsid w:val="00646050"/>
    <w:rsid w:val="00657A95"/>
    <w:rsid w:val="00657AE4"/>
    <w:rsid w:val="006702EE"/>
    <w:rsid w:val="006713CA"/>
    <w:rsid w:val="006726B7"/>
    <w:rsid w:val="00676C5C"/>
    <w:rsid w:val="00677206"/>
    <w:rsid w:val="00687422"/>
    <w:rsid w:val="00690580"/>
    <w:rsid w:val="00693EBB"/>
    <w:rsid w:val="006960CC"/>
    <w:rsid w:val="006961AE"/>
    <w:rsid w:val="00696CC4"/>
    <w:rsid w:val="006A1D35"/>
    <w:rsid w:val="006A4E51"/>
    <w:rsid w:val="006B07BD"/>
    <w:rsid w:val="006B1AC0"/>
    <w:rsid w:val="006B3E26"/>
    <w:rsid w:val="006B7FB8"/>
    <w:rsid w:val="006C12DC"/>
    <w:rsid w:val="006C700C"/>
    <w:rsid w:val="006D39CB"/>
    <w:rsid w:val="006E6005"/>
    <w:rsid w:val="006E77DB"/>
    <w:rsid w:val="006F054D"/>
    <w:rsid w:val="006F631C"/>
    <w:rsid w:val="00702487"/>
    <w:rsid w:val="007108B8"/>
    <w:rsid w:val="00710C6C"/>
    <w:rsid w:val="0072102A"/>
    <w:rsid w:val="00740ECD"/>
    <w:rsid w:val="007439B0"/>
    <w:rsid w:val="00755C90"/>
    <w:rsid w:val="0075765A"/>
    <w:rsid w:val="007619D8"/>
    <w:rsid w:val="007707A6"/>
    <w:rsid w:val="00772BEF"/>
    <w:rsid w:val="00783835"/>
    <w:rsid w:val="007848E2"/>
    <w:rsid w:val="00785AF4"/>
    <w:rsid w:val="00786274"/>
    <w:rsid w:val="007A7CA1"/>
    <w:rsid w:val="007B1551"/>
    <w:rsid w:val="007B20FC"/>
    <w:rsid w:val="007B4255"/>
    <w:rsid w:val="007B73E2"/>
    <w:rsid w:val="007C3BBE"/>
    <w:rsid w:val="007C5F21"/>
    <w:rsid w:val="007C733A"/>
    <w:rsid w:val="007D0D8A"/>
    <w:rsid w:val="007D1613"/>
    <w:rsid w:val="007D6C4F"/>
    <w:rsid w:val="007D7ACA"/>
    <w:rsid w:val="007E1A1F"/>
    <w:rsid w:val="007F2EAE"/>
    <w:rsid w:val="007F349E"/>
    <w:rsid w:val="007F3549"/>
    <w:rsid w:val="007F6BC4"/>
    <w:rsid w:val="0080596A"/>
    <w:rsid w:val="00805DB5"/>
    <w:rsid w:val="00806CCC"/>
    <w:rsid w:val="00807C43"/>
    <w:rsid w:val="008145E1"/>
    <w:rsid w:val="008157F8"/>
    <w:rsid w:val="00823391"/>
    <w:rsid w:val="00831BAC"/>
    <w:rsid w:val="00831DC4"/>
    <w:rsid w:val="00833DAA"/>
    <w:rsid w:val="00842A4F"/>
    <w:rsid w:val="00847040"/>
    <w:rsid w:val="008506E8"/>
    <w:rsid w:val="008609A1"/>
    <w:rsid w:val="008626F9"/>
    <w:rsid w:val="00862D0A"/>
    <w:rsid w:val="00865FDE"/>
    <w:rsid w:val="008702B7"/>
    <w:rsid w:val="00871970"/>
    <w:rsid w:val="00876E92"/>
    <w:rsid w:val="00882483"/>
    <w:rsid w:val="00882AEF"/>
    <w:rsid w:val="00882F77"/>
    <w:rsid w:val="00895F28"/>
    <w:rsid w:val="008979F7"/>
    <w:rsid w:val="008B2CC1"/>
    <w:rsid w:val="008B60B2"/>
    <w:rsid w:val="008C201A"/>
    <w:rsid w:val="008D2E57"/>
    <w:rsid w:val="008E4BFE"/>
    <w:rsid w:val="008E6EA4"/>
    <w:rsid w:val="0090648B"/>
    <w:rsid w:val="0090731E"/>
    <w:rsid w:val="00912F9F"/>
    <w:rsid w:val="00916EE2"/>
    <w:rsid w:val="00917771"/>
    <w:rsid w:val="0092251C"/>
    <w:rsid w:val="009228F3"/>
    <w:rsid w:val="00931EE8"/>
    <w:rsid w:val="00933B4D"/>
    <w:rsid w:val="00933F0A"/>
    <w:rsid w:val="00947634"/>
    <w:rsid w:val="009479A1"/>
    <w:rsid w:val="009520D0"/>
    <w:rsid w:val="0095342B"/>
    <w:rsid w:val="00956948"/>
    <w:rsid w:val="00956974"/>
    <w:rsid w:val="00961C18"/>
    <w:rsid w:val="00966A22"/>
    <w:rsid w:val="0096722F"/>
    <w:rsid w:val="00973002"/>
    <w:rsid w:val="00980843"/>
    <w:rsid w:val="009831BC"/>
    <w:rsid w:val="009B27D2"/>
    <w:rsid w:val="009B772C"/>
    <w:rsid w:val="009B7E89"/>
    <w:rsid w:val="009C4F53"/>
    <w:rsid w:val="009C689F"/>
    <w:rsid w:val="009C6A12"/>
    <w:rsid w:val="009C72A4"/>
    <w:rsid w:val="009C7AD8"/>
    <w:rsid w:val="009D4A89"/>
    <w:rsid w:val="009E102B"/>
    <w:rsid w:val="009E2791"/>
    <w:rsid w:val="009E2964"/>
    <w:rsid w:val="009E3F6F"/>
    <w:rsid w:val="009E4013"/>
    <w:rsid w:val="009E6E80"/>
    <w:rsid w:val="009F3748"/>
    <w:rsid w:val="009F499F"/>
    <w:rsid w:val="009F73AB"/>
    <w:rsid w:val="009F747C"/>
    <w:rsid w:val="00A02E74"/>
    <w:rsid w:val="00A0425F"/>
    <w:rsid w:val="00A1045A"/>
    <w:rsid w:val="00A12BE5"/>
    <w:rsid w:val="00A22A97"/>
    <w:rsid w:val="00A30A30"/>
    <w:rsid w:val="00A30F86"/>
    <w:rsid w:val="00A314DC"/>
    <w:rsid w:val="00A323B1"/>
    <w:rsid w:val="00A42DAF"/>
    <w:rsid w:val="00A45BD8"/>
    <w:rsid w:val="00A46899"/>
    <w:rsid w:val="00A51019"/>
    <w:rsid w:val="00A532E7"/>
    <w:rsid w:val="00A5747A"/>
    <w:rsid w:val="00A62776"/>
    <w:rsid w:val="00A71265"/>
    <w:rsid w:val="00A822E9"/>
    <w:rsid w:val="00A843D4"/>
    <w:rsid w:val="00A869B7"/>
    <w:rsid w:val="00A87990"/>
    <w:rsid w:val="00A936DA"/>
    <w:rsid w:val="00A979D8"/>
    <w:rsid w:val="00AA117F"/>
    <w:rsid w:val="00AB0A11"/>
    <w:rsid w:val="00AC205C"/>
    <w:rsid w:val="00AE16A8"/>
    <w:rsid w:val="00AF0A6B"/>
    <w:rsid w:val="00AF3957"/>
    <w:rsid w:val="00AF3A8B"/>
    <w:rsid w:val="00B03A3D"/>
    <w:rsid w:val="00B0550B"/>
    <w:rsid w:val="00B05A69"/>
    <w:rsid w:val="00B15E23"/>
    <w:rsid w:val="00B22D9B"/>
    <w:rsid w:val="00B234AF"/>
    <w:rsid w:val="00B27FC1"/>
    <w:rsid w:val="00B312A9"/>
    <w:rsid w:val="00B325F7"/>
    <w:rsid w:val="00B422F8"/>
    <w:rsid w:val="00B47004"/>
    <w:rsid w:val="00B50D94"/>
    <w:rsid w:val="00B61084"/>
    <w:rsid w:val="00B614E1"/>
    <w:rsid w:val="00B66C0B"/>
    <w:rsid w:val="00B84421"/>
    <w:rsid w:val="00B87E36"/>
    <w:rsid w:val="00B91195"/>
    <w:rsid w:val="00B9734B"/>
    <w:rsid w:val="00BA0734"/>
    <w:rsid w:val="00BA7CFD"/>
    <w:rsid w:val="00BC3598"/>
    <w:rsid w:val="00BC77E3"/>
    <w:rsid w:val="00BD19F1"/>
    <w:rsid w:val="00BD351E"/>
    <w:rsid w:val="00BD3B77"/>
    <w:rsid w:val="00BD45DB"/>
    <w:rsid w:val="00BD4688"/>
    <w:rsid w:val="00BF0582"/>
    <w:rsid w:val="00BF24CD"/>
    <w:rsid w:val="00BF7567"/>
    <w:rsid w:val="00C051FA"/>
    <w:rsid w:val="00C0585C"/>
    <w:rsid w:val="00C05D96"/>
    <w:rsid w:val="00C06AB5"/>
    <w:rsid w:val="00C11BFE"/>
    <w:rsid w:val="00C16463"/>
    <w:rsid w:val="00C1750D"/>
    <w:rsid w:val="00C3412A"/>
    <w:rsid w:val="00C43976"/>
    <w:rsid w:val="00C44C1C"/>
    <w:rsid w:val="00C5002B"/>
    <w:rsid w:val="00C60436"/>
    <w:rsid w:val="00C634C8"/>
    <w:rsid w:val="00C753F5"/>
    <w:rsid w:val="00C80291"/>
    <w:rsid w:val="00C817AA"/>
    <w:rsid w:val="00C85D7D"/>
    <w:rsid w:val="00C9444B"/>
    <w:rsid w:val="00C94673"/>
    <w:rsid w:val="00C9557F"/>
    <w:rsid w:val="00C96F2E"/>
    <w:rsid w:val="00CA0A10"/>
    <w:rsid w:val="00CA2FC3"/>
    <w:rsid w:val="00CA3209"/>
    <w:rsid w:val="00CB04E1"/>
    <w:rsid w:val="00CB4989"/>
    <w:rsid w:val="00CB67E8"/>
    <w:rsid w:val="00CB7A9A"/>
    <w:rsid w:val="00CC30FA"/>
    <w:rsid w:val="00CD0DD1"/>
    <w:rsid w:val="00CD1490"/>
    <w:rsid w:val="00CD675C"/>
    <w:rsid w:val="00CD6ED6"/>
    <w:rsid w:val="00CE2466"/>
    <w:rsid w:val="00CE70AE"/>
    <w:rsid w:val="00CE73A1"/>
    <w:rsid w:val="00CF4CE1"/>
    <w:rsid w:val="00CF64D4"/>
    <w:rsid w:val="00D02B32"/>
    <w:rsid w:val="00D032D2"/>
    <w:rsid w:val="00D06370"/>
    <w:rsid w:val="00D156CF"/>
    <w:rsid w:val="00D22C61"/>
    <w:rsid w:val="00D256FF"/>
    <w:rsid w:val="00D30FA4"/>
    <w:rsid w:val="00D31DBD"/>
    <w:rsid w:val="00D321FB"/>
    <w:rsid w:val="00D32BE5"/>
    <w:rsid w:val="00D341F0"/>
    <w:rsid w:val="00D3548C"/>
    <w:rsid w:val="00D45252"/>
    <w:rsid w:val="00D633C0"/>
    <w:rsid w:val="00D71B4D"/>
    <w:rsid w:val="00D71C32"/>
    <w:rsid w:val="00D71CD9"/>
    <w:rsid w:val="00D9263E"/>
    <w:rsid w:val="00D936CA"/>
    <w:rsid w:val="00D93D55"/>
    <w:rsid w:val="00D949E7"/>
    <w:rsid w:val="00D956E9"/>
    <w:rsid w:val="00D9575E"/>
    <w:rsid w:val="00DA3947"/>
    <w:rsid w:val="00DB0E05"/>
    <w:rsid w:val="00DB49BF"/>
    <w:rsid w:val="00DB74EE"/>
    <w:rsid w:val="00DC4916"/>
    <w:rsid w:val="00DD07D9"/>
    <w:rsid w:val="00DD77E0"/>
    <w:rsid w:val="00DF17B2"/>
    <w:rsid w:val="00E05C3E"/>
    <w:rsid w:val="00E11E68"/>
    <w:rsid w:val="00E24FE5"/>
    <w:rsid w:val="00E328CE"/>
    <w:rsid w:val="00E335FE"/>
    <w:rsid w:val="00E33C24"/>
    <w:rsid w:val="00E5067F"/>
    <w:rsid w:val="00E52461"/>
    <w:rsid w:val="00E652A1"/>
    <w:rsid w:val="00E65C60"/>
    <w:rsid w:val="00E6791B"/>
    <w:rsid w:val="00E82939"/>
    <w:rsid w:val="00E9276B"/>
    <w:rsid w:val="00E93EDE"/>
    <w:rsid w:val="00EA3CE5"/>
    <w:rsid w:val="00EB0008"/>
    <w:rsid w:val="00EB01C9"/>
    <w:rsid w:val="00EB24BD"/>
    <w:rsid w:val="00EB44EE"/>
    <w:rsid w:val="00EB4586"/>
    <w:rsid w:val="00EC4E49"/>
    <w:rsid w:val="00EC5205"/>
    <w:rsid w:val="00ED2034"/>
    <w:rsid w:val="00ED5296"/>
    <w:rsid w:val="00ED77FB"/>
    <w:rsid w:val="00EE0786"/>
    <w:rsid w:val="00EE2B92"/>
    <w:rsid w:val="00EE45FA"/>
    <w:rsid w:val="00EF7808"/>
    <w:rsid w:val="00F00B61"/>
    <w:rsid w:val="00F072F2"/>
    <w:rsid w:val="00F10304"/>
    <w:rsid w:val="00F13F38"/>
    <w:rsid w:val="00F16770"/>
    <w:rsid w:val="00F647B1"/>
    <w:rsid w:val="00F66152"/>
    <w:rsid w:val="00F67053"/>
    <w:rsid w:val="00F70A16"/>
    <w:rsid w:val="00F7198D"/>
    <w:rsid w:val="00F76A29"/>
    <w:rsid w:val="00F8608F"/>
    <w:rsid w:val="00F86243"/>
    <w:rsid w:val="00F912B7"/>
    <w:rsid w:val="00F923D5"/>
    <w:rsid w:val="00F940F8"/>
    <w:rsid w:val="00FB1D7D"/>
    <w:rsid w:val="00FB3F67"/>
    <w:rsid w:val="00FB5385"/>
    <w:rsid w:val="00FB64CA"/>
    <w:rsid w:val="00FC2018"/>
    <w:rsid w:val="00FC3A44"/>
    <w:rsid w:val="00FD53D5"/>
    <w:rsid w:val="00FE05C6"/>
    <w:rsid w:val="00FE740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  <w:tabs>
        <w:tab w:val="clear" w:pos="7088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71CD9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4060D7"/>
    <w:rPr>
      <w:vertAlign w:val="superscript"/>
    </w:rPr>
  </w:style>
  <w:style w:type="table" w:styleId="TableGrid">
    <w:name w:val="Table Grid"/>
    <w:basedOn w:val="TableNormal"/>
    <w:rsid w:val="0013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C0A"/>
    <w:pPr>
      <w:ind w:left="720"/>
      <w:contextualSpacing/>
    </w:pPr>
  </w:style>
  <w:style w:type="character" w:customStyle="1" w:styleId="ONUMEChar">
    <w:name w:val="ONUM E Char"/>
    <w:link w:val="ONUME"/>
    <w:rsid w:val="007439B0"/>
    <w:rPr>
      <w:rFonts w:ascii="Arial" w:eastAsia="SimSun" w:hAnsi="Arial" w:cs="Arial"/>
      <w:sz w:val="22"/>
      <w:lang w:eastAsia="zh-CN"/>
    </w:rPr>
  </w:style>
  <w:style w:type="character" w:styleId="EndnoteReference">
    <w:name w:val="endnote reference"/>
    <w:basedOn w:val="DefaultParagraphFont"/>
    <w:rsid w:val="007C733A"/>
    <w:rPr>
      <w:vertAlign w:val="superscript"/>
    </w:rPr>
  </w:style>
  <w:style w:type="character" w:styleId="CommentReference">
    <w:name w:val="annotation reference"/>
    <w:basedOn w:val="DefaultParagraphFont"/>
    <w:rsid w:val="00B422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422F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2F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422F8"/>
    <w:rPr>
      <w:rFonts w:ascii="Arial" w:eastAsia="SimSun" w:hAnsi="Arial" w:cs="Arial"/>
      <w:b/>
      <w:bCs/>
      <w:sz w:val="18"/>
      <w:lang w:eastAsia="zh-CN"/>
    </w:rPr>
  </w:style>
  <w:style w:type="paragraph" w:customStyle="1" w:styleId="Style2">
    <w:name w:val="Style2"/>
    <w:basedOn w:val="Normal"/>
    <w:rsid w:val="00AF3A8B"/>
    <w:pPr>
      <w:numPr>
        <w:numId w:val="18"/>
      </w:numPr>
    </w:pPr>
  </w:style>
  <w:style w:type="paragraph" w:styleId="Revision">
    <w:name w:val="Revision"/>
    <w:hidden/>
    <w:uiPriority w:val="99"/>
    <w:semiHidden/>
    <w:rsid w:val="00292375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basedOn w:val="DefaultParagraphFont"/>
    <w:rsid w:val="00FF43AD"/>
  </w:style>
  <w:style w:type="character" w:customStyle="1" w:styleId="atn">
    <w:name w:val="atn"/>
    <w:basedOn w:val="DefaultParagraphFont"/>
    <w:rsid w:val="001D69D6"/>
  </w:style>
  <w:style w:type="character" w:customStyle="1" w:styleId="shorttext">
    <w:name w:val="short_text"/>
    <w:basedOn w:val="DefaultParagraphFont"/>
    <w:rsid w:val="005F1AC2"/>
  </w:style>
  <w:style w:type="paragraph" w:customStyle="1" w:styleId="Default">
    <w:name w:val="Default"/>
    <w:rsid w:val="00DD7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rsid w:val="00BD3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  <w:tabs>
        <w:tab w:val="clear" w:pos="7088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71CD9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4060D7"/>
    <w:rPr>
      <w:vertAlign w:val="superscript"/>
    </w:rPr>
  </w:style>
  <w:style w:type="table" w:styleId="TableGrid">
    <w:name w:val="Table Grid"/>
    <w:basedOn w:val="TableNormal"/>
    <w:rsid w:val="0013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C0A"/>
    <w:pPr>
      <w:ind w:left="720"/>
      <w:contextualSpacing/>
    </w:pPr>
  </w:style>
  <w:style w:type="character" w:customStyle="1" w:styleId="ONUMEChar">
    <w:name w:val="ONUM E Char"/>
    <w:link w:val="ONUME"/>
    <w:rsid w:val="007439B0"/>
    <w:rPr>
      <w:rFonts w:ascii="Arial" w:eastAsia="SimSun" w:hAnsi="Arial" w:cs="Arial"/>
      <w:sz w:val="22"/>
      <w:lang w:eastAsia="zh-CN"/>
    </w:rPr>
  </w:style>
  <w:style w:type="character" w:styleId="EndnoteReference">
    <w:name w:val="endnote reference"/>
    <w:basedOn w:val="DefaultParagraphFont"/>
    <w:rsid w:val="007C733A"/>
    <w:rPr>
      <w:vertAlign w:val="superscript"/>
    </w:rPr>
  </w:style>
  <w:style w:type="character" w:styleId="CommentReference">
    <w:name w:val="annotation reference"/>
    <w:basedOn w:val="DefaultParagraphFont"/>
    <w:rsid w:val="00B422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422F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2F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422F8"/>
    <w:rPr>
      <w:rFonts w:ascii="Arial" w:eastAsia="SimSun" w:hAnsi="Arial" w:cs="Arial"/>
      <w:b/>
      <w:bCs/>
      <w:sz w:val="18"/>
      <w:lang w:eastAsia="zh-CN"/>
    </w:rPr>
  </w:style>
  <w:style w:type="paragraph" w:customStyle="1" w:styleId="Style2">
    <w:name w:val="Style2"/>
    <w:basedOn w:val="Normal"/>
    <w:rsid w:val="00AF3A8B"/>
    <w:pPr>
      <w:numPr>
        <w:numId w:val="18"/>
      </w:numPr>
    </w:pPr>
  </w:style>
  <w:style w:type="paragraph" w:styleId="Revision">
    <w:name w:val="Revision"/>
    <w:hidden/>
    <w:uiPriority w:val="99"/>
    <w:semiHidden/>
    <w:rsid w:val="00292375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basedOn w:val="DefaultParagraphFont"/>
    <w:rsid w:val="00FF43AD"/>
  </w:style>
  <w:style w:type="character" w:customStyle="1" w:styleId="atn">
    <w:name w:val="atn"/>
    <w:basedOn w:val="DefaultParagraphFont"/>
    <w:rsid w:val="001D69D6"/>
  </w:style>
  <w:style w:type="character" w:customStyle="1" w:styleId="shorttext">
    <w:name w:val="short_text"/>
    <w:basedOn w:val="DefaultParagraphFont"/>
    <w:rsid w:val="005F1AC2"/>
  </w:style>
  <w:style w:type="paragraph" w:customStyle="1" w:styleId="Default">
    <w:name w:val="Default"/>
    <w:rsid w:val="00DD7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rsid w:val="00BD3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82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647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37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14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3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2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8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0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71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6143-87C9-4505-887C-F6819851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5532</Words>
  <Characters>30642</Characters>
  <Application>Microsoft Office Word</Application>
  <DocSecurity>4</DocSecurity>
  <Lines>255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WO/PBC/23/</vt:lpstr>
      <vt:lpstr>WO/PBC/23/</vt:lpstr>
    </vt:vector>
  </TitlesOfParts>
  <Company>WIPO</Company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MITON GENOUD Anne</dc:creator>
  <cp:lastModifiedBy>DOYON Geneviève</cp:lastModifiedBy>
  <cp:revision>2</cp:revision>
  <cp:lastPrinted>2015-06-04T10:27:00Z</cp:lastPrinted>
  <dcterms:created xsi:type="dcterms:W3CDTF">2015-06-23T07:26:00Z</dcterms:created>
  <dcterms:modified xsi:type="dcterms:W3CDTF">2015-06-23T07:26:00Z</dcterms:modified>
</cp:coreProperties>
</file>