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3" w:type="dxa"/>
        <w:tblInd w:w="108" w:type="dxa"/>
        <w:tblLayout w:type="fixed"/>
        <w:tblLook w:val="01E0" w:firstRow="1" w:lastRow="1" w:firstColumn="1" w:lastColumn="1" w:noHBand="0" w:noVBand="0"/>
      </w:tblPr>
      <w:tblGrid>
        <w:gridCol w:w="4513"/>
        <w:gridCol w:w="4337"/>
        <w:gridCol w:w="583"/>
      </w:tblGrid>
      <w:tr w:rsidR="00C542D1" w:rsidRPr="00C542D1" w:rsidTr="00E4379C">
        <w:tc>
          <w:tcPr>
            <w:tcW w:w="4513" w:type="dxa"/>
            <w:tcBorders>
              <w:bottom w:val="single" w:sz="4" w:space="0" w:color="auto"/>
            </w:tcBorders>
            <w:tcMar>
              <w:bottom w:w="170" w:type="dxa"/>
            </w:tcMar>
          </w:tcPr>
          <w:p w:rsidR="0036170C" w:rsidRPr="00C542D1" w:rsidRDefault="0036170C" w:rsidP="00C542D1">
            <w:pPr>
              <w:rPr>
                <w:lang w:val="fr-FR"/>
              </w:rPr>
            </w:pPr>
          </w:p>
        </w:tc>
        <w:tc>
          <w:tcPr>
            <w:tcW w:w="4337" w:type="dxa"/>
            <w:tcBorders>
              <w:bottom w:val="single" w:sz="4" w:space="0" w:color="auto"/>
            </w:tcBorders>
            <w:tcMar>
              <w:left w:w="0" w:type="dxa"/>
              <w:right w:w="0" w:type="dxa"/>
            </w:tcMar>
          </w:tcPr>
          <w:p w:rsidR="0036170C" w:rsidRPr="00C542D1" w:rsidRDefault="0036170C" w:rsidP="00C542D1">
            <w:pPr>
              <w:rPr>
                <w:lang w:val="fr-FR"/>
              </w:rPr>
            </w:pPr>
            <w:r w:rsidRPr="00C542D1">
              <w:rPr>
                <w:noProof/>
                <w:lang w:eastAsia="en-US"/>
              </w:rPr>
              <w:drawing>
                <wp:inline distT="0" distB="0" distL="0" distR="0" wp14:anchorId="78A21BF4" wp14:editId="7E174850">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36170C" w:rsidRPr="00C542D1" w:rsidRDefault="0036170C" w:rsidP="00C542D1">
            <w:pPr>
              <w:jc w:val="right"/>
              <w:rPr>
                <w:lang w:val="fr-FR"/>
              </w:rPr>
            </w:pPr>
            <w:r w:rsidRPr="00C542D1">
              <w:rPr>
                <w:b/>
                <w:sz w:val="40"/>
                <w:szCs w:val="40"/>
                <w:lang w:val="fr-FR"/>
              </w:rPr>
              <w:t>F</w:t>
            </w:r>
          </w:p>
        </w:tc>
      </w:tr>
      <w:tr w:rsidR="00C542D1" w:rsidRPr="00C542D1" w:rsidTr="00E4379C">
        <w:trPr>
          <w:trHeight w:hRule="exact" w:val="340"/>
        </w:trPr>
        <w:tc>
          <w:tcPr>
            <w:tcW w:w="9433" w:type="dxa"/>
            <w:gridSpan w:val="3"/>
            <w:tcBorders>
              <w:top w:val="single" w:sz="4" w:space="0" w:color="auto"/>
            </w:tcBorders>
            <w:tcMar>
              <w:top w:w="170" w:type="dxa"/>
              <w:left w:w="0" w:type="dxa"/>
              <w:right w:w="0" w:type="dxa"/>
            </w:tcMar>
            <w:vAlign w:val="bottom"/>
          </w:tcPr>
          <w:p w:rsidR="0036170C" w:rsidRPr="00C542D1" w:rsidRDefault="0036170C" w:rsidP="00C542D1">
            <w:pPr>
              <w:jc w:val="right"/>
              <w:rPr>
                <w:rFonts w:ascii="Arial Black" w:hAnsi="Arial Black"/>
                <w:caps/>
                <w:sz w:val="15"/>
                <w:lang w:val="fr-FR"/>
              </w:rPr>
            </w:pPr>
            <w:r w:rsidRPr="00C542D1">
              <w:rPr>
                <w:rFonts w:ascii="Arial Black" w:hAnsi="Arial Black"/>
                <w:caps/>
                <w:sz w:val="15"/>
                <w:lang w:val="fr-FR"/>
              </w:rPr>
              <w:t>wo/pbc/23/</w:t>
            </w:r>
            <w:bookmarkStart w:id="0" w:name="Code"/>
            <w:bookmarkEnd w:id="0"/>
            <w:r w:rsidRPr="00C542D1">
              <w:rPr>
                <w:rFonts w:ascii="Arial Black" w:hAnsi="Arial Black"/>
                <w:caps/>
                <w:sz w:val="15"/>
                <w:lang w:val="fr-FR"/>
              </w:rPr>
              <w:t>4</w:t>
            </w:r>
          </w:p>
        </w:tc>
      </w:tr>
      <w:tr w:rsidR="00C542D1" w:rsidRPr="00C542D1" w:rsidTr="00E4379C">
        <w:trPr>
          <w:trHeight w:hRule="exact" w:val="170"/>
        </w:trPr>
        <w:tc>
          <w:tcPr>
            <w:tcW w:w="9433" w:type="dxa"/>
            <w:gridSpan w:val="3"/>
            <w:noWrap/>
            <w:tcMar>
              <w:left w:w="0" w:type="dxa"/>
              <w:right w:w="0" w:type="dxa"/>
            </w:tcMar>
            <w:vAlign w:val="bottom"/>
          </w:tcPr>
          <w:p w:rsidR="0036170C" w:rsidRPr="00C542D1" w:rsidRDefault="0036170C" w:rsidP="00C542D1">
            <w:pPr>
              <w:jc w:val="right"/>
              <w:rPr>
                <w:rFonts w:ascii="Arial Black" w:hAnsi="Arial Black"/>
                <w:caps/>
                <w:sz w:val="15"/>
                <w:lang w:val="fr-FR"/>
              </w:rPr>
            </w:pPr>
            <w:bookmarkStart w:id="1" w:name="Original"/>
            <w:bookmarkEnd w:id="1"/>
            <w:r w:rsidRPr="00C542D1">
              <w:rPr>
                <w:rFonts w:ascii="Arial Black" w:hAnsi="Arial Black"/>
                <w:caps/>
                <w:sz w:val="15"/>
                <w:lang w:val="fr-FR"/>
              </w:rPr>
              <w:t xml:space="preserve">ORIGINAL : anglais </w:t>
            </w:r>
          </w:p>
        </w:tc>
      </w:tr>
      <w:tr w:rsidR="0036170C" w:rsidRPr="00C542D1" w:rsidTr="00E4379C">
        <w:trPr>
          <w:trHeight w:hRule="exact" w:val="198"/>
        </w:trPr>
        <w:tc>
          <w:tcPr>
            <w:tcW w:w="9433" w:type="dxa"/>
            <w:gridSpan w:val="3"/>
            <w:tcMar>
              <w:left w:w="0" w:type="dxa"/>
              <w:right w:w="0" w:type="dxa"/>
            </w:tcMar>
            <w:vAlign w:val="bottom"/>
          </w:tcPr>
          <w:p w:rsidR="0036170C" w:rsidRPr="00C542D1" w:rsidRDefault="0036170C" w:rsidP="00C542D1">
            <w:pPr>
              <w:jc w:val="right"/>
              <w:rPr>
                <w:rFonts w:ascii="Arial Black" w:hAnsi="Arial Black"/>
                <w:caps/>
                <w:sz w:val="15"/>
                <w:lang w:val="fr-FR"/>
              </w:rPr>
            </w:pPr>
            <w:r w:rsidRPr="00C542D1">
              <w:rPr>
                <w:rFonts w:ascii="Arial Black" w:hAnsi="Arial Black"/>
                <w:caps/>
                <w:sz w:val="15"/>
                <w:lang w:val="fr-FR"/>
              </w:rPr>
              <w:t xml:space="preserve">DATE : </w:t>
            </w:r>
            <w:bookmarkStart w:id="2" w:name="Date"/>
            <w:bookmarkEnd w:id="2"/>
            <w:r w:rsidRPr="00C542D1">
              <w:rPr>
                <w:rFonts w:ascii="Arial Black" w:hAnsi="Arial Black"/>
                <w:caps/>
                <w:sz w:val="15"/>
                <w:lang w:val="fr-FR"/>
              </w:rPr>
              <w:t>11 mai 2015</w:t>
            </w:r>
          </w:p>
        </w:tc>
      </w:tr>
    </w:tbl>
    <w:p w:rsidR="0036170C" w:rsidRPr="00C542D1" w:rsidRDefault="0036170C" w:rsidP="00C542D1">
      <w:pPr>
        <w:rPr>
          <w:lang w:val="fr-FR"/>
        </w:rPr>
      </w:pPr>
    </w:p>
    <w:p w:rsidR="0036170C" w:rsidRPr="00C542D1" w:rsidRDefault="0036170C" w:rsidP="00C542D1">
      <w:pPr>
        <w:rPr>
          <w:lang w:val="fr-FR"/>
        </w:rPr>
      </w:pPr>
    </w:p>
    <w:p w:rsidR="0036170C" w:rsidRPr="00C542D1" w:rsidRDefault="0036170C" w:rsidP="00C542D1">
      <w:pPr>
        <w:rPr>
          <w:lang w:val="fr-FR"/>
        </w:rPr>
      </w:pPr>
    </w:p>
    <w:p w:rsidR="0036170C" w:rsidRPr="00C542D1" w:rsidRDefault="0036170C" w:rsidP="00C542D1">
      <w:pPr>
        <w:rPr>
          <w:lang w:val="fr-FR"/>
        </w:rPr>
      </w:pPr>
    </w:p>
    <w:p w:rsidR="0036170C" w:rsidRPr="00C542D1" w:rsidRDefault="0036170C" w:rsidP="00C542D1">
      <w:pPr>
        <w:rPr>
          <w:lang w:val="fr-FR"/>
        </w:rPr>
      </w:pPr>
    </w:p>
    <w:p w:rsidR="0036170C" w:rsidRPr="00C542D1" w:rsidRDefault="0036170C" w:rsidP="00C542D1">
      <w:pPr>
        <w:rPr>
          <w:b/>
          <w:sz w:val="28"/>
          <w:szCs w:val="28"/>
          <w:lang w:val="fr-FR"/>
        </w:rPr>
      </w:pPr>
      <w:r w:rsidRPr="00C542D1">
        <w:rPr>
          <w:b/>
          <w:sz w:val="28"/>
          <w:szCs w:val="28"/>
          <w:lang w:val="fr-FR"/>
        </w:rPr>
        <w:t>Comit</w:t>
      </w:r>
      <w:r w:rsidRPr="00C542D1">
        <w:rPr>
          <w:rFonts w:cs="Simplified Arabic"/>
          <w:b/>
          <w:sz w:val="28"/>
          <w:szCs w:val="28"/>
          <w:lang w:val="fr-FR"/>
        </w:rPr>
        <w:t>é</w:t>
      </w:r>
      <w:r w:rsidRPr="00C542D1">
        <w:rPr>
          <w:b/>
          <w:sz w:val="28"/>
          <w:szCs w:val="28"/>
          <w:lang w:val="fr-FR"/>
        </w:rPr>
        <w:t xml:space="preserve"> du programme et budget</w:t>
      </w:r>
    </w:p>
    <w:p w:rsidR="0036170C" w:rsidRPr="00C542D1" w:rsidRDefault="0036170C" w:rsidP="00C542D1">
      <w:pPr>
        <w:rPr>
          <w:lang w:val="fr-FR"/>
        </w:rPr>
      </w:pPr>
    </w:p>
    <w:p w:rsidR="0036170C" w:rsidRPr="00C542D1" w:rsidRDefault="0036170C" w:rsidP="00C542D1">
      <w:pPr>
        <w:rPr>
          <w:lang w:val="fr-FR"/>
        </w:rPr>
      </w:pPr>
    </w:p>
    <w:p w:rsidR="0036170C" w:rsidRPr="00C542D1" w:rsidRDefault="0036170C" w:rsidP="00C542D1">
      <w:pPr>
        <w:rPr>
          <w:b/>
          <w:sz w:val="24"/>
          <w:szCs w:val="24"/>
          <w:lang w:val="fr-FR"/>
        </w:rPr>
      </w:pPr>
      <w:r w:rsidRPr="00C542D1">
        <w:rPr>
          <w:b/>
          <w:bCs/>
          <w:sz w:val="24"/>
          <w:szCs w:val="24"/>
          <w:lang w:val="fr-FR"/>
        </w:rPr>
        <w:t>Vingt</w:t>
      </w:r>
      <w:r w:rsidR="0011003C" w:rsidRPr="00C542D1">
        <w:rPr>
          <w:b/>
          <w:bCs/>
          <w:sz w:val="24"/>
          <w:szCs w:val="24"/>
          <w:lang w:val="fr-FR"/>
        </w:rPr>
        <w:noBreakHyphen/>
      </w:r>
      <w:r w:rsidRPr="00C542D1">
        <w:rPr>
          <w:b/>
          <w:bCs/>
          <w:sz w:val="24"/>
          <w:szCs w:val="24"/>
          <w:lang w:val="fr-FR"/>
        </w:rPr>
        <w:t>troisième se</w:t>
      </w:r>
      <w:r w:rsidRPr="00C542D1">
        <w:rPr>
          <w:b/>
          <w:sz w:val="24"/>
          <w:szCs w:val="24"/>
          <w:lang w:val="fr-FR"/>
        </w:rPr>
        <w:t>ssion</w:t>
      </w:r>
    </w:p>
    <w:p w:rsidR="0036170C" w:rsidRPr="00C542D1" w:rsidRDefault="0036170C" w:rsidP="00C542D1">
      <w:pPr>
        <w:rPr>
          <w:b/>
          <w:sz w:val="24"/>
          <w:szCs w:val="24"/>
          <w:lang w:val="fr-FR"/>
        </w:rPr>
      </w:pPr>
      <w:r w:rsidRPr="00C542D1">
        <w:rPr>
          <w:b/>
          <w:sz w:val="24"/>
          <w:szCs w:val="24"/>
          <w:lang w:val="fr-FR"/>
        </w:rPr>
        <w:t>Genève, 13 – 17 juillet 2015</w:t>
      </w:r>
    </w:p>
    <w:p w:rsidR="0036170C" w:rsidRPr="00C542D1" w:rsidRDefault="0036170C" w:rsidP="00C542D1">
      <w:pPr>
        <w:rPr>
          <w:lang w:val="fr-FR"/>
        </w:rPr>
      </w:pPr>
    </w:p>
    <w:p w:rsidR="0036170C" w:rsidRPr="00C542D1" w:rsidRDefault="0036170C" w:rsidP="00C542D1">
      <w:pPr>
        <w:rPr>
          <w:lang w:val="fr-FR"/>
        </w:rPr>
      </w:pPr>
    </w:p>
    <w:p w:rsidR="0036170C" w:rsidRPr="00C542D1" w:rsidRDefault="0036170C" w:rsidP="00C542D1">
      <w:pPr>
        <w:rPr>
          <w:lang w:val="fr-FR"/>
        </w:rPr>
      </w:pPr>
    </w:p>
    <w:p w:rsidR="00735EFC" w:rsidRPr="00C542D1" w:rsidRDefault="00302B30" w:rsidP="00C542D1">
      <w:pPr>
        <w:rPr>
          <w:caps/>
          <w:sz w:val="24"/>
          <w:lang w:val="fr-FR"/>
        </w:rPr>
      </w:pPr>
      <w:r w:rsidRPr="00C542D1">
        <w:rPr>
          <w:caps/>
          <w:sz w:val="24"/>
          <w:lang w:val="fr-FR"/>
        </w:rPr>
        <w:t>Rapport du Corps commun d</w:t>
      </w:r>
      <w:r w:rsidR="0036170C" w:rsidRPr="00C542D1">
        <w:rPr>
          <w:caps/>
          <w:sz w:val="24"/>
          <w:lang w:val="fr-FR"/>
        </w:rPr>
        <w:t>’</w:t>
      </w:r>
      <w:r w:rsidRPr="00C542D1">
        <w:rPr>
          <w:caps/>
          <w:sz w:val="24"/>
          <w:lang w:val="fr-FR"/>
        </w:rPr>
        <w:t>inspection intitulé “Examen de la gestion et de l</w:t>
      </w:r>
      <w:r w:rsidR="0036170C" w:rsidRPr="00C542D1">
        <w:rPr>
          <w:caps/>
          <w:sz w:val="24"/>
          <w:lang w:val="fr-FR"/>
        </w:rPr>
        <w:t>’</w:t>
      </w:r>
      <w:r w:rsidRPr="00C542D1">
        <w:rPr>
          <w:caps/>
          <w:sz w:val="24"/>
          <w:lang w:val="fr-FR"/>
        </w:rPr>
        <w:t>administration de l</w:t>
      </w:r>
      <w:r w:rsidR="0036170C" w:rsidRPr="00C542D1">
        <w:rPr>
          <w:caps/>
          <w:sz w:val="24"/>
          <w:lang w:val="fr-FR"/>
        </w:rPr>
        <w:t>’</w:t>
      </w:r>
      <w:r w:rsidRPr="00C542D1">
        <w:rPr>
          <w:caps/>
          <w:sz w:val="24"/>
          <w:lang w:val="fr-FR"/>
        </w:rPr>
        <w:t>Organisation Mondiale de la Propriété Intellectue</w:t>
      </w:r>
      <w:r w:rsidR="00505E83" w:rsidRPr="00C542D1">
        <w:rPr>
          <w:caps/>
          <w:sz w:val="24"/>
          <w:lang w:val="fr-FR"/>
        </w:rPr>
        <w:t>lle (OMPI)” (JIU/REP/2014/2)</w:t>
      </w:r>
      <w:r w:rsidR="00DB0C8A" w:rsidRPr="00C542D1">
        <w:rPr>
          <w:caps/>
          <w:sz w:val="24"/>
          <w:lang w:val="fr-FR"/>
        </w:rPr>
        <w:t> </w:t>
      </w:r>
      <w:r w:rsidR="00505E83" w:rsidRPr="00C542D1">
        <w:rPr>
          <w:caps/>
          <w:sz w:val="24"/>
          <w:lang w:val="fr-FR"/>
        </w:rPr>
        <w:t xml:space="preserve">: </w:t>
      </w:r>
      <w:r w:rsidRPr="00C542D1">
        <w:rPr>
          <w:caps/>
          <w:sz w:val="24"/>
          <w:lang w:val="fr-FR"/>
        </w:rPr>
        <w:t>rapport de suivi sur l</w:t>
      </w:r>
      <w:r w:rsidR="0036170C" w:rsidRPr="00C542D1">
        <w:rPr>
          <w:caps/>
          <w:sz w:val="24"/>
          <w:lang w:val="fr-FR"/>
        </w:rPr>
        <w:t>’</w:t>
      </w:r>
      <w:r w:rsidR="00D64D6F" w:rsidRPr="00C542D1">
        <w:rPr>
          <w:caps/>
          <w:sz w:val="24"/>
          <w:lang w:val="fr-FR"/>
        </w:rPr>
        <w:t xml:space="preserve">application </w:t>
      </w:r>
      <w:r w:rsidRPr="00C542D1">
        <w:rPr>
          <w:caps/>
          <w:sz w:val="24"/>
          <w:lang w:val="fr-FR"/>
        </w:rPr>
        <w:t>des recommandations</w:t>
      </w:r>
    </w:p>
    <w:p w:rsidR="00735EFC" w:rsidRPr="00C542D1" w:rsidRDefault="00735EFC" w:rsidP="00C542D1">
      <w:pPr>
        <w:rPr>
          <w:lang w:val="fr-FR"/>
        </w:rPr>
      </w:pPr>
    </w:p>
    <w:p w:rsidR="00735EFC" w:rsidRPr="00C542D1" w:rsidRDefault="00735EFC" w:rsidP="00C542D1">
      <w:pPr>
        <w:rPr>
          <w:i/>
          <w:lang w:val="fr-FR"/>
        </w:rPr>
      </w:pPr>
      <w:bookmarkStart w:id="3" w:name="Prepared"/>
      <w:bookmarkEnd w:id="3"/>
      <w:r w:rsidRPr="00C542D1">
        <w:rPr>
          <w:i/>
          <w:lang w:val="fr-FR"/>
        </w:rPr>
        <w:t>Document établi par le Secrétariat</w:t>
      </w:r>
    </w:p>
    <w:p w:rsidR="00735EFC" w:rsidRPr="00C542D1" w:rsidRDefault="00735EFC" w:rsidP="00C542D1">
      <w:pPr>
        <w:rPr>
          <w:lang w:val="fr-FR"/>
        </w:rPr>
      </w:pPr>
    </w:p>
    <w:p w:rsidR="00735EFC" w:rsidRPr="00C542D1" w:rsidRDefault="00735EFC" w:rsidP="00C542D1">
      <w:pPr>
        <w:rPr>
          <w:lang w:val="fr-FR"/>
        </w:rPr>
      </w:pPr>
    </w:p>
    <w:p w:rsidR="00735EFC" w:rsidRPr="00C542D1" w:rsidRDefault="00735EFC" w:rsidP="00C542D1">
      <w:pPr>
        <w:rPr>
          <w:lang w:val="fr-FR"/>
        </w:rPr>
      </w:pPr>
    </w:p>
    <w:p w:rsidR="00735EFC" w:rsidRPr="00C542D1" w:rsidRDefault="00735EFC" w:rsidP="00C542D1">
      <w:pPr>
        <w:rPr>
          <w:lang w:val="fr-FR"/>
        </w:rPr>
      </w:pPr>
    </w:p>
    <w:p w:rsidR="00735EFC" w:rsidRPr="00C542D1" w:rsidRDefault="00735EFC" w:rsidP="00C542D1">
      <w:pPr>
        <w:pStyle w:val="ONUMFS"/>
        <w:rPr>
          <w:lang w:val="fr-FR"/>
        </w:rPr>
      </w:pPr>
      <w:r w:rsidRPr="00C542D1">
        <w:rPr>
          <w:lang w:val="fr-FR"/>
        </w:rPr>
        <w:t>Le Corps commun d</w:t>
      </w:r>
      <w:r w:rsidR="0036170C" w:rsidRPr="00C542D1">
        <w:rPr>
          <w:lang w:val="fr-FR"/>
        </w:rPr>
        <w:t>’</w:t>
      </w:r>
      <w:r w:rsidRPr="00C542D1">
        <w:rPr>
          <w:lang w:val="fr-FR"/>
        </w:rPr>
        <w:t>inspection (CCI) a réalisé un examen de la gestion et de l</w:t>
      </w:r>
      <w:r w:rsidR="0036170C" w:rsidRPr="00C542D1">
        <w:rPr>
          <w:lang w:val="fr-FR"/>
        </w:rPr>
        <w:t>’</w:t>
      </w:r>
      <w:r w:rsidRPr="00C542D1">
        <w:rPr>
          <w:lang w:val="fr-FR"/>
        </w:rPr>
        <w:t>administration de l</w:t>
      </w:r>
      <w:r w:rsidR="0036170C" w:rsidRPr="00C542D1">
        <w:rPr>
          <w:lang w:val="fr-FR"/>
        </w:rPr>
        <w:t>’</w:t>
      </w:r>
      <w:r w:rsidRPr="00C542D1">
        <w:rPr>
          <w:lang w:val="fr-FR"/>
        </w:rPr>
        <w:t>OMPI en</w:t>
      </w:r>
      <w:r w:rsidR="00DB0C8A" w:rsidRPr="00C542D1">
        <w:rPr>
          <w:lang w:val="fr-FR"/>
        </w:rPr>
        <w:t> </w:t>
      </w:r>
      <w:r w:rsidRPr="00C542D1">
        <w:rPr>
          <w:lang w:val="fr-FR"/>
        </w:rPr>
        <w:t>2014 dans le cadre d</w:t>
      </w:r>
      <w:r w:rsidR="0036170C" w:rsidRPr="00C542D1">
        <w:rPr>
          <w:lang w:val="fr-FR"/>
        </w:rPr>
        <w:t>’</w:t>
      </w:r>
      <w:r w:rsidRPr="00C542D1">
        <w:rPr>
          <w:lang w:val="fr-FR"/>
        </w:rPr>
        <w:t>une série d</w:t>
      </w:r>
      <w:r w:rsidR="0036170C" w:rsidRPr="00C542D1">
        <w:rPr>
          <w:lang w:val="fr-FR"/>
        </w:rPr>
        <w:t>’</w:t>
      </w:r>
      <w:r w:rsidRPr="00C542D1">
        <w:rPr>
          <w:lang w:val="fr-FR"/>
        </w:rPr>
        <w:t>examens des organisations participantes.</w:t>
      </w:r>
      <w:r w:rsidR="00205BEA" w:rsidRPr="00C542D1">
        <w:rPr>
          <w:lang w:val="fr-FR"/>
        </w:rPr>
        <w:t xml:space="preserve"> </w:t>
      </w:r>
      <w:r w:rsidR="00DB0C8A" w:rsidRPr="00C542D1">
        <w:rPr>
          <w:lang w:val="fr-FR"/>
        </w:rPr>
        <w:t xml:space="preserve"> </w:t>
      </w:r>
      <w:r w:rsidRPr="00C542D1">
        <w:rPr>
          <w:lang w:val="fr-FR"/>
        </w:rPr>
        <w:t>Le rap</w:t>
      </w:r>
      <w:r w:rsidR="00505E83" w:rsidRPr="00C542D1">
        <w:rPr>
          <w:lang w:val="fr-FR"/>
        </w:rPr>
        <w:t>port a été présenté aux États me</w:t>
      </w:r>
      <w:r w:rsidRPr="00C542D1">
        <w:rPr>
          <w:lang w:val="fr-FR"/>
        </w:rPr>
        <w:t>mbres en</w:t>
      </w:r>
      <w:r w:rsidR="00DB0C8A" w:rsidRPr="00C542D1">
        <w:rPr>
          <w:lang w:val="fr-FR"/>
        </w:rPr>
        <w:t> </w:t>
      </w:r>
      <w:r w:rsidRPr="00C542D1">
        <w:rPr>
          <w:lang w:val="fr-FR"/>
        </w:rPr>
        <w:t>2014 (document WO/PBC/22/20).</w:t>
      </w:r>
      <w:r w:rsidR="00FF61F0" w:rsidRPr="00C542D1">
        <w:rPr>
          <w:lang w:val="fr-FR"/>
        </w:rPr>
        <w:t xml:space="preserve">  </w:t>
      </w:r>
      <w:r w:rsidR="00302B30" w:rsidRPr="00C542D1">
        <w:rPr>
          <w:lang w:val="fr-FR"/>
        </w:rPr>
        <w:t>Le Comité du programme</w:t>
      </w:r>
      <w:r w:rsidR="0011003C" w:rsidRPr="00C542D1">
        <w:rPr>
          <w:lang w:val="fr-FR"/>
        </w:rPr>
        <w:t xml:space="preserve"> et budget (PBC) a pris note i) </w:t>
      </w:r>
      <w:r w:rsidR="00302B30" w:rsidRPr="00C542D1">
        <w:rPr>
          <w:lang w:val="fr-FR"/>
        </w:rPr>
        <w:t xml:space="preserve">du fait que le Directeur général a envoyé des courriers aux présidents de </w:t>
      </w:r>
      <w:proofErr w:type="spellStart"/>
      <w:r w:rsidR="00302B30" w:rsidRPr="00C542D1">
        <w:rPr>
          <w:lang w:val="fr-FR"/>
        </w:rPr>
        <w:t>lʼAssemblée</w:t>
      </w:r>
      <w:proofErr w:type="spellEnd"/>
      <w:r w:rsidR="00302B30" w:rsidRPr="00C542D1">
        <w:rPr>
          <w:lang w:val="fr-FR"/>
        </w:rPr>
        <w:t xml:space="preserve"> générale de </w:t>
      </w:r>
      <w:proofErr w:type="spellStart"/>
      <w:r w:rsidR="00302B30" w:rsidRPr="00C542D1">
        <w:rPr>
          <w:lang w:val="fr-FR"/>
        </w:rPr>
        <w:t>lʼOMPI</w:t>
      </w:r>
      <w:proofErr w:type="spellEnd"/>
      <w:r w:rsidR="00302B30" w:rsidRPr="00C542D1">
        <w:rPr>
          <w:lang w:val="fr-FR"/>
        </w:rPr>
        <w:t xml:space="preserve"> et du Comité de coordination pour appeler leur attention sur les recommandations adressées aux instances délibérantes de l</w:t>
      </w:r>
      <w:r w:rsidR="0036170C" w:rsidRPr="00C542D1">
        <w:rPr>
          <w:lang w:val="fr-FR"/>
        </w:rPr>
        <w:t>’</w:t>
      </w:r>
      <w:r w:rsidR="00302B30" w:rsidRPr="00C542D1">
        <w:rPr>
          <w:lang w:val="fr-FR"/>
        </w:rPr>
        <w:t>OMPI par</w:t>
      </w:r>
      <w:r w:rsidR="0036170C" w:rsidRPr="00C542D1">
        <w:rPr>
          <w:lang w:val="fr-FR"/>
        </w:rPr>
        <w:t xml:space="preserve"> le CCI</w:t>
      </w:r>
      <w:r w:rsidR="0011003C" w:rsidRPr="00C542D1">
        <w:rPr>
          <w:lang w:val="fr-FR"/>
        </w:rPr>
        <w:t>, ainsi que ii) </w:t>
      </w:r>
      <w:r w:rsidR="00302B30" w:rsidRPr="00C542D1">
        <w:rPr>
          <w:lang w:val="fr-FR"/>
        </w:rPr>
        <w:t>des progrès accomplis en ce qui concerne la mise en œuvre des recommandations adressées au Directeur général‏‎.</w:t>
      </w:r>
    </w:p>
    <w:p w:rsidR="00735EFC" w:rsidRPr="00C542D1" w:rsidRDefault="00302B30" w:rsidP="00C542D1">
      <w:pPr>
        <w:pStyle w:val="ONUMFS"/>
        <w:rPr>
          <w:lang w:val="fr-FR"/>
        </w:rPr>
      </w:pPr>
      <w:r w:rsidRPr="00C542D1">
        <w:rPr>
          <w:lang w:val="fr-FR"/>
        </w:rPr>
        <w:t>Conformément à la demande</w:t>
      </w:r>
      <w:r w:rsidR="0036170C" w:rsidRPr="00C542D1">
        <w:rPr>
          <w:lang w:val="fr-FR"/>
        </w:rPr>
        <w:t xml:space="preserve"> du PBC</w:t>
      </w:r>
      <w:r w:rsidRPr="00C542D1">
        <w:rPr>
          <w:lang w:val="fr-FR"/>
        </w:rPr>
        <w:t>, le Secrétariat présente le présent rapport de suivi sur l</w:t>
      </w:r>
      <w:r w:rsidR="0036170C" w:rsidRPr="00C542D1">
        <w:rPr>
          <w:lang w:val="fr-FR"/>
        </w:rPr>
        <w:t>’</w:t>
      </w:r>
      <w:r w:rsidR="00D64D6F" w:rsidRPr="00C542D1">
        <w:rPr>
          <w:lang w:val="fr-FR"/>
        </w:rPr>
        <w:t xml:space="preserve">application </w:t>
      </w:r>
      <w:r w:rsidRPr="00C542D1">
        <w:rPr>
          <w:lang w:val="fr-FR"/>
        </w:rPr>
        <w:t>des recommandations contenues dans le rapport du Corps commun d</w:t>
      </w:r>
      <w:r w:rsidR="0036170C" w:rsidRPr="00C542D1">
        <w:rPr>
          <w:lang w:val="fr-FR"/>
        </w:rPr>
        <w:t>’</w:t>
      </w:r>
      <w:r w:rsidRPr="00C542D1">
        <w:rPr>
          <w:lang w:val="fr-FR"/>
        </w:rPr>
        <w:t>inspection intitulé “Examen de la gestion et de l</w:t>
      </w:r>
      <w:r w:rsidR="0036170C" w:rsidRPr="00C542D1">
        <w:rPr>
          <w:lang w:val="fr-FR"/>
        </w:rPr>
        <w:t>’</w:t>
      </w:r>
      <w:r w:rsidRPr="00C542D1">
        <w:rPr>
          <w:lang w:val="fr-FR"/>
        </w:rPr>
        <w:t>administration de l</w:t>
      </w:r>
      <w:r w:rsidR="0036170C" w:rsidRPr="00C542D1">
        <w:rPr>
          <w:lang w:val="fr-FR"/>
        </w:rPr>
        <w:t>’</w:t>
      </w:r>
      <w:r w:rsidRPr="00C542D1">
        <w:rPr>
          <w:lang w:val="fr-FR"/>
        </w:rPr>
        <w:t>OMPI” et sur toute autre mesure prise à la suite de ce rapport.</w:t>
      </w:r>
    </w:p>
    <w:p w:rsidR="00735EFC" w:rsidRPr="00C542D1" w:rsidRDefault="00CC5190" w:rsidP="00C542D1">
      <w:pPr>
        <w:pStyle w:val="ONUMFS"/>
        <w:rPr>
          <w:lang w:val="fr-FR"/>
        </w:rPr>
      </w:pPr>
      <w:r w:rsidRPr="00C542D1">
        <w:rPr>
          <w:lang w:val="fr-FR"/>
        </w:rPr>
        <w:t>Le tableau ci</w:t>
      </w:r>
      <w:r w:rsidR="0011003C" w:rsidRPr="00C542D1">
        <w:rPr>
          <w:lang w:val="fr-FR"/>
        </w:rPr>
        <w:noBreakHyphen/>
      </w:r>
      <w:r w:rsidRPr="00C542D1">
        <w:rPr>
          <w:lang w:val="fr-FR"/>
        </w:rPr>
        <w:t>après donne des informations détaillées sur l</w:t>
      </w:r>
      <w:r w:rsidR="0036170C" w:rsidRPr="00C542D1">
        <w:rPr>
          <w:lang w:val="fr-FR"/>
        </w:rPr>
        <w:t>’</w:t>
      </w:r>
      <w:r w:rsidR="00D64D6F" w:rsidRPr="00C542D1">
        <w:rPr>
          <w:lang w:val="fr-FR"/>
        </w:rPr>
        <w:t>état d</w:t>
      </w:r>
      <w:r w:rsidR="0036170C" w:rsidRPr="00C542D1">
        <w:rPr>
          <w:lang w:val="fr-FR"/>
        </w:rPr>
        <w:t>’</w:t>
      </w:r>
      <w:r w:rsidR="00D64D6F" w:rsidRPr="00C542D1">
        <w:rPr>
          <w:lang w:val="fr-FR"/>
        </w:rPr>
        <w:t>avancement</w:t>
      </w:r>
      <w:r w:rsidRPr="00C542D1">
        <w:rPr>
          <w:lang w:val="fr-FR"/>
        </w:rPr>
        <w:t xml:space="preserve"> actualisé des mesure</w:t>
      </w:r>
      <w:r w:rsidR="00505E83" w:rsidRPr="00C542D1">
        <w:rPr>
          <w:lang w:val="fr-FR"/>
        </w:rPr>
        <w:t>s</w:t>
      </w:r>
      <w:r w:rsidRPr="00C542D1">
        <w:rPr>
          <w:lang w:val="fr-FR"/>
        </w:rPr>
        <w:t xml:space="preserve"> prises par l</w:t>
      </w:r>
      <w:r w:rsidR="0036170C" w:rsidRPr="00C542D1">
        <w:rPr>
          <w:lang w:val="fr-FR"/>
        </w:rPr>
        <w:t>’</w:t>
      </w:r>
      <w:r w:rsidRPr="00C542D1">
        <w:rPr>
          <w:lang w:val="fr-FR"/>
        </w:rPr>
        <w:t xml:space="preserve">OMPI </w:t>
      </w:r>
      <w:r w:rsidR="00D64D6F" w:rsidRPr="00C542D1">
        <w:rPr>
          <w:lang w:val="fr-FR"/>
        </w:rPr>
        <w:t>pour donner</w:t>
      </w:r>
      <w:r w:rsidRPr="00C542D1">
        <w:rPr>
          <w:lang w:val="fr-FR"/>
        </w:rPr>
        <w:t xml:space="preserve"> suite des recommandations</w:t>
      </w:r>
      <w:r w:rsidR="0036170C" w:rsidRPr="00C542D1">
        <w:rPr>
          <w:lang w:val="fr-FR"/>
        </w:rPr>
        <w:t xml:space="preserve"> du CCI</w:t>
      </w:r>
      <w:r w:rsidRPr="00C542D1">
        <w:rPr>
          <w:lang w:val="fr-FR"/>
        </w:rPr>
        <w:t xml:space="preserve">, </w:t>
      </w:r>
      <w:r w:rsidR="00D64D6F" w:rsidRPr="00C542D1">
        <w:rPr>
          <w:lang w:val="fr-FR"/>
        </w:rPr>
        <w:t>et montre que</w:t>
      </w:r>
      <w:r w:rsidR="00DB0C8A" w:rsidRPr="00C542D1">
        <w:rPr>
          <w:lang w:val="fr-FR"/>
        </w:rPr>
        <w:t> </w:t>
      </w:r>
      <w:r w:rsidRPr="00C542D1">
        <w:rPr>
          <w:lang w:val="fr-FR"/>
        </w:rPr>
        <w:t>:</w:t>
      </w:r>
    </w:p>
    <w:p w:rsidR="00735EFC" w:rsidRPr="00C542D1" w:rsidRDefault="00DC7973" w:rsidP="00C542D1">
      <w:pPr>
        <w:pStyle w:val="ONUME"/>
        <w:numPr>
          <w:ilvl w:val="1"/>
          <w:numId w:val="5"/>
        </w:numPr>
        <w:rPr>
          <w:lang w:val="fr-FR"/>
        </w:rPr>
      </w:pPr>
      <w:r w:rsidRPr="00C542D1">
        <w:rPr>
          <w:lang w:val="fr-FR"/>
        </w:rPr>
        <w:t>Sept des</w:t>
      </w:r>
      <w:r w:rsidR="00CC5190" w:rsidRPr="00C542D1">
        <w:rPr>
          <w:lang w:val="fr-FR"/>
        </w:rPr>
        <w:t xml:space="preserve"> huit</w:t>
      </w:r>
      <w:r w:rsidR="00DB0C8A" w:rsidRPr="00C542D1">
        <w:rPr>
          <w:lang w:val="fr-FR"/>
        </w:rPr>
        <w:t> </w:t>
      </w:r>
      <w:r w:rsidR="00CC5190" w:rsidRPr="00C542D1">
        <w:rPr>
          <w:lang w:val="fr-FR"/>
        </w:rPr>
        <w:t xml:space="preserve">recommandations adressées au Directeur général, ont été pleinement </w:t>
      </w:r>
      <w:r w:rsidR="00D64D6F" w:rsidRPr="00C542D1">
        <w:rPr>
          <w:lang w:val="fr-FR"/>
        </w:rPr>
        <w:t>appliquées</w:t>
      </w:r>
      <w:r w:rsidR="00505E83" w:rsidRPr="00C542D1">
        <w:rPr>
          <w:lang w:val="fr-FR"/>
        </w:rPr>
        <w:t xml:space="preserve"> </w:t>
      </w:r>
      <w:r w:rsidR="00CC5190" w:rsidRPr="00C542D1">
        <w:rPr>
          <w:lang w:val="fr-FR"/>
        </w:rPr>
        <w:t>(recommandations n° 2, 3, 4, 5, 8, 9 et 10) et une</w:t>
      </w:r>
      <w:r w:rsidRPr="00C542D1">
        <w:rPr>
          <w:lang w:val="fr-FR"/>
        </w:rPr>
        <w:t xml:space="preserve"> des huit</w:t>
      </w:r>
      <w:r w:rsidR="00CC5190" w:rsidRPr="00C542D1">
        <w:rPr>
          <w:lang w:val="fr-FR"/>
        </w:rPr>
        <w:t xml:space="preserve"> (recommandation n° 7) doit encore faire l</w:t>
      </w:r>
      <w:r w:rsidR="0036170C" w:rsidRPr="00C542D1">
        <w:rPr>
          <w:lang w:val="fr-FR"/>
        </w:rPr>
        <w:t>’</w:t>
      </w:r>
      <w:r w:rsidR="00CC5190" w:rsidRPr="00C542D1">
        <w:rPr>
          <w:lang w:val="fr-FR"/>
        </w:rPr>
        <w:t>objet d</w:t>
      </w:r>
      <w:r w:rsidR="0036170C" w:rsidRPr="00C542D1">
        <w:rPr>
          <w:lang w:val="fr-FR"/>
        </w:rPr>
        <w:t>’</w:t>
      </w:r>
      <w:r w:rsidR="00CC5190" w:rsidRPr="00C542D1">
        <w:rPr>
          <w:lang w:val="fr-FR"/>
        </w:rPr>
        <w:t>une recommandation par une instance délibérante (recommandation n° 6);  et</w:t>
      </w:r>
    </w:p>
    <w:p w:rsidR="00735EFC" w:rsidRPr="00C542D1" w:rsidRDefault="00CC5190" w:rsidP="00C542D1">
      <w:pPr>
        <w:pStyle w:val="ONUME"/>
        <w:numPr>
          <w:ilvl w:val="1"/>
          <w:numId w:val="5"/>
        </w:numPr>
        <w:rPr>
          <w:lang w:val="fr-FR"/>
        </w:rPr>
      </w:pPr>
      <w:r w:rsidRPr="00C542D1">
        <w:rPr>
          <w:lang w:val="fr-FR"/>
        </w:rPr>
        <w:lastRenderedPageBreak/>
        <w:t>deux recommandations adressées aux instances délibérantes de l</w:t>
      </w:r>
      <w:r w:rsidR="0036170C" w:rsidRPr="00C542D1">
        <w:rPr>
          <w:lang w:val="fr-FR"/>
        </w:rPr>
        <w:t>’</w:t>
      </w:r>
      <w:r w:rsidRPr="00C542D1">
        <w:rPr>
          <w:lang w:val="fr-FR"/>
        </w:rPr>
        <w:t xml:space="preserve">OMPI, </w:t>
      </w:r>
      <w:r w:rsidR="0036170C" w:rsidRPr="00C542D1">
        <w:rPr>
          <w:lang w:val="fr-FR"/>
        </w:rPr>
        <w:t>à savoir</w:t>
      </w:r>
      <w:r w:rsidRPr="00C542D1">
        <w:rPr>
          <w:lang w:val="fr-FR"/>
        </w:rPr>
        <w:t xml:space="preserve"> l</w:t>
      </w:r>
      <w:r w:rsidR="0036170C" w:rsidRPr="00C542D1">
        <w:rPr>
          <w:lang w:val="fr-FR"/>
        </w:rPr>
        <w:t>’</w:t>
      </w:r>
      <w:r w:rsidRPr="00C542D1">
        <w:rPr>
          <w:lang w:val="fr-FR"/>
        </w:rPr>
        <w:t>Assemblée générale (recommandation n° 1) et le Comité de coordination (recommandation n° 6) sont toujours examiné</w:t>
      </w:r>
      <w:r w:rsidR="00D64D6F" w:rsidRPr="00C542D1">
        <w:rPr>
          <w:lang w:val="fr-FR"/>
        </w:rPr>
        <w:t>e</w:t>
      </w:r>
      <w:r w:rsidRPr="00C542D1">
        <w:rPr>
          <w:lang w:val="fr-FR"/>
        </w:rPr>
        <w:t>s par ces organes.</w:t>
      </w:r>
    </w:p>
    <w:p w:rsidR="00735EFC" w:rsidRPr="00C542D1" w:rsidRDefault="00B218C5" w:rsidP="00C542D1">
      <w:pPr>
        <w:pStyle w:val="ONUMFS"/>
        <w:rPr>
          <w:lang w:val="fr-FR"/>
        </w:rPr>
      </w:pPr>
      <w:r w:rsidRPr="00C542D1">
        <w:rPr>
          <w:lang w:val="fr-FR"/>
        </w:rPr>
        <w:t>L</w:t>
      </w:r>
      <w:r w:rsidR="0036170C" w:rsidRPr="00C542D1">
        <w:rPr>
          <w:lang w:val="fr-FR"/>
        </w:rPr>
        <w:t>’</w:t>
      </w:r>
      <w:r w:rsidRPr="00C542D1">
        <w:rPr>
          <w:lang w:val="fr-FR"/>
        </w:rPr>
        <w:t>OMPI continuera de rendre compte de l</w:t>
      </w:r>
      <w:r w:rsidR="0036170C" w:rsidRPr="00C542D1">
        <w:rPr>
          <w:lang w:val="fr-FR"/>
        </w:rPr>
        <w:t>’</w:t>
      </w:r>
      <w:r w:rsidRPr="00C542D1">
        <w:rPr>
          <w:lang w:val="fr-FR"/>
        </w:rPr>
        <w:t xml:space="preserve">application des recommandations </w:t>
      </w:r>
      <w:r w:rsidR="00D64D6F" w:rsidRPr="00C542D1">
        <w:rPr>
          <w:lang w:val="fr-FR"/>
        </w:rPr>
        <w:t xml:space="preserve">à mettre en œuvre </w:t>
      </w:r>
      <w:r w:rsidRPr="00C542D1">
        <w:rPr>
          <w:lang w:val="fr-FR"/>
        </w:rPr>
        <w:t xml:space="preserve">dans ses rapports </w:t>
      </w:r>
      <w:r w:rsidR="003F1B46" w:rsidRPr="00C542D1">
        <w:rPr>
          <w:lang w:val="fr-FR"/>
        </w:rPr>
        <w:t>réguliers</w:t>
      </w:r>
      <w:r w:rsidRPr="00C542D1">
        <w:rPr>
          <w:lang w:val="fr-FR"/>
        </w:rPr>
        <w:t xml:space="preserve"> sur l</w:t>
      </w:r>
      <w:r w:rsidR="0036170C" w:rsidRPr="00C542D1">
        <w:rPr>
          <w:lang w:val="fr-FR"/>
        </w:rPr>
        <w:t>’</w:t>
      </w:r>
      <w:r w:rsidRPr="00C542D1">
        <w:rPr>
          <w:lang w:val="fr-FR"/>
        </w:rPr>
        <w:t>état d</w:t>
      </w:r>
      <w:r w:rsidR="0036170C" w:rsidRPr="00C542D1">
        <w:rPr>
          <w:lang w:val="fr-FR"/>
        </w:rPr>
        <w:t>’</w:t>
      </w:r>
      <w:r w:rsidRPr="00C542D1">
        <w:rPr>
          <w:lang w:val="fr-FR"/>
        </w:rPr>
        <w:t>avancement de l</w:t>
      </w:r>
      <w:r w:rsidR="0036170C" w:rsidRPr="00C542D1">
        <w:rPr>
          <w:lang w:val="fr-FR"/>
        </w:rPr>
        <w:t>’</w:t>
      </w:r>
      <w:r w:rsidR="00D64D6F" w:rsidRPr="00C542D1">
        <w:rPr>
          <w:lang w:val="fr-FR"/>
        </w:rPr>
        <w:t xml:space="preserve">application </w:t>
      </w:r>
      <w:r w:rsidRPr="00C542D1">
        <w:rPr>
          <w:lang w:val="fr-FR"/>
        </w:rPr>
        <w:t>des recommandations</w:t>
      </w:r>
      <w:r w:rsidR="0036170C" w:rsidRPr="00C542D1">
        <w:rPr>
          <w:lang w:val="fr-FR"/>
        </w:rPr>
        <w:t xml:space="preserve"> du CCI</w:t>
      </w:r>
      <w:r w:rsidRPr="00C542D1">
        <w:rPr>
          <w:lang w:val="fr-FR"/>
        </w:rPr>
        <w:t>.</w:t>
      </w:r>
    </w:p>
    <w:p w:rsidR="00811E7B" w:rsidRPr="00C542D1" w:rsidRDefault="00811E7B" w:rsidP="00C542D1">
      <w:pPr>
        <w:pStyle w:val="ONUME"/>
        <w:numPr>
          <w:ilvl w:val="0"/>
          <w:numId w:val="0"/>
        </w:numPr>
        <w:rPr>
          <w:lang w:val="fr-FR"/>
        </w:rPr>
      </w:pPr>
    </w:p>
    <w:tbl>
      <w:tblPr>
        <w:tblStyle w:val="TableGrid"/>
        <w:tblW w:w="0" w:type="auto"/>
        <w:tblLook w:val="04A0" w:firstRow="1" w:lastRow="0" w:firstColumn="1" w:lastColumn="0" w:noHBand="0" w:noVBand="1"/>
      </w:tblPr>
      <w:tblGrid>
        <w:gridCol w:w="1951"/>
        <w:gridCol w:w="1701"/>
        <w:gridCol w:w="1287"/>
        <w:gridCol w:w="1548"/>
        <w:gridCol w:w="3084"/>
      </w:tblGrid>
      <w:tr w:rsidR="00C542D1" w:rsidRPr="00C542D1" w:rsidTr="00EC6D92">
        <w:trPr>
          <w:trHeight w:val="435"/>
          <w:tblHeader/>
        </w:trPr>
        <w:tc>
          <w:tcPr>
            <w:tcW w:w="1951" w:type="dxa"/>
            <w:vMerge w:val="restart"/>
            <w:tcBorders>
              <w:top w:val="single" w:sz="4" w:space="0" w:color="auto"/>
              <w:left w:val="single" w:sz="4" w:space="0" w:color="auto"/>
              <w:right w:val="single" w:sz="4" w:space="0" w:color="auto"/>
            </w:tcBorders>
            <w:shd w:val="clear" w:color="auto" w:fill="B6DDE8" w:themeFill="accent5" w:themeFillTint="66"/>
            <w:tcMar>
              <w:top w:w="113" w:type="dxa"/>
            </w:tcMar>
            <w:vAlign w:val="bottom"/>
          </w:tcPr>
          <w:p w:rsidR="0053155A" w:rsidRPr="00C542D1" w:rsidRDefault="00B218C5" w:rsidP="00C542D1">
            <w:pPr>
              <w:pStyle w:val="ONUME"/>
              <w:numPr>
                <w:ilvl w:val="0"/>
                <w:numId w:val="0"/>
              </w:numPr>
              <w:jc w:val="center"/>
              <w:rPr>
                <w:b/>
                <w:sz w:val="18"/>
                <w:szCs w:val="18"/>
                <w:lang w:val="fr-FR"/>
              </w:rPr>
            </w:pPr>
            <w:r w:rsidRPr="00C542D1">
              <w:rPr>
                <w:b/>
                <w:sz w:val="18"/>
                <w:szCs w:val="18"/>
                <w:lang w:val="fr-FR"/>
              </w:rPr>
              <w:t>Recommandations</w:t>
            </w:r>
          </w:p>
        </w:tc>
        <w:tc>
          <w:tcPr>
            <w:tcW w:w="1701" w:type="dxa"/>
            <w:vMerge w:val="restart"/>
            <w:tcBorders>
              <w:top w:val="single" w:sz="4" w:space="0" w:color="auto"/>
              <w:left w:val="single" w:sz="4" w:space="0" w:color="auto"/>
              <w:right w:val="single" w:sz="4" w:space="0" w:color="auto"/>
            </w:tcBorders>
            <w:shd w:val="clear" w:color="auto" w:fill="B6DDE8" w:themeFill="accent5" w:themeFillTint="66"/>
            <w:tcMar>
              <w:top w:w="113" w:type="dxa"/>
            </w:tcMar>
            <w:vAlign w:val="bottom"/>
          </w:tcPr>
          <w:p w:rsidR="0053155A" w:rsidRPr="00C542D1" w:rsidRDefault="00B218C5" w:rsidP="00C542D1">
            <w:pPr>
              <w:pStyle w:val="ONUME"/>
              <w:numPr>
                <w:ilvl w:val="0"/>
                <w:numId w:val="0"/>
              </w:numPr>
              <w:jc w:val="center"/>
              <w:rPr>
                <w:b/>
                <w:sz w:val="18"/>
                <w:szCs w:val="18"/>
                <w:lang w:val="fr-FR"/>
              </w:rPr>
            </w:pPr>
            <w:r w:rsidRPr="00C542D1">
              <w:rPr>
                <w:b/>
                <w:sz w:val="18"/>
                <w:szCs w:val="18"/>
                <w:lang w:val="fr-FR"/>
              </w:rPr>
              <w:t>Fonctionnaire responsable</w:t>
            </w:r>
          </w:p>
        </w:tc>
        <w:tc>
          <w:tcPr>
            <w:tcW w:w="2835" w:type="dxa"/>
            <w:gridSpan w:val="2"/>
            <w:tcBorders>
              <w:left w:val="single" w:sz="4" w:space="0" w:color="auto"/>
              <w:right w:val="single" w:sz="4" w:space="0" w:color="auto"/>
            </w:tcBorders>
            <w:shd w:val="clear" w:color="auto" w:fill="B6DDE8" w:themeFill="accent5" w:themeFillTint="66"/>
            <w:tcMar>
              <w:top w:w="113" w:type="dxa"/>
            </w:tcMar>
            <w:vAlign w:val="bottom"/>
          </w:tcPr>
          <w:p w:rsidR="0053155A" w:rsidRPr="00C542D1" w:rsidRDefault="003A6521" w:rsidP="00C542D1">
            <w:pPr>
              <w:pStyle w:val="ONUME"/>
              <w:numPr>
                <w:ilvl w:val="0"/>
                <w:numId w:val="0"/>
              </w:numPr>
              <w:jc w:val="center"/>
              <w:rPr>
                <w:b/>
                <w:sz w:val="18"/>
                <w:szCs w:val="18"/>
                <w:lang w:val="fr-FR"/>
              </w:rPr>
            </w:pPr>
            <w:r w:rsidRPr="00C542D1">
              <w:rPr>
                <w:b/>
                <w:sz w:val="18"/>
                <w:szCs w:val="18"/>
                <w:lang w:val="fr-FR"/>
              </w:rPr>
              <w:t>Niveau</w:t>
            </w:r>
            <w:r w:rsidR="00B218C5" w:rsidRPr="00C542D1">
              <w:rPr>
                <w:b/>
                <w:sz w:val="18"/>
                <w:szCs w:val="18"/>
                <w:lang w:val="fr-FR"/>
              </w:rPr>
              <w:t xml:space="preserve"> d</w:t>
            </w:r>
            <w:r w:rsidR="0036170C" w:rsidRPr="00C542D1">
              <w:rPr>
                <w:b/>
                <w:sz w:val="18"/>
                <w:szCs w:val="18"/>
                <w:lang w:val="fr-FR"/>
              </w:rPr>
              <w:t>’</w:t>
            </w:r>
            <w:r w:rsidR="00B218C5" w:rsidRPr="00C542D1">
              <w:rPr>
                <w:b/>
                <w:sz w:val="18"/>
                <w:szCs w:val="18"/>
                <w:lang w:val="fr-FR"/>
              </w:rPr>
              <w:t>acceptation</w:t>
            </w:r>
          </w:p>
        </w:tc>
        <w:tc>
          <w:tcPr>
            <w:tcW w:w="3084" w:type="dxa"/>
            <w:vMerge w:val="restart"/>
            <w:tcBorders>
              <w:top w:val="single" w:sz="4" w:space="0" w:color="auto"/>
              <w:left w:val="single" w:sz="4" w:space="0" w:color="auto"/>
              <w:right w:val="single" w:sz="4" w:space="0" w:color="auto"/>
            </w:tcBorders>
            <w:shd w:val="clear" w:color="auto" w:fill="B6DDE8" w:themeFill="accent5" w:themeFillTint="66"/>
            <w:tcMar>
              <w:top w:w="85" w:type="dxa"/>
            </w:tcMar>
            <w:vAlign w:val="bottom"/>
          </w:tcPr>
          <w:p w:rsidR="0053155A" w:rsidRPr="00C542D1" w:rsidRDefault="00B218C5" w:rsidP="00C542D1">
            <w:pPr>
              <w:pStyle w:val="ONUME"/>
              <w:numPr>
                <w:ilvl w:val="0"/>
                <w:numId w:val="0"/>
              </w:numPr>
              <w:jc w:val="center"/>
              <w:rPr>
                <w:sz w:val="18"/>
                <w:szCs w:val="18"/>
                <w:lang w:val="fr-FR"/>
              </w:rPr>
            </w:pPr>
            <w:r w:rsidRPr="00C542D1">
              <w:rPr>
                <w:b/>
                <w:sz w:val="18"/>
                <w:szCs w:val="18"/>
                <w:lang w:val="fr-FR"/>
              </w:rPr>
              <w:t>Évaluation de la direction ou du coordonnateur</w:t>
            </w:r>
          </w:p>
        </w:tc>
      </w:tr>
      <w:tr w:rsidR="00C542D1" w:rsidRPr="00C542D1" w:rsidTr="00EC6D92">
        <w:trPr>
          <w:trHeight w:val="20"/>
          <w:tblHeader/>
        </w:trPr>
        <w:tc>
          <w:tcPr>
            <w:tcW w:w="1951" w:type="dxa"/>
            <w:vMerge/>
            <w:tcBorders>
              <w:left w:val="single" w:sz="4" w:space="0" w:color="auto"/>
              <w:right w:val="single" w:sz="4" w:space="0" w:color="auto"/>
            </w:tcBorders>
            <w:shd w:val="clear" w:color="auto" w:fill="B6DDE8" w:themeFill="accent5" w:themeFillTint="66"/>
            <w:tcMar>
              <w:top w:w="113" w:type="dxa"/>
            </w:tcMar>
            <w:vAlign w:val="bottom"/>
          </w:tcPr>
          <w:p w:rsidR="0053155A" w:rsidRPr="00C542D1" w:rsidRDefault="0053155A" w:rsidP="00C542D1">
            <w:pPr>
              <w:pStyle w:val="ONUME"/>
              <w:numPr>
                <w:ilvl w:val="0"/>
                <w:numId w:val="0"/>
              </w:numPr>
              <w:jc w:val="center"/>
              <w:rPr>
                <w:b/>
                <w:sz w:val="18"/>
                <w:szCs w:val="18"/>
                <w:lang w:val="fr-FR"/>
              </w:rPr>
            </w:pPr>
          </w:p>
        </w:tc>
        <w:tc>
          <w:tcPr>
            <w:tcW w:w="1701" w:type="dxa"/>
            <w:vMerge/>
            <w:tcBorders>
              <w:left w:val="single" w:sz="4" w:space="0" w:color="auto"/>
              <w:right w:val="single" w:sz="4" w:space="0" w:color="auto"/>
            </w:tcBorders>
            <w:shd w:val="clear" w:color="auto" w:fill="B6DDE8" w:themeFill="accent5" w:themeFillTint="66"/>
            <w:tcMar>
              <w:top w:w="113" w:type="dxa"/>
            </w:tcMar>
            <w:vAlign w:val="bottom"/>
          </w:tcPr>
          <w:p w:rsidR="0053155A" w:rsidRPr="00C542D1" w:rsidRDefault="0053155A" w:rsidP="00C542D1">
            <w:pPr>
              <w:pStyle w:val="ONUME"/>
              <w:numPr>
                <w:ilvl w:val="0"/>
                <w:numId w:val="0"/>
              </w:numPr>
              <w:jc w:val="center"/>
              <w:rPr>
                <w:b/>
                <w:sz w:val="18"/>
                <w:szCs w:val="18"/>
                <w:lang w:val="fr-FR"/>
              </w:rPr>
            </w:pPr>
          </w:p>
        </w:tc>
        <w:tc>
          <w:tcPr>
            <w:tcW w:w="1287" w:type="dxa"/>
            <w:tcBorders>
              <w:left w:val="single" w:sz="4" w:space="0" w:color="auto"/>
              <w:right w:val="single" w:sz="4" w:space="0" w:color="auto"/>
            </w:tcBorders>
            <w:shd w:val="clear" w:color="auto" w:fill="B6DDE8" w:themeFill="accent5" w:themeFillTint="66"/>
            <w:tcMar>
              <w:top w:w="113" w:type="dxa"/>
            </w:tcMar>
            <w:vAlign w:val="bottom"/>
          </w:tcPr>
          <w:p w:rsidR="0053155A" w:rsidRPr="00C542D1" w:rsidRDefault="00B218C5" w:rsidP="00C542D1">
            <w:pPr>
              <w:pStyle w:val="ONUME"/>
              <w:numPr>
                <w:ilvl w:val="0"/>
                <w:numId w:val="0"/>
              </w:numPr>
              <w:jc w:val="center"/>
              <w:rPr>
                <w:b/>
                <w:sz w:val="18"/>
                <w:szCs w:val="18"/>
                <w:lang w:val="fr-FR"/>
              </w:rPr>
            </w:pPr>
            <w:r w:rsidRPr="00C542D1">
              <w:rPr>
                <w:b/>
                <w:sz w:val="18"/>
                <w:szCs w:val="18"/>
                <w:lang w:val="fr-FR"/>
              </w:rPr>
              <w:t>Acceptation</w:t>
            </w:r>
          </w:p>
        </w:tc>
        <w:tc>
          <w:tcPr>
            <w:tcW w:w="1548" w:type="dxa"/>
            <w:tcBorders>
              <w:left w:val="single" w:sz="4" w:space="0" w:color="auto"/>
              <w:right w:val="single" w:sz="4" w:space="0" w:color="auto"/>
            </w:tcBorders>
            <w:shd w:val="clear" w:color="auto" w:fill="B6DDE8" w:themeFill="accent5" w:themeFillTint="66"/>
            <w:tcMar>
              <w:top w:w="113" w:type="dxa"/>
            </w:tcMar>
            <w:vAlign w:val="bottom"/>
          </w:tcPr>
          <w:p w:rsidR="0053155A" w:rsidRPr="00C542D1" w:rsidRDefault="00B218C5" w:rsidP="00C542D1">
            <w:pPr>
              <w:pStyle w:val="ONUME"/>
              <w:numPr>
                <w:ilvl w:val="0"/>
                <w:numId w:val="0"/>
              </w:numPr>
              <w:jc w:val="center"/>
              <w:rPr>
                <w:b/>
                <w:sz w:val="18"/>
                <w:szCs w:val="18"/>
                <w:lang w:val="fr-FR"/>
              </w:rPr>
            </w:pPr>
            <w:r w:rsidRPr="00C542D1">
              <w:rPr>
                <w:b/>
                <w:sz w:val="18"/>
                <w:szCs w:val="18"/>
                <w:lang w:val="fr-FR"/>
              </w:rPr>
              <w:t xml:space="preserve">Mise en </w:t>
            </w:r>
            <w:r w:rsidR="00505E83" w:rsidRPr="00C542D1">
              <w:rPr>
                <w:b/>
                <w:sz w:val="18"/>
                <w:szCs w:val="18"/>
                <w:lang w:val="fr-FR"/>
              </w:rPr>
              <w:t xml:space="preserve">œuvre </w:t>
            </w:r>
          </w:p>
        </w:tc>
        <w:tc>
          <w:tcPr>
            <w:tcW w:w="3084" w:type="dxa"/>
            <w:vMerge/>
            <w:tcBorders>
              <w:left w:val="single" w:sz="4" w:space="0" w:color="auto"/>
              <w:right w:val="single" w:sz="4" w:space="0" w:color="auto"/>
            </w:tcBorders>
            <w:shd w:val="clear" w:color="auto" w:fill="B6DDE8" w:themeFill="accent5" w:themeFillTint="66"/>
            <w:tcMar>
              <w:top w:w="113" w:type="dxa"/>
            </w:tcMar>
            <w:vAlign w:val="bottom"/>
          </w:tcPr>
          <w:p w:rsidR="0053155A" w:rsidRPr="00C542D1" w:rsidRDefault="0053155A" w:rsidP="00C542D1">
            <w:pPr>
              <w:pStyle w:val="ONUME"/>
              <w:numPr>
                <w:ilvl w:val="0"/>
                <w:numId w:val="0"/>
              </w:numPr>
              <w:jc w:val="center"/>
              <w:rPr>
                <w:b/>
                <w:sz w:val="18"/>
                <w:szCs w:val="18"/>
                <w:lang w:val="fr-FR"/>
              </w:rPr>
            </w:pPr>
          </w:p>
        </w:tc>
      </w:tr>
      <w:tr w:rsidR="00C542D1" w:rsidRPr="00C542D1" w:rsidTr="00EC6D92">
        <w:tc>
          <w:tcPr>
            <w:tcW w:w="1951" w:type="dxa"/>
            <w:tcBorders>
              <w:top w:val="single" w:sz="4" w:space="0" w:color="auto"/>
            </w:tcBorders>
            <w:tcMar>
              <w:top w:w="113" w:type="dxa"/>
            </w:tcMar>
          </w:tcPr>
          <w:p w:rsidR="00D51C8D" w:rsidRPr="00C542D1" w:rsidRDefault="003D07E6" w:rsidP="00C542D1">
            <w:pPr>
              <w:pStyle w:val="ONUME"/>
              <w:numPr>
                <w:ilvl w:val="0"/>
                <w:numId w:val="0"/>
              </w:numPr>
              <w:rPr>
                <w:sz w:val="18"/>
                <w:szCs w:val="18"/>
                <w:lang w:val="fr-FR"/>
              </w:rPr>
            </w:pPr>
            <w:r w:rsidRPr="00C542D1">
              <w:rPr>
                <w:sz w:val="18"/>
                <w:szCs w:val="18"/>
                <w:lang w:val="fr-FR"/>
              </w:rPr>
              <w:t>Recommandation n° </w:t>
            </w:r>
            <w:r w:rsidR="0059745D" w:rsidRPr="00C542D1">
              <w:rPr>
                <w:sz w:val="18"/>
                <w:szCs w:val="18"/>
                <w:lang w:val="fr-FR"/>
              </w:rPr>
              <w:t>1.  L</w:t>
            </w:r>
            <w:r w:rsidR="0036170C" w:rsidRPr="00C542D1">
              <w:rPr>
                <w:sz w:val="18"/>
                <w:szCs w:val="18"/>
                <w:lang w:val="fr-FR"/>
              </w:rPr>
              <w:t>’</w:t>
            </w:r>
            <w:r w:rsidR="0059745D" w:rsidRPr="00C542D1">
              <w:rPr>
                <w:sz w:val="18"/>
                <w:szCs w:val="18"/>
                <w:lang w:val="fr-FR"/>
              </w:rPr>
              <w:t>Assemblée générale de l</w:t>
            </w:r>
            <w:r w:rsidR="0036170C" w:rsidRPr="00C542D1">
              <w:rPr>
                <w:sz w:val="18"/>
                <w:szCs w:val="18"/>
                <w:lang w:val="fr-FR"/>
              </w:rPr>
              <w:t>’</w:t>
            </w:r>
            <w:r w:rsidR="0059745D" w:rsidRPr="00C542D1">
              <w:rPr>
                <w:sz w:val="18"/>
                <w:szCs w:val="18"/>
                <w:lang w:val="fr-FR"/>
              </w:rPr>
              <w:t>OMPI devrait examiner le cadre de gouvernance de l</w:t>
            </w:r>
            <w:r w:rsidR="0036170C" w:rsidRPr="00C542D1">
              <w:rPr>
                <w:sz w:val="18"/>
                <w:szCs w:val="18"/>
                <w:lang w:val="fr-FR"/>
              </w:rPr>
              <w:t>’</w:t>
            </w:r>
            <w:r w:rsidR="0059745D" w:rsidRPr="00C542D1">
              <w:rPr>
                <w:sz w:val="18"/>
                <w:szCs w:val="18"/>
                <w:lang w:val="fr-FR"/>
              </w:rPr>
              <w:t>OMPI ainsi que les pratiques actuelles en vue de renforcer la capacité des organes directeurs à orienter et superviser les travaux de l</w:t>
            </w:r>
            <w:r w:rsidR="0036170C" w:rsidRPr="00C542D1">
              <w:rPr>
                <w:sz w:val="18"/>
                <w:szCs w:val="18"/>
                <w:lang w:val="fr-FR"/>
              </w:rPr>
              <w:t>’</w:t>
            </w:r>
            <w:r w:rsidR="0059745D" w:rsidRPr="00C542D1">
              <w:rPr>
                <w:sz w:val="18"/>
                <w:szCs w:val="18"/>
                <w:lang w:val="fr-FR"/>
              </w:rPr>
              <w:t xml:space="preserve">Organisation. </w:t>
            </w:r>
            <w:r w:rsidR="00DB0C8A" w:rsidRPr="00C542D1">
              <w:rPr>
                <w:sz w:val="18"/>
                <w:szCs w:val="18"/>
                <w:lang w:val="fr-FR"/>
              </w:rPr>
              <w:t xml:space="preserve"> </w:t>
            </w:r>
            <w:r w:rsidR="0059745D" w:rsidRPr="00C542D1">
              <w:rPr>
                <w:sz w:val="18"/>
                <w:szCs w:val="18"/>
                <w:lang w:val="fr-FR"/>
              </w:rPr>
              <w:t>À cet effet, les États membres souhaiteront peut</w:t>
            </w:r>
            <w:r w:rsidR="0011003C" w:rsidRPr="00C542D1">
              <w:rPr>
                <w:sz w:val="18"/>
                <w:szCs w:val="18"/>
                <w:lang w:val="fr-FR"/>
              </w:rPr>
              <w:noBreakHyphen/>
            </w:r>
            <w:r w:rsidR="0059745D" w:rsidRPr="00C542D1">
              <w:rPr>
                <w:sz w:val="18"/>
                <w:szCs w:val="18"/>
                <w:lang w:val="fr-FR"/>
              </w:rPr>
              <w:t>être envisager dans leurs délibérations les options proposées dans le présent rapport.</w:t>
            </w:r>
          </w:p>
        </w:tc>
        <w:tc>
          <w:tcPr>
            <w:tcW w:w="1701" w:type="dxa"/>
            <w:tcBorders>
              <w:top w:val="single" w:sz="4" w:space="0" w:color="auto"/>
            </w:tcBorders>
            <w:tcMar>
              <w:top w:w="113" w:type="dxa"/>
            </w:tcMar>
          </w:tcPr>
          <w:p w:rsidR="00D51C8D" w:rsidRPr="00C542D1" w:rsidRDefault="0059745D" w:rsidP="00C542D1">
            <w:pPr>
              <w:pStyle w:val="ONUME"/>
              <w:numPr>
                <w:ilvl w:val="0"/>
                <w:numId w:val="0"/>
              </w:numPr>
              <w:rPr>
                <w:sz w:val="18"/>
                <w:szCs w:val="18"/>
                <w:lang w:val="fr-FR"/>
              </w:rPr>
            </w:pPr>
            <w:r w:rsidRPr="00C542D1">
              <w:rPr>
                <w:sz w:val="18"/>
                <w:szCs w:val="18"/>
                <w:lang w:val="fr-FR"/>
              </w:rPr>
              <w:t>Sous</w:t>
            </w:r>
            <w:r w:rsidR="0011003C" w:rsidRPr="00C542D1">
              <w:rPr>
                <w:sz w:val="18"/>
                <w:szCs w:val="18"/>
                <w:lang w:val="fr-FR"/>
              </w:rPr>
              <w:noBreakHyphen/>
            </w:r>
            <w:r w:rsidRPr="00C542D1">
              <w:rPr>
                <w:sz w:val="18"/>
                <w:szCs w:val="18"/>
                <w:lang w:val="fr-FR"/>
              </w:rPr>
              <w:t>directeur général et chef de Cabinet</w:t>
            </w:r>
          </w:p>
        </w:tc>
        <w:tc>
          <w:tcPr>
            <w:tcW w:w="1287" w:type="dxa"/>
            <w:shd w:val="clear" w:color="auto" w:fill="auto"/>
            <w:tcMar>
              <w:top w:w="113" w:type="dxa"/>
            </w:tcMar>
          </w:tcPr>
          <w:p w:rsidR="00D51C8D" w:rsidRPr="00C542D1" w:rsidRDefault="0059745D" w:rsidP="00C542D1">
            <w:pPr>
              <w:pStyle w:val="ONUME"/>
              <w:numPr>
                <w:ilvl w:val="0"/>
                <w:numId w:val="0"/>
              </w:numPr>
              <w:rPr>
                <w:sz w:val="18"/>
                <w:szCs w:val="18"/>
                <w:lang w:val="fr-FR"/>
              </w:rPr>
            </w:pPr>
            <w:r w:rsidRPr="00C542D1">
              <w:rPr>
                <w:sz w:val="18"/>
                <w:szCs w:val="18"/>
                <w:lang w:val="fr-FR"/>
              </w:rPr>
              <w:t>À l</w:t>
            </w:r>
            <w:r w:rsidR="0036170C" w:rsidRPr="00C542D1">
              <w:rPr>
                <w:sz w:val="18"/>
                <w:szCs w:val="18"/>
                <w:lang w:val="fr-FR"/>
              </w:rPr>
              <w:t>’</w:t>
            </w:r>
            <w:r w:rsidRPr="00C542D1">
              <w:rPr>
                <w:sz w:val="18"/>
                <w:szCs w:val="18"/>
                <w:lang w:val="fr-FR"/>
              </w:rPr>
              <w:t>étude</w:t>
            </w:r>
          </w:p>
        </w:tc>
        <w:tc>
          <w:tcPr>
            <w:tcW w:w="1548" w:type="dxa"/>
            <w:shd w:val="clear" w:color="auto" w:fill="auto"/>
            <w:tcMar>
              <w:top w:w="113" w:type="dxa"/>
            </w:tcMar>
          </w:tcPr>
          <w:p w:rsidR="00D51C8D" w:rsidRPr="00C542D1" w:rsidRDefault="00D51C8D" w:rsidP="00C542D1">
            <w:pPr>
              <w:pStyle w:val="ONUME"/>
              <w:numPr>
                <w:ilvl w:val="0"/>
                <w:numId w:val="0"/>
              </w:numPr>
              <w:rPr>
                <w:b/>
                <w:sz w:val="18"/>
                <w:szCs w:val="18"/>
                <w:lang w:val="fr-FR"/>
              </w:rPr>
            </w:pPr>
          </w:p>
        </w:tc>
        <w:tc>
          <w:tcPr>
            <w:tcW w:w="3084" w:type="dxa"/>
            <w:tcBorders>
              <w:top w:val="single" w:sz="4" w:space="0" w:color="auto"/>
            </w:tcBorders>
            <w:tcMar>
              <w:top w:w="113" w:type="dxa"/>
            </w:tcMar>
          </w:tcPr>
          <w:p w:rsidR="00D51C8D" w:rsidRPr="00C542D1" w:rsidRDefault="0059745D" w:rsidP="00C542D1">
            <w:pPr>
              <w:pStyle w:val="ONUME"/>
              <w:numPr>
                <w:ilvl w:val="0"/>
                <w:numId w:val="0"/>
              </w:numPr>
              <w:rPr>
                <w:lang w:val="fr-FR"/>
              </w:rPr>
            </w:pPr>
            <w:r w:rsidRPr="00C542D1">
              <w:rPr>
                <w:rFonts w:eastAsia="Calibri"/>
                <w:sz w:val="18"/>
                <w:szCs w:val="18"/>
                <w:lang w:val="fr-FR"/>
              </w:rPr>
              <w:t>Le 3</w:t>
            </w:r>
            <w:r w:rsidR="0036170C" w:rsidRPr="00C542D1">
              <w:rPr>
                <w:rFonts w:eastAsia="Calibri"/>
                <w:sz w:val="18"/>
                <w:szCs w:val="18"/>
                <w:lang w:val="fr-FR"/>
              </w:rPr>
              <w:t>0 mai 20</w:t>
            </w:r>
            <w:r w:rsidRPr="00C542D1">
              <w:rPr>
                <w:rFonts w:eastAsia="Calibri"/>
                <w:sz w:val="18"/>
                <w:szCs w:val="18"/>
                <w:lang w:val="fr-FR"/>
              </w:rPr>
              <w:t>14, le Directeur général de l</w:t>
            </w:r>
            <w:r w:rsidR="0036170C" w:rsidRPr="00C542D1">
              <w:rPr>
                <w:rFonts w:eastAsia="Calibri"/>
                <w:sz w:val="18"/>
                <w:szCs w:val="18"/>
                <w:lang w:val="fr-FR"/>
              </w:rPr>
              <w:t>’</w:t>
            </w:r>
            <w:r w:rsidRPr="00C542D1">
              <w:rPr>
                <w:rFonts w:eastAsia="Calibri"/>
                <w:sz w:val="18"/>
                <w:szCs w:val="18"/>
                <w:lang w:val="fr-FR"/>
              </w:rPr>
              <w:t>OMPI a adressé un courrier au président de l</w:t>
            </w:r>
            <w:r w:rsidR="0036170C" w:rsidRPr="00C542D1">
              <w:rPr>
                <w:rFonts w:eastAsia="Calibri"/>
                <w:sz w:val="18"/>
                <w:szCs w:val="18"/>
                <w:lang w:val="fr-FR"/>
              </w:rPr>
              <w:t>’</w:t>
            </w:r>
            <w:r w:rsidRPr="00C542D1">
              <w:rPr>
                <w:rFonts w:eastAsia="Calibri"/>
                <w:sz w:val="18"/>
                <w:szCs w:val="18"/>
                <w:lang w:val="fr-FR"/>
              </w:rPr>
              <w:t>Assemblée générale de l</w:t>
            </w:r>
            <w:r w:rsidR="0036170C" w:rsidRPr="00C542D1">
              <w:rPr>
                <w:rFonts w:eastAsia="Calibri"/>
                <w:sz w:val="18"/>
                <w:szCs w:val="18"/>
                <w:lang w:val="fr-FR"/>
              </w:rPr>
              <w:t>’</w:t>
            </w:r>
            <w:r w:rsidRPr="00C542D1">
              <w:rPr>
                <w:rFonts w:eastAsia="Calibri"/>
                <w:sz w:val="18"/>
                <w:szCs w:val="18"/>
                <w:lang w:val="fr-FR"/>
              </w:rPr>
              <w:t>OMPI pour appeler son attention sur cette recommandation.</w:t>
            </w:r>
            <w:r w:rsidR="00EC6D92" w:rsidRPr="00C542D1">
              <w:rPr>
                <w:sz w:val="18"/>
                <w:lang w:val="fr-FR"/>
              </w:rPr>
              <w:t xml:space="preserve"> </w:t>
            </w:r>
            <w:r w:rsidR="008579C3" w:rsidRPr="00C542D1">
              <w:rPr>
                <w:sz w:val="18"/>
                <w:lang w:val="fr-FR"/>
              </w:rPr>
              <w:t xml:space="preserve"> </w:t>
            </w:r>
            <w:r w:rsidRPr="00C542D1">
              <w:rPr>
                <w:rFonts w:eastAsia="Calibri"/>
                <w:sz w:val="18"/>
                <w:szCs w:val="18"/>
                <w:lang w:val="fr-FR"/>
              </w:rPr>
              <w:t xml:space="preserve">La question de la gouvernance a été examinée </w:t>
            </w:r>
            <w:r w:rsidR="00D64D6F" w:rsidRPr="00C542D1">
              <w:rPr>
                <w:rFonts w:eastAsia="Calibri"/>
                <w:sz w:val="18"/>
                <w:szCs w:val="18"/>
                <w:lang w:val="fr-FR"/>
              </w:rPr>
              <w:t xml:space="preserve">à </w:t>
            </w:r>
            <w:r w:rsidRPr="00C542D1">
              <w:rPr>
                <w:rFonts w:eastAsia="Calibri"/>
                <w:sz w:val="18"/>
                <w:szCs w:val="18"/>
                <w:lang w:val="fr-FR"/>
              </w:rPr>
              <w:t>la vingt</w:t>
            </w:r>
            <w:r w:rsidR="0011003C" w:rsidRPr="00C542D1">
              <w:rPr>
                <w:rFonts w:eastAsia="Calibri"/>
                <w:sz w:val="18"/>
                <w:szCs w:val="18"/>
                <w:lang w:val="fr-FR"/>
              </w:rPr>
              <w:noBreakHyphen/>
            </w:r>
            <w:r w:rsidRPr="00C542D1">
              <w:rPr>
                <w:rFonts w:eastAsia="Calibri"/>
                <w:sz w:val="18"/>
                <w:szCs w:val="18"/>
                <w:lang w:val="fr-FR"/>
              </w:rPr>
              <w:t>deuxième</w:t>
            </w:r>
            <w:r w:rsidR="00DB0C8A" w:rsidRPr="00C542D1">
              <w:rPr>
                <w:rFonts w:eastAsia="Calibri"/>
                <w:sz w:val="18"/>
                <w:szCs w:val="18"/>
                <w:lang w:val="fr-FR"/>
              </w:rPr>
              <w:t> </w:t>
            </w:r>
            <w:r w:rsidRPr="00C542D1">
              <w:rPr>
                <w:rFonts w:eastAsia="Calibri"/>
                <w:sz w:val="18"/>
                <w:szCs w:val="18"/>
                <w:lang w:val="fr-FR"/>
              </w:rPr>
              <w:t>session</w:t>
            </w:r>
            <w:r w:rsidR="0036170C" w:rsidRPr="00C542D1">
              <w:rPr>
                <w:rFonts w:eastAsia="Calibri"/>
                <w:sz w:val="18"/>
                <w:szCs w:val="18"/>
                <w:lang w:val="fr-FR"/>
              </w:rPr>
              <w:t xml:space="preserve"> du PBC</w:t>
            </w:r>
            <w:r w:rsidRPr="00C542D1">
              <w:rPr>
                <w:rFonts w:eastAsia="Calibri"/>
                <w:sz w:val="18"/>
                <w:szCs w:val="18"/>
                <w:lang w:val="fr-FR"/>
              </w:rPr>
              <w:t xml:space="preserve"> en </w:t>
            </w:r>
            <w:r w:rsidR="0036170C" w:rsidRPr="00C542D1">
              <w:rPr>
                <w:rFonts w:eastAsia="Calibri"/>
                <w:sz w:val="18"/>
                <w:szCs w:val="18"/>
                <w:lang w:val="fr-FR"/>
              </w:rPr>
              <w:t>septembre 20</w:t>
            </w:r>
            <w:r w:rsidRPr="00C542D1">
              <w:rPr>
                <w:rFonts w:eastAsia="Calibri"/>
                <w:sz w:val="18"/>
                <w:szCs w:val="18"/>
                <w:lang w:val="fr-FR"/>
              </w:rPr>
              <w:t>14, ainsi que lors des réunions des assemblées de la même année.</w:t>
            </w:r>
            <w:r w:rsidR="00DB0C8A" w:rsidRPr="00C542D1">
              <w:rPr>
                <w:rFonts w:eastAsia="Calibri"/>
                <w:sz w:val="18"/>
                <w:szCs w:val="18"/>
                <w:lang w:val="fr-FR"/>
              </w:rPr>
              <w:t xml:space="preserve"> </w:t>
            </w:r>
            <w:r w:rsidR="008579C3" w:rsidRPr="00C542D1">
              <w:rPr>
                <w:rFonts w:eastAsia="Calibri"/>
                <w:sz w:val="18"/>
                <w:szCs w:val="18"/>
                <w:lang w:val="fr-FR"/>
              </w:rPr>
              <w:t xml:space="preserve"> </w:t>
            </w:r>
            <w:r w:rsidR="00265375" w:rsidRPr="00C542D1">
              <w:rPr>
                <w:rFonts w:eastAsia="Calibri"/>
                <w:sz w:val="18"/>
                <w:szCs w:val="18"/>
                <w:lang w:val="fr-FR"/>
              </w:rPr>
              <w:t>Les États membres ont décidé d</w:t>
            </w:r>
            <w:r w:rsidR="0036170C" w:rsidRPr="00C542D1">
              <w:rPr>
                <w:rFonts w:eastAsia="Calibri"/>
                <w:sz w:val="18"/>
                <w:szCs w:val="18"/>
                <w:lang w:val="fr-FR"/>
              </w:rPr>
              <w:t>’</w:t>
            </w:r>
            <w:r w:rsidR="00265375" w:rsidRPr="00C542D1">
              <w:rPr>
                <w:rFonts w:eastAsia="Calibri"/>
                <w:sz w:val="18"/>
                <w:szCs w:val="18"/>
                <w:lang w:val="fr-FR"/>
              </w:rPr>
              <w:t>inscrire ce point à l</w:t>
            </w:r>
            <w:r w:rsidR="0036170C" w:rsidRPr="00C542D1">
              <w:rPr>
                <w:rFonts w:eastAsia="Calibri"/>
                <w:sz w:val="18"/>
                <w:szCs w:val="18"/>
                <w:lang w:val="fr-FR"/>
              </w:rPr>
              <w:t>’</w:t>
            </w:r>
            <w:r w:rsidR="00265375" w:rsidRPr="00C542D1">
              <w:rPr>
                <w:rFonts w:eastAsia="Calibri"/>
                <w:sz w:val="18"/>
                <w:szCs w:val="18"/>
                <w:lang w:val="fr-FR"/>
              </w:rPr>
              <w:t xml:space="preserve">ordre du jour de la prochaine session </w:t>
            </w:r>
            <w:r w:rsidR="0036170C" w:rsidRPr="00C542D1">
              <w:rPr>
                <w:rFonts w:eastAsia="Calibri"/>
                <w:sz w:val="18"/>
                <w:szCs w:val="18"/>
                <w:lang w:val="fr-FR"/>
              </w:rPr>
              <w:t>du PBC</w:t>
            </w:r>
            <w:r w:rsidR="00DC7973" w:rsidRPr="00C542D1">
              <w:rPr>
                <w:rFonts w:eastAsia="Calibri"/>
                <w:sz w:val="18"/>
                <w:szCs w:val="18"/>
                <w:lang w:val="fr-FR"/>
              </w:rPr>
              <w:t xml:space="preserve"> (été 2015)</w:t>
            </w:r>
            <w:r w:rsidR="00265375" w:rsidRPr="00C542D1">
              <w:rPr>
                <w:rFonts w:eastAsia="Calibri"/>
                <w:sz w:val="18"/>
                <w:szCs w:val="18"/>
                <w:lang w:val="fr-FR"/>
              </w:rPr>
              <w:t>.</w:t>
            </w:r>
          </w:p>
        </w:tc>
      </w:tr>
      <w:tr w:rsidR="00C542D1" w:rsidRPr="00C542D1" w:rsidTr="00EC6D92">
        <w:trPr>
          <w:trHeight w:val="2953"/>
        </w:trPr>
        <w:tc>
          <w:tcPr>
            <w:tcW w:w="1951" w:type="dxa"/>
            <w:tcMar>
              <w:top w:w="113" w:type="dxa"/>
            </w:tcMar>
          </w:tcPr>
          <w:p w:rsidR="00D51C8D" w:rsidRPr="00C542D1" w:rsidRDefault="003D07E6" w:rsidP="00C542D1">
            <w:pPr>
              <w:pStyle w:val="ONUME"/>
              <w:numPr>
                <w:ilvl w:val="0"/>
                <w:numId w:val="0"/>
              </w:numPr>
              <w:rPr>
                <w:sz w:val="18"/>
                <w:szCs w:val="18"/>
                <w:lang w:val="fr-FR"/>
              </w:rPr>
            </w:pPr>
            <w:r w:rsidRPr="00C542D1">
              <w:rPr>
                <w:sz w:val="18"/>
                <w:szCs w:val="18"/>
                <w:lang w:val="fr-FR"/>
              </w:rPr>
              <w:t xml:space="preserve">Recommandation n° 2.  </w:t>
            </w:r>
            <w:r w:rsidR="00265375" w:rsidRPr="00C542D1">
              <w:rPr>
                <w:sz w:val="18"/>
                <w:szCs w:val="18"/>
                <w:lang w:val="fr-FR"/>
              </w:rPr>
              <w:t>Le Directeur général devrait veiller à ce qu</w:t>
            </w:r>
            <w:r w:rsidR="0036170C" w:rsidRPr="00C542D1">
              <w:rPr>
                <w:sz w:val="18"/>
                <w:szCs w:val="18"/>
                <w:lang w:val="fr-FR"/>
              </w:rPr>
              <w:t>’</w:t>
            </w:r>
            <w:r w:rsidR="00265375" w:rsidRPr="00C542D1">
              <w:rPr>
                <w:sz w:val="18"/>
                <w:szCs w:val="18"/>
                <w:lang w:val="fr-FR"/>
              </w:rPr>
              <w:t>un mandat clair et actualisé soit mis à la disposition de l</w:t>
            </w:r>
            <w:r w:rsidR="0036170C" w:rsidRPr="00C542D1">
              <w:rPr>
                <w:sz w:val="18"/>
                <w:szCs w:val="18"/>
                <w:lang w:val="fr-FR"/>
              </w:rPr>
              <w:t>’</w:t>
            </w:r>
            <w:r w:rsidR="00265375" w:rsidRPr="00C542D1">
              <w:rPr>
                <w:sz w:val="18"/>
                <w:szCs w:val="18"/>
                <w:lang w:val="fr-FR"/>
              </w:rPr>
              <w:t>ensemble de toutes les unités administratives de l</w:t>
            </w:r>
            <w:r w:rsidR="0036170C" w:rsidRPr="00C542D1">
              <w:rPr>
                <w:sz w:val="18"/>
                <w:szCs w:val="18"/>
                <w:lang w:val="fr-FR"/>
              </w:rPr>
              <w:t>’</w:t>
            </w:r>
            <w:r w:rsidR="00265375" w:rsidRPr="00C542D1">
              <w:rPr>
                <w:sz w:val="18"/>
                <w:szCs w:val="18"/>
                <w:lang w:val="fr-FR"/>
              </w:rPr>
              <w:t>OMPI et les intégrer dans les ordres de service correspondants, en particulier chaque fois qu</w:t>
            </w:r>
            <w:r w:rsidR="0036170C" w:rsidRPr="00C542D1">
              <w:rPr>
                <w:sz w:val="18"/>
                <w:szCs w:val="18"/>
                <w:lang w:val="fr-FR"/>
              </w:rPr>
              <w:t>’</w:t>
            </w:r>
            <w:r w:rsidR="00265375" w:rsidRPr="00C542D1">
              <w:rPr>
                <w:sz w:val="18"/>
                <w:szCs w:val="18"/>
                <w:lang w:val="fr-FR"/>
              </w:rPr>
              <w:t>il est procédé à une réorganisation interne.</w:t>
            </w:r>
          </w:p>
        </w:tc>
        <w:tc>
          <w:tcPr>
            <w:tcW w:w="1701" w:type="dxa"/>
            <w:tcMar>
              <w:top w:w="113" w:type="dxa"/>
            </w:tcMar>
          </w:tcPr>
          <w:p w:rsidR="00D51C8D" w:rsidRPr="00C542D1" w:rsidRDefault="00265375" w:rsidP="00C542D1">
            <w:pPr>
              <w:pStyle w:val="ONUME"/>
              <w:numPr>
                <w:ilvl w:val="0"/>
                <w:numId w:val="0"/>
              </w:numPr>
              <w:rPr>
                <w:sz w:val="18"/>
                <w:szCs w:val="18"/>
                <w:lang w:val="fr-FR"/>
              </w:rPr>
            </w:pPr>
            <w:r w:rsidRPr="00C542D1">
              <w:rPr>
                <w:sz w:val="18"/>
                <w:szCs w:val="18"/>
                <w:lang w:val="fr-FR"/>
              </w:rPr>
              <w:t>Directeur du Département de la gestion des ressources humaines</w:t>
            </w:r>
          </w:p>
        </w:tc>
        <w:tc>
          <w:tcPr>
            <w:tcW w:w="1287" w:type="dxa"/>
            <w:tcMar>
              <w:top w:w="113" w:type="dxa"/>
            </w:tcMar>
          </w:tcPr>
          <w:p w:rsidR="00D51C8D" w:rsidRPr="00C542D1" w:rsidRDefault="00265375" w:rsidP="00C542D1">
            <w:pPr>
              <w:pStyle w:val="ONUME"/>
              <w:numPr>
                <w:ilvl w:val="0"/>
                <w:numId w:val="0"/>
              </w:numPr>
              <w:rPr>
                <w:sz w:val="18"/>
                <w:szCs w:val="18"/>
                <w:lang w:val="fr-FR"/>
              </w:rPr>
            </w:pPr>
            <w:r w:rsidRPr="00C542D1">
              <w:rPr>
                <w:sz w:val="18"/>
                <w:szCs w:val="18"/>
                <w:lang w:val="fr-FR"/>
              </w:rPr>
              <w:t>Accepté</w:t>
            </w:r>
            <w:r w:rsidR="00DC7973" w:rsidRPr="00C542D1">
              <w:rPr>
                <w:sz w:val="18"/>
                <w:szCs w:val="18"/>
                <w:lang w:val="fr-FR"/>
              </w:rPr>
              <w:t>e</w:t>
            </w:r>
          </w:p>
        </w:tc>
        <w:tc>
          <w:tcPr>
            <w:tcW w:w="1548" w:type="dxa"/>
            <w:tcMar>
              <w:top w:w="113" w:type="dxa"/>
            </w:tcMar>
          </w:tcPr>
          <w:p w:rsidR="00D51C8D" w:rsidRPr="00C542D1" w:rsidRDefault="00265375" w:rsidP="00C542D1">
            <w:pPr>
              <w:pStyle w:val="ONUME"/>
              <w:numPr>
                <w:ilvl w:val="0"/>
                <w:numId w:val="0"/>
              </w:numPr>
              <w:rPr>
                <w:sz w:val="18"/>
                <w:szCs w:val="18"/>
                <w:lang w:val="fr-FR"/>
              </w:rPr>
            </w:pPr>
            <w:r w:rsidRPr="00C542D1">
              <w:rPr>
                <w:sz w:val="18"/>
                <w:szCs w:val="18"/>
                <w:lang w:val="fr-FR"/>
              </w:rPr>
              <w:t>Mis</w:t>
            </w:r>
            <w:r w:rsidR="00DC7973" w:rsidRPr="00C542D1">
              <w:rPr>
                <w:sz w:val="18"/>
                <w:szCs w:val="18"/>
                <w:lang w:val="fr-FR"/>
              </w:rPr>
              <w:t>e</w:t>
            </w:r>
            <w:r w:rsidRPr="00C542D1">
              <w:rPr>
                <w:sz w:val="18"/>
                <w:szCs w:val="18"/>
                <w:lang w:val="fr-FR"/>
              </w:rPr>
              <w:t xml:space="preserve"> en </w:t>
            </w:r>
            <w:r w:rsidR="00505E83" w:rsidRPr="00C542D1">
              <w:rPr>
                <w:sz w:val="18"/>
                <w:szCs w:val="18"/>
                <w:lang w:val="fr-FR"/>
              </w:rPr>
              <w:t xml:space="preserve">œuvre </w:t>
            </w:r>
          </w:p>
        </w:tc>
        <w:tc>
          <w:tcPr>
            <w:tcW w:w="3084" w:type="dxa"/>
            <w:tcMar>
              <w:top w:w="113" w:type="dxa"/>
            </w:tcMar>
          </w:tcPr>
          <w:p w:rsidR="00D51C8D" w:rsidRPr="00C542D1" w:rsidRDefault="00265375" w:rsidP="00C542D1">
            <w:pPr>
              <w:pStyle w:val="ONUME"/>
              <w:numPr>
                <w:ilvl w:val="0"/>
                <w:numId w:val="0"/>
              </w:numPr>
              <w:rPr>
                <w:sz w:val="18"/>
                <w:szCs w:val="18"/>
                <w:lang w:val="fr-FR"/>
              </w:rPr>
            </w:pPr>
            <w:r w:rsidRPr="00C542D1">
              <w:rPr>
                <w:sz w:val="18"/>
                <w:szCs w:val="18"/>
                <w:lang w:val="fr-FR"/>
              </w:rPr>
              <w:t>À la suite de la nomination de la nouvelle Équipe de haute direction, cette recommandation a été mise en œuvre.</w:t>
            </w:r>
          </w:p>
        </w:tc>
      </w:tr>
      <w:tr w:rsidR="00C542D1" w:rsidRPr="00C542D1" w:rsidTr="00EC6D92">
        <w:tc>
          <w:tcPr>
            <w:tcW w:w="1951" w:type="dxa"/>
            <w:tcMar>
              <w:top w:w="113" w:type="dxa"/>
            </w:tcMar>
          </w:tcPr>
          <w:p w:rsidR="00D51C8D" w:rsidRPr="00C542D1" w:rsidRDefault="003D07E6" w:rsidP="00C542D1">
            <w:pPr>
              <w:pStyle w:val="ONUME"/>
              <w:numPr>
                <w:ilvl w:val="0"/>
                <w:numId w:val="0"/>
              </w:numPr>
              <w:rPr>
                <w:sz w:val="18"/>
                <w:szCs w:val="18"/>
                <w:lang w:val="fr-FR"/>
              </w:rPr>
            </w:pPr>
            <w:r w:rsidRPr="00C542D1">
              <w:rPr>
                <w:sz w:val="18"/>
                <w:szCs w:val="18"/>
                <w:lang w:val="fr-FR"/>
              </w:rPr>
              <w:t xml:space="preserve">Recommandation n° 3.  </w:t>
            </w:r>
            <w:r w:rsidR="00265375" w:rsidRPr="00C542D1">
              <w:rPr>
                <w:sz w:val="18"/>
                <w:szCs w:val="18"/>
                <w:lang w:val="fr-FR"/>
              </w:rPr>
              <w:t>Le Directeur général devrait publier un mandat détaillé à l</w:t>
            </w:r>
            <w:r w:rsidR="0036170C" w:rsidRPr="00C542D1">
              <w:rPr>
                <w:sz w:val="18"/>
                <w:szCs w:val="18"/>
                <w:lang w:val="fr-FR"/>
              </w:rPr>
              <w:t>’</w:t>
            </w:r>
            <w:r w:rsidR="00265375" w:rsidRPr="00C542D1">
              <w:rPr>
                <w:sz w:val="18"/>
                <w:szCs w:val="18"/>
                <w:lang w:val="fr-FR"/>
              </w:rPr>
              <w:t>intention des comités de direction avant la fin de</w:t>
            </w:r>
            <w:r w:rsidR="00DB0C8A" w:rsidRPr="00C542D1">
              <w:rPr>
                <w:sz w:val="18"/>
                <w:szCs w:val="18"/>
                <w:lang w:val="fr-FR"/>
              </w:rPr>
              <w:t> </w:t>
            </w:r>
            <w:r w:rsidR="00265375" w:rsidRPr="00C542D1">
              <w:rPr>
                <w:sz w:val="18"/>
                <w:szCs w:val="18"/>
                <w:lang w:val="fr-FR"/>
              </w:rPr>
              <w:t xml:space="preserve">2014 et le </w:t>
            </w:r>
            <w:r w:rsidR="00265375" w:rsidRPr="00C542D1">
              <w:rPr>
                <w:sz w:val="18"/>
                <w:szCs w:val="18"/>
                <w:lang w:val="fr-FR"/>
              </w:rPr>
              <w:lastRenderedPageBreak/>
              <w:t>communiquer aux organes directeurs compétents de l</w:t>
            </w:r>
            <w:r w:rsidR="0036170C" w:rsidRPr="00C542D1">
              <w:rPr>
                <w:sz w:val="18"/>
                <w:szCs w:val="18"/>
                <w:lang w:val="fr-FR"/>
              </w:rPr>
              <w:t>’</w:t>
            </w:r>
            <w:r w:rsidR="00265375" w:rsidRPr="00C542D1">
              <w:rPr>
                <w:sz w:val="18"/>
                <w:szCs w:val="18"/>
                <w:lang w:val="fr-FR"/>
              </w:rPr>
              <w:t>OMPI.</w:t>
            </w:r>
          </w:p>
        </w:tc>
        <w:tc>
          <w:tcPr>
            <w:tcW w:w="1701" w:type="dxa"/>
            <w:tcMar>
              <w:top w:w="113" w:type="dxa"/>
            </w:tcMar>
          </w:tcPr>
          <w:p w:rsidR="00D51C8D" w:rsidRPr="00C542D1" w:rsidRDefault="00265375" w:rsidP="00C542D1">
            <w:pPr>
              <w:pStyle w:val="ONUME"/>
              <w:numPr>
                <w:ilvl w:val="0"/>
                <w:numId w:val="0"/>
              </w:numPr>
              <w:rPr>
                <w:sz w:val="18"/>
                <w:szCs w:val="18"/>
                <w:lang w:val="fr-FR"/>
              </w:rPr>
            </w:pPr>
            <w:r w:rsidRPr="00C542D1">
              <w:rPr>
                <w:sz w:val="18"/>
                <w:szCs w:val="18"/>
                <w:lang w:val="fr-FR"/>
              </w:rPr>
              <w:lastRenderedPageBreak/>
              <w:t>Sous</w:t>
            </w:r>
            <w:r w:rsidR="0011003C" w:rsidRPr="00C542D1">
              <w:rPr>
                <w:sz w:val="18"/>
                <w:szCs w:val="18"/>
                <w:lang w:val="fr-FR"/>
              </w:rPr>
              <w:noBreakHyphen/>
            </w:r>
            <w:r w:rsidRPr="00C542D1">
              <w:rPr>
                <w:sz w:val="18"/>
                <w:szCs w:val="18"/>
                <w:lang w:val="fr-FR"/>
              </w:rPr>
              <w:t>directeur général et chef de Cabinet</w:t>
            </w:r>
          </w:p>
        </w:tc>
        <w:tc>
          <w:tcPr>
            <w:tcW w:w="1287" w:type="dxa"/>
            <w:tcMar>
              <w:top w:w="113" w:type="dxa"/>
            </w:tcMar>
          </w:tcPr>
          <w:p w:rsidR="00D51C8D" w:rsidRPr="00C542D1" w:rsidRDefault="00265375" w:rsidP="00C542D1">
            <w:pPr>
              <w:pStyle w:val="ONUME"/>
              <w:numPr>
                <w:ilvl w:val="0"/>
                <w:numId w:val="0"/>
              </w:numPr>
              <w:rPr>
                <w:sz w:val="18"/>
                <w:szCs w:val="18"/>
                <w:lang w:val="fr-FR"/>
              </w:rPr>
            </w:pPr>
            <w:r w:rsidRPr="00C542D1">
              <w:rPr>
                <w:sz w:val="18"/>
                <w:szCs w:val="18"/>
                <w:lang w:val="fr-FR"/>
              </w:rPr>
              <w:t>Accepté</w:t>
            </w:r>
            <w:r w:rsidR="00DC7973" w:rsidRPr="00C542D1">
              <w:rPr>
                <w:sz w:val="18"/>
                <w:szCs w:val="18"/>
                <w:lang w:val="fr-FR"/>
              </w:rPr>
              <w:t>e</w:t>
            </w:r>
          </w:p>
        </w:tc>
        <w:tc>
          <w:tcPr>
            <w:tcW w:w="1548" w:type="dxa"/>
            <w:tcMar>
              <w:top w:w="113" w:type="dxa"/>
            </w:tcMar>
          </w:tcPr>
          <w:p w:rsidR="00D51C8D" w:rsidRPr="00C542D1" w:rsidRDefault="00265375" w:rsidP="00C542D1">
            <w:pPr>
              <w:pStyle w:val="ONUME"/>
              <w:numPr>
                <w:ilvl w:val="0"/>
                <w:numId w:val="0"/>
              </w:numPr>
              <w:rPr>
                <w:sz w:val="18"/>
                <w:szCs w:val="18"/>
                <w:lang w:val="fr-FR"/>
              </w:rPr>
            </w:pPr>
            <w:r w:rsidRPr="00C542D1">
              <w:rPr>
                <w:sz w:val="18"/>
                <w:szCs w:val="18"/>
                <w:lang w:val="fr-FR"/>
              </w:rPr>
              <w:t>Mis</w:t>
            </w:r>
            <w:r w:rsidR="00DC7973" w:rsidRPr="00C542D1">
              <w:rPr>
                <w:sz w:val="18"/>
                <w:szCs w:val="18"/>
                <w:lang w:val="fr-FR"/>
              </w:rPr>
              <w:t>e</w:t>
            </w:r>
            <w:r w:rsidRPr="00C542D1">
              <w:rPr>
                <w:sz w:val="18"/>
                <w:szCs w:val="18"/>
                <w:lang w:val="fr-FR"/>
              </w:rPr>
              <w:t xml:space="preserve"> en </w:t>
            </w:r>
            <w:r w:rsidR="00505E83" w:rsidRPr="00C542D1">
              <w:rPr>
                <w:sz w:val="18"/>
                <w:szCs w:val="18"/>
                <w:lang w:val="fr-FR"/>
              </w:rPr>
              <w:t xml:space="preserve">œuvre </w:t>
            </w:r>
          </w:p>
        </w:tc>
        <w:tc>
          <w:tcPr>
            <w:tcW w:w="3084" w:type="dxa"/>
            <w:tcMar>
              <w:top w:w="113" w:type="dxa"/>
            </w:tcMar>
          </w:tcPr>
          <w:p w:rsidR="00D51C8D" w:rsidRPr="00C542D1" w:rsidRDefault="00265375" w:rsidP="00C542D1">
            <w:pPr>
              <w:pStyle w:val="ONUME"/>
              <w:numPr>
                <w:ilvl w:val="0"/>
                <w:numId w:val="0"/>
              </w:numPr>
              <w:rPr>
                <w:sz w:val="18"/>
                <w:szCs w:val="18"/>
                <w:lang w:val="fr-FR"/>
              </w:rPr>
            </w:pPr>
            <w:r w:rsidRPr="00C542D1">
              <w:rPr>
                <w:rFonts w:eastAsia="Calibri"/>
                <w:sz w:val="18"/>
                <w:szCs w:val="18"/>
                <w:lang w:val="fr-FR"/>
              </w:rPr>
              <w:t xml:space="preserve">Les mandats </w:t>
            </w:r>
            <w:r w:rsidR="00DC7973" w:rsidRPr="00C542D1">
              <w:rPr>
                <w:rFonts w:eastAsia="Calibri"/>
                <w:sz w:val="18"/>
                <w:szCs w:val="18"/>
                <w:lang w:val="fr-FR"/>
              </w:rPr>
              <w:t>concernant</w:t>
            </w:r>
            <w:r w:rsidRPr="00C542D1">
              <w:rPr>
                <w:rFonts w:eastAsia="Calibri"/>
                <w:sz w:val="18"/>
                <w:szCs w:val="18"/>
                <w:lang w:val="fr-FR"/>
              </w:rPr>
              <w:t xml:space="preserve"> l</w:t>
            </w:r>
            <w:r w:rsidR="0036170C" w:rsidRPr="00C542D1">
              <w:rPr>
                <w:rFonts w:eastAsia="Calibri"/>
                <w:sz w:val="18"/>
                <w:szCs w:val="18"/>
                <w:lang w:val="fr-FR"/>
              </w:rPr>
              <w:t>’</w:t>
            </w:r>
            <w:r w:rsidRPr="00C542D1">
              <w:rPr>
                <w:rFonts w:eastAsia="Calibri"/>
                <w:sz w:val="18"/>
                <w:szCs w:val="18"/>
                <w:lang w:val="fr-FR"/>
              </w:rPr>
              <w:t>Équipe de haute direction et les réunions des directeurs ont fait l</w:t>
            </w:r>
            <w:r w:rsidR="0036170C" w:rsidRPr="00C542D1">
              <w:rPr>
                <w:rFonts w:eastAsia="Calibri"/>
                <w:sz w:val="18"/>
                <w:szCs w:val="18"/>
                <w:lang w:val="fr-FR"/>
              </w:rPr>
              <w:t>’</w:t>
            </w:r>
            <w:r w:rsidRPr="00C542D1">
              <w:rPr>
                <w:rFonts w:eastAsia="Calibri"/>
                <w:sz w:val="18"/>
                <w:szCs w:val="18"/>
                <w:lang w:val="fr-FR"/>
              </w:rPr>
              <w:t>objet d</w:t>
            </w:r>
            <w:r w:rsidR="0036170C" w:rsidRPr="00C542D1">
              <w:rPr>
                <w:rFonts w:eastAsia="Calibri"/>
                <w:sz w:val="18"/>
                <w:szCs w:val="18"/>
                <w:lang w:val="fr-FR"/>
              </w:rPr>
              <w:t>’</w:t>
            </w:r>
            <w:r w:rsidRPr="00C542D1">
              <w:rPr>
                <w:rFonts w:eastAsia="Calibri"/>
                <w:sz w:val="18"/>
                <w:szCs w:val="18"/>
                <w:lang w:val="fr-FR"/>
              </w:rPr>
              <w:t xml:space="preserve">ordres de service </w:t>
            </w:r>
            <w:r w:rsidR="00D64D6F" w:rsidRPr="00C542D1">
              <w:rPr>
                <w:rFonts w:eastAsia="Calibri"/>
                <w:sz w:val="18"/>
                <w:szCs w:val="18"/>
                <w:lang w:val="fr-FR"/>
              </w:rPr>
              <w:t>publiés</w:t>
            </w:r>
            <w:r w:rsidRPr="00C542D1">
              <w:rPr>
                <w:rFonts w:eastAsia="Calibri"/>
                <w:sz w:val="18"/>
                <w:szCs w:val="18"/>
                <w:lang w:val="fr-FR"/>
              </w:rPr>
              <w:t xml:space="preserve"> le </w:t>
            </w:r>
            <w:r w:rsidR="0036170C" w:rsidRPr="00C542D1">
              <w:rPr>
                <w:rFonts w:eastAsia="Calibri"/>
                <w:sz w:val="18"/>
                <w:szCs w:val="18"/>
                <w:lang w:val="fr-FR"/>
              </w:rPr>
              <w:t>1</w:t>
            </w:r>
            <w:r w:rsidR="0036170C" w:rsidRPr="00C542D1">
              <w:rPr>
                <w:rFonts w:eastAsia="Calibri"/>
                <w:sz w:val="18"/>
                <w:szCs w:val="18"/>
                <w:vertAlign w:val="superscript"/>
                <w:lang w:val="fr-FR"/>
              </w:rPr>
              <w:t>er</w:t>
            </w:r>
            <w:r w:rsidR="0036170C" w:rsidRPr="00C542D1">
              <w:rPr>
                <w:rFonts w:eastAsia="Calibri"/>
                <w:sz w:val="18"/>
                <w:szCs w:val="18"/>
                <w:lang w:val="fr-FR"/>
              </w:rPr>
              <w:t> décembre 20</w:t>
            </w:r>
            <w:r w:rsidRPr="00C542D1">
              <w:rPr>
                <w:rFonts w:eastAsia="Calibri"/>
                <w:sz w:val="18"/>
                <w:szCs w:val="18"/>
                <w:lang w:val="fr-FR"/>
              </w:rPr>
              <w:t>14.</w:t>
            </w:r>
            <w:r w:rsidR="002F4C82" w:rsidRPr="00C542D1">
              <w:rPr>
                <w:sz w:val="18"/>
                <w:lang w:val="fr-FR"/>
              </w:rPr>
              <w:t xml:space="preserve"> </w:t>
            </w:r>
            <w:r w:rsidR="00DB0C8A" w:rsidRPr="00C542D1">
              <w:rPr>
                <w:rFonts w:eastAsia="Calibri"/>
                <w:sz w:val="18"/>
                <w:szCs w:val="18"/>
                <w:lang w:val="fr-FR"/>
              </w:rPr>
              <w:t xml:space="preserve"> </w:t>
            </w:r>
            <w:r w:rsidR="00C80A78" w:rsidRPr="00C542D1">
              <w:rPr>
                <w:rFonts w:eastAsia="Calibri"/>
                <w:sz w:val="18"/>
                <w:szCs w:val="18"/>
                <w:lang w:val="fr-FR"/>
              </w:rPr>
              <w:t>Un mandat détaillé concernant d</w:t>
            </w:r>
            <w:r w:rsidR="0036170C" w:rsidRPr="00C542D1">
              <w:rPr>
                <w:rFonts w:eastAsia="Calibri"/>
                <w:sz w:val="18"/>
                <w:szCs w:val="18"/>
                <w:lang w:val="fr-FR"/>
              </w:rPr>
              <w:t>’</w:t>
            </w:r>
            <w:r w:rsidR="00C80A78" w:rsidRPr="00C542D1">
              <w:rPr>
                <w:rFonts w:eastAsia="Calibri"/>
                <w:sz w:val="18"/>
                <w:szCs w:val="18"/>
                <w:lang w:val="fr-FR"/>
              </w:rPr>
              <w:t xml:space="preserve">autres comités de direction internes a déjà </w:t>
            </w:r>
            <w:r w:rsidR="00C80A78" w:rsidRPr="00C542D1">
              <w:rPr>
                <w:rFonts w:eastAsia="Calibri"/>
                <w:sz w:val="18"/>
                <w:szCs w:val="18"/>
                <w:lang w:val="fr-FR"/>
              </w:rPr>
              <w:lastRenderedPageBreak/>
              <w:t>été fourni</w:t>
            </w:r>
            <w:r w:rsidR="0036170C" w:rsidRPr="00C542D1">
              <w:rPr>
                <w:rFonts w:eastAsia="Calibri"/>
                <w:sz w:val="18"/>
                <w:szCs w:val="18"/>
                <w:lang w:val="fr-FR"/>
              </w:rPr>
              <w:t xml:space="preserve"> au CCI</w:t>
            </w:r>
            <w:r w:rsidR="00C80A78" w:rsidRPr="00C542D1">
              <w:rPr>
                <w:rFonts w:eastAsia="Calibri"/>
                <w:sz w:val="18"/>
                <w:szCs w:val="18"/>
                <w:lang w:val="fr-FR"/>
              </w:rPr>
              <w:t>.</w:t>
            </w:r>
          </w:p>
        </w:tc>
      </w:tr>
      <w:tr w:rsidR="00C542D1" w:rsidRPr="00C542D1" w:rsidTr="001136B1">
        <w:tc>
          <w:tcPr>
            <w:tcW w:w="1951" w:type="dxa"/>
            <w:tcMar>
              <w:top w:w="113" w:type="dxa"/>
            </w:tcMar>
          </w:tcPr>
          <w:p w:rsidR="00D51C8D" w:rsidRPr="00C542D1" w:rsidRDefault="003D07E6" w:rsidP="00C542D1">
            <w:pPr>
              <w:pStyle w:val="ONUME"/>
              <w:keepNext/>
              <w:keepLines/>
              <w:numPr>
                <w:ilvl w:val="0"/>
                <w:numId w:val="0"/>
              </w:numPr>
              <w:rPr>
                <w:sz w:val="18"/>
                <w:szCs w:val="18"/>
                <w:lang w:val="fr-FR"/>
              </w:rPr>
            </w:pPr>
            <w:r w:rsidRPr="00C542D1">
              <w:rPr>
                <w:sz w:val="18"/>
                <w:szCs w:val="18"/>
                <w:lang w:val="fr-FR"/>
              </w:rPr>
              <w:lastRenderedPageBreak/>
              <w:t xml:space="preserve">Recommandation n° 4.  </w:t>
            </w:r>
            <w:r w:rsidR="00C80A78" w:rsidRPr="00C542D1">
              <w:rPr>
                <w:sz w:val="18"/>
                <w:szCs w:val="18"/>
                <w:lang w:val="fr-FR"/>
              </w:rPr>
              <w:t>Le Directeur général devrait demander à la Division de la supervision interne d</w:t>
            </w:r>
            <w:r w:rsidR="0036170C" w:rsidRPr="00C542D1">
              <w:rPr>
                <w:sz w:val="18"/>
                <w:szCs w:val="18"/>
                <w:lang w:val="fr-FR"/>
              </w:rPr>
              <w:t>’</w:t>
            </w:r>
            <w:r w:rsidR="00C80A78" w:rsidRPr="00C542D1">
              <w:rPr>
                <w:sz w:val="18"/>
                <w:szCs w:val="18"/>
                <w:lang w:val="fr-FR"/>
              </w:rPr>
              <w:t>inclure dans son plan de travail une série d</w:t>
            </w:r>
            <w:r w:rsidR="0036170C" w:rsidRPr="00C542D1">
              <w:rPr>
                <w:sz w:val="18"/>
                <w:szCs w:val="18"/>
                <w:lang w:val="fr-FR"/>
              </w:rPr>
              <w:t>’</w:t>
            </w:r>
            <w:r w:rsidR="00C80A78" w:rsidRPr="00C542D1">
              <w:rPr>
                <w:sz w:val="18"/>
                <w:szCs w:val="18"/>
                <w:lang w:val="fr-FR"/>
              </w:rPr>
              <w:t>évaluations des initiatives relatives au Programme de réorientation stratégique (PRS) et de leurs résultats, afin d</w:t>
            </w:r>
            <w:r w:rsidR="0036170C" w:rsidRPr="00C542D1">
              <w:rPr>
                <w:sz w:val="18"/>
                <w:szCs w:val="18"/>
                <w:lang w:val="fr-FR"/>
              </w:rPr>
              <w:t>’</w:t>
            </w:r>
            <w:r w:rsidR="00C80A78" w:rsidRPr="00C542D1">
              <w:rPr>
                <w:sz w:val="18"/>
                <w:szCs w:val="18"/>
                <w:lang w:val="fr-FR"/>
              </w:rPr>
              <w:t>en tirer des enseignements et de faciliter ainsi la gestion de l</w:t>
            </w:r>
            <w:r w:rsidR="0036170C" w:rsidRPr="00C542D1">
              <w:rPr>
                <w:sz w:val="18"/>
                <w:szCs w:val="18"/>
                <w:lang w:val="fr-FR"/>
              </w:rPr>
              <w:t>’</w:t>
            </w:r>
            <w:r w:rsidR="00C80A78" w:rsidRPr="00C542D1">
              <w:rPr>
                <w:sz w:val="18"/>
                <w:szCs w:val="18"/>
                <w:lang w:val="fr-FR"/>
              </w:rPr>
              <w:t>OMPI au cours des prochaines phases de réforme de l</w:t>
            </w:r>
            <w:r w:rsidR="0036170C" w:rsidRPr="00C542D1">
              <w:rPr>
                <w:sz w:val="18"/>
                <w:szCs w:val="18"/>
                <w:lang w:val="fr-FR"/>
              </w:rPr>
              <w:t>’</w:t>
            </w:r>
            <w:r w:rsidR="00C80A78" w:rsidRPr="00C542D1">
              <w:rPr>
                <w:sz w:val="18"/>
                <w:szCs w:val="18"/>
                <w:lang w:val="fr-FR"/>
              </w:rPr>
              <w:t>Organisation.</w:t>
            </w:r>
          </w:p>
        </w:tc>
        <w:tc>
          <w:tcPr>
            <w:tcW w:w="1701" w:type="dxa"/>
            <w:tcMar>
              <w:top w:w="113" w:type="dxa"/>
            </w:tcMar>
          </w:tcPr>
          <w:p w:rsidR="00D51C8D" w:rsidRPr="00C542D1" w:rsidRDefault="00C80A78" w:rsidP="00C542D1">
            <w:pPr>
              <w:pStyle w:val="ONUME"/>
              <w:keepNext/>
              <w:keepLines/>
              <w:numPr>
                <w:ilvl w:val="0"/>
                <w:numId w:val="0"/>
              </w:numPr>
              <w:rPr>
                <w:sz w:val="18"/>
                <w:szCs w:val="18"/>
                <w:lang w:val="fr-FR"/>
              </w:rPr>
            </w:pPr>
            <w:r w:rsidRPr="00C542D1">
              <w:rPr>
                <w:sz w:val="18"/>
                <w:szCs w:val="18"/>
                <w:lang w:val="fr-FR"/>
              </w:rPr>
              <w:t xml:space="preserve">Directeur de la Division de la supervision interne </w:t>
            </w:r>
          </w:p>
        </w:tc>
        <w:tc>
          <w:tcPr>
            <w:tcW w:w="1287" w:type="dxa"/>
            <w:tcMar>
              <w:top w:w="113" w:type="dxa"/>
            </w:tcMar>
          </w:tcPr>
          <w:p w:rsidR="00D51C8D" w:rsidRPr="00C542D1" w:rsidRDefault="00C80A78" w:rsidP="00C542D1">
            <w:pPr>
              <w:pStyle w:val="ONUME"/>
              <w:keepNext/>
              <w:keepLines/>
              <w:numPr>
                <w:ilvl w:val="0"/>
                <w:numId w:val="0"/>
              </w:numPr>
              <w:rPr>
                <w:sz w:val="18"/>
                <w:szCs w:val="18"/>
                <w:lang w:val="fr-FR"/>
              </w:rPr>
            </w:pPr>
            <w:r w:rsidRPr="00C542D1">
              <w:rPr>
                <w:sz w:val="18"/>
                <w:szCs w:val="18"/>
                <w:lang w:val="fr-FR"/>
              </w:rPr>
              <w:t>Accepté</w:t>
            </w:r>
            <w:r w:rsidR="00DC7973" w:rsidRPr="00C542D1">
              <w:rPr>
                <w:sz w:val="18"/>
                <w:szCs w:val="18"/>
                <w:lang w:val="fr-FR"/>
              </w:rPr>
              <w:t>e</w:t>
            </w:r>
          </w:p>
        </w:tc>
        <w:tc>
          <w:tcPr>
            <w:tcW w:w="1548" w:type="dxa"/>
            <w:tcMar>
              <w:top w:w="113" w:type="dxa"/>
            </w:tcMar>
          </w:tcPr>
          <w:p w:rsidR="00D51C8D" w:rsidRPr="00C542D1" w:rsidRDefault="00C80A78" w:rsidP="00C542D1">
            <w:pPr>
              <w:pStyle w:val="ONUME"/>
              <w:keepNext/>
              <w:keepLines/>
              <w:numPr>
                <w:ilvl w:val="0"/>
                <w:numId w:val="0"/>
              </w:numPr>
              <w:rPr>
                <w:sz w:val="18"/>
                <w:szCs w:val="18"/>
                <w:lang w:val="fr-FR"/>
              </w:rPr>
            </w:pPr>
            <w:r w:rsidRPr="00C542D1">
              <w:rPr>
                <w:sz w:val="18"/>
                <w:szCs w:val="18"/>
                <w:lang w:val="fr-FR"/>
              </w:rPr>
              <w:t>Mis</w:t>
            </w:r>
            <w:r w:rsidR="00DC7973" w:rsidRPr="00C542D1">
              <w:rPr>
                <w:sz w:val="18"/>
                <w:szCs w:val="18"/>
                <w:lang w:val="fr-FR"/>
              </w:rPr>
              <w:t>e</w:t>
            </w:r>
            <w:r w:rsidRPr="00C542D1">
              <w:rPr>
                <w:sz w:val="18"/>
                <w:szCs w:val="18"/>
                <w:lang w:val="fr-FR"/>
              </w:rPr>
              <w:t xml:space="preserve"> en </w:t>
            </w:r>
            <w:r w:rsidR="00505E83" w:rsidRPr="00C542D1">
              <w:rPr>
                <w:sz w:val="18"/>
                <w:szCs w:val="18"/>
                <w:lang w:val="fr-FR"/>
              </w:rPr>
              <w:t xml:space="preserve">œuvre </w:t>
            </w:r>
          </w:p>
        </w:tc>
        <w:tc>
          <w:tcPr>
            <w:tcW w:w="3084" w:type="dxa"/>
            <w:tcMar>
              <w:top w:w="113" w:type="dxa"/>
              <w:bottom w:w="113" w:type="dxa"/>
            </w:tcMar>
          </w:tcPr>
          <w:p w:rsidR="00D51C8D" w:rsidRPr="00C542D1" w:rsidRDefault="00C80A78" w:rsidP="00C542D1">
            <w:pPr>
              <w:pStyle w:val="ONUME"/>
              <w:keepNext/>
              <w:keepLines/>
              <w:numPr>
                <w:ilvl w:val="0"/>
                <w:numId w:val="0"/>
              </w:numPr>
              <w:spacing w:after="0"/>
              <w:rPr>
                <w:sz w:val="18"/>
                <w:szCs w:val="18"/>
                <w:lang w:val="fr-FR"/>
              </w:rPr>
            </w:pPr>
            <w:r w:rsidRPr="00C542D1">
              <w:rPr>
                <w:sz w:val="18"/>
                <w:szCs w:val="18"/>
                <w:lang w:val="fr-FR"/>
              </w:rPr>
              <w:t>Au début de</w:t>
            </w:r>
            <w:r w:rsidR="00DB0C8A" w:rsidRPr="00C542D1">
              <w:rPr>
                <w:sz w:val="18"/>
                <w:szCs w:val="18"/>
                <w:lang w:val="fr-FR"/>
              </w:rPr>
              <w:t> </w:t>
            </w:r>
            <w:r w:rsidRPr="00C542D1">
              <w:rPr>
                <w:sz w:val="18"/>
                <w:szCs w:val="18"/>
                <w:lang w:val="fr-FR"/>
              </w:rPr>
              <w:t>2014, la Division de la supervision interne a achevé l</w:t>
            </w:r>
            <w:r w:rsidR="0036170C" w:rsidRPr="00C542D1">
              <w:rPr>
                <w:sz w:val="18"/>
                <w:szCs w:val="18"/>
                <w:lang w:val="fr-FR"/>
              </w:rPr>
              <w:t>’</w:t>
            </w:r>
            <w:r w:rsidRPr="00C542D1">
              <w:rPr>
                <w:sz w:val="18"/>
                <w:szCs w:val="18"/>
                <w:lang w:val="fr-FR"/>
              </w:rPr>
              <w:t>audit de la gestion axée sur les résultats réalisé de manière spécifique dans le cadre d</w:t>
            </w:r>
            <w:r w:rsidR="0036170C" w:rsidRPr="00C542D1">
              <w:rPr>
                <w:sz w:val="18"/>
                <w:szCs w:val="18"/>
                <w:lang w:val="fr-FR"/>
              </w:rPr>
              <w:t>’</w:t>
            </w:r>
            <w:r w:rsidRPr="00C542D1">
              <w:rPr>
                <w:sz w:val="18"/>
                <w:szCs w:val="18"/>
                <w:lang w:val="fr-FR"/>
              </w:rPr>
              <w:t>une évaluation d</w:t>
            </w:r>
            <w:r w:rsidR="0036170C" w:rsidRPr="00C542D1">
              <w:rPr>
                <w:sz w:val="18"/>
                <w:szCs w:val="18"/>
                <w:lang w:val="fr-FR"/>
              </w:rPr>
              <w:t>’</w:t>
            </w:r>
            <w:r w:rsidRPr="00C542D1">
              <w:rPr>
                <w:sz w:val="18"/>
                <w:szCs w:val="18"/>
                <w:lang w:val="fr-FR"/>
              </w:rPr>
              <w:t>une initiative</w:t>
            </w:r>
            <w:r w:rsidR="0036170C" w:rsidRPr="00C542D1">
              <w:rPr>
                <w:sz w:val="18"/>
                <w:szCs w:val="18"/>
                <w:lang w:val="fr-FR"/>
              </w:rPr>
              <w:t xml:space="preserve"> du PRS</w:t>
            </w:r>
            <w:r w:rsidRPr="00C542D1">
              <w:rPr>
                <w:sz w:val="18"/>
                <w:szCs w:val="18"/>
                <w:lang w:val="fr-FR"/>
              </w:rPr>
              <w:t xml:space="preserve"> concernant la valeur essentielle “Responsabilisation au service des résultats”.</w:t>
            </w:r>
            <w:r w:rsidR="006C6549" w:rsidRPr="00C542D1">
              <w:rPr>
                <w:sz w:val="18"/>
                <w:lang w:val="fr-FR"/>
              </w:rPr>
              <w:t xml:space="preserve">  </w:t>
            </w:r>
            <w:r w:rsidRPr="00C542D1">
              <w:rPr>
                <w:sz w:val="18"/>
                <w:szCs w:val="18"/>
                <w:lang w:val="fr-FR"/>
              </w:rPr>
              <w:t>La Division de la supervision interne a également achevé l</w:t>
            </w:r>
            <w:r w:rsidR="0036170C" w:rsidRPr="00C542D1">
              <w:rPr>
                <w:sz w:val="18"/>
                <w:szCs w:val="18"/>
                <w:lang w:val="fr-FR"/>
              </w:rPr>
              <w:t>’</w:t>
            </w:r>
            <w:r w:rsidRPr="00C542D1">
              <w:rPr>
                <w:sz w:val="18"/>
                <w:szCs w:val="18"/>
                <w:lang w:val="fr-FR"/>
              </w:rPr>
              <w:t>évaluation du partage des connaissances à l</w:t>
            </w:r>
            <w:r w:rsidR="0036170C" w:rsidRPr="00C542D1">
              <w:rPr>
                <w:sz w:val="18"/>
                <w:szCs w:val="18"/>
                <w:lang w:val="fr-FR"/>
              </w:rPr>
              <w:t>’</w:t>
            </w:r>
            <w:r w:rsidRPr="00C542D1">
              <w:rPr>
                <w:sz w:val="18"/>
                <w:szCs w:val="18"/>
                <w:lang w:val="fr-FR"/>
              </w:rPr>
              <w:t>OMPI qui concerne de près une autre valeur essentielle</w:t>
            </w:r>
            <w:r w:rsidR="0036170C" w:rsidRPr="00C542D1">
              <w:rPr>
                <w:sz w:val="18"/>
                <w:szCs w:val="18"/>
                <w:lang w:val="fr-FR"/>
              </w:rPr>
              <w:t xml:space="preserve"> du PRS</w:t>
            </w:r>
            <w:r w:rsidRPr="00C542D1">
              <w:rPr>
                <w:sz w:val="18"/>
                <w:szCs w:val="18"/>
                <w:lang w:val="fr-FR"/>
              </w:rPr>
              <w:t>, “Unis dans l</w:t>
            </w:r>
            <w:r w:rsidR="0036170C" w:rsidRPr="00C542D1">
              <w:rPr>
                <w:sz w:val="18"/>
                <w:szCs w:val="18"/>
                <w:lang w:val="fr-FR"/>
              </w:rPr>
              <w:t>’</w:t>
            </w:r>
            <w:r w:rsidRPr="00C542D1">
              <w:rPr>
                <w:sz w:val="18"/>
                <w:szCs w:val="18"/>
                <w:lang w:val="fr-FR"/>
              </w:rPr>
              <w:t xml:space="preserve">action”, et une de ses activités, “pour renforcer la communication interne”.  </w:t>
            </w:r>
            <w:r w:rsidR="00D64D6F" w:rsidRPr="00C542D1">
              <w:rPr>
                <w:sz w:val="18"/>
                <w:szCs w:val="18"/>
                <w:lang w:val="fr-FR"/>
              </w:rPr>
              <w:t>Elle</w:t>
            </w:r>
            <w:r w:rsidR="00701865" w:rsidRPr="00C542D1">
              <w:rPr>
                <w:sz w:val="18"/>
                <w:szCs w:val="18"/>
                <w:lang w:val="fr-FR"/>
              </w:rPr>
              <w:t xml:space="preserve"> a également achevé l</w:t>
            </w:r>
            <w:r w:rsidR="0036170C" w:rsidRPr="00C542D1">
              <w:rPr>
                <w:sz w:val="18"/>
                <w:szCs w:val="18"/>
                <w:lang w:val="fr-FR"/>
              </w:rPr>
              <w:t>’</w:t>
            </w:r>
            <w:r w:rsidR="00701865" w:rsidRPr="00C542D1">
              <w:rPr>
                <w:sz w:val="18"/>
                <w:szCs w:val="18"/>
                <w:lang w:val="fr-FR"/>
              </w:rPr>
              <w:t>évaluation du programme de récompenses et de reconnaissance en ce qui concerne deux</w:t>
            </w:r>
            <w:r w:rsidR="00DB0C8A" w:rsidRPr="00C542D1">
              <w:rPr>
                <w:sz w:val="18"/>
                <w:szCs w:val="18"/>
                <w:lang w:val="fr-FR"/>
              </w:rPr>
              <w:t> </w:t>
            </w:r>
            <w:r w:rsidR="00701865" w:rsidRPr="00C542D1">
              <w:rPr>
                <w:sz w:val="18"/>
                <w:szCs w:val="18"/>
                <w:lang w:val="fr-FR"/>
              </w:rPr>
              <w:t>activités</w:t>
            </w:r>
            <w:r w:rsidR="0036170C" w:rsidRPr="00C542D1">
              <w:rPr>
                <w:sz w:val="18"/>
                <w:szCs w:val="18"/>
                <w:lang w:val="fr-FR"/>
              </w:rPr>
              <w:t xml:space="preserve"> du PRS</w:t>
            </w:r>
            <w:r w:rsidR="00701865" w:rsidRPr="00C542D1">
              <w:rPr>
                <w:sz w:val="18"/>
                <w:szCs w:val="18"/>
                <w:lang w:val="fr-FR"/>
              </w:rPr>
              <w:t xml:space="preserve">, </w:t>
            </w:r>
            <w:r w:rsidR="0036170C" w:rsidRPr="00C542D1">
              <w:rPr>
                <w:sz w:val="18"/>
                <w:szCs w:val="18"/>
                <w:lang w:val="fr-FR"/>
              </w:rPr>
              <w:t>à savoir</w:t>
            </w:r>
            <w:r w:rsidR="00701865" w:rsidRPr="00C542D1">
              <w:rPr>
                <w:sz w:val="18"/>
                <w:szCs w:val="18"/>
                <w:lang w:val="fr-FR"/>
              </w:rPr>
              <w:t xml:space="preserve"> “Révision du cadre réglementaire pour la gestion des ressources humaines” et “Mise en œuvre</w:t>
            </w:r>
            <w:r w:rsidR="0036170C" w:rsidRPr="00C542D1">
              <w:rPr>
                <w:sz w:val="18"/>
                <w:szCs w:val="18"/>
                <w:lang w:val="fr-FR"/>
              </w:rPr>
              <w:t xml:space="preserve"> du PMS</w:t>
            </w:r>
            <w:r w:rsidR="00701865" w:rsidRPr="00C542D1">
              <w:rPr>
                <w:sz w:val="18"/>
                <w:szCs w:val="18"/>
                <w:lang w:val="fr-FR"/>
              </w:rPr>
              <w:t xml:space="preserve">DS” (activité mené au titre de la “Responsabilisation au service des résultats”). </w:t>
            </w:r>
            <w:r w:rsidR="00505E83" w:rsidRPr="00C542D1">
              <w:rPr>
                <w:sz w:val="18"/>
                <w:lang w:val="fr-FR"/>
              </w:rPr>
              <w:t xml:space="preserve"> </w:t>
            </w:r>
            <w:r w:rsidR="003263E1" w:rsidRPr="00C542D1">
              <w:rPr>
                <w:bCs/>
                <w:sz w:val="18"/>
                <w:szCs w:val="18"/>
                <w:lang w:val="fr-FR"/>
              </w:rPr>
              <w:t>Parmi les autres audits réalisés</w:t>
            </w:r>
            <w:r w:rsidR="00D64D6F" w:rsidRPr="00C542D1">
              <w:rPr>
                <w:bCs/>
                <w:sz w:val="18"/>
                <w:szCs w:val="18"/>
                <w:lang w:val="fr-FR"/>
              </w:rPr>
              <w:t>,</w:t>
            </w:r>
            <w:r w:rsidR="003263E1" w:rsidRPr="00C542D1">
              <w:rPr>
                <w:bCs/>
                <w:sz w:val="18"/>
                <w:szCs w:val="18"/>
                <w:lang w:val="fr-FR"/>
              </w:rPr>
              <w:t xml:space="preserve"> on peut citer un audit du programme de cessation volontaire de service et un audit de la migration des données vers le nouveau système de gestion des ressources humaines.  Les vérificateurs externes des comptes ont réalisé un audit de performance du système de gestion des ressources humaines.</w:t>
            </w:r>
          </w:p>
        </w:tc>
      </w:tr>
      <w:tr w:rsidR="00C542D1" w:rsidRPr="00C542D1" w:rsidTr="001136B1">
        <w:trPr>
          <w:trHeight w:val="2277"/>
        </w:trPr>
        <w:tc>
          <w:tcPr>
            <w:tcW w:w="1951" w:type="dxa"/>
            <w:tcMar>
              <w:top w:w="113" w:type="dxa"/>
            </w:tcMar>
          </w:tcPr>
          <w:p w:rsidR="00D51C8D" w:rsidRPr="00C542D1" w:rsidRDefault="003D07E6" w:rsidP="00C542D1">
            <w:pPr>
              <w:pStyle w:val="ONUME"/>
              <w:numPr>
                <w:ilvl w:val="0"/>
                <w:numId w:val="0"/>
              </w:numPr>
              <w:rPr>
                <w:sz w:val="18"/>
                <w:szCs w:val="18"/>
                <w:lang w:val="fr-FR"/>
              </w:rPr>
            </w:pPr>
            <w:r w:rsidRPr="00C542D1">
              <w:rPr>
                <w:sz w:val="18"/>
                <w:szCs w:val="18"/>
                <w:lang w:val="fr-FR"/>
              </w:rPr>
              <w:t xml:space="preserve">Recommandation n° 5.  </w:t>
            </w:r>
            <w:r w:rsidR="003263E1" w:rsidRPr="00C542D1">
              <w:rPr>
                <w:sz w:val="18"/>
                <w:szCs w:val="18"/>
                <w:lang w:val="fr-FR"/>
              </w:rPr>
              <w:t>Le Directeur général devrait achever, d</w:t>
            </w:r>
            <w:r w:rsidR="0036170C" w:rsidRPr="00C542D1">
              <w:rPr>
                <w:sz w:val="18"/>
                <w:szCs w:val="18"/>
                <w:lang w:val="fr-FR"/>
              </w:rPr>
              <w:t>’</w:t>
            </w:r>
            <w:r w:rsidR="003263E1" w:rsidRPr="00C542D1">
              <w:rPr>
                <w:sz w:val="18"/>
                <w:szCs w:val="18"/>
                <w:lang w:val="fr-FR"/>
              </w:rPr>
              <w:t>ici à la fin de</w:t>
            </w:r>
            <w:r w:rsidR="00DB0C8A" w:rsidRPr="00C542D1">
              <w:rPr>
                <w:sz w:val="18"/>
                <w:szCs w:val="18"/>
                <w:lang w:val="fr-FR"/>
              </w:rPr>
              <w:t> </w:t>
            </w:r>
            <w:r w:rsidR="003263E1" w:rsidRPr="00C542D1">
              <w:rPr>
                <w:sz w:val="18"/>
                <w:szCs w:val="18"/>
                <w:lang w:val="fr-FR"/>
              </w:rPr>
              <w:t>2015, la Politique de l</w:t>
            </w:r>
            <w:r w:rsidR="0036170C" w:rsidRPr="00C542D1">
              <w:rPr>
                <w:sz w:val="18"/>
                <w:szCs w:val="18"/>
                <w:lang w:val="fr-FR"/>
              </w:rPr>
              <w:t>’</w:t>
            </w:r>
            <w:r w:rsidR="003263E1" w:rsidRPr="00C542D1">
              <w:rPr>
                <w:sz w:val="18"/>
                <w:szCs w:val="18"/>
                <w:lang w:val="fr-FR"/>
              </w:rPr>
              <w:t>OMPI en matière de gestion des risques, ainsi que tous les éléments d</w:t>
            </w:r>
            <w:r w:rsidR="0036170C" w:rsidRPr="00C542D1">
              <w:rPr>
                <w:sz w:val="18"/>
                <w:szCs w:val="18"/>
                <w:lang w:val="fr-FR"/>
              </w:rPr>
              <w:t>’</w:t>
            </w:r>
            <w:r w:rsidR="003263E1" w:rsidRPr="00C542D1">
              <w:rPr>
                <w:sz w:val="18"/>
                <w:szCs w:val="18"/>
                <w:lang w:val="fr-FR"/>
              </w:rPr>
              <w:t>un cadre global de gestion des risques, et procéder à leur actualisation régulière.</w:t>
            </w:r>
          </w:p>
        </w:tc>
        <w:tc>
          <w:tcPr>
            <w:tcW w:w="1701" w:type="dxa"/>
            <w:tcMar>
              <w:top w:w="113" w:type="dxa"/>
            </w:tcMar>
          </w:tcPr>
          <w:p w:rsidR="00D51C8D" w:rsidRPr="00C542D1" w:rsidRDefault="003263E1" w:rsidP="00C542D1">
            <w:pPr>
              <w:pStyle w:val="ONUME"/>
              <w:numPr>
                <w:ilvl w:val="0"/>
                <w:numId w:val="0"/>
              </w:numPr>
              <w:rPr>
                <w:sz w:val="18"/>
                <w:szCs w:val="18"/>
                <w:lang w:val="fr-FR"/>
              </w:rPr>
            </w:pPr>
            <w:r w:rsidRPr="00C542D1">
              <w:rPr>
                <w:sz w:val="18"/>
                <w:szCs w:val="18"/>
                <w:lang w:val="fr-FR"/>
              </w:rPr>
              <w:t>Directeur de la planification des programmes et des finances (vérificateur)</w:t>
            </w:r>
          </w:p>
        </w:tc>
        <w:tc>
          <w:tcPr>
            <w:tcW w:w="1287" w:type="dxa"/>
            <w:tcMar>
              <w:top w:w="113" w:type="dxa"/>
            </w:tcMar>
          </w:tcPr>
          <w:p w:rsidR="00D51C8D" w:rsidRPr="00C542D1" w:rsidRDefault="003263E1" w:rsidP="00C542D1">
            <w:pPr>
              <w:pStyle w:val="ONUME"/>
              <w:numPr>
                <w:ilvl w:val="0"/>
                <w:numId w:val="0"/>
              </w:numPr>
              <w:rPr>
                <w:sz w:val="18"/>
                <w:szCs w:val="18"/>
                <w:lang w:val="fr-FR"/>
              </w:rPr>
            </w:pPr>
            <w:r w:rsidRPr="00C542D1">
              <w:rPr>
                <w:sz w:val="18"/>
                <w:szCs w:val="18"/>
                <w:lang w:val="fr-FR"/>
              </w:rPr>
              <w:t>Accepté</w:t>
            </w:r>
            <w:r w:rsidR="00DC7973" w:rsidRPr="00C542D1">
              <w:rPr>
                <w:sz w:val="18"/>
                <w:szCs w:val="18"/>
                <w:lang w:val="fr-FR"/>
              </w:rPr>
              <w:t>e</w:t>
            </w:r>
          </w:p>
        </w:tc>
        <w:tc>
          <w:tcPr>
            <w:tcW w:w="1548" w:type="dxa"/>
            <w:tcMar>
              <w:top w:w="113" w:type="dxa"/>
            </w:tcMar>
          </w:tcPr>
          <w:p w:rsidR="00D51C8D" w:rsidRPr="00C542D1" w:rsidRDefault="003263E1" w:rsidP="00C542D1">
            <w:pPr>
              <w:pStyle w:val="ONUME"/>
              <w:numPr>
                <w:ilvl w:val="0"/>
                <w:numId w:val="0"/>
              </w:numPr>
              <w:rPr>
                <w:sz w:val="18"/>
                <w:szCs w:val="18"/>
                <w:lang w:val="fr-FR"/>
              </w:rPr>
            </w:pPr>
            <w:r w:rsidRPr="00C542D1">
              <w:rPr>
                <w:sz w:val="18"/>
                <w:szCs w:val="18"/>
                <w:lang w:val="fr-FR"/>
              </w:rPr>
              <w:t>Mis</w:t>
            </w:r>
            <w:r w:rsidR="00DC7973" w:rsidRPr="00C542D1">
              <w:rPr>
                <w:sz w:val="18"/>
                <w:szCs w:val="18"/>
                <w:lang w:val="fr-FR"/>
              </w:rPr>
              <w:t>e</w:t>
            </w:r>
            <w:r w:rsidRPr="00C542D1">
              <w:rPr>
                <w:sz w:val="18"/>
                <w:szCs w:val="18"/>
                <w:lang w:val="fr-FR"/>
              </w:rPr>
              <w:t xml:space="preserve"> en </w:t>
            </w:r>
            <w:r w:rsidR="00505E83" w:rsidRPr="00C542D1">
              <w:rPr>
                <w:sz w:val="18"/>
                <w:szCs w:val="18"/>
                <w:lang w:val="fr-FR"/>
              </w:rPr>
              <w:t xml:space="preserve">œuvre </w:t>
            </w:r>
          </w:p>
        </w:tc>
        <w:tc>
          <w:tcPr>
            <w:tcW w:w="3084" w:type="dxa"/>
            <w:tcMar>
              <w:top w:w="113" w:type="dxa"/>
            </w:tcMar>
          </w:tcPr>
          <w:p w:rsidR="00D51C8D" w:rsidRPr="00C542D1" w:rsidRDefault="00837F01" w:rsidP="00C542D1">
            <w:pPr>
              <w:pStyle w:val="ONUME"/>
              <w:numPr>
                <w:ilvl w:val="0"/>
                <w:numId w:val="0"/>
              </w:numPr>
              <w:rPr>
                <w:sz w:val="18"/>
                <w:szCs w:val="18"/>
                <w:lang w:val="fr-FR"/>
              </w:rPr>
            </w:pPr>
            <w:r w:rsidRPr="00C542D1">
              <w:rPr>
                <w:sz w:val="18"/>
                <w:szCs w:val="18"/>
                <w:lang w:val="fr-FR"/>
              </w:rPr>
              <w:t>L</w:t>
            </w:r>
            <w:r w:rsidR="0036170C" w:rsidRPr="00C542D1">
              <w:rPr>
                <w:sz w:val="18"/>
                <w:szCs w:val="18"/>
                <w:lang w:val="fr-FR"/>
              </w:rPr>
              <w:t>’</w:t>
            </w:r>
            <w:r w:rsidRPr="00C542D1">
              <w:rPr>
                <w:sz w:val="18"/>
                <w:szCs w:val="18"/>
                <w:lang w:val="fr-FR"/>
              </w:rPr>
              <w:t>OMPI a mis en place tous les éléments d</w:t>
            </w:r>
            <w:r w:rsidR="0036170C" w:rsidRPr="00C542D1">
              <w:rPr>
                <w:sz w:val="18"/>
                <w:szCs w:val="18"/>
                <w:lang w:val="fr-FR"/>
              </w:rPr>
              <w:t>’</w:t>
            </w:r>
            <w:r w:rsidRPr="00C542D1">
              <w:rPr>
                <w:sz w:val="18"/>
                <w:szCs w:val="18"/>
                <w:lang w:val="fr-FR"/>
              </w:rPr>
              <w:t xml:space="preserve">un cadre global de gestion des risques (Groupe de gestion des risques, tolérance au risque, Politique en matière de gestion des risques, </w:t>
            </w:r>
            <w:r w:rsidR="00DC7973" w:rsidRPr="00C542D1">
              <w:rPr>
                <w:sz w:val="18"/>
                <w:szCs w:val="18"/>
                <w:lang w:val="fr-FR"/>
              </w:rPr>
              <w:t>M</w:t>
            </w:r>
            <w:r w:rsidRPr="00C542D1">
              <w:rPr>
                <w:sz w:val="18"/>
                <w:szCs w:val="18"/>
                <w:lang w:val="fr-FR"/>
              </w:rPr>
              <w:t>anuel de la gestion des risques et du contrôle interne), et le risque fait partie intégrante du processus de gestion axée sur les résultats.</w:t>
            </w:r>
            <w:r w:rsidR="002F4C82" w:rsidRPr="00C542D1">
              <w:rPr>
                <w:sz w:val="18"/>
                <w:lang w:val="fr-FR"/>
              </w:rPr>
              <w:t xml:space="preserve">  </w:t>
            </w:r>
            <w:r w:rsidR="004E0C83" w:rsidRPr="00C542D1">
              <w:rPr>
                <w:sz w:val="18"/>
                <w:szCs w:val="18"/>
                <w:lang w:val="fr-FR"/>
              </w:rPr>
              <w:t xml:space="preserve">La Déclaration relative à la tolérance au risque </w:t>
            </w:r>
            <w:r w:rsidR="00D64D6F" w:rsidRPr="00C542D1">
              <w:rPr>
                <w:sz w:val="18"/>
                <w:szCs w:val="18"/>
                <w:lang w:val="fr-FR"/>
              </w:rPr>
              <w:t>de l</w:t>
            </w:r>
            <w:r w:rsidR="0036170C" w:rsidRPr="00C542D1">
              <w:rPr>
                <w:sz w:val="18"/>
                <w:szCs w:val="18"/>
                <w:lang w:val="fr-FR"/>
              </w:rPr>
              <w:t>’</w:t>
            </w:r>
            <w:r w:rsidR="00D64D6F" w:rsidRPr="00C542D1">
              <w:rPr>
                <w:sz w:val="18"/>
                <w:szCs w:val="18"/>
                <w:lang w:val="fr-FR"/>
              </w:rPr>
              <w:t xml:space="preserve">OMPI </w:t>
            </w:r>
            <w:r w:rsidR="004E0C83" w:rsidRPr="00C542D1">
              <w:rPr>
                <w:sz w:val="18"/>
                <w:szCs w:val="18"/>
                <w:lang w:val="fr-FR"/>
              </w:rPr>
              <w:t xml:space="preserve">a été présentée </w:t>
            </w:r>
            <w:r w:rsidR="00DC7973" w:rsidRPr="00C542D1">
              <w:rPr>
                <w:sz w:val="18"/>
                <w:szCs w:val="18"/>
                <w:lang w:val="fr-FR"/>
              </w:rPr>
              <w:t>aux États membres (document WO/PBC/22/17) qui l’ont</w:t>
            </w:r>
            <w:r w:rsidR="004E0C83" w:rsidRPr="00C542D1">
              <w:rPr>
                <w:sz w:val="18"/>
                <w:szCs w:val="18"/>
                <w:lang w:val="fr-FR"/>
              </w:rPr>
              <w:t xml:space="preserve"> examinée en </w:t>
            </w:r>
            <w:r w:rsidR="0036170C" w:rsidRPr="00C542D1">
              <w:rPr>
                <w:sz w:val="18"/>
                <w:szCs w:val="18"/>
                <w:lang w:val="fr-FR"/>
              </w:rPr>
              <w:t>septembre 20</w:t>
            </w:r>
            <w:r w:rsidR="004E0C83" w:rsidRPr="00C542D1">
              <w:rPr>
                <w:sz w:val="18"/>
                <w:szCs w:val="18"/>
                <w:lang w:val="fr-FR"/>
              </w:rPr>
              <w:t>14 et les processus de gestion de</w:t>
            </w:r>
            <w:r w:rsidR="00DC7973" w:rsidRPr="00C542D1">
              <w:rPr>
                <w:sz w:val="18"/>
                <w:szCs w:val="18"/>
                <w:lang w:val="fr-FR"/>
              </w:rPr>
              <w:t>s</w:t>
            </w:r>
            <w:r w:rsidR="004E0C83" w:rsidRPr="00C542D1">
              <w:rPr>
                <w:sz w:val="18"/>
                <w:szCs w:val="18"/>
                <w:lang w:val="fr-FR"/>
              </w:rPr>
              <w:t xml:space="preserve"> risques de l</w:t>
            </w:r>
            <w:r w:rsidR="0036170C" w:rsidRPr="00C542D1">
              <w:rPr>
                <w:sz w:val="18"/>
                <w:szCs w:val="18"/>
                <w:lang w:val="fr-FR"/>
              </w:rPr>
              <w:t>’</w:t>
            </w:r>
            <w:r w:rsidR="004E0C83" w:rsidRPr="00C542D1">
              <w:rPr>
                <w:sz w:val="18"/>
                <w:szCs w:val="18"/>
                <w:lang w:val="fr-FR"/>
              </w:rPr>
              <w:t xml:space="preserve">Organisation sont désormais pleinement </w:t>
            </w:r>
            <w:r w:rsidR="00DC7973" w:rsidRPr="00C542D1">
              <w:rPr>
                <w:sz w:val="18"/>
                <w:szCs w:val="18"/>
                <w:lang w:val="fr-FR"/>
              </w:rPr>
              <w:t xml:space="preserve">intégrés à </w:t>
            </w:r>
            <w:r w:rsidR="004E0C83" w:rsidRPr="00C542D1">
              <w:rPr>
                <w:sz w:val="18"/>
                <w:szCs w:val="18"/>
                <w:lang w:val="fr-FR"/>
              </w:rPr>
              <w:t xml:space="preserve">un système de gestion des risques au niveau </w:t>
            </w:r>
            <w:r w:rsidR="004E0C83" w:rsidRPr="00C542D1">
              <w:rPr>
                <w:sz w:val="18"/>
                <w:szCs w:val="18"/>
                <w:lang w:val="fr-FR"/>
              </w:rPr>
              <w:lastRenderedPageBreak/>
              <w:t>de l</w:t>
            </w:r>
            <w:r w:rsidR="0036170C" w:rsidRPr="00C542D1">
              <w:rPr>
                <w:sz w:val="18"/>
                <w:szCs w:val="18"/>
                <w:lang w:val="fr-FR"/>
              </w:rPr>
              <w:t>’</w:t>
            </w:r>
            <w:r w:rsidR="004E0C83" w:rsidRPr="00C542D1">
              <w:rPr>
                <w:sz w:val="18"/>
                <w:szCs w:val="18"/>
                <w:lang w:val="fr-FR"/>
              </w:rPr>
              <w:t>Organisation.</w:t>
            </w:r>
            <w:r w:rsidR="000A5901" w:rsidRPr="00C542D1">
              <w:rPr>
                <w:sz w:val="18"/>
                <w:lang w:val="fr-FR"/>
              </w:rPr>
              <w:t xml:space="preserve"> </w:t>
            </w:r>
            <w:r w:rsidR="00DB0C8A" w:rsidRPr="00C542D1">
              <w:rPr>
                <w:sz w:val="18"/>
                <w:szCs w:val="18"/>
                <w:lang w:val="fr-FR"/>
              </w:rPr>
              <w:t xml:space="preserve"> </w:t>
            </w:r>
          </w:p>
        </w:tc>
      </w:tr>
      <w:tr w:rsidR="00C542D1" w:rsidRPr="00C542D1" w:rsidTr="001136B1">
        <w:tc>
          <w:tcPr>
            <w:tcW w:w="1951" w:type="dxa"/>
            <w:tcMar>
              <w:top w:w="113" w:type="dxa"/>
            </w:tcMar>
          </w:tcPr>
          <w:p w:rsidR="00D51C8D" w:rsidRPr="00C542D1" w:rsidRDefault="003D07E6" w:rsidP="00C542D1">
            <w:pPr>
              <w:rPr>
                <w:sz w:val="18"/>
                <w:szCs w:val="18"/>
                <w:lang w:val="fr-FR"/>
              </w:rPr>
            </w:pPr>
            <w:r w:rsidRPr="00C542D1">
              <w:rPr>
                <w:sz w:val="18"/>
                <w:szCs w:val="18"/>
                <w:lang w:val="fr-FR"/>
              </w:rPr>
              <w:lastRenderedPageBreak/>
              <w:t>Recommandation n° </w:t>
            </w:r>
            <w:r w:rsidR="004E0C83" w:rsidRPr="00C542D1">
              <w:rPr>
                <w:sz w:val="18"/>
                <w:szCs w:val="18"/>
                <w:lang w:val="fr-FR"/>
              </w:rPr>
              <w:t>6.  Le Comité de coordination devrait réviser les principes actuellement en vigueur concernant la répartition géographique, afin d</w:t>
            </w:r>
            <w:r w:rsidR="0036170C" w:rsidRPr="00C542D1">
              <w:rPr>
                <w:sz w:val="18"/>
                <w:szCs w:val="18"/>
                <w:lang w:val="fr-FR"/>
              </w:rPr>
              <w:t>’</w:t>
            </w:r>
            <w:r w:rsidR="004E0C83" w:rsidRPr="00C542D1">
              <w:rPr>
                <w:sz w:val="18"/>
                <w:szCs w:val="18"/>
                <w:lang w:val="fr-FR"/>
              </w:rPr>
              <w:t>assurer une plus large diversité géographique parmi les effectifs de l</w:t>
            </w:r>
            <w:r w:rsidR="0036170C" w:rsidRPr="00C542D1">
              <w:rPr>
                <w:sz w:val="18"/>
                <w:szCs w:val="18"/>
                <w:lang w:val="fr-FR"/>
              </w:rPr>
              <w:t>’</w:t>
            </w:r>
            <w:r w:rsidR="004E0C83" w:rsidRPr="00C542D1">
              <w:rPr>
                <w:sz w:val="18"/>
                <w:szCs w:val="18"/>
                <w:lang w:val="fr-FR"/>
              </w:rPr>
              <w:t>OMPI relevant de la catégorie des administrateurs.</w:t>
            </w:r>
          </w:p>
        </w:tc>
        <w:tc>
          <w:tcPr>
            <w:tcW w:w="1701" w:type="dxa"/>
            <w:tcMar>
              <w:top w:w="113" w:type="dxa"/>
            </w:tcMar>
          </w:tcPr>
          <w:p w:rsidR="00D51C8D" w:rsidRPr="00C542D1" w:rsidRDefault="004E0C83" w:rsidP="00C542D1">
            <w:pPr>
              <w:pStyle w:val="ONUME"/>
              <w:numPr>
                <w:ilvl w:val="0"/>
                <w:numId w:val="0"/>
              </w:numPr>
              <w:rPr>
                <w:sz w:val="18"/>
                <w:szCs w:val="18"/>
                <w:lang w:val="fr-FR"/>
              </w:rPr>
            </w:pPr>
            <w:r w:rsidRPr="00C542D1">
              <w:rPr>
                <w:sz w:val="18"/>
                <w:szCs w:val="18"/>
                <w:lang w:val="fr-FR"/>
              </w:rPr>
              <w:t>Directeur du Département de la gestion des ressources humaines</w:t>
            </w:r>
          </w:p>
        </w:tc>
        <w:tc>
          <w:tcPr>
            <w:tcW w:w="1287" w:type="dxa"/>
            <w:tcMar>
              <w:top w:w="113" w:type="dxa"/>
            </w:tcMar>
          </w:tcPr>
          <w:p w:rsidR="00D51C8D" w:rsidRPr="00C542D1" w:rsidRDefault="004E0C83" w:rsidP="00C542D1">
            <w:pPr>
              <w:pStyle w:val="ONUME"/>
              <w:numPr>
                <w:ilvl w:val="0"/>
                <w:numId w:val="0"/>
              </w:numPr>
              <w:rPr>
                <w:sz w:val="18"/>
                <w:szCs w:val="18"/>
                <w:lang w:val="fr-FR"/>
              </w:rPr>
            </w:pPr>
            <w:r w:rsidRPr="00C542D1">
              <w:rPr>
                <w:sz w:val="18"/>
                <w:szCs w:val="18"/>
                <w:lang w:val="fr-FR"/>
              </w:rPr>
              <w:t>À l</w:t>
            </w:r>
            <w:r w:rsidR="0036170C" w:rsidRPr="00C542D1">
              <w:rPr>
                <w:sz w:val="18"/>
                <w:szCs w:val="18"/>
                <w:lang w:val="fr-FR"/>
              </w:rPr>
              <w:t>’</w:t>
            </w:r>
            <w:r w:rsidRPr="00C542D1">
              <w:rPr>
                <w:sz w:val="18"/>
                <w:szCs w:val="18"/>
                <w:lang w:val="fr-FR"/>
              </w:rPr>
              <w:t>étude</w:t>
            </w:r>
          </w:p>
        </w:tc>
        <w:tc>
          <w:tcPr>
            <w:tcW w:w="1548" w:type="dxa"/>
            <w:tcMar>
              <w:top w:w="113" w:type="dxa"/>
            </w:tcMar>
          </w:tcPr>
          <w:p w:rsidR="00D51C8D" w:rsidRPr="00C542D1" w:rsidRDefault="00D51C8D" w:rsidP="00C542D1">
            <w:pPr>
              <w:pStyle w:val="ONUME"/>
              <w:numPr>
                <w:ilvl w:val="0"/>
                <w:numId w:val="0"/>
              </w:numPr>
              <w:rPr>
                <w:sz w:val="18"/>
                <w:szCs w:val="18"/>
                <w:lang w:val="fr-FR"/>
              </w:rPr>
            </w:pPr>
          </w:p>
        </w:tc>
        <w:tc>
          <w:tcPr>
            <w:tcW w:w="3084" w:type="dxa"/>
            <w:tcMar>
              <w:top w:w="113" w:type="dxa"/>
              <w:bottom w:w="113" w:type="dxa"/>
            </w:tcMar>
          </w:tcPr>
          <w:p w:rsidR="00D51C8D" w:rsidRPr="00C542D1" w:rsidRDefault="004E0C83" w:rsidP="00C542D1">
            <w:pPr>
              <w:pStyle w:val="ONUME"/>
              <w:numPr>
                <w:ilvl w:val="0"/>
                <w:numId w:val="0"/>
              </w:numPr>
              <w:rPr>
                <w:sz w:val="18"/>
                <w:szCs w:val="18"/>
                <w:lang w:val="fr-FR"/>
              </w:rPr>
            </w:pPr>
            <w:r w:rsidRPr="00C542D1">
              <w:rPr>
                <w:sz w:val="18"/>
                <w:szCs w:val="18"/>
                <w:lang w:val="fr-FR"/>
              </w:rPr>
              <w:t>Le 3</w:t>
            </w:r>
            <w:r w:rsidR="0036170C" w:rsidRPr="00C542D1">
              <w:rPr>
                <w:sz w:val="18"/>
                <w:szCs w:val="18"/>
                <w:lang w:val="fr-FR"/>
              </w:rPr>
              <w:t>0 mai 20</w:t>
            </w:r>
            <w:r w:rsidRPr="00C542D1">
              <w:rPr>
                <w:sz w:val="18"/>
                <w:szCs w:val="18"/>
                <w:lang w:val="fr-FR"/>
              </w:rPr>
              <w:t>14, le Directeur général de l</w:t>
            </w:r>
            <w:r w:rsidR="0036170C" w:rsidRPr="00C542D1">
              <w:rPr>
                <w:sz w:val="18"/>
                <w:szCs w:val="18"/>
                <w:lang w:val="fr-FR"/>
              </w:rPr>
              <w:t>’</w:t>
            </w:r>
            <w:r w:rsidRPr="00C542D1">
              <w:rPr>
                <w:sz w:val="18"/>
                <w:szCs w:val="18"/>
                <w:lang w:val="fr-FR"/>
              </w:rPr>
              <w:t>OMPI a adressé un courrier au président du Comité de coordination de l</w:t>
            </w:r>
            <w:r w:rsidR="0036170C" w:rsidRPr="00C542D1">
              <w:rPr>
                <w:sz w:val="18"/>
                <w:szCs w:val="18"/>
                <w:lang w:val="fr-FR"/>
              </w:rPr>
              <w:t>’</w:t>
            </w:r>
            <w:r w:rsidRPr="00C542D1">
              <w:rPr>
                <w:sz w:val="18"/>
                <w:szCs w:val="18"/>
                <w:lang w:val="fr-FR"/>
              </w:rPr>
              <w:t>OMPI pour appeler son attention sur cette recommandation.</w:t>
            </w:r>
          </w:p>
        </w:tc>
      </w:tr>
      <w:tr w:rsidR="00C542D1" w:rsidRPr="00C542D1" w:rsidTr="00625389">
        <w:tc>
          <w:tcPr>
            <w:tcW w:w="1951" w:type="dxa"/>
            <w:tcMar>
              <w:top w:w="113" w:type="dxa"/>
            </w:tcMar>
          </w:tcPr>
          <w:p w:rsidR="00D51C8D" w:rsidRPr="00C542D1" w:rsidRDefault="003D07E6" w:rsidP="00C542D1">
            <w:pPr>
              <w:pStyle w:val="ONUME"/>
              <w:numPr>
                <w:ilvl w:val="0"/>
                <w:numId w:val="0"/>
              </w:numPr>
              <w:rPr>
                <w:sz w:val="18"/>
                <w:szCs w:val="18"/>
                <w:lang w:val="fr-FR"/>
              </w:rPr>
            </w:pPr>
            <w:r w:rsidRPr="00C542D1">
              <w:rPr>
                <w:sz w:val="18"/>
                <w:szCs w:val="18"/>
                <w:lang w:val="fr-FR"/>
              </w:rPr>
              <w:t xml:space="preserve">Recommandation n° 7.  </w:t>
            </w:r>
            <w:r w:rsidR="004E0C83" w:rsidRPr="00C542D1">
              <w:rPr>
                <w:sz w:val="18"/>
                <w:szCs w:val="18"/>
                <w:lang w:val="fr-FR"/>
              </w:rPr>
              <w:t>Sur la base des conseils dispensés par le Comité de coordination, le Directeur général devrait élaborer, d</w:t>
            </w:r>
            <w:r w:rsidR="0036170C" w:rsidRPr="00C542D1">
              <w:rPr>
                <w:sz w:val="18"/>
                <w:szCs w:val="18"/>
                <w:lang w:val="fr-FR"/>
              </w:rPr>
              <w:t>’</w:t>
            </w:r>
            <w:r w:rsidR="004E0C83" w:rsidRPr="00C542D1">
              <w:rPr>
                <w:sz w:val="18"/>
                <w:szCs w:val="18"/>
                <w:lang w:val="fr-FR"/>
              </w:rPr>
              <w:t>ici à la fin de</w:t>
            </w:r>
            <w:r w:rsidR="00DB0C8A" w:rsidRPr="00C542D1">
              <w:rPr>
                <w:sz w:val="18"/>
                <w:szCs w:val="18"/>
                <w:lang w:val="fr-FR"/>
              </w:rPr>
              <w:t> </w:t>
            </w:r>
            <w:r w:rsidR="004E0C83" w:rsidRPr="00C542D1">
              <w:rPr>
                <w:sz w:val="18"/>
                <w:szCs w:val="18"/>
                <w:lang w:val="fr-FR"/>
              </w:rPr>
              <w:t>2015, un plan d</w:t>
            </w:r>
            <w:r w:rsidR="0036170C" w:rsidRPr="00C542D1">
              <w:rPr>
                <w:sz w:val="18"/>
                <w:szCs w:val="18"/>
                <w:lang w:val="fr-FR"/>
              </w:rPr>
              <w:t>’</w:t>
            </w:r>
            <w:r w:rsidR="004E0C83" w:rsidRPr="00C542D1">
              <w:rPr>
                <w:sz w:val="18"/>
                <w:szCs w:val="18"/>
                <w:lang w:val="fr-FR"/>
              </w:rPr>
              <w:t>action assorti de mesures et de cibles précises, afin d</w:t>
            </w:r>
            <w:r w:rsidR="0036170C" w:rsidRPr="00C542D1">
              <w:rPr>
                <w:sz w:val="18"/>
                <w:szCs w:val="18"/>
                <w:lang w:val="fr-FR"/>
              </w:rPr>
              <w:t>’</w:t>
            </w:r>
            <w:r w:rsidR="004E0C83" w:rsidRPr="00C542D1">
              <w:rPr>
                <w:sz w:val="18"/>
                <w:szCs w:val="18"/>
                <w:lang w:val="fr-FR"/>
              </w:rPr>
              <w:t>accroître la diversité géographique des agents de la catégorie des administrateurs, et présenter un rapport annuel sur sa mise en œuvre.</w:t>
            </w:r>
          </w:p>
        </w:tc>
        <w:tc>
          <w:tcPr>
            <w:tcW w:w="1701" w:type="dxa"/>
            <w:tcMar>
              <w:top w:w="113" w:type="dxa"/>
            </w:tcMar>
          </w:tcPr>
          <w:p w:rsidR="00D51C8D" w:rsidRPr="00C542D1" w:rsidRDefault="004E0C83" w:rsidP="00C542D1">
            <w:pPr>
              <w:pStyle w:val="ONUME"/>
              <w:numPr>
                <w:ilvl w:val="0"/>
                <w:numId w:val="0"/>
              </w:numPr>
              <w:rPr>
                <w:sz w:val="18"/>
                <w:szCs w:val="18"/>
                <w:lang w:val="fr-FR"/>
              </w:rPr>
            </w:pPr>
            <w:r w:rsidRPr="00C542D1">
              <w:rPr>
                <w:sz w:val="18"/>
                <w:szCs w:val="18"/>
                <w:lang w:val="fr-FR"/>
              </w:rPr>
              <w:t>Directeur du Département de la gestion des ressources humaines</w:t>
            </w:r>
          </w:p>
        </w:tc>
        <w:tc>
          <w:tcPr>
            <w:tcW w:w="1287" w:type="dxa"/>
            <w:tcMar>
              <w:top w:w="113" w:type="dxa"/>
            </w:tcMar>
          </w:tcPr>
          <w:p w:rsidR="00D51C8D" w:rsidRPr="00C542D1" w:rsidRDefault="004E0C83" w:rsidP="00C542D1">
            <w:pPr>
              <w:pStyle w:val="ONUME"/>
              <w:numPr>
                <w:ilvl w:val="0"/>
                <w:numId w:val="0"/>
              </w:numPr>
              <w:rPr>
                <w:sz w:val="18"/>
                <w:szCs w:val="18"/>
                <w:lang w:val="fr-FR"/>
              </w:rPr>
            </w:pPr>
            <w:r w:rsidRPr="00C542D1">
              <w:rPr>
                <w:sz w:val="18"/>
                <w:szCs w:val="18"/>
                <w:lang w:val="fr-FR"/>
              </w:rPr>
              <w:t>Accepté</w:t>
            </w:r>
            <w:r w:rsidR="00DC7973" w:rsidRPr="00C542D1">
              <w:rPr>
                <w:sz w:val="18"/>
                <w:szCs w:val="18"/>
                <w:lang w:val="fr-FR"/>
              </w:rPr>
              <w:t>e</w:t>
            </w:r>
          </w:p>
        </w:tc>
        <w:tc>
          <w:tcPr>
            <w:tcW w:w="1548" w:type="dxa"/>
            <w:tcMar>
              <w:top w:w="113" w:type="dxa"/>
            </w:tcMar>
          </w:tcPr>
          <w:p w:rsidR="00D51C8D" w:rsidRPr="00C542D1" w:rsidRDefault="004E0C83" w:rsidP="00C542D1">
            <w:pPr>
              <w:pStyle w:val="ONUME"/>
              <w:numPr>
                <w:ilvl w:val="0"/>
                <w:numId w:val="0"/>
              </w:numPr>
              <w:rPr>
                <w:sz w:val="18"/>
                <w:szCs w:val="18"/>
                <w:lang w:val="fr-FR"/>
              </w:rPr>
            </w:pPr>
            <w:r w:rsidRPr="00C542D1">
              <w:rPr>
                <w:sz w:val="18"/>
                <w:szCs w:val="18"/>
                <w:lang w:val="fr-FR"/>
              </w:rPr>
              <w:t>En cours</w:t>
            </w:r>
          </w:p>
        </w:tc>
        <w:tc>
          <w:tcPr>
            <w:tcW w:w="3084" w:type="dxa"/>
            <w:tcMar>
              <w:top w:w="113" w:type="dxa"/>
              <w:bottom w:w="113" w:type="dxa"/>
            </w:tcMar>
          </w:tcPr>
          <w:p w:rsidR="002F4C82" w:rsidRPr="00C542D1" w:rsidRDefault="004E0C83" w:rsidP="00C542D1">
            <w:pPr>
              <w:pStyle w:val="ONUME"/>
              <w:numPr>
                <w:ilvl w:val="0"/>
                <w:numId w:val="0"/>
              </w:numPr>
              <w:spacing w:after="0"/>
              <w:rPr>
                <w:sz w:val="18"/>
                <w:szCs w:val="18"/>
                <w:lang w:val="fr-FR"/>
              </w:rPr>
            </w:pPr>
            <w:r w:rsidRPr="00C542D1">
              <w:rPr>
                <w:sz w:val="18"/>
                <w:szCs w:val="18"/>
                <w:lang w:val="fr-FR"/>
              </w:rPr>
              <w:t>Un plan d</w:t>
            </w:r>
            <w:r w:rsidR="0036170C" w:rsidRPr="00C542D1">
              <w:rPr>
                <w:sz w:val="18"/>
                <w:szCs w:val="18"/>
                <w:lang w:val="fr-FR"/>
              </w:rPr>
              <w:t>’</w:t>
            </w:r>
            <w:r w:rsidRPr="00C542D1">
              <w:rPr>
                <w:sz w:val="18"/>
                <w:szCs w:val="18"/>
                <w:lang w:val="fr-FR"/>
              </w:rPr>
              <w:t>action sera élaboré en concertation avec les États membres afin d</w:t>
            </w:r>
            <w:r w:rsidR="0036170C" w:rsidRPr="00C542D1">
              <w:rPr>
                <w:sz w:val="18"/>
                <w:szCs w:val="18"/>
                <w:lang w:val="fr-FR"/>
              </w:rPr>
              <w:t>’</w:t>
            </w:r>
            <w:r w:rsidRPr="00C542D1">
              <w:rPr>
                <w:sz w:val="18"/>
                <w:szCs w:val="18"/>
                <w:lang w:val="fr-FR"/>
              </w:rPr>
              <w:t xml:space="preserve">accroître la diversité géographique des agents de la catégorie des administrateurs.  Des campagnes de sensibilisation ont été </w:t>
            </w:r>
            <w:proofErr w:type="gramStart"/>
            <w:r w:rsidRPr="00C542D1">
              <w:rPr>
                <w:sz w:val="18"/>
                <w:szCs w:val="18"/>
                <w:lang w:val="fr-FR"/>
              </w:rPr>
              <w:t>lancées</w:t>
            </w:r>
            <w:proofErr w:type="gramEnd"/>
            <w:r w:rsidRPr="00C542D1">
              <w:rPr>
                <w:sz w:val="18"/>
                <w:szCs w:val="18"/>
                <w:lang w:val="fr-FR"/>
              </w:rPr>
              <w:t xml:space="preserve"> auprès des États membres et les échanges ont été renforcés en </w:t>
            </w:r>
            <w:r w:rsidR="0036170C" w:rsidRPr="00C542D1">
              <w:rPr>
                <w:sz w:val="18"/>
                <w:szCs w:val="18"/>
                <w:lang w:val="fr-FR"/>
              </w:rPr>
              <w:t>octobre 20</w:t>
            </w:r>
            <w:r w:rsidRPr="00C542D1">
              <w:rPr>
                <w:sz w:val="18"/>
                <w:szCs w:val="18"/>
                <w:lang w:val="fr-FR"/>
              </w:rPr>
              <w:t>13 et se poursuivront en</w:t>
            </w:r>
            <w:r w:rsidR="00DB0C8A" w:rsidRPr="00C542D1">
              <w:rPr>
                <w:sz w:val="18"/>
                <w:szCs w:val="18"/>
                <w:lang w:val="fr-FR"/>
              </w:rPr>
              <w:t> </w:t>
            </w:r>
            <w:r w:rsidRPr="00C542D1">
              <w:rPr>
                <w:sz w:val="18"/>
                <w:szCs w:val="18"/>
                <w:lang w:val="fr-FR"/>
              </w:rPr>
              <w:t>2014</w:t>
            </w:r>
            <w:r w:rsidR="0011003C" w:rsidRPr="00C542D1">
              <w:rPr>
                <w:sz w:val="18"/>
                <w:szCs w:val="18"/>
                <w:lang w:val="fr-FR"/>
              </w:rPr>
              <w:noBreakHyphen/>
            </w:r>
            <w:r w:rsidRPr="00C542D1">
              <w:rPr>
                <w:sz w:val="18"/>
                <w:szCs w:val="18"/>
                <w:lang w:val="fr-FR"/>
              </w:rPr>
              <w:t>2015 dans le but d</w:t>
            </w:r>
            <w:r w:rsidR="0036170C" w:rsidRPr="00C542D1">
              <w:rPr>
                <w:sz w:val="18"/>
                <w:szCs w:val="18"/>
                <w:lang w:val="fr-FR"/>
              </w:rPr>
              <w:t>’</w:t>
            </w:r>
            <w:r w:rsidRPr="00C542D1">
              <w:rPr>
                <w:sz w:val="18"/>
                <w:szCs w:val="18"/>
                <w:lang w:val="fr-FR"/>
              </w:rPr>
              <w:t>accroître la diversité géographique de l</w:t>
            </w:r>
            <w:r w:rsidR="0036170C" w:rsidRPr="00C542D1">
              <w:rPr>
                <w:sz w:val="18"/>
                <w:szCs w:val="18"/>
                <w:lang w:val="fr-FR"/>
              </w:rPr>
              <w:t>’</w:t>
            </w:r>
            <w:r w:rsidRPr="00C542D1">
              <w:rPr>
                <w:sz w:val="18"/>
                <w:szCs w:val="18"/>
                <w:lang w:val="fr-FR"/>
              </w:rPr>
              <w:t>Organisation.</w:t>
            </w:r>
            <w:r w:rsidR="00FC341F" w:rsidRPr="00C542D1">
              <w:rPr>
                <w:sz w:val="18"/>
                <w:lang w:val="fr-FR"/>
              </w:rPr>
              <w:t xml:space="preserve"> </w:t>
            </w:r>
            <w:r w:rsidR="0036170C" w:rsidRPr="00C542D1">
              <w:rPr>
                <w:sz w:val="18"/>
                <w:szCs w:val="18"/>
                <w:lang w:val="fr-FR"/>
              </w:rPr>
              <w:t xml:space="preserve"> Le DGR</w:t>
            </w:r>
            <w:r w:rsidRPr="00C542D1">
              <w:rPr>
                <w:sz w:val="18"/>
                <w:szCs w:val="18"/>
                <w:lang w:val="fr-FR"/>
              </w:rPr>
              <w:t>H présente deux</w:t>
            </w:r>
            <w:r w:rsidR="00DB0C8A" w:rsidRPr="00C542D1">
              <w:rPr>
                <w:sz w:val="18"/>
                <w:szCs w:val="18"/>
                <w:lang w:val="fr-FR"/>
              </w:rPr>
              <w:t> </w:t>
            </w:r>
            <w:r w:rsidRPr="00C542D1">
              <w:rPr>
                <w:sz w:val="18"/>
                <w:szCs w:val="18"/>
                <w:lang w:val="fr-FR"/>
              </w:rPr>
              <w:t>fois par an un rapport aux États membres sur les progrès accomplis en ce qui concerne la répartition géographique à l</w:t>
            </w:r>
            <w:r w:rsidR="0036170C" w:rsidRPr="00C542D1">
              <w:rPr>
                <w:sz w:val="18"/>
                <w:szCs w:val="18"/>
                <w:lang w:val="fr-FR"/>
              </w:rPr>
              <w:t>’</w:t>
            </w:r>
            <w:r w:rsidRPr="00C542D1">
              <w:rPr>
                <w:sz w:val="18"/>
                <w:szCs w:val="18"/>
                <w:lang w:val="fr-FR"/>
              </w:rPr>
              <w:t>OMPI, et une fois par an un rapport au Comité de coordination de l</w:t>
            </w:r>
            <w:r w:rsidR="0036170C" w:rsidRPr="00C542D1">
              <w:rPr>
                <w:sz w:val="18"/>
                <w:szCs w:val="18"/>
                <w:lang w:val="fr-FR"/>
              </w:rPr>
              <w:t>’</w:t>
            </w:r>
            <w:r w:rsidRPr="00C542D1">
              <w:rPr>
                <w:sz w:val="18"/>
                <w:szCs w:val="18"/>
                <w:lang w:val="fr-FR"/>
              </w:rPr>
              <w:t>OMPI dans le cadre de son rapport annuel sur les ressources humaines.</w:t>
            </w:r>
            <w:r w:rsidR="00FC341F" w:rsidRPr="00C542D1">
              <w:rPr>
                <w:sz w:val="18"/>
                <w:lang w:val="fr-FR"/>
              </w:rPr>
              <w:t xml:space="preserve"> </w:t>
            </w:r>
            <w:r w:rsidR="002F4C82" w:rsidRPr="00C542D1">
              <w:rPr>
                <w:sz w:val="18"/>
                <w:lang w:val="fr-FR"/>
              </w:rPr>
              <w:t xml:space="preserve"> </w:t>
            </w:r>
          </w:p>
        </w:tc>
      </w:tr>
      <w:tr w:rsidR="00C542D1" w:rsidRPr="00C542D1" w:rsidTr="001136B1">
        <w:tc>
          <w:tcPr>
            <w:tcW w:w="1951" w:type="dxa"/>
            <w:tcMar>
              <w:top w:w="113" w:type="dxa"/>
            </w:tcMar>
          </w:tcPr>
          <w:p w:rsidR="002F4C82" w:rsidRPr="00C542D1" w:rsidRDefault="003D07E6" w:rsidP="00C542D1">
            <w:pPr>
              <w:pStyle w:val="ONUME"/>
              <w:numPr>
                <w:ilvl w:val="0"/>
                <w:numId w:val="0"/>
              </w:numPr>
              <w:rPr>
                <w:sz w:val="18"/>
                <w:szCs w:val="18"/>
                <w:lang w:val="fr-FR"/>
              </w:rPr>
            </w:pPr>
            <w:r w:rsidRPr="00C542D1">
              <w:rPr>
                <w:sz w:val="18"/>
                <w:szCs w:val="18"/>
                <w:lang w:val="fr-FR"/>
              </w:rPr>
              <w:t xml:space="preserve">Recommandation n° 8.  </w:t>
            </w:r>
            <w:r w:rsidR="004E0C83" w:rsidRPr="00C542D1">
              <w:rPr>
                <w:sz w:val="18"/>
                <w:szCs w:val="18"/>
                <w:lang w:val="fr-FR"/>
              </w:rPr>
              <w:t>Le Directeur général devrait achever la politique d</w:t>
            </w:r>
            <w:r w:rsidR="0036170C" w:rsidRPr="00C542D1">
              <w:rPr>
                <w:sz w:val="18"/>
                <w:szCs w:val="18"/>
                <w:lang w:val="fr-FR"/>
              </w:rPr>
              <w:t>’</w:t>
            </w:r>
            <w:r w:rsidR="004E0C83" w:rsidRPr="00C542D1">
              <w:rPr>
                <w:sz w:val="18"/>
                <w:szCs w:val="18"/>
                <w:lang w:val="fr-FR"/>
              </w:rPr>
              <w:t>égalité des sexes de l</w:t>
            </w:r>
            <w:r w:rsidR="0036170C" w:rsidRPr="00C542D1">
              <w:rPr>
                <w:sz w:val="18"/>
                <w:szCs w:val="18"/>
                <w:lang w:val="fr-FR"/>
              </w:rPr>
              <w:t>’</w:t>
            </w:r>
            <w:r w:rsidR="004E0C83" w:rsidRPr="00C542D1">
              <w:rPr>
                <w:sz w:val="18"/>
                <w:szCs w:val="18"/>
                <w:lang w:val="fr-FR"/>
              </w:rPr>
              <w:t>OMPI d</w:t>
            </w:r>
            <w:r w:rsidR="0036170C" w:rsidRPr="00C542D1">
              <w:rPr>
                <w:sz w:val="18"/>
                <w:szCs w:val="18"/>
                <w:lang w:val="fr-FR"/>
              </w:rPr>
              <w:t>’</w:t>
            </w:r>
            <w:r w:rsidR="004E0C83" w:rsidRPr="00C542D1">
              <w:rPr>
                <w:sz w:val="18"/>
                <w:szCs w:val="18"/>
                <w:lang w:val="fr-FR"/>
              </w:rPr>
              <w:t>ici à la fin de</w:t>
            </w:r>
            <w:r w:rsidR="00DB0C8A" w:rsidRPr="00C542D1">
              <w:rPr>
                <w:sz w:val="18"/>
                <w:szCs w:val="18"/>
                <w:lang w:val="fr-FR"/>
              </w:rPr>
              <w:t> </w:t>
            </w:r>
            <w:r w:rsidR="004E0C83" w:rsidRPr="00C542D1">
              <w:rPr>
                <w:sz w:val="18"/>
                <w:szCs w:val="18"/>
                <w:lang w:val="fr-FR"/>
              </w:rPr>
              <w:t>2014, et faire en sorte qu</w:t>
            </w:r>
            <w:r w:rsidR="0036170C" w:rsidRPr="00C542D1">
              <w:rPr>
                <w:sz w:val="18"/>
                <w:szCs w:val="18"/>
                <w:lang w:val="fr-FR"/>
              </w:rPr>
              <w:t>’</w:t>
            </w:r>
            <w:r w:rsidR="00D64D6F" w:rsidRPr="00C542D1">
              <w:rPr>
                <w:sz w:val="18"/>
                <w:szCs w:val="18"/>
                <w:lang w:val="fr-FR"/>
              </w:rPr>
              <w:t>elle</w:t>
            </w:r>
            <w:r w:rsidR="004E0C83" w:rsidRPr="00C542D1">
              <w:rPr>
                <w:sz w:val="18"/>
                <w:szCs w:val="18"/>
                <w:lang w:val="fr-FR"/>
              </w:rPr>
              <w:t xml:space="preserve"> contienne des mesures et des cibles précises destinées à améliorer la parité </w:t>
            </w:r>
            <w:r w:rsidR="004E0C83" w:rsidRPr="00C542D1">
              <w:rPr>
                <w:sz w:val="18"/>
                <w:szCs w:val="18"/>
                <w:lang w:val="fr-FR"/>
              </w:rPr>
              <w:lastRenderedPageBreak/>
              <w:t>hommes</w:t>
            </w:r>
            <w:r w:rsidR="0011003C" w:rsidRPr="00C542D1">
              <w:rPr>
                <w:sz w:val="18"/>
                <w:szCs w:val="18"/>
                <w:lang w:val="fr-FR"/>
              </w:rPr>
              <w:noBreakHyphen/>
            </w:r>
            <w:r w:rsidR="004E0C83" w:rsidRPr="00C542D1">
              <w:rPr>
                <w:sz w:val="18"/>
                <w:szCs w:val="18"/>
                <w:lang w:val="fr-FR"/>
              </w:rPr>
              <w:t>femmes, en particulier au niveau de la haute direction, et présenter un rapport annuel sur la mise en œuvre de cette politique.</w:t>
            </w:r>
          </w:p>
        </w:tc>
        <w:tc>
          <w:tcPr>
            <w:tcW w:w="1701" w:type="dxa"/>
            <w:tcMar>
              <w:top w:w="113" w:type="dxa"/>
            </w:tcMar>
          </w:tcPr>
          <w:p w:rsidR="002F4C82" w:rsidRPr="00C542D1" w:rsidRDefault="004E0C83" w:rsidP="00C542D1">
            <w:pPr>
              <w:pStyle w:val="ONUME"/>
              <w:numPr>
                <w:ilvl w:val="0"/>
                <w:numId w:val="0"/>
              </w:numPr>
              <w:rPr>
                <w:sz w:val="18"/>
                <w:szCs w:val="18"/>
                <w:lang w:val="fr-FR"/>
              </w:rPr>
            </w:pPr>
            <w:r w:rsidRPr="00C542D1">
              <w:rPr>
                <w:sz w:val="18"/>
                <w:szCs w:val="18"/>
                <w:lang w:val="fr-FR"/>
              </w:rPr>
              <w:lastRenderedPageBreak/>
              <w:t>Directeur du Département de la gestion des ressources humaines</w:t>
            </w:r>
          </w:p>
        </w:tc>
        <w:tc>
          <w:tcPr>
            <w:tcW w:w="1287" w:type="dxa"/>
            <w:tcMar>
              <w:top w:w="113" w:type="dxa"/>
            </w:tcMar>
          </w:tcPr>
          <w:p w:rsidR="002F4C82" w:rsidRPr="00C542D1" w:rsidRDefault="004E0C83" w:rsidP="00C542D1">
            <w:pPr>
              <w:pStyle w:val="ONUME"/>
              <w:numPr>
                <w:ilvl w:val="0"/>
                <w:numId w:val="0"/>
              </w:numPr>
              <w:rPr>
                <w:sz w:val="18"/>
                <w:lang w:val="fr-FR"/>
              </w:rPr>
            </w:pPr>
            <w:r w:rsidRPr="00C542D1">
              <w:rPr>
                <w:sz w:val="18"/>
                <w:lang w:val="fr-FR"/>
              </w:rPr>
              <w:t>Accepté</w:t>
            </w:r>
            <w:r w:rsidR="00DC7973" w:rsidRPr="00C542D1">
              <w:rPr>
                <w:sz w:val="18"/>
                <w:lang w:val="fr-FR"/>
              </w:rPr>
              <w:t>e</w:t>
            </w:r>
          </w:p>
        </w:tc>
        <w:tc>
          <w:tcPr>
            <w:tcW w:w="1548" w:type="dxa"/>
            <w:tcMar>
              <w:top w:w="113" w:type="dxa"/>
            </w:tcMar>
          </w:tcPr>
          <w:p w:rsidR="002F4C82" w:rsidRPr="00C542D1" w:rsidRDefault="004E0C83" w:rsidP="00C542D1">
            <w:pPr>
              <w:pStyle w:val="ONUME"/>
              <w:numPr>
                <w:ilvl w:val="0"/>
                <w:numId w:val="0"/>
              </w:numPr>
              <w:rPr>
                <w:sz w:val="18"/>
                <w:lang w:val="fr-FR"/>
              </w:rPr>
            </w:pPr>
            <w:r w:rsidRPr="00C542D1">
              <w:rPr>
                <w:sz w:val="18"/>
                <w:lang w:val="fr-FR"/>
              </w:rPr>
              <w:t>Mis</w:t>
            </w:r>
            <w:r w:rsidR="00DC7973" w:rsidRPr="00C542D1">
              <w:rPr>
                <w:sz w:val="18"/>
                <w:lang w:val="fr-FR"/>
              </w:rPr>
              <w:t>e</w:t>
            </w:r>
            <w:r w:rsidRPr="00C542D1">
              <w:rPr>
                <w:sz w:val="18"/>
                <w:lang w:val="fr-FR"/>
              </w:rPr>
              <w:t xml:space="preserve"> en </w:t>
            </w:r>
            <w:r w:rsidR="00505E83" w:rsidRPr="00C542D1">
              <w:rPr>
                <w:sz w:val="18"/>
                <w:lang w:val="fr-FR"/>
              </w:rPr>
              <w:t xml:space="preserve">œuvre </w:t>
            </w:r>
          </w:p>
        </w:tc>
        <w:tc>
          <w:tcPr>
            <w:tcW w:w="3084" w:type="dxa"/>
            <w:tcMar>
              <w:top w:w="113" w:type="dxa"/>
              <w:bottom w:w="142" w:type="dxa"/>
            </w:tcMar>
          </w:tcPr>
          <w:p w:rsidR="002F4C82" w:rsidRPr="00C542D1" w:rsidRDefault="00713F3F" w:rsidP="00C542D1">
            <w:pPr>
              <w:pStyle w:val="ONUME"/>
              <w:numPr>
                <w:ilvl w:val="0"/>
                <w:numId w:val="0"/>
              </w:numPr>
              <w:spacing w:after="0"/>
              <w:rPr>
                <w:sz w:val="18"/>
                <w:szCs w:val="18"/>
                <w:lang w:val="fr-FR"/>
              </w:rPr>
            </w:pPr>
            <w:r w:rsidRPr="00C542D1">
              <w:rPr>
                <w:sz w:val="18"/>
                <w:szCs w:val="18"/>
                <w:lang w:val="fr-FR"/>
              </w:rPr>
              <w:t>L</w:t>
            </w:r>
            <w:r w:rsidR="0036170C" w:rsidRPr="00C542D1">
              <w:rPr>
                <w:sz w:val="18"/>
                <w:szCs w:val="18"/>
                <w:lang w:val="fr-FR"/>
              </w:rPr>
              <w:t>’</w:t>
            </w:r>
            <w:r w:rsidRPr="00C542D1">
              <w:rPr>
                <w:sz w:val="18"/>
                <w:szCs w:val="18"/>
                <w:lang w:val="fr-FR"/>
              </w:rPr>
              <w:t>OMPI a publié sa Politique en matière d</w:t>
            </w:r>
            <w:r w:rsidR="0036170C" w:rsidRPr="00C542D1">
              <w:rPr>
                <w:sz w:val="18"/>
                <w:szCs w:val="18"/>
                <w:lang w:val="fr-FR"/>
              </w:rPr>
              <w:t>’</w:t>
            </w:r>
            <w:r w:rsidRPr="00C542D1">
              <w:rPr>
                <w:sz w:val="18"/>
                <w:szCs w:val="18"/>
                <w:lang w:val="fr-FR"/>
              </w:rPr>
              <w:t xml:space="preserve">égalité des sexes en </w:t>
            </w:r>
            <w:r w:rsidR="0036170C" w:rsidRPr="00C542D1">
              <w:rPr>
                <w:sz w:val="18"/>
                <w:szCs w:val="18"/>
                <w:lang w:val="fr-FR"/>
              </w:rPr>
              <w:t>août 20</w:t>
            </w:r>
            <w:r w:rsidR="00D64D6F" w:rsidRPr="00C542D1">
              <w:rPr>
                <w:sz w:val="18"/>
                <w:szCs w:val="18"/>
                <w:lang w:val="fr-FR"/>
              </w:rPr>
              <w:t>14, dans un ordre de service</w:t>
            </w:r>
            <w:r w:rsidRPr="00C542D1">
              <w:rPr>
                <w:sz w:val="18"/>
                <w:szCs w:val="18"/>
                <w:lang w:val="fr-FR"/>
              </w:rPr>
              <w:t xml:space="preserve"> qui porte sur l</w:t>
            </w:r>
            <w:r w:rsidR="0036170C" w:rsidRPr="00C542D1">
              <w:rPr>
                <w:sz w:val="18"/>
                <w:szCs w:val="18"/>
                <w:lang w:val="fr-FR"/>
              </w:rPr>
              <w:t>’</w:t>
            </w:r>
            <w:r w:rsidRPr="00C542D1">
              <w:rPr>
                <w:sz w:val="18"/>
                <w:szCs w:val="18"/>
                <w:lang w:val="fr-FR"/>
              </w:rPr>
              <w:t xml:space="preserve">intégration de </w:t>
            </w:r>
            <w:r w:rsidR="00D64D6F" w:rsidRPr="00C542D1">
              <w:rPr>
                <w:sz w:val="18"/>
                <w:szCs w:val="18"/>
                <w:lang w:val="fr-FR"/>
              </w:rPr>
              <w:t>la question de la parité hommes</w:t>
            </w:r>
            <w:r w:rsidR="0011003C" w:rsidRPr="00C542D1">
              <w:rPr>
                <w:sz w:val="18"/>
                <w:szCs w:val="22"/>
                <w:lang w:val="fr-FR"/>
              </w:rPr>
              <w:noBreakHyphen/>
            </w:r>
            <w:r w:rsidRPr="00C542D1">
              <w:rPr>
                <w:sz w:val="18"/>
                <w:szCs w:val="18"/>
                <w:lang w:val="fr-FR"/>
              </w:rPr>
              <w:t xml:space="preserve">femmes dans les programmes de </w:t>
            </w:r>
            <w:r w:rsidR="00D64D6F" w:rsidRPr="00C542D1">
              <w:rPr>
                <w:sz w:val="18"/>
                <w:szCs w:val="18"/>
                <w:lang w:val="fr-FR"/>
              </w:rPr>
              <w:t>l</w:t>
            </w:r>
            <w:r w:rsidR="0036170C" w:rsidRPr="00C542D1">
              <w:rPr>
                <w:sz w:val="18"/>
                <w:szCs w:val="18"/>
                <w:lang w:val="fr-FR"/>
              </w:rPr>
              <w:t>’</w:t>
            </w:r>
            <w:r w:rsidR="00D64D6F" w:rsidRPr="00C542D1">
              <w:rPr>
                <w:sz w:val="18"/>
                <w:szCs w:val="18"/>
                <w:lang w:val="fr-FR"/>
              </w:rPr>
              <w:t>OMPI et à l</w:t>
            </w:r>
            <w:r w:rsidR="0036170C" w:rsidRPr="00C542D1">
              <w:rPr>
                <w:sz w:val="18"/>
                <w:szCs w:val="18"/>
                <w:lang w:val="fr-FR"/>
              </w:rPr>
              <w:t>’</w:t>
            </w:r>
            <w:r w:rsidR="00D64D6F" w:rsidRPr="00C542D1">
              <w:rPr>
                <w:sz w:val="18"/>
                <w:szCs w:val="18"/>
                <w:lang w:val="fr-FR"/>
              </w:rPr>
              <w:t>OMPI, et comprend</w:t>
            </w:r>
            <w:r w:rsidRPr="00C542D1">
              <w:rPr>
                <w:sz w:val="18"/>
                <w:szCs w:val="18"/>
                <w:lang w:val="fr-FR"/>
              </w:rPr>
              <w:t xml:space="preserve"> des mesures et des cibles précises destinées</w:t>
            </w:r>
            <w:r w:rsidR="00D64D6F" w:rsidRPr="00C542D1">
              <w:rPr>
                <w:sz w:val="18"/>
                <w:szCs w:val="18"/>
                <w:lang w:val="fr-FR"/>
              </w:rPr>
              <w:t xml:space="preserve"> à améliorer la parité hommes</w:t>
            </w:r>
            <w:r w:rsidR="0011003C" w:rsidRPr="00C542D1">
              <w:rPr>
                <w:sz w:val="18"/>
                <w:szCs w:val="22"/>
                <w:lang w:val="fr-FR"/>
              </w:rPr>
              <w:noBreakHyphen/>
            </w:r>
            <w:r w:rsidRPr="00C542D1">
              <w:rPr>
                <w:sz w:val="18"/>
                <w:szCs w:val="18"/>
                <w:lang w:val="fr-FR"/>
              </w:rPr>
              <w:t>femmes à tous les niveaux d</w:t>
            </w:r>
            <w:r w:rsidR="0036170C" w:rsidRPr="00C542D1">
              <w:rPr>
                <w:sz w:val="18"/>
                <w:szCs w:val="18"/>
                <w:lang w:val="fr-FR"/>
              </w:rPr>
              <w:t>’</w:t>
            </w:r>
            <w:r w:rsidR="00DF2771" w:rsidRPr="00C542D1">
              <w:rPr>
                <w:sz w:val="18"/>
                <w:szCs w:val="18"/>
                <w:lang w:val="fr-FR"/>
              </w:rPr>
              <w:t>ici à </w:t>
            </w:r>
            <w:r w:rsidRPr="00C542D1">
              <w:rPr>
                <w:sz w:val="18"/>
                <w:szCs w:val="18"/>
                <w:lang w:val="fr-FR"/>
              </w:rPr>
              <w:t xml:space="preserve">2020.  </w:t>
            </w:r>
            <w:r w:rsidR="00D64D6F" w:rsidRPr="00C542D1">
              <w:rPr>
                <w:sz w:val="18"/>
                <w:szCs w:val="18"/>
                <w:lang w:val="fr-FR"/>
              </w:rPr>
              <w:t>Parallèlement, u</w:t>
            </w:r>
            <w:r w:rsidRPr="00C542D1">
              <w:rPr>
                <w:sz w:val="18"/>
                <w:szCs w:val="18"/>
                <w:lang w:val="fr-FR"/>
              </w:rPr>
              <w:t>n plan d</w:t>
            </w:r>
            <w:r w:rsidR="0036170C" w:rsidRPr="00C542D1">
              <w:rPr>
                <w:sz w:val="18"/>
                <w:szCs w:val="18"/>
                <w:lang w:val="fr-FR"/>
              </w:rPr>
              <w:t>’</w:t>
            </w:r>
            <w:r w:rsidRPr="00C542D1">
              <w:rPr>
                <w:sz w:val="18"/>
                <w:szCs w:val="18"/>
                <w:lang w:val="fr-FR"/>
              </w:rPr>
              <w:t xml:space="preserve">action a </w:t>
            </w:r>
            <w:r w:rsidRPr="00C542D1">
              <w:rPr>
                <w:sz w:val="18"/>
                <w:szCs w:val="18"/>
                <w:lang w:val="fr-FR"/>
              </w:rPr>
              <w:lastRenderedPageBreak/>
              <w:t>été publié</w:t>
            </w:r>
            <w:r w:rsidR="00D64D6F" w:rsidRPr="00C542D1">
              <w:rPr>
                <w:sz w:val="18"/>
                <w:szCs w:val="18"/>
                <w:lang w:val="fr-FR"/>
              </w:rPr>
              <w:t>,</w:t>
            </w:r>
            <w:r w:rsidRPr="00C542D1">
              <w:rPr>
                <w:sz w:val="18"/>
                <w:szCs w:val="18"/>
                <w:lang w:val="fr-FR"/>
              </w:rPr>
              <w:t xml:space="preserve"> définissant des mesures à mettre en place pour la période allant de </w:t>
            </w:r>
            <w:r w:rsidR="0036170C" w:rsidRPr="00C542D1">
              <w:rPr>
                <w:sz w:val="18"/>
                <w:szCs w:val="18"/>
                <w:lang w:val="fr-FR"/>
              </w:rPr>
              <w:t>septembre 20</w:t>
            </w:r>
            <w:r w:rsidRPr="00C542D1">
              <w:rPr>
                <w:sz w:val="18"/>
                <w:szCs w:val="18"/>
                <w:lang w:val="fr-FR"/>
              </w:rPr>
              <w:t xml:space="preserve">14 à </w:t>
            </w:r>
            <w:r w:rsidR="0036170C" w:rsidRPr="00C542D1">
              <w:rPr>
                <w:sz w:val="18"/>
                <w:szCs w:val="18"/>
                <w:lang w:val="fr-FR"/>
              </w:rPr>
              <w:t>décembre 20</w:t>
            </w:r>
            <w:r w:rsidRPr="00C542D1">
              <w:rPr>
                <w:sz w:val="18"/>
                <w:szCs w:val="18"/>
                <w:lang w:val="fr-FR"/>
              </w:rPr>
              <w:t>15, accompagnées de délais précis et de responsables pour chacune d</w:t>
            </w:r>
            <w:r w:rsidR="0036170C" w:rsidRPr="00C542D1">
              <w:rPr>
                <w:sz w:val="18"/>
                <w:szCs w:val="18"/>
                <w:lang w:val="fr-FR"/>
              </w:rPr>
              <w:t>’</w:t>
            </w:r>
            <w:r w:rsidRPr="00C542D1">
              <w:rPr>
                <w:sz w:val="18"/>
                <w:szCs w:val="18"/>
                <w:lang w:val="fr-FR"/>
              </w:rPr>
              <w:t>entre elles.  Un rapport sur les progrès accomplis en ce qui concerne la parité hommes</w:t>
            </w:r>
            <w:r w:rsidR="0011003C" w:rsidRPr="00C542D1">
              <w:rPr>
                <w:sz w:val="18"/>
                <w:szCs w:val="18"/>
                <w:lang w:val="fr-FR"/>
              </w:rPr>
              <w:noBreakHyphen/>
            </w:r>
            <w:r w:rsidRPr="00C542D1">
              <w:rPr>
                <w:sz w:val="18"/>
                <w:szCs w:val="18"/>
                <w:lang w:val="fr-FR"/>
              </w:rPr>
              <w:t>femmes est adressé deux</w:t>
            </w:r>
            <w:r w:rsidR="00DB0C8A" w:rsidRPr="00C542D1">
              <w:rPr>
                <w:sz w:val="18"/>
                <w:szCs w:val="18"/>
                <w:lang w:val="fr-FR"/>
              </w:rPr>
              <w:t> </w:t>
            </w:r>
            <w:r w:rsidRPr="00C542D1">
              <w:rPr>
                <w:sz w:val="18"/>
                <w:szCs w:val="18"/>
                <w:lang w:val="fr-FR"/>
              </w:rPr>
              <w:t>fois par an aux États membres et une fois par an au Comité de coordination de l</w:t>
            </w:r>
            <w:r w:rsidR="0036170C" w:rsidRPr="00C542D1">
              <w:rPr>
                <w:sz w:val="18"/>
                <w:szCs w:val="18"/>
                <w:lang w:val="fr-FR"/>
              </w:rPr>
              <w:t>’</w:t>
            </w:r>
            <w:r w:rsidRPr="00C542D1">
              <w:rPr>
                <w:sz w:val="18"/>
                <w:szCs w:val="18"/>
                <w:lang w:val="fr-FR"/>
              </w:rPr>
              <w:t>OMPI dans le cadre de son Rapport annuel sur les ressources humaines.</w:t>
            </w:r>
          </w:p>
        </w:tc>
      </w:tr>
      <w:tr w:rsidR="00C542D1" w:rsidRPr="00C542D1" w:rsidTr="001136B1">
        <w:tc>
          <w:tcPr>
            <w:tcW w:w="1951" w:type="dxa"/>
            <w:tcMar>
              <w:top w:w="113" w:type="dxa"/>
            </w:tcMar>
          </w:tcPr>
          <w:p w:rsidR="001F0D37" w:rsidRPr="00C542D1" w:rsidRDefault="003D07E6" w:rsidP="00C542D1">
            <w:pPr>
              <w:rPr>
                <w:sz w:val="18"/>
                <w:szCs w:val="18"/>
                <w:lang w:val="fr-FR"/>
              </w:rPr>
            </w:pPr>
            <w:r w:rsidRPr="00C542D1">
              <w:rPr>
                <w:sz w:val="18"/>
                <w:szCs w:val="18"/>
                <w:lang w:val="fr-FR"/>
              </w:rPr>
              <w:lastRenderedPageBreak/>
              <w:t xml:space="preserve">Recommandation n° 9.  </w:t>
            </w:r>
            <w:r w:rsidR="00713F3F" w:rsidRPr="00C542D1">
              <w:rPr>
                <w:sz w:val="18"/>
                <w:szCs w:val="18"/>
                <w:lang w:val="fr-FR"/>
              </w:rPr>
              <w:t>Le Directeur général devrait formaliser encore la stratégie de l</w:t>
            </w:r>
            <w:r w:rsidR="0036170C" w:rsidRPr="00C542D1">
              <w:rPr>
                <w:sz w:val="18"/>
                <w:szCs w:val="18"/>
                <w:lang w:val="fr-FR"/>
              </w:rPr>
              <w:t>’</w:t>
            </w:r>
            <w:r w:rsidR="00713F3F" w:rsidRPr="00C542D1">
              <w:rPr>
                <w:sz w:val="18"/>
                <w:szCs w:val="18"/>
                <w:lang w:val="fr-FR"/>
              </w:rPr>
              <w:t>OMPI dans le domaine des technologies de l</w:t>
            </w:r>
            <w:r w:rsidR="0036170C" w:rsidRPr="00C542D1">
              <w:rPr>
                <w:sz w:val="18"/>
                <w:szCs w:val="18"/>
                <w:lang w:val="fr-FR"/>
              </w:rPr>
              <w:t>’</w:t>
            </w:r>
            <w:r w:rsidR="00713F3F" w:rsidRPr="00C542D1">
              <w:rPr>
                <w:sz w:val="18"/>
                <w:szCs w:val="18"/>
                <w:lang w:val="fr-FR"/>
              </w:rPr>
              <w:t>information et de la communication (TIC) et présenter cette dernière à l</w:t>
            </w:r>
            <w:r w:rsidR="0036170C" w:rsidRPr="00C542D1">
              <w:rPr>
                <w:sz w:val="18"/>
                <w:szCs w:val="18"/>
                <w:lang w:val="fr-FR"/>
              </w:rPr>
              <w:t>’</w:t>
            </w:r>
            <w:r w:rsidR="00713F3F" w:rsidRPr="00C542D1">
              <w:rPr>
                <w:sz w:val="18"/>
                <w:szCs w:val="18"/>
                <w:lang w:val="fr-FR"/>
              </w:rPr>
              <w:t>Assemblée générale avant la fin de</w:t>
            </w:r>
            <w:r w:rsidR="00DB0C8A" w:rsidRPr="00C542D1">
              <w:rPr>
                <w:sz w:val="18"/>
                <w:szCs w:val="18"/>
                <w:lang w:val="fr-FR"/>
              </w:rPr>
              <w:t> </w:t>
            </w:r>
            <w:r w:rsidR="00713F3F" w:rsidRPr="00C542D1">
              <w:rPr>
                <w:sz w:val="18"/>
                <w:szCs w:val="18"/>
                <w:lang w:val="fr-FR"/>
              </w:rPr>
              <w:t>2014.</w:t>
            </w:r>
          </w:p>
        </w:tc>
        <w:tc>
          <w:tcPr>
            <w:tcW w:w="1701" w:type="dxa"/>
            <w:tcMar>
              <w:top w:w="113" w:type="dxa"/>
            </w:tcMar>
          </w:tcPr>
          <w:p w:rsidR="001F0D37" w:rsidRPr="00C542D1" w:rsidRDefault="00713F3F" w:rsidP="00C542D1">
            <w:pPr>
              <w:rPr>
                <w:sz w:val="18"/>
                <w:szCs w:val="18"/>
                <w:lang w:val="fr-FR"/>
              </w:rPr>
            </w:pPr>
            <w:r w:rsidRPr="00C542D1">
              <w:rPr>
                <w:sz w:val="18"/>
                <w:szCs w:val="18"/>
                <w:lang w:val="fr-FR"/>
              </w:rPr>
              <w:t>Directeur des services informatiques, Département des technologies de l</w:t>
            </w:r>
            <w:r w:rsidR="0036170C" w:rsidRPr="00C542D1">
              <w:rPr>
                <w:sz w:val="18"/>
                <w:szCs w:val="18"/>
                <w:lang w:val="fr-FR"/>
              </w:rPr>
              <w:t>’</w:t>
            </w:r>
            <w:r w:rsidRPr="00C542D1">
              <w:rPr>
                <w:sz w:val="18"/>
                <w:szCs w:val="18"/>
                <w:lang w:val="fr-FR"/>
              </w:rPr>
              <w:t>information et de la communication</w:t>
            </w:r>
          </w:p>
        </w:tc>
        <w:tc>
          <w:tcPr>
            <w:tcW w:w="1287" w:type="dxa"/>
            <w:tcMar>
              <w:top w:w="113" w:type="dxa"/>
            </w:tcMar>
          </w:tcPr>
          <w:p w:rsidR="001F0D37" w:rsidRPr="00C542D1" w:rsidRDefault="00713F3F" w:rsidP="00C542D1">
            <w:pPr>
              <w:rPr>
                <w:sz w:val="18"/>
                <w:szCs w:val="18"/>
                <w:lang w:val="fr-FR"/>
              </w:rPr>
            </w:pPr>
            <w:r w:rsidRPr="00C542D1">
              <w:rPr>
                <w:sz w:val="18"/>
                <w:szCs w:val="18"/>
                <w:lang w:val="fr-FR"/>
              </w:rPr>
              <w:t>Accepté</w:t>
            </w:r>
            <w:r w:rsidR="00DC7973" w:rsidRPr="00C542D1">
              <w:rPr>
                <w:sz w:val="18"/>
                <w:szCs w:val="18"/>
                <w:lang w:val="fr-FR"/>
              </w:rPr>
              <w:t>e</w:t>
            </w:r>
          </w:p>
        </w:tc>
        <w:tc>
          <w:tcPr>
            <w:tcW w:w="1548" w:type="dxa"/>
            <w:tcMar>
              <w:top w:w="113" w:type="dxa"/>
            </w:tcMar>
          </w:tcPr>
          <w:p w:rsidR="001F0D37" w:rsidRPr="00C542D1" w:rsidRDefault="00713F3F" w:rsidP="00C542D1">
            <w:pPr>
              <w:rPr>
                <w:sz w:val="18"/>
                <w:szCs w:val="18"/>
                <w:lang w:val="fr-FR"/>
              </w:rPr>
            </w:pPr>
            <w:r w:rsidRPr="00C542D1">
              <w:rPr>
                <w:sz w:val="18"/>
                <w:szCs w:val="18"/>
                <w:lang w:val="fr-FR"/>
              </w:rPr>
              <w:t>Mis</w:t>
            </w:r>
            <w:r w:rsidR="00DC7973" w:rsidRPr="00C542D1">
              <w:rPr>
                <w:sz w:val="18"/>
                <w:szCs w:val="18"/>
                <w:lang w:val="fr-FR"/>
              </w:rPr>
              <w:t>e</w:t>
            </w:r>
            <w:r w:rsidRPr="00C542D1">
              <w:rPr>
                <w:sz w:val="18"/>
                <w:szCs w:val="18"/>
                <w:lang w:val="fr-FR"/>
              </w:rPr>
              <w:t xml:space="preserve"> en </w:t>
            </w:r>
            <w:r w:rsidR="00505E83" w:rsidRPr="00C542D1">
              <w:rPr>
                <w:sz w:val="18"/>
                <w:szCs w:val="18"/>
                <w:lang w:val="fr-FR"/>
              </w:rPr>
              <w:t xml:space="preserve">œuvre </w:t>
            </w:r>
          </w:p>
        </w:tc>
        <w:tc>
          <w:tcPr>
            <w:tcW w:w="3084" w:type="dxa"/>
            <w:tcMar>
              <w:top w:w="113" w:type="dxa"/>
              <w:bottom w:w="142" w:type="dxa"/>
            </w:tcMar>
          </w:tcPr>
          <w:p w:rsidR="001F0D37" w:rsidRPr="00C542D1" w:rsidRDefault="00302768" w:rsidP="00C542D1">
            <w:pPr>
              <w:rPr>
                <w:sz w:val="18"/>
                <w:szCs w:val="18"/>
                <w:lang w:val="fr-FR"/>
              </w:rPr>
            </w:pPr>
            <w:r w:rsidRPr="00C542D1">
              <w:rPr>
                <w:sz w:val="18"/>
                <w:szCs w:val="18"/>
                <w:lang w:val="fr-FR"/>
              </w:rPr>
              <w:t>La Stratégie de l</w:t>
            </w:r>
            <w:r w:rsidR="0036170C" w:rsidRPr="00C542D1">
              <w:rPr>
                <w:sz w:val="18"/>
                <w:szCs w:val="18"/>
                <w:lang w:val="fr-FR"/>
              </w:rPr>
              <w:t>’</w:t>
            </w:r>
            <w:r w:rsidRPr="00C542D1">
              <w:rPr>
                <w:sz w:val="18"/>
                <w:szCs w:val="18"/>
                <w:lang w:val="fr-FR"/>
              </w:rPr>
              <w:t>OMPI dans le domaine des technologies de l</w:t>
            </w:r>
            <w:r w:rsidR="0036170C" w:rsidRPr="00C542D1">
              <w:rPr>
                <w:sz w:val="18"/>
                <w:szCs w:val="18"/>
                <w:lang w:val="fr-FR"/>
              </w:rPr>
              <w:t>’</w:t>
            </w:r>
            <w:r w:rsidRPr="00C542D1">
              <w:rPr>
                <w:sz w:val="18"/>
                <w:szCs w:val="18"/>
                <w:lang w:val="fr-FR"/>
              </w:rPr>
              <w:t>information et de la communication (TIC) figur</w:t>
            </w:r>
            <w:r w:rsidR="00D64D6F" w:rsidRPr="00C542D1">
              <w:rPr>
                <w:sz w:val="18"/>
                <w:szCs w:val="18"/>
                <w:lang w:val="fr-FR"/>
              </w:rPr>
              <w:t>ait</w:t>
            </w:r>
            <w:r w:rsidRPr="00C542D1">
              <w:rPr>
                <w:sz w:val="18"/>
                <w:szCs w:val="18"/>
                <w:lang w:val="fr-FR"/>
              </w:rPr>
              <w:t xml:space="preserve"> parmi les documents diffusés lors de la cinquante</w:t>
            </w:r>
            <w:r w:rsidR="0011003C" w:rsidRPr="00C542D1">
              <w:rPr>
                <w:sz w:val="18"/>
                <w:szCs w:val="18"/>
                <w:lang w:val="fr-FR"/>
              </w:rPr>
              <w:noBreakHyphen/>
            </w:r>
            <w:r w:rsidRPr="00C542D1">
              <w:rPr>
                <w:sz w:val="18"/>
                <w:szCs w:val="18"/>
                <w:lang w:val="fr-FR"/>
              </w:rPr>
              <w:t>quatrième série de réunions des assemblées des États membres de l</w:t>
            </w:r>
            <w:r w:rsidR="0036170C" w:rsidRPr="00C542D1">
              <w:rPr>
                <w:sz w:val="18"/>
                <w:szCs w:val="18"/>
                <w:lang w:val="fr-FR"/>
              </w:rPr>
              <w:t>’</w:t>
            </w:r>
            <w:r w:rsidRPr="00C542D1">
              <w:rPr>
                <w:sz w:val="18"/>
                <w:szCs w:val="18"/>
                <w:lang w:val="fr-FR"/>
              </w:rPr>
              <w:t xml:space="preserve">OMPI </w:t>
            </w:r>
            <w:r w:rsidR="00DF2771" w:rsidRPr="00C542D1">
              <w:rPr>
                <w:sz w:val="18"/>
                <w:szCs w:val="18"/>
                <w:lang w:val="fr-FR"/>
              </w:rPr>
              <w:br/>
            </w:r>
            <w:r w:rsidRPr="00C542D1">
              <w:rPr>
                <w:sz w:val="18"/>
                <w:szCs w:val="18"/>
                <w:lang w:val="fr-FR"/>
              </w:rPr>
              <w:t>(22 – 3</w:t>
            </w:r>
            <w:r w:rsidR="0036170C" w:rsidRPr="00C542D1">
              <w:rPr>
                <w:sz w:val="18"/>
                <w:szCs w:val="18"/>
                <w:lang w:val="fr-FR"/>
              </w:rPr>
              <w:t>0 septembre 20</w:t>
            </w:r>
            <w:r w:rsidRPr="00C542D1">
              <w:rPr>
                <w:sz w:val="18"/>
                <w:szCs w:val="18"/>
                <w:lang w:val="fr-FR"/>
              </w:rPr>
              <w:t>14).</w:t>
            </w:r>
          </w:p>
        </w:tc>
      </w:tr>
      <w:tr w:rsidR="00625389" w:rsidRPr="00C542D1" w:rsidTr="001136B1">
        <w:tc>
          <w:tcPr>
            <w:tcW w:w="1951" w:type="dxa"/>
            <w:tcMar>
              <w:top w:w="113" w:type="dxa"/>
            </w:tcMar>
          </w:tcPr>
          <w:p w:rsidR="00625389" w:rsidRPr="00C542D1" w:rsidRDefault="003D07E6" w:rsidP="00C542D1">
            <w:pPr>
              <w:rPr>
                <w:sz w:val="18"/>
                <w:szCs w:val="18"/>
                <w:lang w:val="fr-FR"/>
              </w:rPr>
            </w:pPr>
            <w:r w:rsidRPr="00C542D1">
              <w:rPr>
                <w:sz w:val="18"/>
                <w:szCs w:val="18"/>
                <w:lang w:val="fr-FR"/>
              </w:rPr>
              <w:t xml:space="preserve">Recommandation n° 10.  </w:t>
            </w:r>
            <w:r w:rsidR="00302768" w:rsidRPr="00C542D1">
              <w:rPr>
                <w:sz w:val="18"/>
                <w:szCs w:val="18"/>
                <w:lang w:val="fr-FR"/>
              </w:rPr>
              <w:t>Le Directeur général devrait arrêter une stratégie globale de gestion des connaissances et la présenter à l</w:t>
            </w:r>
            <w:r w:rsidR="0036170C" w:rsidRPr="00C542D1">
              <w:rPr>
                <w:sz w:val="18"/>
                <w:szCs w:val="18"/>
                <w:lang w:val="fr-FR"/>
              </w:rPr>
              <w:t>’</w:t>
            </w:r>
            <w:r w:rsidR="00302768" w:rsidRPr="00C542D1">
              <w:rPr>
                <w:sz w:val="18"/>
                <w:szCs w:val="18"/>
                <w:lang w:val="fr-FR"/>
              </w:rPr>
              <w:t>Assemblée générale avant la fin de l</w:t>
            </w:r>
            <w:r w:rsidR="0036170C" w:rsidRPr="00C542D1">
              <w:rPr>
                <w:sz w:val="18"/>
                <w:szCs w:val="18"/>
                <w:lang w:val="fr-FR"/>
              </w:rPr>
              <w:t>’</w:t>
            </w:r>
            <w:r w:rsidR="00DF2771" w:rsidRPr="00C542D1">
              <w:rPr>
                <w:sz w:val="18"/>
                <w:szCs w:val="18"/>
                <w:lang w:val="fr-FR"/>
              </w:rPr>
              <w:t>année </w:t>
            </w:r>
            <w:r w:rsidR="00302768" w:rsidRPr="00C542D1">
              <w:rPr>
                <w:sz w:val="18"/>
                <w:szCs w:val="18"/>
                <w:lang w:val="fr-FR"/>
              </w:rPr>
              <w:t>2015.</w:t>
            </w:r>
          </w:p>
        </w:tc>
        <w:tc>
          <w:tcPr>
            <w:tcW w:w="1701" w:type="dxa"/>
            <w:tcMar>
              <w:top w:w="113" w:type="dxa"/>
            </w:tcMar>
          </w:tcPr>
          <w:p w:rsidR="00625389" w:rsidRPr="00C542D1" w:rsidRDefault="00302768" w:rsidP="00CF03FA">
            <w:pPr>
              <w:pStyle w:val="ONUME"/>
              <w:numPr>
                <w:ilvl w:val="0"/>
                <w:numId w:val="0"/>
              </w:numPr>
              <w:rPr>
                <w:sz w:val="18"/>
                <w:szCs w:val="18"/>
                <w:lang w:val="fr-FR"/>
              </w:rPr>
            </w:pPr>
            <w:r w:rsidRPr="00C542D1">
              <w:rPr>
                <w:sz w:val="18"/>
                <w:szCs w:val="18"/>
                <w:lang w:val="fr-FR"/>
              </w:rPr>
              <w:t>S</w:t>
            </w:r>
            <w:r w:rsidRPr="00C542D1">
              <w:rPr>
                <w:sz w:val="18"/>
                <w:lang w:val="fr-FR"/>
              </w:rPr>
              <w:t>ous</w:t>
            </w:r>
            <w:r w:rsidR="0011003C" w:rsidRPr="00C542D1">
              <w:rPr>
                <w:sz w:val="18"/>
                <w:lang w:val="fr-FR"/>
              </w:rPr>
              <w:noBreakHyphen/>
            </w:r>
            <w:r w:rsidRPr="00C542D1">
              <w:rPr>
                <w:sz w:val="18"/>
                <w:lang w:val="fr-FR"/>
              </w:rPr>
              <w:t>directeur général</w:t>
            </w:r>
            <w:r w:rsidRPr="00C542D1">
              <w:rPr>
                <w:sz w:val="18"/>
                <w:szCs w:val="18"/>
                <w:lang w:val="fr-FR"/>
              </w:rPr>
              <w:t>, Secteur administration et gestion</w:t>
            </w:r>
            <w:bookmarkStart w:id="4" w:name="_GoBack"/>
            <w:bookmarkEnd w:id="4"/>
          </w:p>
        </w:tc>
        <w:tc>
          <w:tcPr>
            <w:tcW w:w="1287" w:type="dxa"/>
            <w:tcMar>
              <w:top w:w="113" w:type="dxa"/>
            </w:tcMar>
          </w:tcPr>
          <w:p w:rsidR="00625389" w:rsidRPr="00C542D1" w:rsidRDefault="00302768" w:rsidP="00C542D1">
            <w:pPr>
              <w:pStyle w:val="ONUME"/>
              <w:numPr>
                <w:ilvl w:val="0"/>
                <w:numId w:val="0"/>
              </w:numPr>
              <w:rPr>
                <w:sz w:val="18"/>
                <w:lang w:val="fr-FR"/>
              </w:rPr>
            </w:pPr>
            <w:r w:rsidRPr="00C542D1">
              <w:rPr>
                <w:sz w:val="18"/>
                <w:lang w:val="fr-FR"/>
              </w:rPr>
              <w:t>Accepté</w:t>
            </w:r>
            <w:r w:rsidR="00DC7973" w:rsidRPr="00C542D1">
              <w:rPr>
                <w:sz w:val="18"/>
                <w:lang w:val="fr-FR"/>
              </w:rPr>
              <w:t>e</w:t>
            </w:r>
          </w:p>
        </w:tc>
        <w:tc>
          <w:tcPr>
            <w:tcW w:w="1548" w:type="dxa"/>
            <w:tcMar>
              <w:top w:w="113" w:type="dxa"/>
            </w:tcMar>
          </w:tcPr>
          <w:p w:rsidR="00625389" w:rsidRPr="00C542D1" w:rsidRDefault="00302768" w:rsidP="00C542D1">
            <w:pPr>
              <w:pStyle w:val="ONUME"/>
              <w:numPr>
                <w:ilvl w:val="0"/>
                <w:numId w:val="0"/>
              </w:numPr>
              <w:rPr>
                <w:sz w:val="18"/>
                <w:lang w:val="fr-FR"/>
              </w:rPr>
            </w:pPr>
            <w:r w:rsidRPr="00C542D1">
              <w:rPr>
                <w:sz w:val="18"/>
                <w:lang w:val="fr-FR"/>
              </w:rPr>
              <w:t>Mis</w:t>
            </w:r>
            <w:r w:rsidR="00DC7973" w:rsidRPr="00C542D1">
              <w:rPr>
                <w:sz w:val="18"/>
                <w:lang w:val="fr-FR"/>
              </w:rPr>
              <w:t>e</w:t>
            </w:r>
            <w:r w:rsidRPr="00C542D1">
              <w:rPr>
                <w:sz w:val="18"/>
                <w:lang w:val="fr-FR"/>
              </w:rPr>
              <w:t xml:space="preserve"> en </w:t>
            </w:r>
            <w:r w:rsidR="00505E83" w:rsidRPr="00C542D1">
              <w:rPr>
                <w:sz w:val="18"/>
                <w:lang w:val="fr-FR"/>
              </w:rPr>
              <w:t xml:space="preserve">œuvre </w:t>
            </w:r>
          </w:p>
        </w:tc>
        <w:tc>
          <w:tcPr>
            <w:tcW w:w="3084" w:type="dxa"/>
            <w:tcMar>
              <w:top w:w="113" w:type="dxa"/>
              <w:bottom w:w="142" w:type="dxa"/>
            </w:tcMar>
          </w:tcPr>
          <w:p w:rsidR="009330C7" w:rsidRPr="00C542D1" w:rsidRDefault="00302768" w:rsidP="00C542D1">
            <w:pPr>
              <w:rPr>
                <w:b/>
                <w:bCs/>
                <w:i/>
                <w:sz w:val="18"/>
                <w:szCs w:val="18"/>
                <w:lang w:val="fr-FR"/>
              </w:rPr>
            </w:pPr>
            <w:r w:rsidRPr="00C542D1">
              <w:rPr>
                <w:bCs/>
                <w:sz w:val="18"/>
                <w:szCs w:val="18"/>
                <w:lang w:val="fr-FR"/>
              </w:rPr>
              <w:t>La stratégie globale de gestion des connaissances est mise à la disposition des États membr</w:t>
            </w:r>
            <w:r w:rsidR="00505E83" w:rsidRPr="00C542D1">
              <w:rPr>
                <w:bCs/>
                <w:sz w:val="18"/>
                <w:szCs w:val="18"/>
                <w:lang w:val="fr-FR"/>
              </w:rPr>
              <w:t>e</w:t>
            </w:r>
            <w:r w:rsidRPr="00C542D1">
              <w:rPr>
                <w:bCs/>
                <w:sz w:val="18"/>
                <w:szCs w:val="18"/>
                <w:lang w:val="fr-FR"/>
              </w:rPr>
              <w:t>s dans le cadre des documents relatifs à la cinquante</w:t>
            </w:r>
            <w:r w:rsidR="0011003C" w:rsidRPr="00C542D1">
              <w:rPr>
                <w:bCs/>
                <w:sz w:val="18"/>
                <w:szCs w:val="18"/>
                <w:lang w:val="fr-FR"/>
              </w:rPr>
              <w:noBreakHyphen/>
            </w:r>
            <w:r w:rsidRPr="00C542D1">
              <w:rPr>
                <w:bCs/>
                <w:sz w:val="18"/>
                <w:szCs w:val="18"/>
                <w:lang w:val="fr-FR"/>
              </w:rPr>
              <w:t>cinquième série de réunions des assemblées des États membres de l</w:t>
            </w:r>
            <w:r w:rsidR="0036170C" w:rsidRPr="00C542D1">
              <w:rPr>
                <w:bCs/>
                <w:sz w:val="18"/>
                <w:szCs w:val="18"/>
                <w:lang w:val="fr-FR"/>
              </w:rPr>
              <w:t>’</w:t>
            </w:r>
            <w:r w:rsidRPr="00C542D1">
              <w:rPr>
                <w:bCs/>
                <w:sz w:val="18"/>
                <w:szCs w:val="18"/>
                <w:lang w:val="fr-FR"/>
              </w:rPr>
              <w:t>OMPI.</w:t>
            </w:r>
            <w:r w:rsidR="00DB0C8A" w:rsidRPr="00C542D1">
              <w:rPr>
                <w:bCs/>
                <w:sz w:val="18"/>
                <w:szCs w:val="18"/>
                <w:lang w:val="fr-FR"/>
              </w:rPr>
              <w:t xml:space="preserve">  </w:t>
            </w:r>
          </w:p>
        </w:tc>
      </w:tr>
    </w:tbl>
    <w:p w:rsidR="00735EFC" w:rsidRPr="00C542D1" w:rsidRDefault="00735EFC" w:rsidP="00C542D1">
      <w:pPr>
        <w:pStyle w:val="ONUME"/>
        <w:numPr>
          <w:ilvl w:val="0"/>
          <w:numId w:val="0"/>
        </w:numPr>
        <w:rPr>
          <w:lang w:val="fr-FR"/>
        </w:rPr>
      </w:pPr>
    </w:p>
    <w:p w:rsidR="00735EFC" w:rsidRPr="00C542D1" w:rsidRDefault="00302768" w:rsidP="00C542D1">
      <w:pPr>
        <w:pStyle w:val="ONUMFS"/>
        <w:rPr>
          <w:lang w:val="fr-FR"/>
        </w:rPr>
      </w:pPr>
      <w:r w:rsidRPr="00C542D1">
        <w:rPr>
          <w:lang w:val="fr-FR"/>
        </w:rPr>
        <w:t>Le paragraphe de décision ci</w:t>
      </w:r>
      <w:r w:rsidR="0011003C" w:rsidRPr="00C542D1">
        <w:rPr>
          <w:lang w:val="fr-FR"/>
        </w:rPr>
        <w:noBreakHyphen/>
      </w:r>
      <w:r w:rsidRPr="00C542D1">
        <w:rPr>
          <w:lang w:val="fr-FR"/>
        </w:rPr>
        <w:t>après est proposé.</w:t>
      </w:r>
    </w:p>
    <w:p w:rsidR="00735EFC" w:rsidRPr="00C542D1" w:rsidRDefault="00DF2771" w:rsidP="00C542D1">
      <w:pPr>
        <w:pStyle w:val="ONUMFS"/>
        <w:numPr>
          <w:ilvl w:val="0"/>
          <w:numId w:val="0"/>
        </w:numPr>
        <w:ind w:left="5533"/>
        <w:rPr>
          <w:i/>
          <w:lang w:val="fr-FR"/>
        </w:rPr>
      </w:pPr>
      <w:r w:rsidRPr="00C542D1">
        <w:rPr>
          <w:i/>
          <w:lang w:val="fr-FR"/>
        </w:rPr>
        <w:t>6.</w:t>
      </w:r>
      <w:r w:rsidRPr="00C542D1">
        <w:rPr>
          <w:lang w:val="fr-FR"/>
        </w:rPr>
        <w:tab/>
      </w:r>
      <w:r w:rsidR="00302768" w:rsidRPr="00C542D1">
        <w:rPr>
          <w:i/>
          <w:lang w:val="fr-FR"/>
        </w:rPr>
        <w:t>Le Comité du programme et budget</w:t>
      </w:r>
    </w:p>
    <w:p w:rsidR="00735EFC" w:rsidRPr="00C542D1" w:rsidRDefault="00D77975" w:rsidP="00C542D1">
      <w:pPr>
        <w:pStyle w:val="ONUME"/>
        <w:numPr>
          <w:ilvl w:val="0"/>
          <w:numId w:val="0"/>
        </w:numPr>
        <w:tabs>
          <w:tab w:val="left" w:pos="6663"/>
        </w:tabs>
        <w:ind w:left="6096"/>
        <w:rPr>
          <w:i/>
          <w:lang w:val="fr-FR"/>
        </w:rPr>
      </w:pPr>
      <w:r w:rsidRPr="00C542D1">
        <w:rPr>
          <w:i/>
          <w:lang w:val="fr-FR"/>
        </w:rPr>
        <w:t>i)</w:t>
      </w:r>
      <w:r w:rsidRPr="00C542D1">
        <w:rPr>
          <w:i/>
          <w:lang w:val="fr-FR"/>
        </w:rPr>
        <w:tab/>
        <w:t>a pris note des commentaires actualisés du Secrétariat sur le rapport du Corps commun d</w:t>
      </w:r>
      <w:r w:rsidR="0036170C" w:rsidRPr="00C542D1">
        <w:rPr>
          <w:i/>
          <w:lang w:val="fr-FR"/>
        </w:rPr>
        <w:t>’</w:t>
      </w:r>
      <w:r w:rsidRPr="00C542D1">
        <w:rPr>
          <w:i/>
          <w:lang w:val="fr-FR"/>
        </w:rPr>
        <w:t>inspection (CCI) intitulé “Examen de la gestion et de l</w:t>
      </w:r>
      <w:r w:rsidR="0036170C" w:rsidRPr="00C542D1">
        <w:rPr>
          <w:i/>
          <w:lang w:val="fr-FR"/>
        </w:rPr>
        <w:t>’</w:t>
      </w:r>
      <w:r w:rsidRPr="00C542D1">
        <w:rPr>
          <w:i/>
          <w:lang w:val="fr-FR"/>
        </w:rPr>
        <w:t>administration de l</w:t>
      </w:r>
      <w:r w:rsidR="0036170C" w:rsidRPr="00C542D1">
        <w:rPr>
          <w:i/>
          <w:lang w:val="fr-FR"/>
        </w:rPr>
        <w:t>’</w:t>
      </w:r>
      <w:r w:rsidRPr="00C542D1">
        <w:rPr>
          <w:i/>
          <w:lang w:val="fr-FR"/>
        </w:rPr>
        <w:t xml:space="preserve">Organisation Mondiale de la Propriété Intellectuelle” (JIU/REP/2014/2) figurant dans le document WO/PBC/23/4, et a noté que les recommandations </w:t>
      </w:r>
      <w:r w:rsidRPr="00C542D1">
        <w:rPr>
          <w:i/>
          <w:lang w:val="fr-FR"/>
        </w:rPr>
        <w:lastRenderedPageBreak/>
        <w:t xml:space="preserve">n° 2, 3, 4, 5, 8, 9 et 10 adressées au Directeur général </w:t>
      </w:r>
      <w:r w:rsidR="00D64D6F" w:rsidRPr="00C542D1">
        <w:rPr>
          <w:i/>
          <w:lang w:val="fr-FR"/>
        </w:rPr>
        <w:t>ont</w:t>
      </w:r>
      <w:r w:rsidRPr="00C542D1">
        <w:rPr>
          <w:i/>
          <w:lang w:val="fr-FR"/>
        </w:rPr>
        <w:t xml:space="preserve"> été pleinement mises en </w:t>
      </w:r>
      <w:r w:rsidR="00505E83" w:rsidRPr="00C542D1">
        <w:rPr>
          <w:i/>
          <w:lang w:val="fr-FR"/>
        </w:rPr>
        <w:t>œuvre</w:t>
      </w:r>
      <w:r w:rsidRPr="00C542D1">
        <w:rPr>
          <w:i/>
          <w:lang w:val="fr-FR"/>
        </w:rPr>
        <w:t>;  et</w:t>
      </w:r>
    </w:p>
    <w:p w:rsidR="00735EFC" w:rsidRPr="00C542D1" w:rsidRDefault="00505E83" w:rsidP="00C542D1">
      <w:pPr>
        <w:pStyle w:val="ONUME"/>
        <w:keepNext/>
        <w:keepLines/>
        <w:numPr>
          <w:ilvl w:val="0"/>
          <w:numId w:val="0"/>
        </w:numPr>
        <w:tabs>
          <w:tab w:val="left" w:pos="6663"/>
        </w:tabs>
        <w:ind w:left="6096"/>
        <w:rPr>
          <w:i/>
          <w:lang w:val="fr-FR"/>
        </w:rPr>
      </w:pPr>
      <w:r w:rsidRPr="00C542D1">
        <w:rPr>
          <w:i/>
          <w:lang w:val="fr-FR"/>
        </w:rPr>
        <w:t>ii)</w:t>
      </w:r>
      <w:r w:rsidRPr="00C542D1">
        <w:rPr>
          <w:i/>
          <w:lang w:val="fr-FR"/>
        </w:rPr>
        <w:tab/>
        <w:t xml:space="preserve">a demandé au Secrétariat de continuer de faire rapport </w:t>
      </w:r>
      <w:r w:rsidR="00D64D6F" w:rsidRPr="00C542D1">
        <w:rPr>
          <w:i/>
          <w:lang w:val="fr-FR"/>
        </w:rPr>
        <w:t>dans l</w:t>
      </w:r>
      <w:r w:rsidR="0036170C" w:rsidRPr="00C542D1">
        <w:rPr>
          <w:i/>
          <w:lang w:val="fr-FR"/>
        </w:rPr>
        <w:t>’</w:t>
      </w:r>
      <w:r w:rsidR="00D64D6F" w:rsidRPr="00C542D1">
        <w:rPr>
          <w:i/>
          <w:lang w:val="fr-FR"/>
        </w:rPr>
        <w:t xml:space="preserve">avenir </w:t>
      </w:r>
      <w:r w:rsidRPr="00C542D1">
        <w:rPr>
          <w:i/>
          <w:lang w:val="fr-FR"/>
        </w:rPr>
        <w:t xml:space="preserve">sur toutes les recommandations </w:t>
      </w:r>
      <w:r w:rsidR="00D64D6F" w:rsidRPr="00C542D1">
        <w:rPr>
          <w:i/>
          <w:lang w:val="fr-FR"/>
        </w:rPr>
        <w:t xml:space="preserve">à mettre en œuvre </w:t>
      </w:r>
      <w:r w:rsidRPr="00C542D1">
        <w:rPr>
          <w:i/>
          <w:lang w:val="fr-FR"/>
        </w:rPr>
        <w:t xml:space="preserve">dans </w:t>
      </w:r>
      <w:r w:rsidR="00D64D6F" w:rsidRPr="00C542D1">
        <w:rPr>
          <w:i/>
          <w:lang w:val="fr-FR"/>
        </w:rPr>
        <w:t>l</w:t>
      </w:r>
      <w:r w:rsidRPr="00C542D1">
        <w:rPr>
          <w:i/>
          <w:lang w:val="fr-FR"/>
        </w:rPr>
        <w:t>es rapports de suivi adressés régulièrement aux États membres sur l</w:t>
      </w:r>
      <w:r w:rsidR="0036170C" w:rsidRPr="00C542D1">
        <w:rPr>
          <w:i/>
          <w:lang w:val="fr-FR"/>
        </w:rPr>
        <w:t>’</w:t>
      </w:r>
      <w:r w:rsidR="00D64D6F" w:rsidRPr="00C542D1">
        <w:rPr>
          <w:i/>
          <w:lang w:val="fr-FR"/>
        </w:rPr>
        <w:t xml:space="preserve">application </w:t>
      </w:r>
      <w:r w:rsidRPr="00C542D1">
        <w:rPr>
          <w:i/>
          <w:lang w:val="fr-FR"/>
        </w:rPr>
        <w:t>des recommandations</w:t>
      </w:r>
      <w:r w:rsidR="0036170C" w:rsidRPr="00C542D1">
        <w:rPr>
          <w:i/>
          <w:lang w:val="fr-FR"/>
        </w:rPr>
        <w:t xml:space="preserve"> du CCI</w:t>
      </w:r>
      <w:r w:rsidRPr="00C542D1">
        <w:rPr>
          <w:i/>
          <w:lang w:val="fr-FR"/>
        </w:rPr>
        <w:t>.</w:t>
      </w:r>
    </w:p>
    <w:p w:rsidR="00735EFC" w:rsidRPr="00C542D1" w:rsidRDefault="00735EFC" w:rsidP="00C542D1">
      <w:pPr>
        <w:pStyle w:val="Endofdocument-Annex"/>
        <w:rPr>
          <w:lang w:val="fr-FR"/>
        </w:rPr>
      </w:pPr>
    </w:p>
    <w:p w:rsidR="00735EFC" w:rsidRPr="00C542D1" w:rsidRDefault="00735EFC" w:rsidP="00C542D1">
      <w:pPr>
        <w:pStyle w:val="Endofdocument-Annex"/>
        <w:rPr>
          <w:lang w:val="fr-FR"/>
        </w:rPr>
      </w:pPr>
    </w:p>
    <w:p w:rsidR="00735EFC" w:rsidRPr="00C542D1" w:rsidRDefault="00505E83" w:rsidP="00C542D1">
      <w:pPr>
        <w:pStyle w:val="Endofdocument-Annex"/>
        <w:rPr>
          <w:lang w:val="fr-FR"/>
        </w:rPr>
      </w:pPr>
      <w:r w:rsidRPr="00C542D1">
        <w:rPr>
          <w:lang w:val="fr-FR"/>
        </w:rPr>
        <w:t>[Fin du document]</w:t>
      </w:r>
    </w:p>
    <w:p w:rsidR="002928D3" w:rsidRPr="00C542D1" w:rsidRDefault="002928D3" w:rsidP="00C542D1">
      <w:pPr>
        <w:pStyle w:val="Endofdocument-Annex"/>
        <w:rPr>
          <w:lang w:val="fr-FR"/>
        </w:rPr>
      </w:pPr>
    </w:p>
    <w:sectPr w:rsidR="002928D3" w:rsidRPr="00C542D1" w:rsidSect="0011003C">
      <w:headerReference w:type="default" r:id="rId10"/>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25" w:rsidRDefault="00BB6025">
      <w:r>
        <w:separator/>
      </w:r>
    </w:p>
  </w:endnote>
  <w:endnote w:type="continuationSeparator" w:id="0">
    <w:p w:rsidR="00BB6025" w:rsidRDefault="00BB6025" w:rsidP="003B38C1">
      <w:r>
        <w:separator/>
      </w:r>
    </w:p>
    <w:p w:rsidR="00BB6025" w:rsidRPr="003B38C1" w:rsidRDefault="00BB6025" w:rsidP="003B38C1">
      <w:pPr>
        <w:spacing w:after="60"/>
        <w:rPr>
          <w:sz w:val="17"/>
        </w:rPr>
      </w:pPr>
      <w:r>
        <w:rPr>
          <w:sz w:val="17"/>
        </w:rPr>
        <w:t>[Endnote continued from previous page]</w:t>
      </w:r>
    </w:p>
  </w:endnote>
  <w:endnote w:type="continuationNotice" w:id="1">
    <w:p w:rsidR="00BB6025" w:rsidRPr="003B38C1" w:rsidRDefault="00BB602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25" w:rsidRDefault="00BB6025">
      <w:r>
        <w:separator/>
      </w:r>
    </w:p>
  </w:footnote>
  <w:footnote w:type="continuationSeparator" w:id="0">
    <w:p w:rsidR="00BB6025" w:rsidRDefault="00BB6025" w:rsidP="008B60B2">
      <w:r>
        <w:separator/>
      </w:r>
    </w:p>
    <w:p w:rsidR="00BB6025" w:rsidRPr="00ED77FB" w:rsidRDefault="00BB6025" w:rsidP="008B60B2">
      <w:pPr>
        <w:spacing w:after="60"/>
        <w:rPr>
          <w:sz w:val="17"/>
          <w:szCs w:val="17"/>
        </w:rPr>
      </w:pPr>
      <w:r w:rsidRPr="00ED77FB">
        <w:rPr>
          <w:sz w:val="17"/>
          <w:szCs w:val="17"/>
        </w:rPr>
        <w:t>[Footnote continued from previous page]</w:t>
      </w:r>
    </w:p>
  </w:footnote>
  <w:footnote w:type="continuationNotice" w:id="1">
    <w:p w:rsidR="00BB6025" w:rsidRPr="00ED77FB" w:rsidRDefault="00BB602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B6025" w:rsidP="00477D6B">
    <w:pPr>
      <w:jc w:val="right"/>
    </w:pPr>
    <w:bookmarkStart w:id="5" w:name="Code2"/>
    <w:bookmarkEnd w:id="5"/>
    <w:r>
      <w:t>WO/PBC/23/4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F03FA">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510249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97"/>
        </w:tabs>
        <w:ind w:left="6030"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604E4F"/>
    <w:multiLevelType w:val="hybridMultilevel"/>
    <w:tmpl w:val="D3A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PreTradBeta"/>
    <w:docVar w:name="TermBaseURL" w:val="empty"/>
    <w:docVar w:name="TextBases" w:val="Budget and Finance\Meetings|Budget and Finance\Other|Budget and Finance\Publications|Administrative\Meetings|Administrative\Other|Administrative\Publications|Copyright\Meetings|Copyright\Other|Copyright\Publications|Glossaries\EN-FR|IP in General\Academy|IP in General\Arbitration and Mediation|IP in General\Meetings|IP in General\Other|IP in General\Press Room|IP in General\Publications|IP in General\SpeechDG2014|Patents\Meetings|Patents\Other|Patents\Publications|Trademarks\Meetings|Trademarks\Other|Trademarks\Publications|UPOV\Meetings|UPOV\Other|UPOV\Publications|UPOV\Technical Guidelines|Treaties\Model Laws|Treaties\Other Laws and Agreements|Treaties\WIPO-administered|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BB6025"/>
    <w:rsid w:val="000011AC"/>
    <w:rsid w:val="00043CAA"/>
    <w:rsid w:val="00060917"/>
    <w:rsid w:val="00075432"/>
    <w:rsid w:val="00095860"/>
    <w:rsid w:val="000968ED"/>
    <w:rsid w:val="000A5901"/>
    <w:rsid w:val="000F5E56"/>
    <w:rsid w:val="001031C1"/>
    <w:rsid w:val="0010450F"/>
    <w:rsid w:val="00107C0F"/>
    <w:rsid w:val="0011003C"/>
    <w:rsid w:val="001136B1"/>
    <w:rsid w:val="001362EE"/>
    <w:rsid w:val="001832A6"/>
    <w:rsid w:val="001F0D37"/>
    <w:rsid w:val="00205BEA"/>
    <w:rsid w:val="002217C6"/>
    <w:rsid w:val="002634C4"/>
    <w:rsid w:val="00265375"/>
    <w:rsid w:val="002928D3"/>
    <w:rsid w:val="002C463D"/>
    <w:rsid w:val="002F1FE6"/>
    <w:rsid w:val="002F4C82"/>
    <w:rsid w:val="002F4E68"/>
    <w:rsid w:val="00302768"/>
    <w:rsid w:val="00302B30"/>
    <w:rsid w:val="00312F7F"/>
    <w:rsid w:val="003263E1"/>
    <w:rsid w:val="00361450"/>
    <w:rsid w:val="0036170C"/>
    <w:rsid w:val="003673CF"/>
    <w:rsid w:val="003845C1"/>
    <w:rsid w:val="00397D6E"/>
    <w:rsid w:val="003A6521"/>
    <w:rsid w:val="003A6F89"/>
    <w:rsid w:val="003B38C1"/>
    <w:rsid w:val="003D07E6"/>
    <w:rsid w:val="003F1B46"/>
    <w:rsid w:val="003F5A4E"/>
    <w:rsid w:val="00423E3E"/>
    <w:rsid w:val="00427AF4"/>
    <w:rsid w:val="004647DA"/>
    <w:rsid w:val="00474062"/>
    <w:rsid w:val="00477D6B"/>
    <w:rsid w:val="004E0C83"/>
    <w:rsid w:val="005019FF"/>
    <w:rsid w:val="00505E83"/>
    <w:rsid w:val="00515E4B"/>
    <w:rsid w:val="0053057A"/>
    <w:rsid w:val="0053155A"/>
    <w:rsid w:val="0055349E"/>
    <w:rsid w:val="00560A29"/>
    <w:rsid w:val="0059745D"/>
    <w:rsid w:val="005C6649"/>
    <w:rsid w:val="00605827"/>
    <w:rsid w:val="00625389"/>
    <w:rsid w:val="00641841"/>
    <w:rsid w:val="00646050"/>
    <w:rsid w:val="006678F1"/>
    <w:rsid w:val="006713CA"/>
    <w:rsid w:val="00676C5C"/>
    <w:rsid w:val="006B7BE1"/>
    <w:rsid w:val="006C6549"/>
    <w:rsid w:val="006D3C6C"/>
    <w:rsid w:val="00701865"/>
    <w:rsid w:val="00713F3F"/>
    <w:rsid w:val="00730FAD"/>
    <w:rsid w:val="00735EFC"/>
    <w:rsid w:val="007D1613"/>
    <w:rsid w:val="007E7164"/>
    <w:rsid w:val="00811E7B"/>
    <w:rsid w:val="00822AB0"/>
    <w:rsid w:val="00822F1E"/>
    <w:rsid w:val="00837F01"/>
    <w:rsid w:val="00846812"/>
    <w:rsid w:val="008579C3"/>
    <w:rsid w:val="008B2CC1"/>
    <w:rsid w:val="008B60B2"/>
    <w:rsid w:val="0090731E"/>
    <w:rsid w:val="00916EE2"/>
    <w:rsid w:val="009330C7"/>
    <w:rsid w:val="00966A22"/>
    <w:rsid w:val="0096722F"/>
    <w:rsid w:val="00980843"/>
    <w:rsid w:val="009868DF"/>
    <w:rsid w:val="009B2D83"/>
    <w:rsid w:val="009C561A"/>
    <w:rsid w:val="009C699E"/>
    <w:rsid w:val="009E2791"/>
    <w:rsid w:val="009E3F6F"/>
    <w:rsid w:val="009F499F"/>
    <w:rsid w:val="00A05199"/>
    <w:rsid w:val="00A42DAF"/>
    <w:rsid w:val="00A45BD8"/>
    <w:rsid w:val="00A55E8E"/>
    <w:rsid w:val="00A869B7"/>
    <w:rsid w:val="00AC205C"/>
    <w:rsid w:val="00AD12A1"/>
    <w:rsid w:val="00AF0A6B"/>
    <w:rsid w:val="00B05A69"/>
    <w:rsid w:val="00B218C5"/>
    <w:rsid w:val="00B3708A"/>
    <w:rsid w:val="00B9734B"/>
    <w:rsid w:val="00BB6025"/>
    <w:rsid w:val="00BB78B9"/>
    <w:rsid w:val="00C0181C"/>
    <w:rsid w:val="00C11BFE"/>
    <w:rsid w:val="00C324D7"/>
    <w:rsid w:val="00C542D1"/>
    <w:rsid w:val="00C647AB"/>
    <w:rsid w:val="00C80A78"/>
    <w:rsid w:val="00CA6D78"/>
    <w:rsid w:val="00CC36AC"/>
    <w:rsid w:val="00CC5190"/>
    <w:rsid w:val="00CF03FA"/>
    <w:rsid w:val="00CF4E91"/>
    <w:rsid w:val="00D166D7"/>
    <w:rsid w:val="00D45252"/>
    <w:rsid w:val="00D51C8D"/>
    <w:rsid w:val="00D64D6F"/>
    <w:rsid w:val="00D71B4D"/>
    <w:rsid w:val="00D77975"/>
    <w:rsid w:val="00D93D55"/>
    <w:rsid w:val="00DB0C8A"/>
    <w:rsid w:val="00DB18F6"/>
    <w:rsid w:val="00DC7973"/>
    <w:rsid w:val="00DF2771"/>
    <w:rsid w:val="00E335FE"/>
    <w:rsid w:val="00E628DA"/>
    <w:rsid w:val="00E9276B"/>
    <w:rsid w:val="00EC201C"/>
    <w:rsid w:val="00EC4E49"/>
    <w:rsid w:val="00EC6D92"/>
    <w:rsid w:val="00ED77FB"/>
    <w:rsid w:val="00EE45FA"/>
    <w:rsid w:val="00F0308D"/>
    <w:rsid w:val="00F66152"/>
    <w:rsid w:val="00FC341F"/>
    <w:rsid w:val="00FF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05BEA"/>
    <w:rPr>
      <w:rFonts w:ascii="Arial" w:eastAsia="SimSun" w:hAnsi="Arial" w:cs="Arial"/>
      <w:sz w:val="18"/>
      <w:lang w:eastAsia="zh-CN"/>
    </w:rPr>
  </w:style>
  <w:style w:type="character" w:styleId="FootnoteReference">
    <w:name w:val="footnote reference"/>
    <w:basedOn w:val="DefaultParagraphFont"/>
    <w:rsid w:val="00205BEA"/>
    <w:rPr>
      <w:vertAlign w:val="superscript"/>
    </w:rPr>
  </w:style>
  <w:style w:type="paragraph" w:styleId="ListParagraph">
    <w:name w:val="List Paragraph"/>
    <w:basedOn w:val="Normal"/>
    <w:uiPriority w:val="34"/>
    <w:qFormat/>
    <w:rsid w:val="00205BEA"/>
    <w:pPr>
      <w:ind w:left="720"/>
      <w:contextualSpacing/>
    </w:pPr>
  </w:style>
  <w:style w:type="table" w:styleId="TableGrid">
    <w:name w:val="Table Grid"/>
    <w:basedOn w:val="TableNormal"/>
    <w:rsid w:val="00D5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rsid w:val="00F0308D"/>
    <w:rPr>
      <w:rFonts w:ascii="Arial" w:eastAsia="SimSun" w:hAnsi="Arial" w:cs="Arial"/>
      <w:sz w:val="22"/>
      <w:lang w:eastAsia="zh-CN"/>
    </w:rPr>
  </w:style>
  <w:style w:type="character" w:styleId="Hyperlink">
    <w:name w:val="Hyperlink"/>
    <w:basedOn w:val="DefaultParagraphFont"/>
    <w:rsid w:val="00110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05BEA"/>
    <w:rPr>
      <w:rFonts w:ascii="Arial" w:eastAsia="SimSun" w:hAnsi="Arial" w:cs="Arial"/>
      <w:sz w:val="18"/>
      <w:lang w:eastAsia="zh-CN"/>
    </w:rPr>
  </w:style>
  <w:style w:type="character" w:styleId="FootnoteReference">
    <w:name w:val="footnote reference"/>
    <w:basedOn w:val="DefaultParagraphFont"/>
    <w:rsid w:val="00205BEA"/>
    <w:rPr>
      <w:vertAlign w:val="superscript"/>
    </w:rPr>
  </w:style>
  <w:style w:type="paragraph" w:styleId="ListParagraph">
    <w:name w:val="List Paragraph"/>
    <w:basedOn w:val="Normal"/>
    <w:uiPriority w:val="34"/>
    <w:qFormat/>
    <w:rsid w:val="00205BEA"/>
    <w:pPr>
      <w:ind w:left="720"/>
      <w:contextualSpacing/>
    </w:pPr>
  </w:style>
  <w:style w:type="table" w:styleId="TableGrid">
    <w:name w:val="Table Grid"/>
    <w:basedOn w:val="TableNormal"/>
    <w:rsid w:val="00D5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rsid w:val="00F0308D"/>
    <w:rPr>
      <w:rFonts w:ascii="Arial" w:eastAsia="SimSun" w:hAnsi="Arial" w:cs="Arial"/>
      <w:sz w:val="22"/>
      <w:lang w:eastAsia="zh-CN"/>
    </w:rPr>
  </w:style>
  <w:style w:type="character" w:styleId="Hyperlink">
    <w:name w:val="Hyperlink"/>
    <w:basedOn w:val="DefaultParagraphFont"/>
    <w:rsid w:val="00110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6BF2-1AFD-4DD9-81D3-07B0502B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1</TotalTime>
  <Pages>6</Pages>
  <Words>1814</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DOYON Geneviève</dc:creator>
  <cp:keywords>DB/mhf</cp:keywords>
  <cp:lastModifiedBy>DOYON Geneviève</cp:lastModifiedBy>
  <cp:revision>3</cp:revision>
  <cp:lastPrinted>2015-05-11T08:06:00Z</cp:lastPrinted>
  <dcterms:created xsi:type="dcterms:W3CDTF">2015-05-11T09:06:00Z</dcterms:created>
  <dcterms:modified xsi:type="dcterms:W3CDTF">2015-05-13T05:53:00Z</dcterms:modified>
</cp:coreProperties>
</file>