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2B3396" w:rsidRPr="00EB7FED" w:rsidTr="000567E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B3396" w:rsidRPr="00EB7FED" w:rsidRDefault="002B3396" w:rsidP="000567E3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B3396" w:rsidRPr="00EB7FED" w:rsidRDefault="002B3396" w:rsidP="000567E3">
            <w:pPr>
              <w:rPr>
                <w:lang w:val="fr-FR"/>
              </w:rPr>
            </w:pPr>
            <w:r w:rsidRPr="00EB7FED">
              <w:rPr>
                <w:noProof/>
                <w:lang w:eastAsia="en-US"/>
              </w:rPr>
              <w:drawing>
                <wp:inline distT="0" distB="0" distL="0" distR="0" wp14:anchorId="5F4E6C7D" wp14:editId="5EA4CDA7">
                  <wp:extent cx="1857375" cy="1323975"/>
                  <wp:effectExtent l="0" t="0" r="9525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B3396" w:rsidRPr="00EB7FED" w:rsidRDefault="002B3396" w:rsidP="000567E3">
            <w:pPr>
              <w:jc w:val="right"/>
              <w:rPr>
                <w:lang w:val="fr-FR"/>
              </w:rPr>
            </w:pPr>
            <w:r w:rsidRPr="00EB7FED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2B3396" w:rsidRPr="00EB7FED" w:rsidTr="000567E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B3396" w:rsidRPr="00EB7FED" w:rsidRDefault="002B3396" w:rsidP="000567E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B7FED">
              <w:rPr>
                <w:rFonts w:ascii="Arial Black" w:hAnsi="Arial Black"/>
                <w:caps/>
                <w:sz w:val="15"/>
                <w:lang w:val="fr-FR"/>
              </w:rPr>
              <w:t>WO/PBC/22/</w:t>
            </w:r>
            <w:bookmarkStart w:id="1" w:name="Code"/>
            <w:bookmarkEnd w:id="1"/>
            <w:r w:rsidRPr="00EB7FED">
              <w:rPr>
                <w:rFonts w:ascii="Arial Black" w:hAnsi="Arial Black"/>
                <w:caps/>
                <w:sz w:val="15"/>
                <w:lang w:val="fr-FR"/>
              </w:rPr>
              <w:t xml:space="preserve">21 </w:t>
            </w:r>
          </w:p>
        </w:tc>
      </w:tr>
      <w:tr w:rsidR="002B3396" w:rsidRPr="00EB7FED" w:rsidTr="000567E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B3396" w:rsidRPr="00EB7FED" w:rsidRDefault="002B3396" w:rsidP="002B339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B7FED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8053E7" w:rsidRPr="00EB7FE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EB7FED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2" w:name="Original"/>
            <w:bookmarkEnd w:id="2"/>
            <w:r w:rsidRPr="00EB7FED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2B3396" w:rsidRPr="00EB7FED" w:rsidTr="000567E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B3396" w:rsidRPr="00EB7FED" w:rsidRDefault="002B3396" w:rsidP="002B3396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EB7FED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8053E7" w:rsidRPr="00EB7FED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r w:rsidRPr="00EB7FED">
              <w:rPr>
                <w:rFonts w:ascii="Arial Black" w:hAnsi="Arial Black"/>
                <w:caps/>
                <w:sz w:val="15"/>
                <w:lang w:val="fr-FR"/>
              </w:rPr>
              <w:t xml:space="preserve">: </w:t>
            </w:r>
            <w:bookmarkStart w:id="3" w:name="Date"/>
            <w:bookmarkEnd w:id="3"/>
            <w:r w:rsidRPr="00EB7FED">
              <w:rPr>
                <w:rFonts w:ascii="Arial Black" w:hAnsi="Arial Black"/>
                <w:caps/>
                <w:sz w:val="15"/>
                <w:lang w:val="fr-FR"/>
              </w:rPr>
              <w:t>14 juillet 2014</w:t>
            </w:r>
          </w:p>
        </w:tc>
      </w:tr>
    </w:tbl>
    <w:p w:rsidR="002B3396" w:rsidRPr="00EB7FED" w:rsidRDefault="002B3396" w:rsidP="002B3396">
      <w:pPr>
        <w:rPr>
          <w:lang w:val="fr-FR"/>
        </w:rPr>
      </w:pPr>
    </w:p>
    <w:p w:rsidR="002B3396" w:rsidRPr="00EB7FED" w:rsidRDefault="002B3396" w:rsidP="002B3396">
      <w:pPr>
        <w:rPr>
          <w:lang w:val="fr-FR"/>
        </w:rPr>
      </w:pPr>
    </w:p>
    <w:p w:rsidR="002B3396" w:rsidRPr="00EB7FED" w:rsidRDefault="002B3396" w:rsidP="002B3396">
      <w:pPr>
        <w:rPr>
          <w:lang w:val="fr-FR"/>
        </w:rPr>
      </w:pPr>
    </w:p>
    <w:p w:rsidR="002B3396" w:rsidRPr="00EB7FED" w:rsidRDefault="002B3396" w:rsidP="002B3396">
      <w:pPr>
        <w:rPr>
          <w:lang w:val="fr-FR"/>
        </w:rPr>
      </w:pPr>
    </w:p>
    <w:p w:rsidR="002B3396" w:rsidRPr="00EB7FED" w:rsidRDefault="002B3396" w:rsidP="002B3396">
      <w:pPr>
        <w:rPr>
          <w:lang w:val="fr-FR"/>
        </w:rPr>
      </w:pPr>
    </w:p>
    <w:p w:rsidR="002B3396" w:rsidRPr="00EB7FED" w:rsidRDefault="002B3396" w:rsidP="002B3396">
      <w:pPr>
        <w:rPr>
          <w:b/>
          <w:sz w:val="28"/>
          <w:szCs w:val="28"/>
          <w:lang w:val="fr-FR"/>
        </w:rPr>
      </w:pPr>
      <w:r w:rsidRPr="00EB7FED">
        <w:rPr>
          <w:b/>
          <w:sz w:val="28"/>
          <w:szCs w:val="28"/>
          <w:lang w:val="fr-FR"/>
        </w:rPr>
        <w:t>Comit</w:t>
      </w:r>
      <w:r w:rsidRPr="00EB7FED">
        <w:rPr>
          <w:rFonts w:cs="Simplified Arabic"/>
          <w:b/>
          <w:sz w:val="28"/>
          <w:szCs w:val="28"/>
          <w:lang w:val="fr-FR"/>
        </w:rPr>
        <w:t>é</w:t>
      </w:r>
      <w:r w:rsidRPr="00EB7FED">
        <w:rPr>
          <w:b/>
          <w:sz w:val="28"/>
          <w:szCs w:val="28"/>
          <w:lang w:val="fr-FR"/>
        </w:rPr>
        <w:t xml:space="preserve"> du programme et budget</w:t>
      </w:r>
    </w:p>
    <w:p w:rsidR="002B3396" w:rsidRPr="00EB7FED" w:rsidRDefault="002B3396" w:rsidP="002B3396">
      <w:pPr>
        <w:rPr>
          <w:lang w:val="fr-FR"/>
        </w:rPr>
      </w:pPr>
    </w:p>
    <w:p w:rsidR="002B3396" w:rsidRPr="00EB7FED" w:rsidRDefault="002B3396" w:rsidP="002B3396">
      <w:pPr>
        <w:rPr>
          <w:lang w:val="fr-FR"/>
        </w:rPr>
      </w:pPr>
    </w:p>
    <w:p w:rsidR="002B3396" w:rsidRPr="00EB7FED" w:rsidRDefault="002B3396" w:rsidP="002B3396">
      <w:pPr>
        <w:rPr>
          <w:b/>
          <w:sz w:val="24"/>
          <w:szCs w:val="24"/>
          <w:lang w:val="fr-FR"/>
        </w:rPr>
      </w:pPr>
      <w:r w:rsidRPr="00EB7FED">
        <w:rPr>
          <w:b/>
          <w:bCs/>
          <w:sz w:val="24"/>
          <w:szCs w:val="24"/>
          <w:lang w:val="fr-FR"/>
        </w:rPr>
        <w:t>Vingt</w:t>
      </w:r>
      <w:r w:rsidR="00785719">
        <w:rPr>
          <w:b/>
          <w:bCs/>
          <w:sz w:val="24"/>
          <w:szCs w:val="24"/>
          <w:lang w:val="fr-FR"/>
        </w:rPr>
        <w:noBreakHyphen/>
      </w:r>
      <w:r w:rsidRPr="00EB7FED">
        <w:rPr>
          <w:b/>
          <w:bCs/>
          <w:sz w:val="24"/>
          <w:szCs w:val="24"/>
          <w:lang w:val="fr-FR"/>
        </w:rPr>
        <w:t>deuxième</w:t>
      </w:r>
      <w:r w:rsidR="008053E7" w:rsidRPr="00EB7FED">
        <w:rPr>
          <w:b/>
          <w:bCs/>
          <w:sz w:val="24"/>
          <w:szCs w:val="24"/>
          <w:lang w:val="fr-FR"/>
        </w:rPr>
        <w:t> </w:t>
      </w:r>
      <w:r w:rsidRPr="00EB7FED">
        <w:rPr>
          <w:b/>
          <w:bCs/>
          <w:sz w:val="24"/>
          <w:szCs w:val="24"/>
          <w:lang w:val="fr-FR"/>
        </w:rPr>
        <w:t>se</w:t>
      </w:r>
      <w:r w:rsidRPr="00EB7FED">
        <w:rPr>
          <w:b/>
          <w:sz w:val="24"/>
          <w:szCs w:val="24"/>
          <w:lang w:val="fr-FR"/>
        </w:rPr>
        <w:t>ssion</w:t>
      </w:r>
    </w:p>
    <w:p w:rsidR="002B3396" w:rsidRPr="00EB7FED" w:rsidRDefault="002B3396" w:rsidP="002B3396">
      <w:pPr>
        <w:rPr>
          <w:lang w:val="fr-FR"/>
        </w:rPr>
      </w:pPr>
      <w:r w:rsidRPr="00EB7FED">
        <w:rPr>
          <w:b/>
          <w:sz w:val="24"/>
          <w:szCs w:val="24"/>
          <w:lang w:val="fr-FR"/>
        </w:rPr>
        <w:t xml:space="preserve">Genève, </w:t>
      </w:r>
      <w:r w:rsidR="00D81134" w:rsidRPr="00EB7FED">
        <w:rPr>
          <w:b/>
          <w:sz w:val="24"/>
          <w:szCs w:val="24"/>
          <w:lang w:val="fr-FR"/>
        </w:rPr>
        <w:t>1</w:t>
      </w:r>
      <w:r w:rsidR="00D81134" w:rsidRPr="00EB7FED">
        <w:rPr>
          <w:b/>
          <w:sz w:val="24"/>
          <w:szCs w:val="24"/>
          <w:vertAlign w:val="superscript"/>
          <w:lang w:val="fr-FR"/>
        </w:rPr>
        <w:t>er</w:t>
      </w:r>
      <w:r w:rsidR="00D81134" w:rsidRPr="00EB7FED">
        <w:rPr>
          <w:b/>
          <w:sz w:val="24"/>
          <w:szCs w:val="24"/>
          <w:lang w:val="fr-FR"/>
        </w:rPr>
        <w:t> </w:t>
      </w:r>
      <w:r w:rsidRPr="00EB7FED">
        <w:rPr>
          <w:b/>
          <w:sz w:val="24"/>
          <w:szCs w:val="24"/>
          <w:lang w:val="fr-FR"/>
        </w:rPr>
        <w:t xml:space="preserve">– </w:t>
      </w:r>
      <w:r w:rsidR="00D81134" w:rsidRPr="00EB7FED">
        <w:rPr>
          <w:b/>
          <w:sz w:val="24"/>
          <w:szCs w:val="24"/>
          <w:lang w:val="fr-FR"/>
        </w:rPr>
        <w:t>5 septembre 20</w:t>
      </w:r>
      <w:r w:rsidRPr="00EB7FED">
        <w:rPr>
          <w:b/>
          <w:sz w:val="24"/>
          <w:szCs w:val="24"/>
          <w:lang w:val="fr-FR"/>
        </w:rPr>
        <w:t>14</w:t>
      </w:r>
    </w:p>
    <w:p w:rsidR="002B3396" w:rsidRPr="00EB7FED" w:rsidRDefault="002B3396" w:rsidP="002B3396">
      <w:pPr>
        <w:rPr>
          <w:lang w:val="fr-FR"/>
        </w:rPr>
      </w:pPr>
    </w:p>
    <w:p w:rsidR="002B3396" w:rsidRPr="00EB7FED" w:rsidRDefault="002B3396" w:rsidP="002B3396">
      <w:pPr>
        <w:rPr>
          <w:lang w:val="fr-FR"/>
        </w:rPr>
      </w:pPr>
    </w:p>
    <w:p w:rsidR="009642AA" w:rsidRPr="00EB7FED" w:rsidRDefault="009642AA" w:rsidP="008B2CC1">
      <w:pPr>
        <w:rPr>
          <w:lang w:val="fr-FR"/>
        </w:rPr>
      </w:pPr>
    </w:p>
    <w:p w:rsidR="00D81134" w:rsidRPr="00EB7FED" w:rsidRDefault="00425285" w:rsidP="00425285">
      <w:pPr>
        <w:rPr>
          <w:caps/>
          <w:sz w:val="24"/>
          <w:lang w:val="fr-FR"/>
        </w:rPr>
      </w:pPr>
      <w:bookmarkStart w:id="4" w:name="TitleOfDoc"/>
      <w:bookmarkEnd w:id="4"/>
      <w:r w:rsidRPr="00EB7FED">
        <w:rPr>
          <w:caps/>
          <w:sz w:val="24"/>
          <w:lang w:val="fr-FR"/>
        </w:rPr>
        <w:t xml:space="preserve">Rapport </w:t>
      </w:r>
      <w:r w:rsidR="002B3396" w:rsidRPr="00EB7FED">
        <w:rPr>
          <w:caps/>
          <w:sz w:val="24"/>
          <w:lang w:val="fr-FR"/>
        </w:rPr>
        <w:t>sur l</w:t>
      </w:r>
      <w:r w:rsidR="00D81134" w:rsidRPr="00EB7FED">
        <w:rPr>
          <w:caps/>
          <w:sz w:val="24"/>
          <w:lang w:val="fr-FR"/>
        </w:rPr>
        <w:t>’</w:t>
      </w:r>
      <w:r w:rsidR="002B3396" w:rsidRPr="00EB7FED">
        <w:rPr>
          <w:caps/>
          <w:sz w:val="24"/>
          <w:lang w:val="fr-FR"/>
        </w:rPr>
        <w:t>état d</w:t>
      </w:r>
      <w:r w:rsidR="00D81134" w:rsidRPr="00EB7FED">
        <w:rPr>
          <w:caps/>
          <w:sz w:val="24"/>
          <w:lang w:val="fr-FR"/>
        </w:rPr>
        <w:t>’</w:t>
      </w:r>
      <w:r w:rsidR="002B3396" w:rsidRPr="00EB7FED">
        <w:rPr>
          <w:caps/>
          <w:sz w:val="24"/>
          <w:lang w:val="fr-FR"/>
        </w:rPr>
        <w:t>avancement du plan</w:t>
      </w:r>
      <w:r w:rsidR="00785719">
        <w:rPr>
          <w:caps/>
          <w:sz w:val="24"/>
          <w:lang w:val="fr-FR"/>
        </w:rPr>
        <w:noBreakHyphen/>
      </w:r>
      <w:r w:rsidRPr="00EB7FED">
        <w:rPr>
          <w:caps/>
          <w:sz w:val="24"/>
          <w:lang w:val="fr-FR"/>
        </w:rPr>
        <w:t>cadre d</w:t>
      </w:r>
      <w:r w:rsidR="00D81134" w:rsidRPr="00EB7FED">
        <w:rPr>
          <w:caps/>
          <w:sz w:val="24"/>
          <w:lang w:val="fr-FR"/>
        </w:rPr>
        <w:t>’</w:t>
      </w:r>
      <w:r w:rsidRPr="00EB7FED">
        <w:rPr>
          <w:caps/>
          <w:sz w:val="24"/>
          <w:lang w:val="fr-FR"/>
        </w:rPr>
        <w:t>équipement</w:t>
      </w:r>
    </w:p>
    <w:p w:rsidR="009642AA" w:rsidRPr="00EB7FED" w:rsidRDefault="009642AA" w:rsidP="008B2CC1">
      <w:pPr>
        <w:rPr>
          <w:lang w:val="fr-FR"/>
        </w:rPr>
      </w:pPr>
    </w:p>
    <w:p w:rsidR="009642AA" w:rsidRPr="00EB7FED" w:rsidRDefault="00425285" w:rsidP="00425285">
      <w:pPr>
        <w:rPr>
          <w:i/>
          <w:lang w:val="fr-FR"/>
        </w:rPr>
      </w:pPr>
      <w:bookmarkStart w:id="5" w:name="Prepared"/>
      <w:bookmarkEnd w:id="5"/>
      <w:proofErr w:type="gramStart"/>
      <w:r w:rsidRPr="00EB7FED">
        <w:rPr>
          <w:i/>
          <w:lang w:val="fr-FR"/>
        </w:rPr>
        <w:t>établi</w:t>
      </w:r>
      <w:proofErr w:type="gramEnd"/>
      <w:r w:rsidRPr="00EB7FED">
        <w:rPr>
          <w:i/>
          <w:lang w:val="fr-FR"/>
        </w:rPr>
        <w:t xml:space="preserve"> par le Secrétariat</w:t>
      </w:r>
    </w:p>
    <w:p w:rsidR="009642AA" w:rsidRPr="00EB7FED" w:rsidRDefault="009642AA">
      <w:pPr>
        <w:rPr>
          <w:lang w:val="fr-FR"/>
        </w:rPr>
      </w:pPr>
    </w:p>
    <w:p w:rsidR="009642AA" w:rsidRPr="00EB7FED" w:rsidRDefault="009642AA">
      <w:pPr>
        <w:rPr>
          <w:lang w:val="fr-FR"/>
        </w:rPr>
      </w:pPr>
    </w:p>
    <w:p w:rsidR="002B3396" w:rsidRPr="00EB7FED" w:rsidRDefault="002B3396">
      <w:pPr>
        <w:rPr>
          <w:lang w:val="fr-FR"/>
        </w:rPr>
      </w:pPr>
    </w:p>
    <w:p w:rsidR="009642AA" w:rsidRPr="00EB7FED" w:rsidRDefault="002B3396" w:rsidP="00E31434">
      <w:pPr>
        <w:pStyle w:val="Heading1"/>
        <w:rPr>
          <w:lang w:val="fr-FR"/>
        </w:rPr>
      </w:pPr>
      <w:r w:rsidRPr="00EB7FED">
        <w:rPr>
          <w:lang w:val="fr-FR"/>
        </w:rPr>
        <w:t>Introduction</w:t>
      </w:r>
    </w:p>
    <w:p w:rsidR="009642AA" w:rsidRPr="00EB7FED" w:rsidRDefault="009642AA" w:rsidP="00E31434">
      <w:pPr>
        <w:rPr>
          <w:lang w:val="fr-FR"/>
        </w:rPr>
      </w:pPr>
    </w:p>
    <w:p w:rsidR="009642AA" w:rsidRPr="00EB7FED" w:rsidRDefault="009E1CC3" w:rsidP="00E31434">
      <w:pPr>
        <w:pStyle w:val="ONUMFS"/>
        <w:rPr>
          <w:lang w:val="fr-FR"/>
        </w:rPr>
      </w:pPr>
      <w:r w:rsidRPr="00EB7FED">
        <w:rPr>
          <w:lang w:val="fr-FR"/>
        </w:rPr>
        <w:t>À</w:t>
      </w:r>
      <w:r w:rsidR="00425285" w:rsidRPr="00EB7FED">
        <w:rPr>
          <w:lang w:val="fr-FR"/>
        </w:rPr>
        <w:t xml:space="preserve"> leur cinquante et unième série de réunions, les assemblées de l</w:t>
      </w:r>
      <w:r w:rsidR="00D81134" w:rsidRPr="00EB7FED">
        <w:rPr>
          <w:lang w:val="fr-FR"/>
        </w:rPr>
        <w:t>’</w:t>
      </w:r>
      <w:r w:rsidR="00425285" w:rsidRPr="00EB7FED">
        <w:rPr>
          <w:lang w:val="fr-FR"/>
        </w:rPr>
        <w:t>OMPI ont entériné les principes en vertu desquels les projets sont inclus dans le Plan</w:t>
      </w:r>
      <w:r w:rsidR="00785719">
        <w:rPr>
          <w:lang w:val="fr-FR"/>
        </w:rPr>
        <w:noBreakHyphen/>
      </w:r>
      <w:r w:rsidR="00425285" w:rsidRPr="00EB7FED">
        <w:rPr>
          <w:lang w:val="fr-FR"/>
        </w:rPr>
        <w:t>cadre d</w:t>
      </w:r>
      <w:r w:rsidR="00D81134" w:rsidRPr="00EB7FED">
        <w:rPr>
          <w:lang w:val="fr-FR"/>
        </w:rPr>
        <w:t>’</w:t>
      </w:r>
      <w:r w:rsidR="00425285" w:rsidRPr="00EB7FED">
        <w:rPr>
          <w:lang w:val="fr-FR"/>
        </w:rPr>
        <w:t xml:space="preserve">équipement </w:t>
      </w:r>
      <w:r w:rsidR="00B53290" w:rsidRPr="00EB7FED">
        <w:rPr>
          <w:lang w:val="fr-FR"/>
        </w:rPr>
        <w:t xml:space="preserve">(PCE) </w:t>
      </w:r>
      <w:r w:rsidR="00425285" w:rsidRPr="00EB7FED">
        <w:rPr>
          <w:lang w:val="fr-FR"/>
        </w:rPr>
        <w:t>de l</w:t>
      </w:r>
      <w:r w:rsidR="00D81134" w:rsidRPr="00EB7FED">
        <w:rPr>
          <w:lang w:val="fr-FR"/>
        </w:rPr>
        <w:t>’</w:t>
      </w:r>
      <w:r w:rsidR="00425285" w:rsidRPr="00EB7FED">
        <w:rPr>
          <w:lang w:val="fr-FR"/>
        </w:rPr>
        <w:t>Organisation, et ont approuvé un financement pour un montant total estimé à 11,2 millions de francs suisses à prélever sur les réserves pour les sept</w:t>
      </w:r>
      <w:r w:rsidR="008053E7" w:rsidRPr="00EB7FED">
        <w:rPr>
          <w:lang w:val="fr-FR"/>
        </w:rPr>
        <w:t> </w:t>
      </w:r>
      <w:r w:rsidR="00425285" w:rsidRPr="00EB7FED">
        <w:rPr>
          <w:lang w:val="fr-FR"/>
        </w:rPr>
        <w:t>projets suivants</w:t>
      </w:r>
      <w:r w:rsidR="008053E7" w:rsidRPr="00EB7FED">
        <w:rPr>
          <w:lang w:val="fr-FR"/>
        </w:rPr>
        <w:t> </w:t>
      </w:r>
      <w:r w:rsidR="00425285" w:rsidRPr="00EB7FED">
        <w:rPr>
          <w:lang w:val="fr-FR"/>
        </w:rPr>
        <w:t>:</w:t>
      </w:r>
    </w:p>
    <w:p w:rsidR="009642AA" w:rsidRPr="00EB7FED" w:rsidRDefault="00FC58DC" w:rsidP="00480121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spacing w:after="120"/>
        <w:ind w:hanging="567"/>
        <w:rPr>
          <w:szCs w:val="22"/>
          <w:lang w:val="fr-FR"/>
        </w:rPr>
      </w:pPr>
      <w:r w:rsidRPr="00EB7FED">
        <w:rPr>
          <w:rStyle w:val="st"/>
          <w:lang w:val="fr-FR"/>
        </w:rPr>
        <w:t>renforcement de la sécurité</w:t>
      </w:r>
      <w:r w:rsidR="008053E7" w:rsidRPr="00EB7FED">
        <w:rPr>
          <w:rStyle w:val="st"/>
          <w:lang w:val="fr-FR"/>
        </w:rPr>
        <w:t> </w:t>
      </w:r>
      <w:r w:rsidRPr="00EB7FED">
        <w:rPr>
          <w:rStyle w:val="st"/>
          <w:lang w:val="fr-FR"/>
        </w:rPr>
        <w:t xml:space="preserve">: </w:t>
      </w:r>
      <w:r w:rsidRPr="00EB7FED">
        <w:rPr>
          <w:rStyle w:val="Emphasis"/>
          <w:b w:val="0"/>
          <w:lang w:val="fr-FR"/>
        </w:rPr>
        <w:t>cryptage des données</w:t>
      </w:r>
      <w:r w:rsidRPr="00EB7FED">
        <w:rPr>
          <w:rStyle w:val="st"/>
          <w:lang w:val="fr-FR"/>
        </w:rPr>
        <w:t xml:space="preserve"> et gestion des utilisateurs</w:t>
      </w:r>
      <w:r w:rsidR="00452217" w:rsidRPr="00EB7FED">
        <w:rPr>
          <w:szCs w:val="22"/>
          <w:lang w:val="fr-FR"/>
        </w:rPr>
        <w:t>;</w:t>
      </w:r>
    </w:p>
    <w:p w:rsidR="00D81134" w:rsidRPr="00EB7FED" w:rsidRDefault="00B63D66" w:rsidP="00480121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spacing w:after="120"/>
        <w:ind w:hanging="567"/>
        <w:rPr>
          <w:lang w:val="fr-FR"/>
        </w:rPr>
      </w:pPr>
      <w:r w:rsidRPr="00EB7FED">
        <w:rPr>
          <w:lang w:val="fr-FR"/>
        </w:rPr>
        <w:t>mise en œuvre du système de gestion des contenus de l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Organisation;</w:t>
      </w:r>
    </w:p>
    <w:p w:rsidR="009642AA" w:rsidRPr="00EB7FED" w:rsidRDefault="00B63D66" w:rsidP="00480121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spacing w:after="120"/>
        <w:ind w:hanging="567"/>
        <w:rPr>
          <w:lang w:val="fr-FR"/>
        </w:rPr>
      </w:pPr>
      <w:r w:rsidRPr="00EB7FED">
        <w:rPr>
          <w:lang w:val="fr-FR"/>
        </w:rPr>
        <w:t>rénovation des façades et de la climatisation du bâtiment PCT</w:t>
      </w:r>
      <w:r w:rsidR="00B53290" w:rsidRPr="00EB7FED">
        <w:rPr>
          <w:lang w:val="fr-FR"/>
        </w:rPr>
        <w:t>;</w:t>
      </w:r>
    </w:p>
    <w:p w:rsidR="00D81134" w:rsidRPr="00EB7FED" w:rsidRDefault="00B63D66" w:rsidP="00480121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spacing w:after="120"/>
        <w:ind w:hanging="567"/>
        <w:rPr>
          <w:lang w:val="fr-FR"/>
        </w:rPr>
      </w:pPr>
      <w:r w:rsidRPr="00EB7FED">
        <w:rPr>
          <w:lang w:val="fr-FR"/>
        </w:rPr>
        <w:t>installation du système de refroidissement au moyen de l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eau du lac Léman (projet réseau du lac) pour les bâtiments AB et PCT;</w:t>
      </w:r>
    </w:p>
    <w:p w:rsidR="00D81134" w:rsidRPr="00EB7FED" w:rsidRDefault="00B63D66" w:rsidP="00480121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spacing w:after="120"/>
        <w:ind w:hanging="567"/>
        <w:rPr>
          <w:lang w:val="fr-FR"/>
        </w:rPr>
      </w:pPr>
      <w:r w:rsidRPr="00EB7FED">
        <w:rPr>
          <w:lang w:val="fr-FR"/>
        </w:rPr>
        <w:t>bâtiment Arpad</w:t>
      </w:r>
      <w:r w:rsidR="00463183">
        <w:rPr>
          <w:lang w:val="fr-FR"/>
        </w:rPr>
        <w:t> </w:t>
      </w:r>
      <w:proofErr w:type="spellStart"/>
      <w:r w:rsidRPr="00EB7FED">
        <w:rPr>
          <w:lang w:val="fr-FR"/>
        </w:rPr>
        <w:t>Bogsch</w:t>
      </w:r>
      <w:proofErr w:type="spellEnd"/>
      <w:r w:rsidRPr="00EB7FED">
        <w:rPr>
          <w:lang w:val="fr-FR"/>
        </w:rPr>
        <w:t xml:space="preserve"> – phase 1 de la rénovation du sous</w:t>
      </w:r>
      <w:r w:rsidR="00785719">
        <w:rPr>
          <w:lang w:val="fr-FR"/>
        </w:rPr>
        <w:noBreakHyphen/>
      </w:r>
      <w:r w:rsidRPr="00EB7FED">
        <w:rPr>
          <w:lang w:val="fr-FR"/>
        </w:rPr>
        <w:t>sol (redimensionnement du centre informatique et rénovation de l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imprimerie);</w:t>
      </w:r>
    </w:p>
    <w:p w:rsidR="009642AA" w:rsidRPr="00EB7FED" w:rsidRDefault="00B63D66" w:rsidP="00480121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spacing w:after="120"/>
        <w:ind w:hanging="567"/>
        <w:rPr>
          <w:lang w:val="fr-FR"/>
        </w:rPr>
      </w:pPr>
      <w:r w:rsidRPr="00EB7FED">
        <w:rPr>
          <w:lang w:val="fr-FR"/>
        </w:rPr>
        <w:t>bâtiment Arpad</w:t>
      </w:r>
      <w:r w:rsidR="00463183">
        <w:rPr>
          <w:lang w:val="fr-FR"/>
        </w:rPr>
        <w:t> </w:t>
      </w:r>
      <w:proofErr w:type="spellStart"/>
      <w:r w:rsidRPr="00EB7FED">
        <w:rPr>
          <w:lang w:val="fr-FR"/>
        </w:rPr>
        <w:t>Bogsch</w:t>
      </w:r>
      <w:proofErr w:type="spellEnd"/>
      <w:r w:rsidRPr="00EB7FED">
        <w:rPr>
          <w:lang w:val="fr-FR"/>
        </w:rPr>
        <w:t xml:space="preserve"> – remplacement de certaines fenêtres; </w:t>
      </w:r>
      <w:r w:rsidR="008053E7" w:rsidRPr="00EB7FED">
        <w:rPr>
          <w:lang w:val="fr-FR"/>
        </w:rPr>
        <w:t xml:space="preserve"> </w:t>
      </w:r>
      <w:r w:rsidRPr="00EB7FED">
        <w:rPr>
          <w:lang w:val="fr-FR"/>
        </w:rPr>
        <w:t>et</w:t>
      </w:r>
    </w:p>
    <w:p w:rsidR="009642AA" w:rsidRPr="00EB7FED" w:rsidRDefault="00B53290" w:rsidP="00E31434">
      <w:pPr>
        <w:pStyle w:val="ONUMFS"/>
        <w:numPr>
          <w:ilvl w:val="2"/>
          <w:numId w:val="6"/>
        </w:numPr>
        <w:tabs>
          <w:tab w:val="clear" w:pos="1701"/>
          <w:tab w:val="num" w:pos="1134"/>
        </w:tabs>
        <w:ind w:hanging="567"/>
        <w:rPr>
          <w:lang w:val="fr-FR"/>
        </w:rPr>
      </w:pPr>
      <w:r w:rsidRPr="00EB7FED">
        <w:rPr>
          <w:szCs w:val="22"/>
          <w:lang w:val="fr-FR"/>
        </w:rPr>
        <w:t>mesures de sécurité et de protection anti</w:t>
      </w:r>
      <w:r w:rsidR="00785719">
        <w:rPr>
          <w:szCs w:val="22"/>
          <w:lang w:val="fr-FR"/>
        </w:rPr>
        <w:noBreakHyphen/>
      </w:r>
      <w:r w:rsidRPr="00EB7FED">
        <w:rPr>
          <w:szCs w:val="22"/>
          <w:lang w:val="fr-FR"/>
        </w:rPr>
        <w:t>incendie</w:t>
      </w:r>
      <w:r w:rsidR="00516E05" w:rsidRPr="00EB7FED">
        <w:rPr>
          <w:szCs w:val="22"/>
          <w:lang w:val="fr-FR"/>
        </w:rPr>
        <w:t>.</w:t>
      </w:r>
    </w:p>
    <w:p w:rsidR="009642AA" w:rsidRDefault="002B3396" w:rsidP="00480121">
      <w:pPr>
        <w:pStyle w:val="Heading1"/>
        <w:keepNext w:val="0"/>
        <w:rPr>
          <w:lang w:val="fr-FR"/>
        </w:rPr>
      </w:pPr>
      <w:r w:rsidRPr="00EB7FED">
        <w:rPr>
          <w:lang w:val="fr-FR"/>
        </w:rPr>
        <w:t>Progrès accomplis à ce jour</w:t>
      </w:r>
    </w:p>
    <w:p w:rsidR="00463183" w:rsidRPr="00463183" w:rsidRDefault="00463183" w:rsidP="00480121">
      <w:pPr>
        <w:rPr>
          <w:lang w:val="fr-FR"/>
        </w:rPr>
      </w:pPr>
    </w:p>
    <w:p w:rsidR="009642AA" w:rsidRPr="00EB7FED" w:rsidRDefault="00B53290" w:rsidP="00480121">
      <w:pPr>
        <w:pStyle w:val="ONUMFS"/>
        <w:rPr>
          <w:lang w:val="fr-FR"/>
        </w:rPr>
      </w:pPr>
      <w:r w:rsidRPr="00EB7FED">
        <w:rPr>
          <w:lang w:val="fr-FR"/>
        </w:rPr>
        <w:t>L</w:t>
      </w:r>
      <w:r w:rsidR="007E3EE6" w:rsidRPr="00EB7FED">
        <w:rPr>
          <w:lang w:val="fr-FR"/>
        </w:rPr>
        <w:t>e cadre</w:t>
      </w:r>
      <w:r w:rsidR="00573E8E" w:rsidRPr="00EB7FED">
        <w:rPr>
          <w:lang w:val="fr-FR"/>
        </w:rPr>
        <w:t xml:space="preserve"> de gouvernance</w:t>
      </w:r>
      <w:r w:rsidR="007E3EE6" w:rsidRPr="00EB7FED">
        <w:rPr>
          <w:lang w:val="fr-FR"/>
        </w:rPr>
        <w:t xml:space="preserve"> est d</w:t>
      </w:r>
      <w:r w:rsidR="00D81134" w:rsidRPr="00EB7FED">
        <w:rPr>
          <w:lang w:val="fr-FR"/>
        </w:rPr>
        <w:t>’</w:t>
      </w:r>
      <w:r w:rsidR="007E3EE6" w:rsidRPr="00EB7FED">
        <w:rPr>
          <w:lang w:val="fr-FR"/>
        </w:rPr>
        <w:t>une importance vitale pour la bonne exécution de l</w:t>
      </w:r>
      <w:r w:rsidR="00D81134" w:rsidRPr="00EB7FED">
        <w:rPr>
          <w:lang w:val="fr-FR"/>
        </w:rPr>
        <w:t>’</w:t>
      </w:r>
      <w:r w:rsidR="007E3EE6" w:rsidRPr="00EB7FED">
        <w:rPr>
          <w:lang w:val="fr-FR"/>
        </w:rPr>
        <w:t>ensemble des projets</w:t>
      </w:r>
      <w:r w:rsidR="00573E8E" w:rsidRPr="00EB7FED">
        <w:rPr>
          <w:lang w:val="fr-FR"/>
        </w:rPr>
        <w:t xml:space="preserve">;  </w:t>
      </w:r>
      <w:r w:rsidR="007E3EE6" w:rsidRPr="00EB7FED">
        <w:rPr>
          <w:lang w:val="fr-FR"/>
        </w:rPr>
        <w:t xml:space="preserve">il définit les structures et processus de gestion et de </w:t>
      </w:r>
      <w:r w:rsidR="00724B8E" w:rsidRPr="00EB7FED">
        <w:rPr>
          <w:lang w:val="fr-FR"/>
        </w:rPr>
        <w:t>supervision</w:t>
      </w:r>
      <w:r w:rsidR="007E3EE6" w:rsidRPr="00EB7FED">
        <w:rPr>
          <w:lang w:val="fr-FR"/>
        </w:rPr>
        <w:t xml:space="preserve"> des activités </w:t>
      </w:r>
      <w:r w:rsidR="00573E8E" w:rsidRPr="00EB7FED">
        <w:rPr>
          <w:lang w:val="fr-FR"/>
        </w:rPr>
        <w:t>du projet</w:t>
      </w:r>
      <w:r w:rsidR="007E3EE6" w:rsidRPr="00EB7FED">
        <w:rPr>
          <w:lang w:val="fr-FR"/>
        </w:rPr>
        <w:t xml:space="preserve"> en vue de la réalisation de</w:t>
      </w:r>
      <w:r w:rsidR="00573E8E" w:rsidRPr="00EB7FED">
        <w:rPr>
          <w:lang w:val="fr-FR"/>
        </w:rPr>
        <w:t xml:space="preserve"> ses objectifs et vise</w:t>
      </w:r>
      <w:r w:rsidR="007E3EE6" w:rsidRPr="00EB7FED">
        <w:rPr>
          <w:lang w:val="fr-FR"/>
        </w:rPr>
        <w:t xml:space="preserve"> à ce que les parties </w:t>
      </w:r>
      <w:r w:rsidR="007E3EE6" w:rsidRPr="00EB7FED">
        <w:rPr>
          <w:lang w:val="fr-FR"/>
        </w:rPr>
        <w:lastRenderedPageBreak/>
        <w:t>concernées soient</w:t>
      </w:r>
      <w:r w:rsidR="00573E8E" w:rsidRPr="00EB7FED">
        <w:rPr>
          <w:lang w:val="fr-FR"/>
        </w:rPr>
        <w:t xml:space="preserve"> toutes</w:t>
      </w:r>
      <w:r w:rsidR="007E3EE6" w:rsidRPr="00EB7FED">
        <w:rPr>
          <w:lang w:val="fr-FR"/>
        </w:rPr>
        <w:t xml:space="preserve"> clairement informées d</w:t>
      </w:r>
      <w:r w:rsidR="00573E8E" w:rsidRPr="00EB7FED">
        <w:rPr>
          <w:lang w:val="fr-FR"/>
        </w:rPr>
        <w:t xml:space="preserve">e leurs responsabilités et de leur </w:t>
      </w:r>
      <w:r w:rsidR="007E3EE6" w:rsidRPr="00EB7FED">
        <w:rPr>
          <w:lang w:val="fr-FR"/>
        </w:rPr>
        <w:t xml:space="preserve">obligation </w:t>
      </w:r>
      <w:r w:rsidR="00724B8E" w:rsidRPr="00EB7FED">
        <w:rPr>
          <w:lang w:val="fr-FR"/>
        </w:rPr>
        <w:t xml:space="preserve">de </w:t>
      </w:r>
      <w:r w:rsidR="007E3EE6" w:rsidRPr="00EB7FED">
        <w:rPr>
          <w:lang w:val="fr-FR"/>
        </w:rPr>
        <w:t>rendre compte.</w:t>
      </w:r>
    </w:p>
    <w:p w:rsidR="009642AA" w:rsidRPr="00EB7FED" w:rsidRDefault="00FB3759" w:rsidP="00E31434">
      <w:pPr>
        <w:pStyle w:val="ONUMFS"/>
        <w:rPr>
          <w:lang w:val="fr-FR"/>
        </w:rPr>
      </w:pPr>
      <w:r w:rsidRPr="00EB7FED">
        <w:rPr>
          <w:lang w:val="fr-FR"/>
        </w:rPr>
        <w:t>Comme il est indiqué dans le Rapport sur l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état d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avancement de la mise en œuvre d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un système intégré de planification des ressources (ERP) (WO/PBC/22/15), Gartner</w:t>
      </w:r>
      <w:r w:rsidR="00463183">
        <w:rPr>
          <w:lang w:val="fr-FR"/>
        </w:rPr>
        <w:t> </w:t>
      </w:r>
      <w:r w:rsidRPr="00EB7FED">
        <w:rPr>
          <w:lang w:val="fr-FR"/>
        </w:rPr>
        <w:t xml:space="preserve">Consulting a été engagé pour </w:t>
      </w:r>
      <w:r w:rsidR="00573E8E" w:rsidRPr="00EB7FED">
        <w:rPr>
          <w:lang w:val="fr-FR"/>
        </w:rPr>
        <w:t>effectuer une</w:t>
      </w:r>
      <w:r w:rsidRPr="00EB7FED">
        <w:rPr>
          <w:lang w:val="fr-FR"/>
        </w:rPr>
        <w:t xml:space="preserve"> vérification et </w:t>
      </w:r>
      <w:r w:rsidR="00573E8E" w:rsidRPr="00EB7FED">
        <w:rPr>
          <w:lang w:val="fr-FR"/>
        </w:rPr>
        <w:t>une</w:t>
      </w:r>
      <w:r w:rsidRPr="00EB7FED">
        <w:rPr>
          <w:lang w:val="fr-FR"/>
        </w:rPr>
        <w:t xml:space="preserve"> validation indépendantes du portefeuille de projets</w:t>
      </w:r>
      <w:r w:rsidR="00463183">
        <w:rPr>
          <w:lang w:val="fr-FR"/>
        </w:rPr>
        <w:t> </w:t>
      </w:r>
      <w:r w:rsidRPr="00EB7FED">
        <w:rPr>
          <w:lang w:val="fr-FR"/>
        </w:rPr>
        <w:t>ERP</w:t>
      </w:r>
      <w:r w:rsidR="00463183">
        <w:rPr>
          <w:lang w:val="fr-FR"/>
        </w:rPr>
        <w:t xml:space="preserve"> au cours du deuxième </w:t>
      </w:r>
      <w:r w:rsidR="00573E8E" w:rsidRPr="00EB7FED">
        <w:rPr>
          <w:lang w:val="fr-FR"/>
        </w:rPr>
        <w:t>semestre de</w:t>
      </w:r>
      <w:r w:rsidR="008053E7" w:rsidRPr="00EB7FED">
        <w:rPr>
          <w:lang w:val="fr-FR"/>
        </w:rPr>
        <w:t> </w:t>
      </w:r>
      <w:r w:rsidR="00573E8E" w:rsidRPr="00EB7FED">
        <w:rPr>
          <w:lang w:val="fr-FR"/>
        </w:rPr>
        <w:t>2013</w:t>
      </w:r>
      <w:r w:rsidRPr="00EB7FED">
        <w:rPr>
          <w:lang w:val="fr-FR"/>
        </w:rPr>
        <w:t>.</w:t>
      </w:r>
      <w:r w:rsidR="00EE2533" w:rsidRPr="00EB7FED">
        <w:rPr>
          <w:lang w:val="fr-FR"/>
        </w:rPr>
        <w:t xml:space="preserve"> </w:t>
      </w:r>
      <w:r w:rsidR="001A5A3C" w:rsidRPr="00EB7FED">
        <w:rPr>
          <w:lang w:val="fr-FR"/>
        </w:rPr>
        <w:t xml:space="preserve"> </w:t>
      </w:r>
      <w:r w:rsidRPr="00EB7FED">
        <w:rPr>
          <w:lang w:val="fr-FR"/>
        </w:rPr>
        <w:t>L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 xml:space="preserve">une des principales recommandations issues de cette vérification </w:t>
      </w:r>
      <w:r w:rsidR="00761E48" w:rsidRPr="00EB7FED">
        <w:rPr>
          <w:lang w:val="fr-FR"/>
        </w:rPr>
        <w:t>portait sur</w:t>
      </w:r>
      <w:r w:rsidRPr="00EB7FED">
        <w:rPr>
          <w:lang w:val="fr-FR"/>
        </w:rPr>
        <w:t xml:space="preserve"> </w:t>
      </w:r>
      <w:r w:rsidR="00761E48" w:rsidRPr="00EB7FED">
        <w:rPr>
          <w:lang w:val="fr-FR"/>
        </w:rPr>
        <w:t>la structure de gouvernance générale</w:t>
      </w:r>
      <w:r w:rsidRPr="00EB7FED">
        <w:rPr>
          <w:lang w:val="fr-FR"/>
        </w:rPr>
        <w:t xml:space="preserve"> du portefeuille</w:t>
      </w:r>
      <w:r w:rsidR="00463183">
        <w:rPr>
          <w:lang w:val="fr-FR"/>
        </w:rPr>
        <w:t> </w:t>
      </w:r>
      <w:r w:rsidRPr="00EB7FED">
        <w:rPr>
          <w:lang w:val="fr-FR"/>
        </w:rPr>
        <w:t xml:space="preserve">ERP et </w:t>
      </w:r>
      <w:r w:rsidR="00761E48" w:rsidRPr="00EB7FED">
        <w:rPr>
          <w:lang w:val="fr-FR"/>
        </w:rPr>
        <w:t xml:space="preserve">sur </w:t>
      </w:r>
      <w:r w:rsidRPr="00EB7FED">
        <w:rPr>
          <w:lang w:val="fr-FR"/>
        </w:rPr>
        <w:t xml:space="preserve">la manière de </w:t>
      </w:r>
      <w:r w:rsidR="00761E48" w:rsidRPr="00EB7FED">
        <w:rPr>
          <w:lang w:val="fr-FR"/>
        </w:rPr>
        <w:t xml:space="preserve">rendre </w:t>
      </w:r>
      <w:r w:rsidR="00963418" w:rsidRPr="00EB7FED">
        <w:rPr>
          <w:lang w:val="fr-FR"/>
        </w:rPr>
        <w:t xml:space="preserve">cette structure </w:t>
      </w:r>
      <w:r w:rsidR="00761E48" w:rsidRPr="00EB7FED">
        <w:rPr>
          <w:lang w:val="fr-FR"/>
        </w:rPr>
        <w:t>plus réacti</w:t>
      </w:r>
      <w:r w:rsidR="00963418" w:rsidRPr="00EB7FED">
        <w:rPr>
          <w:lang w:val="fr-FR"/>
        </w:rPr>
        <w:t>ve</w:t>
      </w:r>
      <w:r w:rsidR="00761E48" w:rsidRPr="00EB7FED">
        <w:rPr>
          <w:lang w:val="fr-FR"/>
        </w:rPr>
        <w:t xml:space="preserve"> </w:t>
      </w:r>
      <w:r w:rsidRPr="00EB7FED">
        <w:rPr>
          <w:lang w:val="fr-FR"/>
        </w:rPr>
        <w:t xml:space="preserve">grâce à une séparation des rôles et des responsabilités, </w:t>
      </w:r>
      <w:r w:rsidR="00761E48" w:rsidRPr="00EB7FED">
        <w:rPr>
          <w:lang w:val="fr-FR"/>
        </w:rPr>
        <w:t>avec</w:t>
      </w:r>
      <w:r w:rsidRPr="00EB7FED">
        <w:rPr>
          <w:lang w:val="fr-FR"/>
        </w:rPr>
        <w:t xml:space="preserve"> une structure hiérarchique claire pour le règlement des problèmes.</w:t>
      </w:r>
    </w:p>
    <w:p w:rsidR="009642AA" w:rsidRPr="00EB7FED" w:rsidRDefault="00692F7F" w:rsidP="00E31434">
      <w:pPr>
        <w:pStyle w:val="ONUMFS"/>
        <w:rPr>
          <w:lang w:val="fr-FR"/>
        </w:rPr>
      </w:pPr>
      <w:r w:rsidRPr="00EB7FED">
        <w:rPr>
          <w:lang w:val="fr-FR"/>
        </w:rPr>
        <w:t>Une structure de gouvernance révisée a depuis lors été mise en place pour le portefeuille</w:t>
      </w:r>
      <w:r w:rsidR="00463183">
        <w:rPr>
          <w:lang w:val="fr-FR"/>
        </w:rPr>
        <w:t> </w:t>
      </w:r>
      <w:r w:rsidRPr="00EB7FED">
        <w:rPr>
          <w:lang w:val="fr-FR"/>
        </w:rPr>
        <w:t xml:space="preserve">ERP, dont les principes sont également appliqués à la structure de gouvernance </w:t>
      </w:r>
      <w:r w:rsidR="00963418" w:rsidRPr="00EB7FED">
        <w:rPr>
          <w:lang w:val="fr-FR"/>
        </w:rPr>
        <w:t>instaurée</w:t>
      </w:r>
      <w:r w:rsidRPr="00EB7FED">
        <w:rPr>
          <w:lang w:val="fr-FR"/>
        </w:rPr>
        <w:t xml:space="preserve"> pour la gestion des portefeuilles de projets </w:t>
      </w:r>
      <w:r w:rsidR="00761E48" w:rsidRPr="00EB7FED">
        <w:rPr>
          <w:lang w:val="fr-FR"/>
        </w:rPr>
        <w:t>relevant</w:t>
      </w:r>
      <w:r w:rsidR="00D81134" w:rsidRPr="00EB7FED">
        <w:rPr>
          <w:lang w:val="fr-FR"/>
        </w:rPr>
        <w:t xml:space="preserve"> du PCE</w:t>
      </w:r>
      <w:r w:rsidRPr="00EB7FED">
        <w:rPr>
          <w:lang w:val="fr-FR"/>
        </w:rPr>
        <w:t xml:space="preserve">.  Cette structure </w:t>
      </w:r>
      <w:r w:rsidR="00963418" w:rsidRPr="00EB7FED">
        <w:rPr>
          <w:lang w:val="fr-FR"/>
        </w:rPr>
        <w:t>favorise</w:t>
      </w:r>
      <w:r w:rsidRPr="00EB7FED">
        <w:rPr>
          <w:lang w:val="fr-FR"/>
        </w:rPr>
        <w:t xml:space="preserve"> une </w:t>
      </w:r>
      <w:r w:rsidR="00963418" w:rsidRPr="00EB7FED">
        <w:rPr>
          <w:lang w:val="fr-FR"/>
        </w:rPr>
        <w:t>conduite</w:t>
      </w:r>
      <w:r w:rsidRPr="00EB7FED">
        <w:rPr>
          <w:lang w:val="fr-FR"/>
        </w:rPr>
        <w:t xml:space="preserve"> et une prise de décisions efficaces tout en garantissant l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application d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une approche cohérente pour tous les projets du portefeuille</w:t>
      </w:r>
      <w:r w:rsidR="00463183">
        <w:rPr>
          <w:lang w:val="fr-FR"/>
        </w:rPr>
        <w:t> </w:t>
      </w:r>
      <w:r w:rsidR="00761E48" w:rsidRPr="00EB7FED">
        <w:rPr>
          <w:lang w:val="fr-FR"/>
        </w:rPr>
        <w:t>PCE</w:t>
      </w:r>
      <w:r w:rsidRPr="00EB7FED">
        <w:rPr>
          <w:lang w:val="fr-FR"/>
        </w:rPr>
        <w:t>.</w:t>
      </w:r>
      <w:r w:rsidR="007B11B9" w:rsidRPr="00EB7FED">
        <w:rPr>
          <w:lang w:val="fr-FR"/>
        </w:rPr>
        <w:t xml:space="preserve">  </w:t>
      </w:r>
      <w:r w:rsidRPr="00EB7FED">
        <w:rPr>
          <w:lang w:val="fr-FR"/>
        </w:rPr>
        <w:t>Cela est essentiel car i)</w:t>
      </w:r>
      <w:r w:rsidR="00463183">
        <w:rPr>
          <w:lang w:val="fr-FR"/>
        </w:rPr>
        <w:t> </w:t>
      </w:r>
      <w:r w:rsidR="00D81134" w:rsidRPr="00EB7FED">
        <w:rPr>
          <w:lang w:val="fr-FR"/>
        </w:rPr>
        <w:t>le PCE</w:t>
      </w:r>
      <w:r w:rsidRPr="00EB7FED">
        <w:rPr>
          <w:lang w:val="fr-FR"/>
        </w:rPr>
        <w:t xml:space="preserve"> prévoit la mise en œuvre en parallèle de multiples projets, qui nécessite</w:t>
      </w:r>
      <w:r w:rsidR="00761E48" w:rsidRPr="00EB7FED">
        <w:rPr>
          <w:lang w:val="fr-FR"/>
        </w:rPr>
        <w:t>nt</w:t>
      </w:r>
      <w:r w:rsidRPr="00EB7FED">
        <w:rPr>
          <w:lang w:val="fr-FR"/>
        </w:rPr>
        <w:t xml:space="preserve"> des processus et des </w:t>
      </w:r>
      <w:r w:rsidR="00963418" w:rsidRPr="00EB7FED">
        <w:rPr>
          <w:lang w:val="fr-FR"/>
        </w:rPr>
        <w:t>principes</w:t>
      </w:r>
      <w:r w:rsidRPr="00EB7FED">
        <w:rPr>
          <w:lang w:val="fr-FR"/>
        </w:rPr>
        <w:t xml:space="preserve"> cohérents et</w:t>
      </w:r>
      <w:r w:rsidR="00463183">
        <w:rPr>
          <w:lang w:val="fr-FR"/>
        </w:rPr>
        <w:t> </w:t>
      </w:r>
      <w:r w:rsidRPr="00EB7FED">
        <w:rPr>
          <w:lang w:val="fr-FR"/>
        </w:rPr>
        <w:t>ii)</w:t>
      </w:r>
      <w:r w:rsidR="008053E7" w:rsidRPr="00EB7FED">
        <w:rPr>
          <w:lang w:val="fr-FR"/>
        </w:rPr>
        <w:t> </w:t>
      </w:r>
      <w:r w:rsidRPr="00EB7FED">
        <w:rPr>
          <w:lang w:val="fr-FR"/>
        </w:rPr>
        <w:t>les structures établies pour le cadre de gouvernance doivent être solides et avoir fait leurs preuves, car elles sont censées deve</w:t>
      </w:r>
      <w:r w:rsidR="00761E48" w:rsidRPr="00EB7FED">
        <w:rPr>
          <w:lang w:val="fr-FR"/>
        </w:rPr>
        <w:t>nir une composante permanente du</w:t>
      </w:r>
      <w:r w:rsidRPr="00EB7FED">
        <w:rPr>
          <w:lang w:val="fr-FR"/>
        </w:rPr>
        <w:t xml:space="preserve"> trava</w:t>
      </w:r>
      <w:r w:rsidR="00761E48" w:rsidRPr="00EB7FED">
        <w:rPr>
          <w:lang w:val="fr-FR"/>
        </w:rPr>
        <w:t>il</w:t>
      </w:r>
      <w:r w:rsidRPr="00EB7FED">
        <w:rPr>
          <w:lang w:val="fr-FR"/>
        </w:rPr>
        <w:t xml:space="preserve"> de l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Organisation.</w:t>
      </w:r>
    </w:p>
    <w:p w:rsidR="009642AA" w:rsidRPr="00EB7FED" w:rsidRDefault="00761E48" w:rsidP="00E31434">
      <w:pPr>
        <w:pStyle w:val="ONUMFS"/>
        <w:rPr>
          <w:lang w:val="fr-FR"/>
        </w:rPr>
      </w:pPr>
      <w:r w:rsidRPr="00EB7FED">
        <w:rPr>
          <w:lang w:val="fr-FR"/>
        </w:rPr>
        <w:t>À la lumière de</w:t>
      </w:r>
      <w:r w:rsidR="00692F7F" w:rsidRPr="00EB7FED">
        <w:rPr>
          <w:lang w:val="fr-FR"/>
        </w:rPr>
        <w:t xml:space="preserve"> ce qui précède, la structure de gouvernance ci</w:t>
      </w:r>
      <w:r w:rsidR="00785719">
        <w:rPr>
          <w:lang w:val="fr-FR"/>
        </w:rPr>
        <w:noBreakHyphen/>
      </w:r>
      <w:r w:rsidR="00692F7F" w:rsidRPr="00EB7FED">
        <w:rPr>
          <w:lang w:val="fr-FR"/>
        </w:rPr>
        <w:t>après a été établie pour</w:t>
      </w:r>
      <w:r w:rsidR="00D81134" w:rsidRPr="00EB7FED">
        <w:rPr>
          <w:lang w:val="fr-FR"/>
        </w:rPr>
        <w:t xml:space="preserve"> le PCE</w:t>
      </w:r>
      <w:r w:rsidR="008053E7" w:rsidRPr="00EB7FED">
        <w:rPr>
          <w:lang w:val="fr-FR"/>
        </w:rPr>
        <w:t> </w:t>
      </w:r>
      <w:r w:rsidR="00692F7F" w:rsidRPr="00EB7FED">
        <w:rPr>
          <w:lang w:val="fr-FR"/>
        </w:rPr>
        <w:t>:</w:t>
      </w:r>
    </w:p>
    <w:p w:rsidR="009642AA" w:rsidRPr="00EB7FED" w:rsidRDefault="006F6F9B" w:rsidP="00E31434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t</w:t>
      </w:r>
      <w:r w:rsidR="00692F7F" w:rsidRPr="00E31434">
        <w:rPr>
          <w:lang w:val="fr-FR"/>
        </w:rPr>
        <w:t>out en haut</w:t>
      </w:r>
      <w:r w:rsidR="00761E48" w:rsidRPr="00E31434">
        <w:rPr>
          <w:lang w:val="fr-FR"/>
        </w:rPr>
        <w:t xml:space="preserve"> de la structure</w:t>
      </w:r>
      <w:r w:rsidR="00692F7F" w:rsidRPr="00E31434">
        <w:rPr>
          <w:lang w:val="fr-FR"/>
        </w:rPr>
        <w:t xml:space="preserve">, </w:t>
      </w:r>
      <w:r w:rsidR="00761E48" w:rsidRPr="00E31434">
        <w:rPr>
          <w:lang w:val="fr-FR"/>
        </w:rPr>
        <w:t>le</w:t>
      </w:r>
      <w:r w:rsidR="00692F7F" w:rsidRPr="00E31434">
        <w:rPr>
          <w:lang w:val="fr-FR"/>
        </w:rPr>
        <w:t xml:space="preserve"> </w:t>
      </w:r>
      <w:r w:rsidR="00E31434" w:rsidRPr="00E31434">
        <w:rPr>
          <w:b/>
          <w:lang w:val="fr-FR"/>
        </w:rPr>
        <w:t>c</w:t>
      </w:r>
      <w:r w:rsidR="00692F7F" w:rsidRPr="00E31434">
        <w:rPr>
          <w:b/>
          <w:lang w:val="fr-FR"/>
        </w:rPr>
        <w:t>omité chargé de la mise en œuvre du portefeuille PCE</w:t>
      </w:r>
      <w:r w:rsidR="00692F7F" w:rsidRPr="00E31434">
        <w:rPr>
          <w:lang w:val="fr-FR"/>
        </w:rPr>
        <w:t xml:space="preserve"> </w:t>
      </w:r>
      <w:r w:rsidR="007B3077" w:rsidRPr="00E31434">
        <w:rPr>
          <w:lang w:val="fr-FR"/>
        </w:rPr>
        <w:t>gérera</w:t>
      </w:r>
      <w:r w:rsidR="00761E48" w:rsidRPr="00E31434">
        <w:rPr>
          <w:lang w:val="fr-FR"/>
        </w:rPr>
        <w:t xml:space="preserve"> et </w:t>
      </w:r>
      <w:r w:rsidR="002F0A67" w:rsidRPr="00E31434">
        <w:rPr>
          <w:lang w:val="fr-FR"/>
        </w:rPr>
        <w:t>superviser</w:t>
      </w:r>
      <w:r w:rsidR="00963418" w:rsidRPr="00E31434">
        <w:rPr>
          <w:lang w:val="fr-FR"/>
        </w:rPr>
        <w:t>a</w:t>
      </w:r>
      <w:r w:rsidR="002F0A67" w:rsidRPr="00E31434">
        <w:rPr>
          <w:lang w:val="fr-FR"/>
        </w:rPr>
        <w:t xml:space="preserve"> l</w:t>
      </w:r>
      <w:r w:rsidR="00D81134" w:rsidRPr="00E31434">
        <w:rPr>
          <w:lang w:val="fr-FR"/>
        </w:rPr>
        <w:t>’</w:t>
      </w:r>
      <w:r w:rsidR="002F0A67" w:rsidRPr="00E31434">
        <w:rPr>
          <w:lang w:val="fr-FR"/>
        </w:rPr>
        <w:t xml:space="preserve">exécution </w:t>
      </w:r>
      <w:r w:rsidR="00692F7F" w:rsidRPr="00E31434">
        <w:rPr>
          <w:lang w:val="fr-FR"/>
        </w:rPr>
        <w:t xml:space="preserve">de </w:t>
      </w:r>
      <w:r w:rsidR="00E31434">
        <w:rPr>
          <w:lang w:val="fr-FR"/>
        </w:rPr>
        <w:t>l’ensemble du</w:t>
      </w:r>
      <w:r w:rsidR="00692F7F" w:rsidRPr="00E31434">
        <w:rPr>
          <w:lang w:val="fr-FR"/>
        </w:rPr>
        <w:t xml:space="preserve"> portefeuille de projets</w:t>
      </w:r>
      <w:r w:rsidR="00692F7F" w:rsidRPr="00EB7FED">
        <w:rPr>
          <w:lang w:val="fr-FR"/>
        </w:rPr>
        <w:t xml:space="preserve"> PCE</w:t>
      </w:r>
      <w:r w:rsidR="002F0A67" w:rsidRPr="00EB7FED">
        <w:rPr>
          <w:lang w:val="fr-FR"/>
        </w:rPr>
        <w:t xml:space="preserve"> et </w:t>
      </w:r>
      <w:r w:rsidR="00963418" w:rsidRPr="00EB7FED">
        <w:rPr>
          <w:lang w:val="fr-FR"/>
        </w:rPr>
        <w:t>rendra des</w:t>
      </w:r>
      <w:r w:rsidR="002F0A67" w:rsidRPr="00EB7FED">
        <w:rPr>
          <w:lang w:val="fr-FR"/>
        </w:rPr>
        <w:t xml:space="preserve"> compte</w:t>
      </w:r>
      <w:r w:rsidR="00963418" w:rsidRPr="00EB7FED">
        <w:rPr>
          <w:lang w:val="fr-FR"/>
        </w:rPr>
        <w:t>s</w:t>
      </w:r>
      <w:r w:rsidR="002F0A67" w:rsidRPr="00EB7FED">
        <w:rPr>
          <w:lang w:val="fr-FR"/>
        </w:rPr>
        <w:t xml:space="preserve"> à cet égard</w:t>
      </w:r>
      <w:r w:rsidR="00692F7F" w:rsidRPr="00EB7FED">
        <w:rPr>
          <w:lang w:val="fr-FR"/>
        </w:rPr>
        <w:t>.</w:t>
      </w:r>
      <w:r w:rsidR="007B11B9" w:rsidRPr="00EB7FED">
        <w:rPr>
          <w:lang w:val="fr-FR"/>
        </w:rPr>
        <w:t xml:space="preserve">  </w:t>
      </w:r>
      <w:r w:rsidR="002F0A67" w:rsidRPr="00EB7FED">
        <w:rPr>
          <w:lang w:val="fr-FR"/>
        </w:rPr>
        <w:t xml:space="preserve">Il </w:t>
      </w:r>
      <w:r w:rsidR="009E1CC3" w:rsidRPr="00EB7FED">
        <w:rPr>
          <w:lang w:val="fr-FR"/>
        </w:rPr>
        <w:t xml:space="preserve">exercera également un rôle de </w:t>
      </w:r>
      <w:r w:rsidR="002F0A67" w:rsidRPr="00EB7FED">
        <w:rPr>
          <w:lang w:val="fr-FR"/>
        </w:rPr>
        <w:t>contrôle</w:t>
      </w:r>
      <w:r w:rsidR="009E1CC3" w:rsidRPr="00EB7FED">
        <w:rPr>
          <w:lang w:val="fr-FR"/>
        </w:rPr>
        <w:t xml:space="preserve"> intersectoriel </w:t>
      </w:r>
      <w:r w:rsidR="00E31434">
        <w:rPr>
          <w:lang w:val="fr-FR"/>
        </w:rPr>
        <w:t>pour</w:t>
      </w:r>
      <w:r w:rsidR="009E1CC3" w:rsidRPr="00EB7FED">
        <w:rPr>
          <w:lang w:val="fr-FR"/>
        </w:rPr>
        <w:t xml:space="preserve"> l</w:t>
      </w:r>
      <w:r w:rsidR="00D81134" w:rsidRPr="00EB7FED">
        <w:rPr>
          <w:lang w:val="fr-FR"/>
        </w:rPr>
        <w:t>’</w:t>
      </w:r>
      <w:r w:rsidR="009E1CC3" w:rsidRPr="00EB7FED">
        <w:rPr>
          <w:lang w:val="fr-FR"/>
        </w:rPr>
        <w:t xml:space="preserve">élaboration du plan continu </w:t>
      </w:r>
      <w:r w:rsidR="00E31434">
        <w:rPr>
          <w:lang w:val="fr-FR"/>
        </w:rPr>
        <w:t>relatif au</w:t>
      </w:r>
      <w:r w:rsidR="00D81134" w:rsidRPr="00EB7FED">
        <w:rPr>
          <w:lang w:val="fr-FR"/>
        </w:rPr>
        <w:t> PCE</w:t>
      </w:r>
      <w:r w:rsidR="009E1CC3" w:rsidRPr="00EB7FED">
        <w:rPr>
          <w:lang w:val="fr-FR"/>
        </w:rPr>
        <w:t>, établira un ordre de priorité entre les projets relevant</w:t>
      </w:r>
      <w:r w:rsidR="00D81134" w:rsidRPr="00EB7FED">
        <w:rPr>
          <w:lang w:val="fr-FR"/>
        </w:rPr>
        <w:t xml:space="preserve"> du PCE</w:t>
      </w:r>
      <w:r w:rsidR="009E1CC3" w:rsidRPr="00EB7FED">
        <w:rPr>
          <w:lang w:val="fr-FR"/>
        </w:rPr>
        <w:t xml:space="preserve"> et </w:t>
      </w:r>
      <w:r w:rsidR="002F0A67" w:rsidRPr="00EB7FED">
        <w:rPr>
          <w:lang w:val="fr-FR"/>
        </w:rPr>
        <w:t>soumettra</w:t>
      </w:r>
      <w:r w:rsidR="009E1CC3" w:rsidRPr="00EB7FED">
        <w:rPr>
          <w:lang w:val="fr-FR"/>
        </w:rPr>
        <w:t xml:space="preserve"> toute proposition de financem</w:t>
      </w:r>
      <w:r w:rsidR="002F0A67" w:rsidRPr="00EB7FED">
        <w:rPr>
          <w:lang w:val="fr-FR"/>
        </w:rPr>
        <w:t xml:space="preserve">ent au titre du PCE </w:t>
      </w:r>
      <w:r w:rsidR="009E1CC3" w:rsidRPr="00EB7FED">
        <w:rPr>
          <w:lang w:val="fr-FR"/>
        </w:rPr>
        <w:t>à l</w:t>
      </w:r>
      <w:r w:rsidR="00D81134" w:rsidRPr="00EB7FED">
        <w:rPr>
          <w:lang w:val="fr-FR"/>
        </w:rPr>
        <w:t>’</w:t>
      </w:r>
      <w:r w:rsidR="009E1CC3" w:rsidRPr="00EB7FED">
        <w:rPr>
          <w:lang w:val="fr-FR"/>
        </w:rPr>
        <w:t>examen d</w:t>
      </w:r>
      <w:r w:rsidR="00463183">
        <w:rPr>
          <w:lang w:val="fr-FR"/>
        </w:rPr>
        <w:t>u Comité du programme et budget</w:t>
      </w:r>
      <w:r>
        <w:rPr>
          <w:lang w:val="fr-FR"/>
        </w:rPr>
        <w:t>;</w:t>
      </w:r>
    </w:p>
    <w:p w:rsidR="009642AA" w:rsidRPr="00EB7FED" w:rsidRDefault="006F6F9B" w:rsidP="00E31434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l</w:t>
      </w:r>
      <w:r w:rsidR="009E1CC3" w:rsidRPr="00EB7FED">
        <w:rPr>
          <w:lang w:val="fr-FR"/>
        </w:rPr>
        <w:t xml:space="preserve">es projets exécutés </w:t>
      </w:r>
      <w:r w:rsidR="0045759A" w:rsidRPr="00EB7FED">
        <w:rPr>
          <w:lang w:val="fr-FR"/>
        </w:rPr>
        <w:t>au titre</w:t>
      </w:r>
      <w:r w:rsidR="00D81134" w:rsidRPr="00EB7FED">
        <w:rPr>
          <w:lang w:val="fr-FR"/>
        </w:rPr>
        <w:t xml:space="preserve"> du PCE</w:t>
      </w:r>
      <w:r w:rsidR="009E1CC3" w:rsidRPr="00EB7FED">
        <w:rPr>
          <w:lang w:val="fr-FR"/>
        </w:rPr>
        <w:t xml:space="preserve"> ont une portée, une nature et une structure différentes.</w:t>
      </w:r>
      <w:r w:rsidR="007B11B9" w:rsidRPr="00EB7FED">
        <w:rPr>
          <w:lang w:val="fr-FR"/>
        </w:rPr>
        <w:t xml:space="preserve">  </w:t>
      </w:r>
      <w:r w:rsidR="009E1CC3" w:rsidRPr="00EB7FED">
        <w:rPr>
          <w:lang w:val="fr-FR"/>
        </w:rPr>
        <w:t>Le deuxièm</w:t>
      </w:r>
      <w:r w:rsidR="00463183">
        <w:rPr>
          <w:lang w:val="fr-FR"/>
        </w:rPr>
        <w:t>e </w:t>
      </w:r>
      <w:r w:rsidR="002F0A67" w:rsidRPr="00EB7FED">
        <w:rPr>
          <w:lang w:val="fr-FR"/>
        </w:rPr>
        <w:t>niveau sera donc constitué de</w:t>
      </w:r>
      <w:r w:rsidR="0045759A" w:rsidRPr="00EB7FED">
        <w:rPr>
          <w:lang w:val="fr-FR"/>
        </w:rPr>
        <w:t>s</w:t>
      </w:r>
      <w:r w:rsidR="009E1CC3" w:rsidRPr="00EB7FED">
        <w:rPr>
          <w:lang w:val="fr-FR"/>
        </w:rPr>
        <w:t xml:space="preserve"> divers </w:t>
      </w:r>
      <w:r w:rsidR="009E1CC3" w:rsidRPr="00EB7FED">
        <w:rPr>
          <w:b/>
          <w:lang w:val="fr-FR"/>
        </w:rPr>
        <w:t>comités chargés de</w:t>
      </w:r>
      <w:r w:rsidR="0045759A" w:rsidRPr="00EB7FED">
        <w:rPr>
          <w:b/>
          <w:lang w:val="fr-FR"/>
        </w:rPr>
        <w:t>s</w:t>
      </w:r>
      <w:r w:rsidR="009E1CC3" w:rsidRPr="00EB7FED">
        <w:rPr>
          <w:b/>
          <w:lang w:val="fr-FR"/>
        </w:rPr>
        <w:t xml:space="preserve"> projets</w:t>
      </w:r>
      <w:r w:rsidR="002F0A67" w:rsidRPr="00EB7FED">
        <w:rPr>
          <w:lang w:val="fr-FR"/>
        </w:rPr>
        <w:t xml:space="preserve"> qui doivent être mis </w:t>
      </w:r>
      <w:r w:rsidR="009E1CC3" w:rsidRPr="00EB7FED">
        <w:rPr>
          <w:lang w:val="fr-FR"/>
        </w:rPr>
        <w:t>en place pour chaque projet ou groupe de projets.</w:t>
      </w:r>
      <w:r w:rsidR="007B11B9" w:rsidRPr="00EB7FED">
        <w:rPr>
          <w:lang w:val="fr-FR"/>
        </w:rPr>
        <w:t xml:space="preserve">  </w:t>
      </w:r>
      <w:r w:rsidR="00516E05" w:rsidRPr="00EB7FED">
        <w:rPr>
          <w:lang w:val="fr-FR"/>
        </w:rPr>
        <w:t>Ces </w:t>
      </w:r>
      <w:r w:rsidR="009E1CC3" w:rsidRPr="00EB7FED">
        <w:rPr>
          <w:lang w:val="fr-FR"/>
        </w:rPr>
        <w:t>comités seront chargés de la gouvernance, des décisions et des changements relatifs aux projets qu</w:t>
      </w:r>
      <w:r w:rsidR="00D81134" w:rsidRPr="00EB7FED">
        <w:rPr>
          <w:lang w:val="fr-FR"/>
        </w:rPr>
        <w:t>’</w:t>
      </w:r>
      <w:r w:rsidR="009E1CC3" w:rsidRPr="00EB7FED">
        <w:rPr>
          <w:lang w:val="fr-FR"/>
        </w:rPr>
        <w:t xml:space="preserve">ils </w:t>
      </w:r>
      <w:r w:rsidR="0045759A" w:rsidRPr="00EB7FED">
        <w:rPr>
          <w:lang w:val="fr-FR"/>
        </w:rPr>
        <w:t>supervisent</w:t>
      </w:r>
      <w:r w:rsidR="009E1CC3" w:rsidRPr="00EB7FED">
        <w:rPr>
          <w:lang w:val="fr-FR"/>
        </w:rPr>
        <w:t>.</w:t>
      </w:r>
      <w:r w:rsidR="007B11B9" w:rsidRPr="00EB7FED">
        <w:rPr>
          <w:lang w:val="fr-FR"/>
        </w:rPr>
        <w:t xml:space="preserve">  </w:t>
      </w:r>
      <w:r w:rsidR="00E31434">
        <w:rPr>
          <w:lang w:val="fr-FR"/>
        </w:rPr>
        <w:t>Chaque</w:t>
      </w:r>
      <w:r w:rsidR="009E1CC3" w:rsidRPr="00EB7FED">
        <w:rPr>
          <w:lang w:val="fr-FR"/>
        </w:rPr>
        <w:t xml:space="preserve"> comité </w:t>
      </w:r>
      <w:r w:rsidR="0045759A" w:rsidRPr="00EB7FED">
        <w:rPr>
          <w:lang w:val="fr-FR"/>
        </w:rPr>
        <w:t>s</w:t>
      </w:r>
      <w:r w:rsidR="00D81134" w:rsidRPr="00EB7FED">
        <w:rPr>
          <w:lang w:val="fr-FR"/>
        </w:rPr>
        <w:t>’</w:t>
      </w:r>
      <w:r w:rsidR="0045759A" w:rsidRPr="00EB7FED">
        <w:rPr>
          <w:lang w:val="fr-FR"/>
        </w:rPr>
        <w:t>assure de</w:t>
      </w:r>
      <w:r w:rsidR="009E1CC3" w:rsidRPr="00EB7FED">
        <w:rPr>
          <w:lang w:val="fr-FR"/>
        </w:rPr>
        <w:t xml:space="preserve"> l</w:t>
      </w:r>
      <w:r w:rsidR="00D81134" w:rsidRPr="00EB7FED">
        <w:rPr>
          <w:lang w:val="fr-FR"/>
        </w:rPr>
        <w:t>’</w:t>
      </w:r>
      <w:r w:rsidR="009E1CC3" w:rsidRPr="00EB7FED">
        <w:rPr>
          <w:lang w:val="fr-FR"/>
        </w:rPr>
        <w:t xml:space="preserve">exécution efficace des projets et de </w:t>
      </w:r>
      <w:r w:rsidR="002F0A67" w:rsidRPr="00EB7FED">
        <w:rPr>
          <w:lang w:val="fr-FR"/>
        </w:rPr>
        <w:t>leur</w:t>
      </w:r>
      <w:r w:rsidR="009E1CC3" w:rsidRPr="00EB7FED">
        <w:rPr>
          <w:lang w:val="fr-FR"/>
        </w:rPr>
        <w:t xml:space="preserve"> mise en œuvre</w:t>
      </w:r>
      <w:r w:rsidR="002F0A67" w:rsidRPr="00EB7FED">
        <w:rPr>
          <w:lang w:val="fr-FR"/>
        </w:rPr>
        <w:t xml:space="preserve"> dans les délais, </w:t>
      </w:r>
      <w:r w:rsidR="0045759A" w:rsidRPr="00EB7FED">
        <w:rPr>
          <w:lang w:val="fr-FR"/>
        </w:rPr>
        <w:t xml:space="preserve">selon </w:t>
      </w:r>
      <w:r w:rsidR="002F0A67" w:rsidRPr="00EB7FED">
        <w:rPr>
          <w:lang w:val="fr-FR"/>
        </w:rPr>
        <w:t xml:space="preserve">le </w:t>
      </w:r>
      <w:r w:rsidR="009E1CC3" w:rsidRPr="00EB7FED">
        <w:rPr>
          <w:lang w:val="fr-FR"/>
        </w:rPr>
        <w:t>champ d</w:t>
      </w:r>
      <w:r w:rsidR="00D81134" w:rsidRPr="00EB7FED">
        <w:rPr>
          <w:lang w:val="fr-FR"/>
        </w:rPr>
        <w:t>’</w:t>
      </w:r>
      <w:r w:rsidR="009E1CC3" w:rsidRPr="00EB7FED">
        <w:rPr>
          <w:lang w:val="fr-FR"/>
        </w:rPr>
        <w:t>application et le budget prévus.</w:t>
      </w:r>
      <w:r w:rsidR="007B11B9" w:rsidRPr="00EB7FED">
        <w:rPr>
          <w:lang w:val="fr-FR"/>
        </w:rPr>
        <w:t xml:space="preserve">  </w:t>
      </w:r>
      <w:r w:rsidR="009E1CC3" w:rsidRPr="00EB7FED">
        <w:rPr>
          <w:lang w:val="fr-FR"/>
        </w:rPr>
        <w:t>Il garantit la participation et l</w:t>
      </w:r>
      <w:r w:rsidR="00D81134" w:rsidRPr="00EB7FED">
        <w:rPr>
          <w:lang w:val="fr-FR"/>
        </w:rPr>
        <w:t>’</w:t>
      </w:r>
      <w:r w:rsidR="009E1CC3" w:rsidRPr="00EB7FED">
        <w:rPr>
          <w:lang w:val="fr-FR"/>
        </w:rPr>
        <w:t>appui de toutes les parties conc</w:t>
      </w:r>
      <w:r w:rsidR="002F0A67" w:rsidRPr="00EB7FED">
        <w:rPr>
          <w:lang w:val="fr-FR"/>
        </w:rPr>
        <w:t>ernées à travers l</w:t>
      </w:r>
      <w:r w:rsidR="00D81134" w:rsidRPr="00EB7FED">
        <w:rPr>
          <w:lang w:val="fr-FR"/>
        </w:rPr>
        <w:t>’</w:t>
      </w:r>
      <w:r w:rsidR="002F0A67" w:rsidRPr="00EB7FED">
        <w:rPr>
          <w:lang w:val="fr-FR"/>
        </w:rPr>
        <w:t>Organisation et</w:t>
      </w:r>
      <w:r w:rsidR="009E1CC3" w:rsidRPr="00EB7FED">
        <w:rPr>
          <w:lang w:val="fr-FR"/>
        </w:rPr>
        <w:t xml:space="preserve"> </w:t>
      </w:r>
      <w:r w:rsidR="002F0A67" w:rsidRPr="00EB7FED">
        <w:rPr>
          <w:lang w:val="fr-FR"/>
        </w:rPr>
        <w:t>détermin</w:t>
      </w:r>
      <w:r w:rsidR="0045759A" w:rsidRPr="00EB7FED">
        <w:rPr>
          <w:lang w:val="fr-FR"/>
        </w:rPr>
        <w:t>e l</w:t>
      </w:r>
      <w:r w:rsidR="009E1CC3" w:rsidRPr="00EB7FED">
        <w:rPr>
          <w:lang w:val="fr-FR"/>
        </w:rPr>
        <w:t xml:space="preserve">es groupes ou particuliers </w:t>
      </w:r>
      <w:r w:rsidR="002F0A67" w:rsidRPr="00EB7FED">
        <w:rPr>
          <w:lang w:val="fr-FR"/>
        </w:rPr>
        <w:t>responsables de</w:t>
      </w:r>
      <w:r w:rsidR="009E1CC3" w:rsidRPr="00EB7FED">
        <w:rPr>
          <w:lang w:val="fr-FR"/>
        </w:rPr>
        <w:t xml:space="preserve"> la restructuration, </w:t>
      </w:r>
      <w:r w:rsidR="002F0A67" w:rsidRPr="00EB7FED">
        <w:rPr>
          <w:lang w:val="fr-FR"/>
        </w:rPr>
        <w:t xml:space="preserve">de </w:t>
      </w:r>
      <w:r w:rsidR="009E1CC3" w:rsidRPr="00EB7FED">
        <w:rPr>
          <w:lang w:val="fr-FR"/>
        </w:rPr>
        <w:t xml:space="preserve">la gestion des risques et </w:t>
      </w:r>
      <w:r w:rsidR="002F0A67" w:rsidRPr="00EB7FED">
        <w:rPr>
          <w:lang w:val="fr-FR"/>
        </w:rPr>
        <w:t xml:space="preserve">de </w:t>
      </w:r>
      <w:r w:rsidR="009E1CC3" w:rsidRPr="00EB7FED">
        <w:rPr>
          <w:lang w:val="fr-FR"/>
        </w:rPr>
        <w:t>l</w:t>
      </w:r>
      <w:r w:rsidR="00D81134" w:rsidRPr="00EB7FED">
        <w:rPr>
          <w:lang w:val="fr-FR"/>
        </w:rPr>
        <w:t>’</w:t>
      </w:r>
      <w:r w:rsidR="009E1CC3" w:rsidRPr="00EB7FED">
        <w:rPr>
          <w:lang w:val="fr-FR"/>
        </w:rPr>
        <w:t>assurance de la qualité.</w:t>
      </w:r>
      <w:r w:rsidR="007B11B9" w:rsidRPr="00EB7FED">
        <w:rPr>
          <w:lang w:val="fr-FR"/>
        </w:rPr>
        <w:t xml:space="preserve">  </w:t>
      </w:r>
      <w:r w:rsidR="009E1CC3" w:rsidRPr="00EB7FED">
        <w:rPr>
          <w:lang w:val="fr-FR"/>
        </w:rPr>
        <w:t xml:space="preserve">Il </w:t>
      </w:r>
      <w:r w:rsidR="002F0A67" w:rsidRPr="00EB7FED">
        <w:rPr>
          <w:lang w:val="fr-FR"/>
        </w:rPr>
        <w:t>s</w:t>
      </w:r>
      <w:r w:rsidR="00D81134" w:rsidRPr="00EB7FED">
        <w:rPr>
          <w:lang w:val="fr-FR"/>
        </w:rPr>
        <w:t>’</w:t>
      </w:r>
      <w:r w:rsidR="002F0A67" w:rsidRPr="00EB7FED">
        <w:rPr>
          <w:lang w:val="fr-FR"/>
        </w:rPr>
        <w:t xml:space="preserve">assurera </w:t>
      </w:r>
      <w:r w:rsidR="009E1CC3" w:rsidRPr="00EB7FED">
        <w:rPr>
          <w:lang w:val="fr-FR"/>
        </w:rPr>
        <w:t xml:space="preserve">également </w:t>
      </w:r>
      <w:r w:rsidR="002F0A67" w:rsidRPr="00EB7FED">
        <w:rPr>
          <w:lang w:val="fr-FR"/>
        </w:rPr>
        <w:t>en permanence que les projets répondent à des</w:t>
      </w:r>
      <w:r w:rsidR="009E1CC3" w:rsidRPr="00EB7FED">
        <w:rPr>
          <w:lang w:val="fr-FR"/>
        </w:rPr>
        <w:t xml:space="preserve"> </w:t>
      </w:r>
      <w:r w:rsidR="002F0A67" w:rsidRPr="00EB7FED">
        <w:rPr>
          <w:lang w:val="fr-FR"/>
        </w:rPr>
        <w:t>besoin</w:t>
      </w:r>
      <w:r w:rsidR="00927E05" w:rsidRPr="00EB7FED">
        <w:rPr>
          <w:lang w:val="fr-FR"/>
        </w:rPr>
        <w:t>s</w:t>
      </w:r>
      <w:r w:rsidR="002F0A67" w:rsidRPr="00EB7FED">
        <w:rPr>
          <w:lang w:val="fr-FR"/>
        </w:rPr>
        <w:t xml:space="preserve"> opérationnel</w:t>
      </w:r>
      <w:r w:rsidR="00927E05" w:rsidRPr="00EB7FED">
        <w:rPr>
          <w:lang w:val="fr-FR"/>
        </w:rPr>
        <w:t>s</w:t>
      </w:r>
      <w:r w:rsidR="002F0A67" w:rsidRPr="00EB7FED">
        <w:rPr>
          <w:lang w:val="fr-FR"/>
        </w:rPr>
        <w:t xml:space="preserve"> </w:t>
      </w:r>
      <w:r w:rsidR="009E1CC3" w:rsidRPr="00EB7FED">
        <w:rPr>
          <w:lang w:val="fr-FR"/>
        </w:rPr>
        <w:t>et tra</w:t>
      </w:r>
      <w:r w:rsidR="00FC58DC" w:rsidRPr="00EB7FED">
        <w:rPr>
          <w:lang w:val="fr-FR"/>
        </w:rPr>
        <w:t xml:space="preserve">nsmettra tout problème </w:t>
      </w:r>
      <w:r w:rsidR="0045759A" w:rsidRPr="00EB7FED">
        <w:rPr>
          <w:lang w:val="fr-FR"/>
        </w:rPr>
        <w:t>ou</w:t>
      </w:r>
      <w:r w:rsidR="00FC58DC" w:rsidRPr="00EB7FED">
        <w:rPr>
          <w:lang w:val="fr-FR"/>
        </w:rPr>
        <w:t xml:space="preserve"> toute</w:t>
      </w:r>
      <w:r w:rsidR="009E1CC3" w:rsidRPr="00EB7FED">
        <w:rPr>
          <w:lang w:val="fr-FR"/>
        </w:rPr>
        <w:t xml:space="preserve"> proposition au comité chargé de la mise en œuvre du portefeuille PCE.</w:t>
      </w:r>
    </w:p>
    <w:p w:rsidR="00D81134" w:rsidRPr="00EB7FED" w:rsidRDefault="00927E05" w:rsidP="00E31434">
      <w:pPr>
        <w:pStyle w:val="ONUMFS"/>
        <w:rPr>
          <w:lang w:val="fr-FR"/>
        </w:rPr>
      </w:pPr>
      <w:r w:rsidRPr="00EB7FED">
        <w:rPr>
          <w:lang w:val="fr-FR"/>
        </w:rPr>
        <w:t xml:space="preserve">À </w:t>
      </w:r>
      <w:r w:rsidR="00DC6DF6" w:rsidRPr="00EB7FED">
        <w:rPr>
          <w:lang w:val="fr-FR"/>
        </w:rPr>
        <w:t>sa</w:t>
      </w:r>
      <w:r w:rsidRPr="00EB7FED">
        <w:rPr>
          <w:lang w:val="fr-FR"/>
        </w:rPr>
        <w:t xml:space="preserve"> trente</w:t>
      </w:r>
      <w:r w:rsidR="00785719">
        <w:rPr>
          <w:lang w:val="fr-FR"/>
        </w:rPr>
        <w:noBreakHyphen/>
      </w:r>
      <w:r w:rsidRPr="00EB7FED">
        <w:rPr>
          <w:lang w:val="fr-FR"/>
        </w:rPr>
        <w:t>deuxième session, tenue du 17 au 2</w:t>
      </w:r>
      <w:r w:rsidR="00D81134" w:rsidRPr="00EB7FED">
        <w:rPr>
          <w:lang w:val="fr-FR"/>
        </w:rPr>
        <w:t>1 mars 20</w:t>
      </w:r>
      <w:r w:rsidRPr="00EB7FED">
        <w:rPr>
          <w:lang w:val="fr-FR"/>
        </w:rPr>
        <w:t>14, l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Organe consultatif indépendant de surveillance (OCIS) a débattu</w:t>
      </w:r>
      <w:r w:rsidR="00D81134" w:rsidRPr="00EB7FED">
        <w:rPr>
          <w:lang w:val="fr-FR"/>
        </w:rPr>
        <w:t xml:space="preserve"> du PCE</w:t>
      </w:r>
      <w:r w:rsidRPr="00EB7FED">
        <w:rPr>
          <w:lang w:val="fr-FR"/>
        </w:rPr>
        <w:t xml:space="preserve"> avec le Secrétariat sur la base du document A/51/16.  L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OCIS a fourni au Secrétariat plusieurs suggestions d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amélioration utiles dans les domaines ci</w:t>
      </w:r>
      <w:r w:rsidR="00785719">
        <w:rPr>
          <w:lang w:val="fr-FR"/>
        </w:rPr>
        <w:noBreakHyphen/>
      </w:r>
      <w:r w:rsidRPr="00EB7FED">
        <w:rPr>
          <w:lang w:val="fr-FR"/>
        </w:rPr>
        <w:t>après</w:t>
      </w:r>
      <w:r w:rsidR="008053E7" w:rsidRPr="00EB7FED">
        <w:rPr>
          <w:lang w:val="fr-FR"/>
        </w:rPr>
        <w:t> </w:t>
      </w:r>
      <w:r w:rsidRPr="00EB7FED">
        <w:rPr>
          <w:lang w:val="fr-FR"/>
        </w:rPr>
        <w:t>:</w:t>
      </w:r>
    </w:p>
    <w:p w:rsidR="009642AA" w:rsidRPr="00EB7FED" w:rsidRDefault="00463183" w:rsidP="00E31434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a</w:t>
      </w:r>
      <w:r w:rsidR="00927E05" w:rsidRPr="00EB7FED">
        <w:rPr>
          <w:lang w:val="fr-FR"/>
        </w:rPr>
        <w:t xml:space="preserve">mélioration de la planification et de la reddition de comptes </w:t>
      </w:r>
      <w:r w:rsidR="00EE6D3C" w:rsidRPr="00EB7FED">
        <w:rPr>
          <w:lang w:val="fr-FR"/>
        </w:rPr>
        <w:t>–</w:t>
      </w:r>
      <w:r w:rsidR="00927E05" w:rsidRPr="00EB7FED">
        <w:rPr>
          <w:lang w:val="fr-FR"/>
        </w:rPr>
        <w:t xml:space="preserve"> </w:t>
      </w:r>
      <w:r w:rsidR="00EE6D3C" w:rsidRPr="00EB7FED">
        <w:rPr>
          <w:lang w:val="fr-FR"/>
        </w:rPr>
        <w:t>les éléments suivants ont été</w:t>
      </w:r>
      <w:r w:rsidR="00927E05" w:rsidRPr="00EB7FED">
        <w:rPr>
          <w:lang w:val="fr-FR"/>
        </w:rPr>
        <w:t xml:space="preserve"> noté</w:t>
      </w:r>
      <w:r w:rsidR="00EE6D3C" w:rsidRPr="00EB7FED">
        <w:rPr>
          <w:lang w:val="fr-FR"/>
        </w:rPr>
        <w:t>s </w:t>
      </w:r>
      <w:r w:rsidR="00927E05" w:rsidRPr="00EB7FED">
        <w:rPr>
          <w:lang w:val="fr-FR"/>
        </w:rPr>
        <w:t>: i)</w:t>
      </w:r>
      <w:r w:rsidR="008053E7" w:rsidRPr="00EB7FED">
        <w:rPr>
          <w:lang w:val="fr-FR"/>
        </w:rPr>
        <w:t> </w:t>
      </w:r>
      <w:r w:rsidR="00927E05" w:rsidRPr="00EB7FED">
        <w:rPr>
          <w:lang w:val="fr-FR"/>
        </w:rPr>
        <w:t xml:space="preserve">il serait utile de présenter les </w:t>
      </w:r>
      <w:r w:rsidR="00EE6D3C" w:rsidRPr="00EB7FED">
        <w:rPr>
          <w:lang w:val="fr-FR"/>
        </w:rPr>
        <w:t xml:space="preserve">principes essentiels </w:t>
      </w:r>
      <w:r w:rsidR="003E63B2" w:rsidRPr="00EB7FED">
        <w:rPr>
          <w:lang w:val="fr-FR"/>
        </w:rPr>
        <w:t>à l</w:t>
      </w:r>
      <w:r w:rsidR="00D81134" w:rsidRPr="00EB7FED">
        <w:rPr>
          <w:lang w:val="fr-FR"/>
        </w:rPr>
        <w:t>’</w:t>
      </w:r>
      <w:r w:rsidR="003E63B2" w:rsidRPr="00EB7FED">
        <w:rPr>
          <w:lang w:val="fr-FR"/>
        </w:rPr>
        <w:t>origine</w:t>
      </w:r>
      <w:r w:rsidR="00D81134" w:rsidRPr="00EB7FED">
        <w:rPr>
          <w:lang w:val="fr-FR"/>
        </w:rPr>
        <w:t xml:space="preserve"> du PCE</w:t>
      </w:r>
      <w:r w:rsidR="00927E05" w:rsidRPr="00EB7FED">
        <w:rPr>
          <w:lang w:val="fr-FR"/>
        </w:rPr>
        <w:t xml:space="preserve"> d</w:t>
      </w:r>
      <w:r w:rsidR="00D81134" w:rsidRPr="00EB7FED">
        <w:rPr>
          <w:lang w:val="fr-FR"/>
        </w:rPr>
        <w:t>’</w:t>
      </w:r>
      <w:r w:rsidR="00927E05" w:rsidRPr="00EB7FED">
        <w:rPr>
          <w:lang w:val="fr-FR"/>
        </w:rPr>
        <w:t>un point de vue stratégique et opérationnel;  ii)</w:t>
      </w:r>
      <w:r w:rsidR="008053E7" w:rsidRPr="00EB7FED">
        <w:rPr>
          <w:lang w:val="fr-FR"/>
        </w:rPr>
        <w:t> </w:t>
      </w:r>
      <w:r w:rsidR="00927E05" w:rsidRPr="00EB7FED">
        <w:rPr>
          <w:lang w:val="fr-FR"/>
        </w:rPr>
        <w:t>un plan sur quatre</w:t>
      </w:r>
      <w:r w:rsidR="008053E7" w:rsidRPr="00EB7FED">
        <w:rPr>
          <w:lang w:val="fr-FR"/>
        </w:rPr>
        <w:t> </w:t>
      </w:r>
      <w:r w:rsidR="00927E05" w:rsidRPr="00EB7FED">
        <w:rPr>
          <w:lang w:val="fr-FR"/>
        </w:rPr>
        <w:t xml:space="preserve">ans </w:t>
      </w:r>
      <w:r w:rsidR="00DC6DF6" w:rsidRPr="00EB7FED">
        <w:rPr>
          <w:lang w:val="fr-FR"/>
        </w:rPr>
        <w:t xml:space="preserve">pourrait convenir davantage </w:t>
      </w:r>
      <w:r w:rsidR="00927E05" w:rsidRPr="00EB7FED">
        <w:rPr>
          <w:lang w:val="fr-FR"/>
        </w:rPr>
        <w:t>que le plan actuel sur six</w:t>
      </w:r>
      <w:r w:rsidR="008053E7" w:rsidRPr="00EB7FED">
        <w:rPr>
          <w:lang w:val="fr-FR"/>
        </w:rPr>
        <w:t> </w:t>
      </w:r>
      <w:r w:rsidR="00927E05" w:rsidRPr="00EB7FED">
        <w:rPr>
          <w:lang w:val="fr-FR"/>
        </w:rPr>
        <w:t>ans;  et iii)</w:t>
      </w:r>
      <w:r w:rsidR="008053E7" w:rsidRPr="00EB7FED">
        <w:rPr>
          <w:lang w:val="fr-FR"/>
        </w:rPr>
        <w:t> </w:t>
      </w:r>
      <w:r w:rsidR="00927E05" w:rsidRPr="00EB7FED">
        <w:rPr>
          <w:lang w:val="fr-FR"/>
        </w:rPr>
        <w:t>il serait intéressant d</w:t>
      </w:r>
      <w:r w:rsidR="00D81134" w:rsidRPr="00EB7FED">
        <w:rPr>
          <w:lang w:val="fr-FR"/>
        </w:rPr>
        <w:t>’</w:t>
      </w:r>
      <w:r w:rsidR="00927E05" w:rsidRPr="00EB7FED">
        <w:rPr>
          <w:lang w:val="fr-FR"/>
        </w:rPr>
        <w:t>envisager de faire concorder le cycle d</w:t>
      </w:r>
      <w:r w:rsidR="00D81134" w:rsidRPr="00EB7FED">
        <w:rPr>
          <w:lang w:val="fr-FR"/>
        </w:rPr>
        <w:t>’</w:t>
      </w:r>
      <w:r w:rsidR="00927E05" w:rsidRPr="00EB7FED">
        <w:rPr>
          <w:lang w:val="fr-FR"/>
        </w:rPr>
        <w:t>information concernant</w:t>
      </w:r>
      <w:r w:rsidR="00D81134" w:rsidRPr="00EB7FED">
        <w:rPr>
          <w:lang w:val="fr-FR"/>
        </w:rPr>
        <w:t xml:space="preserve"> le PCE</w:t>
      </w:r>
      <w:r w:rsidR="00DC6DF6" w:rsidRPr="00EB7FED">
        <w:rPr>
          <w:lang w:val="fr-FR"/>
        </w:rPr>
        <w:t xml:space="preserve"> avec celui du </w:t>
      </w:r>
      <w:r w:rsidR="00927E05" w:rsidRPr="00EB7FED">
        <w:rPr>
          <w:lang w:val="fr-FR"/>
        </w:rPr>
        <w:t>programme et budget, c</w:t>
      </w:r>
      <w:r w:rsidR="00D81134" w:rsidRPr="00EB7FED">
        <w:rPr>
          <w:lang w:val="fr-FR"/>
        </w:rPr>
        <w:t>’</w:t>
      </w:r>
      <w:r w:rsidR="00927E05" w:rsidRPr="00EB7FED">
        <w:rPr>
          <w:lang w:val="fr-FR"/>
        </w:rPr>
        <w:t>est</w:t>
      </w:r>
      <w:r w:rsidR="00785719">
        <w:rPr>
          <w:lang w:val="fr-FR"/>
        </w:rPr>
        <w:noBreakHyphen/>
      </w:r>
      <w:r w:rsidR="00927E05" w:rsidRPr="00EB7FED">
        <w:rPr>
          <w:lang w:val="fr-FR"/>
        </w:rPr>
        <w:t>à</w:t>
      </w:r>
      <w:r w:rsidR="00785719">
        <w:rPr>
          <w:lang w:val="fr-FR"/>
        </w:rPr>
        <w:noBreakHyphen/>
      </w:r>
      <w:r w:rsidR="00927E05" w:rsidRPr="00EB7FED">
        <w:rPr>
          <w:lang w:val="fr-FR"/>
        </w:rPr>
        <w:t>dire d</w:t>
      </w:r>
      <w:r w:rsidR="00D81134" w:rsidRPr="00EB7FED">
        <w:rPr>
          <w:lang w:val="fr-FR"/>
        </w:rPr>
        <w:t>’</w:t>
      </w:r>
      <w:r w:rsidR="00927E05" w:rsidRPr="00EB7FED">
        <w:rPr>
          <w:lang w:val="fr-FR"/>
        </w:rPr>
        <w:t>établir un cycle biennal (les progrès effectués dans le cadre des projets individuels relevant</w:t>
      </w:r>
      <w:r w:rsidR="00D81134" w:rsidRPr="00EB7FED">
        <w:rPr>
          <w:lang w:val="fr-FR"/>
        </w:rPr>
        <w:t xml:space="preserve"> du PCE</w:t>
      </w:r>
      <w:r w:rsidR="00927E05" w:rsidRPr="00EB7FED">
        <w:rPr>
          <w:lang w:val="fr-FR"/>
        </w:rPr>
        <w:t xml:space="preserve"> continueraient de faire</w:t>
      </w:r>
      <w:r w:rsidR="003E63B2" w:rsidRPr="00EB7FED">
        <w:rPr>
          <w:lang w:val="fr-FR"/>
        </w:rPr>
        <w:t xml:space="preserve"> </w:t>
      </w:r>
      <w:r w:rsidR="00927E05" w:rsidRPr="00EB7FED">
        <w:rPr>
          <w:lang w:val="fr-FR"/>
        </w:rPr>
        <w:t>l</w:t>
      </w:r>
      <w:r w:rsidR="00D81134" w:rsidRPr="00EB7FED">
        <w:rPr>
          <w:lang w:val="fr-FR"/>
        </w:rPr>
        <w:t>’</w:t>
      </w:r>
      <w:r w:rsidR="00927E05" w:rsidRPr="00EB7FED">
        <w:rPr>
          <w:lang w:val="fr-FR"/>
        </w:rPr>
        <w:t>objet de rapports annuels)</w:t>
      </w:r>
      <w:r>
        <w:rPr>
          <w:lang w:val="fr-FR"/>
        </w:rPr>
        <w:t>;</w:t>
      </w:r>
    </w:p>
    <w:p w:rsidR="009642AA" w:rsidRPr="00EB7FED" w:rsidRDefault="00463183" w:rsidP="00E31434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lastRenderedPageBreak/>
        <w:t>t</w:t>
      </w:r>
      <w:r w:rsidR="009642AA" w:rsidRPr="00EB7FED">
        <w:rPr>
          <w:lang w:val="fr-FR"/>
        </w:rPr>
        <w:t>ransparence d</w:t>
      </w:r>
      <w:r w:rsidR="00DC6DF6" w:rsidRPr="00EB7FED">
        <w:rPr>
          <w:lang w:val="fr-FR"/>
        </w:rPr>
        <w:t>ans l</w:t>
      </w:r>
      <w:r w:rsidR="00D81134" w:rsidRPr="00EB7FED">
        <w:rPr>
          <w:lang w:val="fr-FR"/>
        </w:rPr>
        <w:t>’</w:t>
      </w:r>
      <w:r w:rsidR="00DC6DF6" w:rsidRPr="00EB7FED">
        <w:rPr>
          <w:lang w:val="fr-FR"/>
        </w:rPr>
        <w:t>estimation</w:t>
      </w:r>
      <w:r w:rsidR="009642AA" w:rsidRPr="00EB7FED">
        <w:rPr>
          <w:lang w:val="fr-FR"/>
        </w:rPr>
        <w:t xml:space="preserve"> de</w:t>
      </w:r>
      <w:r w:rsidR="00DC6DF6" w:rsidRPr="00EB7FED">
        <w:rPr>
          <w:lang w:val="fr-FR"/>
        </w:rPr>
        <w:t>s</w:t>
      </w:r>
      <w:r w:rsidR="009642AA" w:rsidRPr="00EB7FED">
        <w:rPr>
          <w:lang w:val="fr-FR"/>
        </w:rPr>
        <w:t xml:space="preserve"> coûts </w:t>
      </w:r>
      <w:r w:rsidR="008053E7" w:rsidRPr="00EB7FED">
        <w:rPr>
          <w:lang w:val="fr-FR"/>
        </w:rPr>
        <w:t>–</w:t>
      </w:r>
      <w:r w:rsidR="009642AA" w:rsidRPr="00EB7FED">
        <w:rPr>
          <w:lang w:val="fr-FR"/>
        </w:rPr>
        <w:t xml:space="preserve"> il a été suggéré</w:t>
      </w:r>
      <w:r w:rsidR="008053E7" w:rsidRPr="00EB7FED">
        <w:rPr>
          <w:lang w:val="fr-FR"/>
        </w:rPr>
        <w:t> </w:t>
      </w:r>
      <w:r w:rsidR="009642AA" w:rsidRPr="00EB7FED">
        <w:rPr>
          <w:lang w:val="fr-FR"/>
        </w:rPr>
        <w:t>: i)</w:t>
      </w:r>
      <w:r w:rsidR="008053E7" w:rsidRPr="00EB7FED">
        <w:rPr>
          <w:lang w:val="fr-FR"/>
        </w:rPr>
        <w:t> </w:t>
      </w:r>
      <w:r w:rsidR="00DC6DF6" w:rsidRPr="00EB7FED">
        <w:rPr>
          <w:lang w:val="fr-FR"/>
        </w:rPr>
        <w:t>de présenter une</w:t>
      </w:r>
      <w:r w:rsidR="009642AA" w:rsidRPr="00EB7FED">
        <w:rPr>
          <w:lang w:val="fr-FR"/>
        </w:rPr>
        <w:t xml:space="preserve"> analyse coût</w:t>
      </w:r>
      <w:r w:rsidR="00785719">
        <w:rPr>
          <w:lang w:val="fr-FR"/>
        </w:rPr>
        <w:noBreakHyphen/>
      </w:r>
      <w:r w:rsidR="009642AA" w:rsidRPr="00EB7FED">
        <w:rPr>
          <w:lang w:val="fr-FR"/>
        </w:rPr>
        <w:t>avantage plus précise pour les projets proposés;  et ii)</w:t>
      </w:r>
      <w:r w:rsidR="008053E7" w:rsidRPr="00EB7FED">
        <w:rPr>
          <w:lang w:val="fr-FR"/>
        </w:rPr>
        <w:t> </w:t>
      </w:r>
      <w:r w:rsidR="009642AA" w:rsidRPr="00EB7FED">
        <w:rPr>
          <w:lang w:val="fr-FR"/>
        </w:rPr>
        <w:t>d</w:t>
      </w:r>
      <w:r w:rsidR="00D81134" w:rsidRPr="00EB7FED">
        <w:rPr>
          <w:lang w:val="fr-FR"/>
        </w:rPr>
        <w:t>’</w:t>
      </w:r>
      <w:r w:rsidR="009642AA" w:rsidRPr="00EB7FED">
        <w:rPr>
          <w:lang w:val="fr-FR"/>
        </w:rPr>
        <w:t>inclure la liste des proj</w:t>
      </w:r>
      <w:r>
        <w:rPr>
          <w:lang w:val="fr-FR"/>
        </w:rPr>
        <w:t>ets relevant des priorités B et </w:t>
      </w:r>
      <w:r w:rsidR="009642AA" w:rsidRPr="00EB7FED">
        <w:rPr>
          <w:lang w:val="fr-FR"/>
        </w:rPr>
        <w:t>C</w:t>
      </w:r>
      <w:r w:rsidR="009642AA" w:rsidRPr="00EB7FED">
        <w:rPr>
          <w:rStyle w:val="FootnoteReference"/>
          <w:color w:val="000000"/>
          <w:lang w:val="fr-FR"/>
        </w:rPr>
        <w:footnoteReference w:id="2"/>
      </w:r>
      <w:r w:rsidR="009642AA" w:rsidRPr="00EB7FED">
        <w:rPr>
          <w:lang w:val="fr-FR"/>
        </w:rPr>
        <w:t xml:space="preserve"> afin de disp</w:t>
      </w:r>
      <w:r w:rsidR="00516E05" w:rsidRPr="00EB7FED">
        <w:rPr>
          <w:lang w:val="fr-FR"/>
        </w:rPr>
        <w:t>oser d</w:t>
      </w:r>
      <w:r w:rsidR="00D81134" w:rsidRPr="00EB7FED">
        <w:rPr>
          <w:lang w:val="fr-FR"/>
        </w:rPr>
        <w:t>’</w:t>
      </w:r>
      <w:r w:rsidR="00516E05" w:rsidRPr="00EB7FED">
        <w:rPr>
          <w:lang w:val="fr-FR"/>
        </w:rPr>
        <w:t>un aperçu complet</w:t>
      </w:r>
      <w:r w:rsidR="00D81134" w:rsidRPr="00EB7FED">
        <w:rPr>
          <w:lang w:val="fr-FR"/>
        </w:rPr>
        <w:t xml:space="preserve"> du PCE</w:t>
      </w:r>
      <w:r>
        <w:rPr>
          <w:lang w:val="fr-FR"/>
        </w:rPr>
        <w:t>;</w:t>
      </w:r>
    </w:p>
    <w:p w:rsidR="009642AA" w:rsidRPr="00EB7FED" w:rsidRDefault="00463183" w:rsidP="00E31434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l</w:t>
      </w:r>
      <w:r w:rsidR="00373DC0" w:rsidRPr="00EB7FED">
        <w:rPr>
          <w:lang w:val="fr-FR"/>
        </w:rPr>
        <w:t>ien avec les stratégies de l</w:t>
      </w:r>
      <w:r w:rsidR="00D81134" w:rsidRPr="00EB7FED">
        <w:rPr>
          <w:lang w:val="fr-FR"/>
        </w:rPr>
        <w:t>’</w:t>
      </w:r>
      <w:r w:rsidR="00373DC0" w:rsidRPr="00EB7FED">
        <w:rPr>
          <w:lang w:val="fr-FR"/>
        </w:rPr>
        <w:t xml:space="preserve">Organisation </w:t>
      </w:r>
      <w:r w:rsidR="008053E7" w:rsidRPr="00EB7FED">
        <w:rPr>
          <w:lang w:val="fr-FR"/>
        </w:rPr>
        <w:t>–</w:t>
      </w:r>
      <w:r w:rsidR="00373DC0" w:rsidRPr="00EB7FED">
        <w:rPr>
          <w:lang w:val="fr-FR"/>
        </w:rPr>
        <w:t xml:space="preserve"> il a été noté qu</w:t>
      </w:r>
      <w:r w:rsidR="00D81134" w:rsidRPr="00EB7FED">
        <w:rPr>
          <w:lang w:val="fr-FR"/>
        </w:rPr>
        <w:t>’</w:t>
      </w:r>
      <w:r w:rsidR="00373DC0" w:rsidRPr="00EB7FED">
        <w:rPr>
          <w:lang w:val="fr-FR"/>
        </w:rPr>
        <w:t xml:space="preserve">il serait utile </w:t>
      </w:r>
      <w:r w:rsidR="00E31434">
        <w:rPr>
          <w:lang w:val="fr-FR"/>
        </w:rPr>
        <w:t>de définir expressément les</w:t>
      </w:r>
      <w:r w:rsidR="00373DC0" w:rsidRPr="00EB7FED">
        <w:rPr>
          <w:lang w:val="fr-FR"/>
        </w:rPr>
        <w:t xml:space="preserve"> liens </w:t>
      </w:r>
      <w:r w:rsidR="00DC6DF6" w:rsidRPr="00EB7FED">
        <w:rPr>
          <w:lang w:val="fr-FR"/>
        </w:rPr>
        <w:t>entre les projets proposé</w:t>
      </w:r>
      <w:r w:rsidR="00373DC0" w:rsidRPr="00EB7FED">
        <w:rPr>
          <w:lang w:val="fr-FR"/>
        </w:rPr>
        <w:t>s et la mise en œuvre des principales stratégies de l</w:t>
      </w:r>
      <w:r w:rsidR="00D81134" w:rsidRPr="00EB7FED">
        <w:rPr>
          <w:lang w:val="fr-FR"/>
        </w:rPr>
        <w:t>’</w:t>
      </w:r>
      <w:r w:rsidR="00373DC0" w:rsidRPr="00EB7FED">
        <w:rPr>
          <w:lang w:val="fr-FR"/>
        </w:rPr>
        <w:t>Organisation (stratégie en m</w:t>
      </w:r>
      <w:r w:rsidR="00DC6DF6" w:rsidRPr="00EB7FED">
        <w:rPr>
          <w:lang w:val="fr-FR"/>
        </w:rPr>
        <w:t xml:space="preserve">atière de ressources humaines, </w:t>
      </w:r>
      <w:r w:rsidR="00373DC0" w:rsidRPr="00EB7FED">
        <w:rPr>
          <w:lang w:val="fr-FR"/>
        </w:rPr>
        <w:t>stratégie relat</w:t>
      </w:r>
      <w:r w:rsidR="00516E05" w:rsidRPr="00EB7FED">
        <w:rPr>
          <w:lang w:val="fr-FR"/>
        </w:rPr>
        <w:t>ive</w:t>
      </w:r>
      <w:r w:rsidR="00D81134" w:rsidRPr="00EB7FED">
        <w:rPr>
          <w:lang w:val="fr-FR"/>
        </w:rPr>
        <w:t xml:space="preserve"> aux TIC</w:t>
      </w:r>
      <w:r w:rsidR="00206D5D" w:rsidRPr="00EB7FED">
        <w:rPr>
          <w:lang w:val="fr-FR"/>
        </w:rPr>
        <w:t xml:space="preserve"> etc.), selon le cas</w:t>
      </w:r>
      <w:r>
        <w:rPr>
          <w:lang w:val="fr-FR"/>
        </w:rPr>
        <w:t>;</w:t>
      </w:r>
    </w:p>
    <w:p w:rsidR="009642AA" w:rsidRPr="00EB7FED" w:rsidRDefault="00463183" w:rsidP="00E31434">
      <w:pPr>
        <w:pStyle w:val="ONUMFS"/>
        <w:numPr>
          <w:ilvl w:val="1"/>
          <w:numId w:val="6"/>
        </w:numPr>
        <w:rPr>
          <w:lang w:val="fr-FR"/>
        </w:rPr>
      </w:pPr>
      <w:r>
        <w:rPr>
          <w:lang w:val="fr-FR"/>
        </w:rPr>
        <w:t>p</w:t>
      </w:r>
      <w:r w:rsidR="00A20D20" w:rsidRPr="00EB7FED">
        <w:rPr>
          <w:lang w:val="fr-FR"/>
        </w:rPr>
        <w:t xml:space="preserve">résentation claire </w:t>
      </w:r>
      <w:r w:rsidR="008053E7" w:rsidRPr="00EB7FED">
        <w:rPr>
          <w:lang w:val="fr-FR"/>
        </w:rPr>
        <w:t>–</w:t>
      </w:r>
      <w:r w:rsidR="00A20D20" w:rsidRPr="00EB7FED">
        <w:rPr>
          <w:lang w:val="fr-FR"/>
        </w:rPr>
        <w:t xml:space="preserve"> il a été proposé de donner des noms plus descriptifs aux projets, pour plus de clarté </w:t>
      </w:r>
      <w:r w:rsidR="00DC6DF6" w:rsidRPr="00EB7FED">
        <w:rPr>
          <w:lang w:val="fr-FR"/>
        </w:rPr>
        <w:t xml:space="preserve">et </w:t>
      </w:r>
      <w:r w:rsidR="00A20D20" w:rsidRPr="00EB7FED">
        <w:rPr>
          <w:lang w:val="fr-FR"/>
        </w:rPr>
        <w:t>une meilleure compréhension.</w:t>
      </w:r>
    </w:p>
    <w:p w:rsidR="009642AA" w:rsidRPr="00EB7FED" w:rsidRDefault="00A20D20" w:rsidP="00E31434">
      <w:pPr>
        <w:pStyle w:val="ONUMFS"/>
        <w:rPr>
          <w:lang w:val="fr-FR"/>
        </w:rPr>
      </w:pPr>
      <w:r w:rsidRPr="00EB7FED">
        <w:rPr>
          <w:lang w:val="fr-FR"/>
        </w:rPr>
        <w:t>Le Secrétariat s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est félicité du dialogue constructif engagé avec l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OCIS et de l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occasion donnée d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envisager et d</w:t>
      </w:r>
      <w:r w:rsidR="00D81134" w:rsidRPr="00EB7FED">
        <w:rPr>
          <w:lang w:val="fr-FR"/>
        </w:rPr>
        <w:t>’</w:t>
      </w:r>
      <w:r w:rsidR="00E31434">
        <w:rPr>
          <w:lang w:val="fr-FR"/>
        </w:rPr>
        <w:t>apporter</w:t>
      </w:r>
      <w:r w:rsidRPr="00EB7FED">
        <w:rPr>
          <w:lang w:val="fr-FR"/>
        </w:rPr>
        <w:t xml:space="preserve"> des améliorations au contenu et à la présentation</w:t>
      </w:r>
      <w:r w:rsidR="00D81134" w:rsidRPr="00EB7FED">
        <w:rPr>
          <w:lang w:val="fr-FR"/>
        </w:rPr>
        <w:t xml:space="preserve"> du PCE</w:t>
      </w:r>
      <w:r w:rsidR="00DC6DF6" w:rsidRPr="00EB7FED">
        <w:rPr>
          <w:lang w:val="fr-FR"/>
        </w:rPr>
        <w:t xml:space="preserve">. </w:t>
      </w:r>
      <w:r w:rsidRPr="00EB7FED">
        <w:rPr>
          <w:lang w:val="fr-FR"/>
        </w:rPr>
        <w:t xml:space="preserve"> </w:t>
      </w:r>
      <w:r w:rsidR="00DC6DF6" w:rsidRPr="00EB7FED">
        <w:rPr>
          <w:lang w:val="fr-FR"/>
        </w:rPr>
        <w:t xml:space="preserve">Ces améliorations </w:t>
      </w:r>
      <w:r w:rsidRPr="00EB7FED">
        <w:rPr>
          <w:lang w:val="fr-FR"/>
        </w:rPr>
        <w:t>continueront d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être débattues avec l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OCIS avant d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être appliquées.</w:t>
      </w:r>
    </w:p>
    <w:p w:rsidR="009642AA" w:rsidRPr="00EB7FED" w:rsidRDefault="00DB5CD5" w:rsidP="00E31434">
      <w:pPr>
        <w:pStyle w:val="ONUMFS"/>
        <w:rPr>
          <w:lang w:val="fr-FR"/>
        </w:rPr>
      </w:pPr>
      <w:r w:rsidRPr="00EB7FED">
        <w:rPr>
          <w:lang w:val="fr-FR"/>
        </w:rPr>
        <w:t xml:space="preserve">Il convient en outre de noter que la rentabilité, dans la mise en œuvre des projets approuvés </w:t>
      </w:r>
      <w:r w:rsidR="00E31434">
        <w:rPr>
          <w:lang w:val="fr-FR"/>
        </w:rPr>
        <w:t xml:space="preserve">dans le cadre </w:t>
      </w:r>
      <w:r w:rsidRPr="00EB7FED">
        <w:rPr>
          <w:lang w:val="fr-FR"/>
        </w:rPr>
        <w:t>du PCE, revêt une importance considérable</w:t>
      </w:r>
      <w:r w:rsidR="00DC6DF6" w:rsidRPr="00EB7FED">
        <w:rPr>
          <w:lang w:val="fr-FR"/>
        </w:rPr>
        <w:t>,</w:t>
      </w:r>
      <w:r w:rsidRPr="00EB7FED">
        <w:rPr>
          <w:lang w:val="fr-FR"/>
        </w:rPr>
        <w:t xml:space="preserve"> et </w:t>
      </w:r>
      <w:r w:rsidR="00E31434">
        <w:rPr>
          <w:lang w:val="fr-FR"/>
        </w:rPr>
        <w:t>l’accent</w:t>
      </w:r>
      <w:r w:rsidRPr="00EB7FED">
        <w:rPr>
          <w:lang w:val="fr-FR"/>
        </w:rPr>
        <w:t xml:space="preserve"> continuer</w:t>
      </w:r>
      <w:r w:rsidR="00E31434">
        <w:rPr>
          <w:lang w:val="fr-FR"/>
        </w:rPr>
        <w:t>a</w:t>
      </w:r>
      <w:r w:rsidRPr="00EB7FED">
        <w:rPr>
          <w:lang w:val="fr-FR"/>
        </w:rPr>
        <w:t xml:space="preserve"> d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 xml:space="preserve">être </w:t>
      </w:r>
      <w:r w:rsidR="00E31434">
        <w:rPr>
          <w:lang w:val="fr-FR"/>
        </w:rPr>
        <w:t>mis sur la nécessité d’une</w:t>
      </w:r>
      <w:r w:rsidRPr="00EB7FED">
        <w:rPr>
          <w:lang w:val="fr-FR"/>
        </w:rPr>
        <w:t xml:space="preserve"> mis</w:t>
      </w:r>
      <w:r w:rsidR="00E31434">
        <w:rPr>
          <w:lang w:val="fr-FR"/>
        </w:rPr>
        <w:t>e</w:t>
      </w:r>
      <w:r w:rsidRPr="00EB7FED">
        <w:rPr>
          <w:lang w:val="fr-FR"/>
        </w:rPr>
        <w:t xml:space="preserve"> en œuvre </w:t>
      </w:r>
      <w:r w:rsidR="00E31434">
        <w:rPr>
          <w:lang w:val="fr-FR"/>
        </w:rPr>
        <w:t>l</w:t>
      </w:r>
      <w:r w:rsidRPr="00EB7FED">
        <w:rPr>
          <w:lang w:val="fr-FR"/>
        </w:rPr>
        <w:t>a plus rentable possible.</w:t>
      </w:r>
      <w:r w:rsidR="00D14D4E" w:rsidRPr="00EB7FED">
        <w:rPr>
          <w:lang w:val="fr-FR"/>
        </w:rPr>
        <w:t xml:space="preserve">  </w:t>
      </w:r>
      <w:r w:rsidR="00516E05" w:rsidRPr="00EB7FED">
        <w:rPr>
          <w:lang w:val="fr-FR"/>
        </w:rPr>
        <w:t>Par </w:t>
      </w:r>
      <w:r w:rsidRPr="00EB7FED">
        <w:rPr>
          <w:lang w:val="fr-FR"/>
        </w:rPr>
        <w:t>ailleurs, le</w:t>
      </w:r>
      <w:r w:rsidR="00DC6DF6" w:rsidRPr="00EB7FED">
        <w:rPr>
          <w:lang w:val="fr-FR"/>
        </w:rPr>
        <w:t>s gains d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efficacit</w:t>
      </w:r>
      <w:r w:rsidR="00DC6DF6" w:rsidRPr="00EB7FED">
        <w:rPr>
          <w:lang w:val="fr-FR"/>
        </w:rPr>
        <w:t>é dans l</w:t>
      </w:r>
      <w:r w:rsidR="00D81134" w:rsidRPr="00EB7FED">
        <w:rPr>
          <w:lang w:val="fr-FR"/>
        </w:rPr>
        <w:t>’</w:t>
      </w:r>
      <w:r w:rsidR="00DC6DF6" w:rsidRPr="00EB7FED">
        <w:rPr>
          <w:lang w:val="fr-FR"/>
        </w:rPr>
        <w:t>Organisation continueront</w:t>
      </w:r>
      <w:r w:rsidRPr="00EB7FED">
        <w:rPr>
          <w:lang w:val="fr-FR"/>
        </w:rPr>
        <w:t xml:space="preserve"> d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être présenté</w:t>
      </w:r>
      <w:r w:rsidR="00DC6DF6" w:rsidRPr="00EB7FED">
        <w:rPr>
          <w:lang w:val="fr-FR"/>
        </w:rPr>
        <w:t>s</w:t>
      </w:r>
      <w:r w:rsidRPr="00EB7FED">
        <w:rPr>
          <w:lang w:val="fr-FR"/>
        </w:rPr>
        <w:t xml:space="preserve"> dans </w:t>
      </w:r>
      <w:r w:rsidR="00DC6DF6" w:rsidRPr="00EB7FED">
        <w:rPr>
          <w:lang w:val="fr-FR"/>
        </w:rPr>
        <w:t>l</w:t>
      </w:r>
      <w:r w:rsidRPr="00EB7FED">
        <w:rPr>
          <w:lang w:val="fr-FR"/>
        </w:rPr>
        <w:t>es rapports sur l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>exécution d</w:t>
      </w:r>
      <w:r w:rsidR="00E31434">
        <w:rPr>
          <w:lang w:val="fr-FR"/>
        </w:rPr>
        <w:t>es</w:t>
      </w:r>
      <w:r w:rsidRPr="00EB7FED">
        <w:rPr>
          <w:lang w:val="fr-FR"/>
        </w:rPr>
        <w:t xml:space="preserve"> programme</w:t>
      </w:r>
      <w:r w:rsidR="00E31434">
        <w:rPr>
          <w:lang w:val="fr-FR"/>
        </w:rPr>
        <w:t>s</w:t>
      </w:r>
      <w:r w:rsidRPr="00EB7FED">
        <w:rPr>
          <w:lang w:val="fr-FR"/>
        </w:rPr>
        <w:t xml:space="preserve">, le but étant de </w:t>
      </w:r>
      <w:r w:rsidR="00DC6DF6" w:rsidRPr="00EB7FED">
        <w:rPr>
          <w:lang w:val="fr-FR"/>
        </w:rPr>
        <w:t>s</w:t>
      </w:r>
      <w:r w:rsidR="00D81134" w:rsidRPr="00EB7FED">
        <w:rPr>
          <w:lang w:val="fr-FR"/>
        </w:rPr>
        <w:t>’</w:t>
      </w:r>
      <w:r w:rsidR="00DC6DF6" w:rsidRPr="00EB7FED">
        <w:rPr>
          <w:lang w:val="fr-FR"/>
        </w:rPr>
        <w:t>assurer</w:t>
      </w:r>
      <w:r w:rsidRPr="00EB7FED">
        <w:rPr>
          <w:lang w:val="fr-FR"/>
        </w:rPr>
        <w:t xml:space="preserve"> que les économies réalisées au cours de l</w:t>
      </w:r>
      <w:r w:rsidR="00D81134" w:rsidRPr="00EB7FED">
        <w:rPr>
          <w:lang w:val="fr-FR"/>
        </w:rPr>
        <w:t>’</w:t>
      </w:r>
      <w:r w:rsidRPr="00EB7FED">
        <w:rPr>
          <w:lang w:val="fr-FR"/>
        </w:rPr>
        <w:t xml:space="preserve">exercice biennal se traduisent dans les faits par une augmentation des réserves de </w:t>
      </w:r>
      <w:r w:rsidR="00DC6DF6" w:rsidRPr="00EB7FED">
        <w:rPr>
          <w:lang w:val="fr-FR"/>
        </w:rPr>
        <w:t>l</w:t>
      </w:r>
      <w:r w:rsidR="00D81134" w:rsidRPr="00EB7FED">
        <w:rPr>
          <w:lang w:val="fr-FR"/>
        </w:rPr>
        <w:t>’</w:t>
      </w:r>
      <w:r w:rsidR="00DC6DF6" w:rsidRPr="00EB7FED">
        <w:rPr>
          <w:lang w:val="fr-FR"/>
        </w:rPr>
        <w:t>Organisation</w:t>
      </w:r>
      <w:r w:rsidRPr="00EB7FED">
        <w:rPr>
          <w:lang w:val="fr-FR"/>
        </w:rPr>
        <w:t>.</w:t>
      </w:r>
    </w:p>
    <w:p w:rsidR="009642AA" w:rsidRPr="00EB7FED" w:rsidRDefault="00DB5CD5" w:rsidP="00E31434">
      <w:pPr>
        <w:pStyle w:val="ONUMFS"/>
        <w:rPr>
          <w:lang w:val="fr-FR"/>
        </w:rPr>
      </w:pPr>
      <w:r w:rsidRPr="00EB7FED">
        <w:rPr>
          <w:lang w:val="fr-FR"/>
        </w:rPr>
        <w:t>Il est proposé de formuler la décision dans le paragraphe suivant.</w:t>
      </w:r>
    </w:p>
    <w:p w:rsidR="009642AA" w:rsidRPr="00EB7FED" w:rsidRDefault="00DB5CD5" w:rsidP="00E31434">
      <w:pPr>
        <w:pStyle w:val="ONUMFS"/>
        <w:ind w:left="5533"/>
        <w:rPr>
          <w:i/>
          <w:lang w:val="fr-FR"/>
        </w:rPr>
      </w:pPr>
      <w:r w:rsidRPr="00EB7FED">
        <w:rPr>
          <w:i/>
          <w:lang w:val="fr-FR"/>
        </w:rPr>
        <w:t>Le Comité du pr</w:t>
      </w:r>
      <w:r w:rsidR="002B3396" w:rsidRPr="00EB7FED">
        <w:rPr>
          <w:i/>
          <w:lang w:val="fr-FR"/>
        </w:rPr>
        <w:t>ogramme et budget a pris note</w:t>
      </w:r>
    </w:p>
    <w:p w:rsidR="009642AA" w:rsidRPr="00EB7FED" w:rsidRDefault="00E100D6" w:rsidP="00E31434">
      <w:pPr>
        <w:pStyle w:val="ONUMFS"/>
        <w:numPr>
          <w:ilvl w:val="2"/>
          <w:numId w:val="6"/>
        </w:numPr>
        <w:tabs>
          <w:tab w:val="left" w:pos="6804"/>
        </w:tabs>
        <w:ind w:left="6237"/>
        <w:rPr>
          <w:i/>
          <w:lang w:val="fr-FR"/>
        </w:rPr>
      </w:pPr>
      <w:r w:rsidRPr="00EB7FED">
        <w:rPr>
          <w:i/>
          <w:lang w:val="fr-FR"/>
        </w:rPr>
        <w:t>de la structure de gouvernance instaurée pour gérer et superviser le portefeuille de</w:t>
      </w:r>
      <w:r w:rsidR="00DC6DF6" w:rsidRPr="00EB7FED">
        <w:rPr>
          <w:i/>
          <w:lang w:val="fr-FR"/>
        </w:rPr>
        <w:t>s</w:t>
      </w:r>
      <w:r w:rsidRPr="00EB7FED">
        <w:rPr>
          <w:i/>
          <w:lang w:val="fr-FR"/>
        </w:rPr>
        <w:t xml:space="preserve"> projets PCE et </w:t>
      </w:r>
      <w:r w:rsidR="00DC6DF6" w:rsidRPr="00EB7FED">
        <w:rPr>
          <w:i/>
          <w:lang w:val="fr-FR"/>
        </w:rPr>
        <w:t xml:space="preserve">pour </w:t>
      </w:r>
      <w:r w:rsidRPr="00EB7FED">
        <w:rPr>
          <w:i/>
          <w:lang w:val="fr-FR"/>
        </w:rPr>
        <w:t>rendre compte</w:t>
      </w:r>
      <w:r w:rsidR="00DC6DF6" w:rsidRPr="00EB7FED">
        <w:rPr>
          <w:i/>
          <w:lang w:val="fr-FR"/>
        </w:rPr>
        <w:t xml:space="preserve"> </w:t>
      </w:r>
      <w:r w:rsidR="00E31434">
        <w:rPr>
          <w:i/>
          <w:lang w:val="fr-FR"/>
        </w:rPr>
        <w:t>de</w:t>
      </w:r>
      <w:r w:rsidR="00DC6DF6" w:rsidRPr="00EB7FED">
        <w:rPr>
          <w:i/>
          <w:lang w:val="fr-FR"/>
        </w:rPr>
        <w:t xml:space="preserve"> leur exécution </w:t>
      </w:r>
      <w:r w:rsidRPr="00EB7FED">
        <w:rPr>
          <w:i/>
          <w:lang w:val="fr-FR"/>
        </w:rPr>
        <w:t xml:space="preserve">(document WO/PBC/22/21); </w:t>
      </w:r>
      <w:r w:rsidR="008053E7" w:rsidRPr="00EB7FED">
        <w:rPr>
          <w:i/>
          <w:lang w:val="fr-FR"/>
        </w:rPr>
        <w:t xml:space="preserve"> </w:t>
      </w:r>
      <w:r w:rsidRPr="00EB7FED">
        <w:rPr>
          <w:i/>
          <w:lang w:val="fr-FR"/>
        </w:rPr>
        <w:t>et</w:t>
      </w:r>
    </w:p>
    <w:p w:rsidR="009642AA" w:rsidRPr="00EB7FED" w:rsidRDefault="00E100D6" w:rsidP="00E31434">
      <w:pPr>
        <w:pStyle w:val="ONUMFS"/>
        <w:numPr>
          <w:ilvl w:val="2"/>
          <w:numId w:val="6"/>
        </w:numPr>
        <w:ind w:left="6237"/>
        <w:rPr>
          <w:i/>
          <w:lang w:val="fr-FR"/>
        </w:rPr>
      </w:pPr>
      <w:r w:rsidRPr="00EB7FED">
        <w:rPr>
          <w:i/>
          <w:lang w:val="fr-FR"/>
        </w:rPr>
        <w:t>du dialogue en cours avec l</w:t>
      </w:r>
      <w:r w:rsidR="00D81134" w:rsidRPr="00EB7FED">
        <w:rPr>
          <w:i/>
          <w:lang w:val="fr-FR"/>
        </w:rPr>
        <w:t>’</w:t>
      </w:r>
      <w:r w:rsidRPr="00EB7FED">
        <w:rPr>
          <w:i/>
          <w:lang w:val="fr-FR"/>
        </w:rPr>
        <w:t xml:space="preserve">OCIS </w:t>
      </w:r>
      <w:r w:rsidR="00DC6DF6" w:rsidRPr="00EB7FED">
        <w:rPr>
          <w:i/>
          <w:lang w:val="fr-FR"/>
        </w:rPr>
        <w:t>ainsi que</w:t>
      </w:r>
      <w:r w:rsidRPr="00EB7FED">
        <w:rPr>
          <w:i/>
          <w:lang w:val="fr-FR"/>
        </w:rPr>
        <w:t xml:space="preserve"> des améliorations qu</w:t>
      </w:r>
      <w:r w:rsidR="00D81134" w:rsidRPr="00EB7FED">
        <w:rPr>
          <w:i/>
          <w:lang w:val="fr-FR"/>
        </w:rPr>
        <w:t>’</w:t>
      </w:r>
      <w:r w:rsidRPr="00EB7FED">
        <w:rPr>
          <w:i/>
          <w:lang w:val="fr-FR"/>
        </w:rPr>
        <w:t>il est prévu d</w:t>
      </w:r>
      <w:r w:rsidR="00D81134" w:rsidRPr="00EB7FED">
        <w:rPr>
          <w:i/>
          <w:lang w:val="fr-FR"/>
        </w:rPr>
        <w:t>’</w:t>
      </w:r>
      <w:r w:rsidRPr="00EB7FED">
        <w:rPr>
          <w:i/>
          <w:lang w:val="fr-FR"/>
        </w:rPr>
        <w:t>apporter à la présentation</w:t>
      </w:r>
      <w:r w:rsidR="00D81134" w:rsidRPr="00EB7FED">
        <w:rPr>
          <w:i/>
          <w:lang w:val="fr-FR"/>
        </w:rPr>
        <w:t xml:space="preserve"> du PCE</w:t>
      </w:r>
      <w:r w:rsidRPr="00EB7FED">
        <w:rPr>
          <w:i/>
          <w:lang w:val="fr-FR"/>
        </w:rPr>
        <w:t xml:space="preserve"> (document WO/PBC/22/21).</w:t>
      </w:r>
    </w:p>
    <w:p w:rsidR="00E31434" w:rsidRPr="00EB7FED" w:rsidRDefault="00E31434" w:rsidP="00E31434">
      <w:pPr>
        <w:pStyle w:val="Endofdocument-Annex"/>
        <w:rPr>
          <w:lang w:val="fr-FR"/>
        </w:rPr>
      </w:pPr>
    </w:p>
    <w:p w:rsidR="009642AA" w:rsidRPr="00EB7FED" w:rsidRDefault="00E100D6" w:rsidP="00E31434">
      <w:pPr>
        <w:pStyle w:val="Endofdocument-Annex"/>
        <w:rPr>
          <w:lang w:val="fr-FR"/>
        </w:rPr>
      </w:pPr>
      <w:r w:rsidRPr="00EB7FED">
        <w:rPr>
          <w:lang w:val="fr-FR"/>
        </w:rPr>
        <w:t>[Fin du document]</w:t>
      </w:r>
    </w:p>
    <w:sectPr w:rsidR="009642AA" w:rsidRPr="00EB7FED" w:rsidSect="00480121">
      <w:headerReference w:type="defaul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07" w:rsidRDefault="00D14207">
      <w:r>
        <w:separator/>
      </w:r>
    </w:p>
  </w:endnote>
  <w:endnote w:type="continuationSeparator" w:id="0">
    <w:p w:rsidR="00D14207" w:rsidRDefault="00D14207" w:rsidP="003B38C1">
      <w:r>
        <w:separator/>
      </w:r>
    </w:p>
    <w:p w:rsidR="00D14207" w:rsidRPr="003B38C1" w:rsidRDefault="00D1420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14207" w:rsidRPr="003B38C1" w:rsidRDefault="00D1420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07" w:rsidRDefault="00D14207">
      <w:r>
        <w:separator/>
      </w:r>
    </w:p>
  </w:footnote>
  <w:footnote w:type="continuationSeparator" w:id="0">
    <w:p w:rsidR="00D14207" w:rsidRDefault="00D14207" w:rsidP="008B60B2">
      <w:r>
        <w:separator/>
      </w:r>
    </w:p>
    <w:p w:rsidR="00D14207" w:rsidRPr="00ED77FB" w:rsidRDefault="00D1420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14207" w:rsidRPr="00ED77FB" w:rsidRDefault="00D1420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7B3077" w:rsidRPr="00194AD7" w:rsidRDefault="009642AA" w:rsidP="00E31434">
      <w:pPr>
        <w:pStyle w:val="FootnoteText"/>
        <w:rPr>
          <w:lang w:val="fr-FR"/>
        </w:rPr>
      </w:pPr>
      <w:r w:rsidRPr="00194AD7">
        <w:rPr>
          <w:rStyle w:val="FootnoteReference"/>
          <w:lang w:val="fr-FR"/>
        </w:rPr>
        <w:footnoteRef/>
      </w:r>
      <w:r w:rsidRPr="00194AD7">
        <w:rPr>
          <w:lang w:val="fr-FR"/>
        </w:rPr>
        <w:t xml:space="preserve"> </w:t>
      </w:r>
      <w:r w:rsidR="002B3396" w:rsidRPr="00194AD7">
        <w:rPr>
          <w:lang w:val="fr-FR"/>
        </w:rPr>
        <w:tab/>
      </w:r>
      <w:r w:rsidRPr="00194AD7">
        <w:rPr>
          <w:b/>
          <w:lang w:val="fr-FR"/>
        </w:rPr>
        <w:t>Priorité A :</w:t>
      </w:r>
      <w:r w:rsidRPr="00194AD7">
        <w:rPr>
          <w:lang w:val="fr-FR"/>
        </w:rPr>
        <w:t xml:space="preserve"> projets appelant une mise en œuvre immédiate et urgente en raison de leur importance stratégique pour l</w:t>
      </w:r>
      <w:r w:rsidR="007B3077" w:rsidRPr="00194AD7">
        <w:rPr>
          <w:lang w:val="fr-FR"/>
        </w:rPr>
        <w:t>’</w:t>
      </w:r>
      <w:r w:rsidRPr="00194AD7">
        <w:rPr>
          <w:lang w:val="fr-FR"/>
        </w:rPr>
        <w:t>Org</w:t>
      </w:r>
      <w:r w:rsidR="006133CC" w:rsidRPr="00194AD7">
        <w:rPr>
          <w:lang w:val="fr-FR"/>
        </w:rPr>
        <w:t>anisation ou du risque élevé que</w:t>
      </w:r>
      <w:r w:rsidRPr="00194AD7">
        <w:rPr>
          <w:lang w:val="fr-FR"/>
        </w:rPr>
        <w:t xml:space="preserve"> présente</w:t>
      </w:r>
      <w:r w:rsidR="006133CC" w:rsidRPr="00194AD7">
        <w:rPr>
          <w:lang w:val="fr-FR"/>
        </w:rPr>
        <w:t xml:space="preserve"> leur non</w:t>
      </w:r>
      <w:r w:rsidR="00785719" w:rsidRPr="00194AD7">
        <w:rPr>
          <w:lang w:val="fr-FR"/>
        </w:rPr>
        <w:noBreakHyphen/>
      </w:r>
      <w:r w:rsidR="006133CC" w:rsidRPr="00194AD7">
        <w:rPr>
          <w:lang w:val="fr-FR"/>
        </w:rPr>
        <w:t xml:space="preserve">exécution </w:t>
      </w:r>
      <w:r w:rsidRPr="00194AD7">
        <w:rPr>
          <w:lang w:val="fr-FR"/>
        </w:rPr>
        <w:t>pour le déroulement des opérations, la sécurité, la santé ou la sûreté du personnel et des biens.</w:t>
      </w:r>
    </w:p>
    <w:p w:rsidR="009642AA" w:rsidRPr="00194AD7" w:rsidRDefault="009642AA" w:rsidP="00E31434">
      <w:pPr>
        <w:pStyle w:val="FootnoteText"/>
        <w:rPr>
          <w:lang w:val="fr-FR"/>
        </w:rPr>
      </w:pPr>
    </w:p>
    <w:p w:rsidR="007B3077" w:rsidRPr="00194AD7" w:rsidRDefault="00373DC0" w:rsidP="00E31434">
      <w:pPr>
        <w:pStyle w:val="FootnoteText"/>
        <w:rPr>
          <w:lang w:val="fr-FR"/>
        </w:rPr>
      </w:pPr>
      <w:r w:rsidRPr="00194AD7">
        <w:rPr>
          <w:b/>
          <w:lang w:val="fr-FR"/>
        </w:rPr>
        <w:t>Priorité B</w:t>
      </w:r>
      <w:r w:rsidR="00772939" w:rsidRPr="00194AD7">
        <w:rPr>
          <w:b/>
          <w:lang w:val="fr-FR"/>
        </w:rPr>
        <w:t> </w:t>
      </w:r>
      <w:r w:rsidRPr="00194AD7">
        <w:rPr>
          <w:b/>
          <w:lang w:val="fr-FR"/>
        </w:rPr>
        <w:t>:</w:t>
      </w:r>
      <w:r w:rsidRPr="00194AD7">
        <w:rPr>
          <w:lang w:val="fr-FR"/>
        </w:rPr>
        <w:t xml:space="preserve"> projets dont la mise en œuvre est relativement importante, dans la mesure où ils concernent des questions d</w:t>
      </w:r>
      <w:r w:rsidR="007B3077" w:rsidRPr="00194AD7">
        <w:rPr>
          <w:lang w:val="fr-FR"/>
        </w:rPr>
        <w:t>’</w:t>
      </w:r>
      <w:r w:rsidRPr="00194AD7">
        <w:rPr>
          <w:lang w:val="fr-FR"/>
        </w:rPr>
        <w:t>efficience, des préoccupations environnementales ou des gains d</w:t>
      </w:r>
      <w:r w:rsidR="007B3077" w:rsidRPr="00194AD7">
        <w:rPr>
          <w:lang w:val="fr-FR"/>
        </w:rPr>
        <w:t>’</w:t>
      </w:r>
      <w:r w:rsidRPr="00194AD7">
        <w:rPr>
          <w:lang w:val="fr-FR"/>
        </w:rPr>
        <w:t>efficacité.  Leur non</w:t>
      </w:r>
      <w:r w:rsidR="00785719" w:rsidRPr="00194AD7">
        <w:rPr>
          <w:lang w:val="fr-FR"/>
        </w:rPr>
        <w:noBreakHyphen/>
      </w:r>
      <w:r w:rsidRPr="00194AD7">
        <w:rPr>
          <w:lang w:val="fr-FR"/>
        </w:rPr>
        <w:t>exécution présente un risque moyennement élevé pour la sécurité, la santé ou la sûreté.  Leur report peut entraîner des coûts supplémentaires.</w:t>
      </w:r>
    </w:p>
    <w:p w:rsidR="009642AA" w:rsidRPr="00194AD7" w:rsidRDefault="009642AA" w:rsidP="00E31434">
      <w:pPr>
        <w:pStyle w:val="FootnoteText"/>
        <w:rPr>
          <w:lang w:val="fr-FR"/>
        </w:rPr>
      </w:pPr>
    </w:p>
    <w:p w:rsidR="009642AA" w:rsidRPr="00194AD7" w:rsidRDefault="00373DC0" w:rsidP="00E31434">
      <w:pPr>
        <w:pStyle w:val="FootnoteText"/>
        <w:rPr>
          <w:lang w:val="fr-FR"/>
        </w:rPr>
      </w:pPr>
      <w:r w:rsidRPr="00194AD7">
        <w:rPr>
          <w:b/>
          <w:lang w:val="fr-FR"/>
        </w:rPr>
        <w:t>Priorité C</w:t>
      </w:r>
      <w:r w:rsidR="00772939" w:rsidRPr="00194AD7">
        <w:rPr>
          <w:b/>
          <w:lang w:val="fr-FR"/>
        </w:rPr>
        <w:t> </w:t>
      </w:r>
      <w:r w:rsidRPr="00194AD7">
        <w:rPr>
          <w:b/>
          <w:lang w:val="fr-FR"/>
        </w:rPr>
        <w:t>:</w:t>
      </w:r>
      <w:r w:rsidRPr="00194AD7">
        <w:rPr>
          <w:lang w:val="fr-FR"/>
        </w:rPr>
        <w:t xml:space="preserve"> projets dont la non</w:t>
      </w:r>
      <w:r w:rsidR="00785719" w:rsidRPr="00194AD7">
        <w:rPr>
          <w:lang w:val="fr-FR"/>
        </w:rPr>
        <w:noBreakHyphen/>
      </w:r>
      <w:r w:rsidRPr="00194AD7">
        <w:rPr>
          <w:lang w:val="fr-FR"/>
        </w:rPr>
        <w:t>exécution présente un risque faible pour la sécurité, la santé ou la sûreté.  Ils peuvent concerner le déploiement de technologies susceptibles d</w:t>
      </w:r>
      <w:r w:rsidR="007B3077" w:rsidRPr="00194AD7">
        <w:rPr>
          <w:lang w:val="fr-FR"/>
        </w:rPr>
        <w:t>’</w:t>
      </w:r>
      <w:r w:rsidRPr="00194AD7">
        <w:rPr>
          <w:lang w:val="fr-FR"/>
        </w:rPr>
        <w:t>améliorer l</w:t>
      </w:r>
      <w:r w:rsidR="007B3077" w:rsidRPr="00194AD7">
        <w:rPr>
          <w:lang w:val="fr-FR"/>
        </w:rPr>
        <w:t>’</w:t>
      </w:r>
      <w:r w:rsidRPr="00194AD7">
        <w:rPr>
          <w:lang w:val="fr-FR"/>
        </w:rPr>
        <w:t>efficacité économique sur le long terme.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126" w:rsidRDefault="002C57AF" w:rsidP="00477D6B">
    <w:pPr>
      <w:jc w:val="right"/>
    </w:pPr>
    <w:r>
      <w:t>WO/PBC/22</w:t>
    </w:r>
    <w:r w:rsidR="00934126">
      <w:t>/</w:t>
    </w:r>
    <w:r w:rsidR="00452217">
      <w:t>21</w:t>
    </w:r>
  </w:p>
  <w:p w:rsidR="00934126" w:rsidRDefault="00934126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53D4D">
      <w:rPr>
        <w:noProof/>
      </w:rPr>
      <w:t>3</w:t>
    </w:r>
    <w:r>
      <w:fldChar w:fldCharType="end"/>
    </w:r>
  </w:p>
  <w:p w:rsidR="00934126" w:rsidRDefault="0093412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057A547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lowerRoman"/>
      <w:lvlText w:val="(%9)"/>
      <w:lvlJc w:val="righ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58669D"/>
    <w:multiLevelType w:val="multilevel"/>
    <w:tmpl w:val="D508428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6D03EA"/>
    <w:multiLevelType w:val="hybridMultilevel"/>
    <w:tmpl w:val="337C767A"/>
    <w:lvl w:ilvl="0" w:tplc="5EAED6B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160E881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968E54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E848DC">
      <w:start w:val="1"/>
      <w:numFmt w:val="lowerRoman"/>
      <w:lvlText w:val="(%6)"/>
      <w:lvlJc w:val="left"/>
      <w:pPr>
        <w:tabs>
          <w:tab w:val="num" w:pos="4310"/>
        </w:tabs>
        <w:ind w:left="4140" w:firstLine="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638BE"/>
    <w:multiLevelType w:val="hybridMultilevel"/>
    <w:tmpl w:val="FA982FC2"/>
    <w:lvl w:ilvl="0" w:tplc="23A4C910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2E7833"/>
    <w:multiLevelType w:val="hybridMultilevel"/>
    <w:tmpl w:val="16E2542E"/>
    <w:lvl w:ilvl="0" w:tplc="33D4D0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926736B"/>
    <w:multiLevelType w:val="hybridMultilevel"/>
    <w:tmpl w:val="1DA6B018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8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8B3C46"/>
    <w:multiLevelType w:val="hybridMultilevel"/>
    <w:tmpl w:val="799E19C6"/>
    <w:lvl w:ilvl="0" w:tplc="90A2FDF4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3DFC63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0E8A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3460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6B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84C8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EC40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64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A4F2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85159B"/>
    <w:multiLevelType w:val="hybridMultilevel"/>
    <w:tmpl w:val="2ACACAB6"/>
    <w:lvl w:ilvl="0" w:tplc="8AE62D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43A5C"/>
    <w:multiLevelType w:val="multilevel"/>
    <w:tmpl w:val="A5400D6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210772F"/>
    <w:multiLevelType w:val="hybridMultilevel"/>
    <w:tmpl w:val="98F69E62"/>
    <w:lvl w:ilvl="0" w:tplc="3D7AFB14">
      <w:start w:val="1"/>
      <w:numFmt w:val="lowerRoman"/>
      <w:lvlText w:val="(%1)"/>
      <w:lvlJc w:val="righ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5D5B05"/>
    <w:multiLevelType w:val="hybridMultilevel"/>
    <w:tmpl w:val="0CEE822E"/>
    <w:lvl w:ilvl="0" w:tplc="8BE8EB54">
      <w:start w:val="1"/>
      <w:numFmt w:val="bulle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A0D4664"/>
    <w:multiLevelType w:val="hybridMultilevel"/>
    <w:tmpl w:val="6772F2D4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6">
    <w:nsid w:val="6DAD42E7"/>
    <w:multiLevelType w:val="hybridMultilevel"/>
    <w:tmpl w:val="CC30EED0"/>
    <w:lvl w:ilvl="0" w:tplc="04090001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17">
    <w:nsid w:val="793E139D"/>
    <w:multiLevelType w:val="hybridMultilevel"/>
    <w:tmpl w:val="C4EC0C66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8">
    <w:nsid w:val="7AB30693"/>
    <w:multiLevelType w:val="multilevel"/>
    <w:tmpl w:val="0CEE822E"/>
    <w:lvl w:ilvl="0">
      <w:start w:val="1"/>
      <w:numFmt w:val="bullet"/>
      <w:lvlText w:val="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CE10BF9"/>
    <w:multiLevelType w:val="hybridMultilevel"/>
    <w:tmpl w:val="2598B82A"/>
    <w:lvl w:ilvl="0" w:tplc="29F2B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E2D45DB"/>
    <w:multiLevelType w:val="hybridMultilevel"/>
    <w:tmpl w:val="4D308E34"/>
    <w:lvl w:ilvl="0" w:tplc="0409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14"/>
  </w:num>
  <w:num w:numId="9">
    <w:abstractNumId w:val="18"/>
  </w:num>
  <w:num w:numId="10">
    <w:abstractNumId w:val="15"/>
  </w:num>
  <w:num w:numId="11">
    <w:abstractNumId w:val="7"/>
  </w:num>
  <w:num w:numId="12">
    <w:abstractNumId w:val="20"/>
  </w:num>
  <w:num w:numId="13">
    <w:abstractNumId w:val="17"/>
  </w:num>
  <w:num w:numId="14">
    <w:abstractNumId w:val="16"/>
  </w:num>
  <w:num w:numId="15">
    <w:abstractNumId w:val="2"/>
  </w:num>
  <w:num w:numId="16">
    <w:abstractNumId w:val="4"/>
  </w:num>
  <w:num w:numId="17">
    <w:abstractNumId w:val="12"/>
  </w:num>
  <w:num w:numId="18">
    <w:abstractNumId w:val="19"/>
  </w:num>
  <w:num w:numId="19">
    <w:abstractNumId w:val="13"/>
  </w:num>
  <w:num w:numId="20">
    <w:abstractNumId w:val="11"/>
  </w:num>
  <w:num w:numId="21">
    <w:abstractNumId w:val="5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uplicates NT|WIPONew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Administrative\Meetings|Administrative\Other|Administrative\Publications|Budget and Finance\Meetings|Budget and Finance\Other|Budget and Finance\Publications"/>
    <w:docVar w:name="TextBaseURL" w:val="empty"/>
    <w:docVar w:name="UILng" w:val="en"/>
  </w:docVars>
  <w:rsids>
    <w:rsidRoot w:val="00E62209"/>
    <w:rsid w:val="00000C06"/>
    <w:rsid w:val="00004EF2"/>
    <w:rsid w:val="00015BCA"/>
    <w:rsid w:val="000166F8"/>
    <w:rsid w:val="0002125F"/>
    <w:rsid w:val="000352EB"/>
    <w:rsid w:val="0004324F"/>
    <w:rsid w:val="00043CAA"/>
    <w:rsid w:val="00062768"/>
    <w:rsid w:val="00075432"/>
    <w:rsid w:val="000778FB"/>
    <w:rsid w:val="000968ED"/>
    <w:rsid w:val="000A3F03"/>
    <w:rsid w:val="000B104B"/>
    <w:rsid w:val="000B2372"/>
    <w:rsid w:val="000C28D8"/>
    <w:rsid w:val="000C32BE"/>
    <w:rsid w:val="000E06CF"/>
    <w:rsid w:val="000E3CE6"/>
    <w:rsid w:val="000F5E56"/>
    <w:rsid w:val="00105858"/>
    <w:rsid w:val="0011383B"/>
    <w:rsid w:val="00121956"/>
    <w:rsid w:val="001344C0"/>
    <w:rsid w:val="001362EE"/>
    <w:rsid w:val="0014537D"/>
    <w:rsid w:val="00152B6B"/>
    <w:rsid w:val="0015680E"/>
    <w:rsid w:val="0015728D"/>
    <w:rsid w:val="0016366F"/>
    <w:rsid w:val="00164D4C"/>
    <w:rsid w:val="00165587"/>
    <w:rsid w:val="00166FC7"/>
    <w:rsid w:val="001832A6"/>
    <w:rsid w:val="00193C7E"/>
    <w:rsid w:val="00194AD7"/>
    <w:rsid w:val="001A0DE8"/>
    <w:rsid w:val="001A1227"/>
    <w:rsid w:val="001A5A3C"/>
    <w:rsid w:val="001D0063"/>
    <w:rsid w:val="001D3D71"/>
    <w:rsid w:val="001D7F49"/>
    <w:rsid w:val="001F192F"/>
    <w:rsid w:val="001F4B6C"/>
    <w:rsid w:val="001F7003"/>
    <w:rsid w:val="00206D5D"/>
    <w:rsid w:val="0021050F"/>
    <w:rsid w:val="00211B8E"/>
    <w:rsid w:val="00220A86"/>
    <w:rsid w:val="00253017"/>
    <w:rsid w:val="00260965"/>
    <w:rsid w:val="002611CA"/>
    <w:rsid w:val="00262828"/>
    <w:rsid w:val="00263100"/>
    <w:rsid w:val="002634C4"/>
    <w:rsid w:val="0026555B"/>
    <w:rsid w:val="002679C2"/>
    <w:rsid w:val="00270242"/>
    <w:rsid w:val="00272A7A"/>
    <w:rsid w:val="002847AD"/>
    <w:rsid w:val="002928D3"/>
    <w:rsid w:val="00293DB4"/>
    <w:rsid w:val="002941E5"/>
    <w:rsid w:val="00295E2D"/>
    <w:rsid w:val="002B3396"/>
    <w:rsid w:val="002B62B0"/>
    <w:rsid w:val="002C57AF"/>
    <w:rsid w:val="002F0A67"/>
    <w:rsid w:val="002F1FE6"/>
    <w:rsid w:val="002F4E68"/>
    <w:rsid w:val="00312F7F"/>
    <w:rsid w:val="003310F4"/>
    <w:rsid w:val="003336DB"/>
    <w:rsid w:val="00337D28"/>
    <w:rsid w:val="00343888"/>
    <w:rsid w:val="00344E31"/>
    <w:rsid w:val="00353A8A"/>
    <w:rsid w:val="0035473F"/>
    <w:rsid w:val="00360459"/>
    <w:rsid w:val="00361450"/>
    <w:rsid w:val="003673CF"/>
    <w:rsid w:val="00373DC0"/>
    <w:rsid w:val="003845C1"/>
    <w:rsid w:val="00390AB2"/>
    <w:rsid w:val="00393528"/>
    <w:rsid w:val="003A6F89"/>
    <w:rsid w:val="003B1C8B"/>
    <w:rsid w:val="003B38C1"/>
    <w:rsid w:val="003C34E6"/>
    <w:rsid w:val="003C7250"/>
    <w:rsid w:val="003D3D43"/>
    <w:rsid w:val="003E63B2"/>
    <w:rsid w:val="003F6771"/>
    <w:rsid w:val="003F7611"/>
    <w:rsid w:val="00411B59"/>
    <w:rsid w:val="00423E3E"/>
    <w:rsid w:val="00425285"/>
    <w:rsid w:val="00427AF4"/>
    <w:rsid w:val="0044115A"/>
    <w:rsid w:val="00452217"/>
    <w:rsid w:val="0045759A"/>
    <w:rsid w:val="00463183"/>
    <w:rsid w:val="004647DA"/>
    <w:rsid w:val="00465C4D"/>
    <w:rsid w:val="00465DF7"/>
    <w:rsid w:val="00474062"/>
    <w:rsid w:val="00474322"/>
    <w:rsid w:val="00477D6B"/>
    <w:rsid w:val="00480121"/>
    <w:rsid w:val="00485B15"/>
    <w:rsid w:val="00495573"/>
    <w:rsid w:val="0049789B"/>
    <w:rsid w:val="004B2583"/>
    <w:rsid w:val="004B71E7"/>
    <w:rsid w:val="004C49EA"/>
    <w:rsid w:val="004C53A2"/>
    <w:rsid w:val="004F7C75"/>
    <w:rsid w:val="005019FF"/>
    <w:rsid w:val="00516E05"/>
    <w:rsid w:val="00516FF8"/>
    <w:rsid w:val="00520708"/>
    <w:rsid w:val="00527870"/>
    <w:rsid w:val="0053057A"/>
    <w:rsid w:val="00540FA7"/>
    <w:rsid w:val="00545016"/>
    <w:rsid w:val="005508E2"/>
    <w:rsid w:val="005553E0"/>
    <w:rsid w:val="00560A29"/>
    <w:rsid w:val="00572CCC"/>
    <w:rsid w:val="00573E8E"/>
    <w:rsid w:val="005805A4"/>
    <w:rsid w:val="00583175"/>
    <w:rsid w:val="005842A5"/>
    <w:rsid w:val="00596463"/>
    <w:rsid w:val="005C012E"/>
    <w:rsid w:val="005C0AFE"/>
    <w:rsid w:val="005C6506"/>
    <w:rsid w:val="005C6649"/>
    <w:rsid w:val="005D6F68"/>
    <w:rsid w:val="005E0559"/>
    <w:rsid w:val="005E21B1"/>
    <w:rsid w:val="005E41ED"/>
    <w:rsid w:val="00605827"/>
    <w:rsid w:val="006133CC"/>
    <w:rsid w:val="00621720"/>
    <w:rsid w:val="00646050"/>
    <w:rsid w:val="006542E8"/>
    <w:rsid w:val="00662059"/>
    <w:rsid w:val="00667673"/>
    <w:rsid w:val="006713CA"/>
    <w:rsid w:val="00672D41"/>
    <w:rsid w:val="006765DC"/>
    <w:rsid w:val="00676C5C"/>
    <w:rsid w:val="00677A0E"/>
    <w:rsid w:val="00683B40"/>
    <w:rsid w:val="006923AE"/>
    <w:rsid w:val="00692F7F"/>
    <w:rsid w:val="00695021"/>
    <w:rsid w:val="006A15BE"/>
    <w:rsid w:val="006D6B8E"/>
    <w:rsid w:val="006E24C7"/>
    <w:rsid w:val="006E6B9B"/>
    <w:rsid w:val="006F0663"/>
    <w:rsid w:val="006F32DA"/>
    <w:rsid w:val="006F5623"/>
    <w:rsid w:val="006F6F9B"/>
    <w:rsid w:val="00701FDE"/>
    <w:rsid w:val="0072327D"/>
    <w:rsid w:val="00724B8E"/>
    <w:rsid w:val="00761E48"/>
    <w:rsid w:val="00763BB7"/>
    <w:rsid w:val="00764F75"/>
    <w:rsid w:val="00772939"/>
    <w:rsid w:val="0077516F"/>
    <w:rsid w:val="00785719"/>
    <w:rsid w:val="0079754D"/>
    <w:rsid w:val="007B11B9"/>
    <w:rsid w:val="007B3077"/>
    <w:rsid w:val="007B3F1D"/>
    <w:rsid w:val="007B50CB"/>
    <w:rsid w:val="007D1474"/>
    <w:rsid w:val="007D1613"/>
    <w:rsid w:val="007E1C7F"/>
    <w:rsid w:val="007E2181"/>
    <w:rsid w:val="007E3EE6"/>
    <w:rsid w:val="007E553F"/>
    <w:rsid w:val="007F587B"/>
    <w:rsid w:val="008037AE"/>
    <w:rsid w:val="00803FAA"/>
    <w:rsid w:val="008053E7"/>
    <w:rsid w:val="008113E4"/>
    <w:rsid w:val="008120BE"/>
    <w:rsid w:val="00821315"/>
    <w:rsid w:val="00822063"/>
    <w:rsid w:val="0082343B"/>
    <w:rsid w:val="0083148D"/>
    <w:rsid w:val="00833828"/>
    <w:rsid w:val="008344D7"/>
    <w:rsid w:val="00841ADD"/>
    <w:rsid w:val="00844D6E"/>
    <w:rsid w:val="008A3588"/>
    <w:rsid w:val="008A67F6"/>
    <w:rsid w:val="008B2193"/>
    <w:rsid w:val="008B2CC1"/>
    <w:rsid w:val="008B2F36"/>
    <w:rsid w:val="008B60B2"/>
    <w:rsid w:val="008C5639"/>
    <w:rsid w:val="008C5EB4"/>
    <w:rsid w:val="008E1F06"/>
    <w:rsid w:val="0090731E"/>
    <w:rsid w:val="00916EE2"/>
    <w:rsid w:val="00927E05"/>
    <w:rsid w:val="00934126"/>
    <w:rsid w:val="009352D1"/>
    <w:rsid w:val="00937899"/>
    <w:rsid w:val="0094087A"/>
    <w:rsid w:val="00963418"/>
    <w:rsid w:val="009642AA"/>
    <w:rsid w:val="00966A22"/>
    <w:rsid w:val="0096722F"/>
    <w:rsid w:val="00980843"/>
    <w:rsid w:val="009B0146"/>
    <w:rsid w:val="009D292B"/>
    <w:rsid w:val="009E1CC3"/>
    <w:rsid w:val="009E2791"/>
    <w:rsid w:val="009E3F6F"/>
    <w:rsid w:val="009F3C67"/>
    <w:rsid w:val="009F499F"/>
    <w:rsid w:val="00A07479"/>
    <w:rsid w:val="00A13607"/>
    <w:rsid w:val="00A20D20"/>
    <w:rsid w:val="00A24E85"/>
    <w:rsid w:val="00A40F12"/>
    <w:rsid w:val="00A42DAF"/>
    <w:rsid w:val="00A45BD8"/>
    <w:rsid w:val="00A508B2"/>
    <w:rsid w:val="00A52598"/>
    <w:rsid w:val="00A53D4D"/>
    <w:rsid w:val="00A77790"/>
    <w:rsid w:val="00A869B7"/>
    <w:rsid w:val="00A91331"/>
    <w:rsid w:val="00AB355A"/>
    <w:rsid w:val="00AB4B55"/>
    <w:rsid w:val="00AB7BB7"/>
    <w:rsid w:val="00AC09FF"/>
    <w:rsid w:val="00AC205C"/>
    <w:rsid w:val="00AC50F8"/>
    <w:rsid w:val="00AD487E"/>
    <w:rsid w:val="00AE5C51"/>
    <w:rsid w:val="00AF0A6B"/>
    <w:rsid w:val="00B03A5E"/>
    <w:rsid w:val="00B05A69"/>
    <w:rsid w:val="00B160E7"/>
    <w:rsid w:val="00B16A5C"/>
    <w:rsid w:val="00B205B9"/>
    <w:rsid w:val="00B30849"/>
    <w:rsid w:val="00B45FAC"/>
    <w:rsid w:val="00B53290"/>
    <w:rsid w:val="00B63D66"/>
    <w:rsid w:val="00B77C94"/>
    <w:rsid w:val="00B804A6"/>
    <w:rsid w:val="00B875E2"/>
    <w:rsid w:val="00B9734B"/>
    <w:rsid w:val="00BB4084"/>
    <w:rsid w:val="00BC70D3"/>
    <w:rsid w:val="00BD3D73"/>
    <w:rsid w:val="00BD60C7"/>
    <w:rsid w:val="00BD6C9C"/>
    <w:rsid w:val="00BD6CBA"/>
    <w:rsid w:val="00BD7A3B"/>
    <w:rsid w:val="00BE22AC"/>
    <w:rsid w:val="00C11BFE"/>
    <w:rsid w:val="00C21CC5"/>
    <w:rsid w:val="00C322D3"/>
    <w:rsid w:val="00C377DB"/>
    <w:rsid w:val="00C45D6E"/>
    <w:rsid w:val="00C57612"/>
    <w:rsid w:val="00C71905"/>
    <w:rsid w:val="00C76484"/>
    <w:rsid w:val="00C86F58"/>
    <w:rsid w:val="00C9691C"/>
    <w:rsid w:val="00C97E93"/>
    <w:rsid w:val="00CA05FE"/>
    <w:rsid w:val="00CA0F56"/>
    <w:rsid w:val="00CC6335"/>
    <w:rsid w:val="00CD2360"/>
    <w:rsid w:val="00CE3A8C"/>
    <w:rsid w:val="00CF0E7E"/>
    <w:rsid w:val="00CF2583"/>
    <w:rsid w:val="00CF3EEF"/>
    <w:rsid w:val="00CF78CA"/>
    <w:rsid w:val="00D0110E"/>
    <w:rsid w:val="00D14207"/>
    <w:rsid w:val="00D14D4E"/>
    <w:rsid w:val="00D1764D"/>
    <w:rsid w:val="00D21498"/>
    <w:rsid w:val="00D32AC1"/>
    <w:rsid w:val="00D45252"/>
    <w:rsid w:val="00D5778A"/>
    <w:rsid w:val="00D63CE0"/>
    <w:rsid w:val="00D71B4D"/>
    <w:rsid w:val="00D75403"/>
    <w:rsid w:val="00D8015C"/>
    <w:rsid w:val="00D8092A"/>
    <w:rsid w:val="00D81134"/>
    <w:rsid w:val="00D841C4"/>
    <w:rsid w:val="00D85654"/>
    <w:rsid w:val="00D93910"/>
    <w:rsid w:val="00D93D55"/>
    <w:rsid w:val="00DB250C"/>
    <w:rsid w:val="00DB3147"/>
    <w:rsid w:val="00DB5CD5"/>
    <w:rsid w:val="00DC6DF6"/>
    <w:rsid w:val="00DD34BF"/>
    <w:rsid w:val="00DD6FB7"/>
    <w:rsid w:val="00DE2DD3"/>
    <w:rsid w:val="00DE43C0"/>
    <w:rsid w:val="00DE776C"/>
    <w:rsid w:val="00DF0270"/>
    <w:rsid w:val="00E00357"/>
    <w:rsid w:val="00E04584"/>
    <w:rsid w:val="00E04804"/>
    <w:rsid w:val="00E100D6"/>
    <w:rsid w:val="00E16BF9"/>
    <w:rsid w:val="00E21100"/>
    <w:rsid w:val="00E26DB7"/>
    <w:rsid w:val="00E31434"/>
    <w:rsid w:val="00E335FE"/>
    <w:rsid w:val="00E4794A"/>
    <w:rsid w:val="00E55961"/>
    <w:rsid w:val="00E62209"/>
    <w:rsid w:val="00E817D7"/>
    <w:rsid w:val="00E85684"/>
    <w:rsid w:val="00E90258"/>
    <w:rsid w:val="00E9585E"/>
    <w:rsid w:val="00E9733E"/>
    <w:rsid w:val="00EB7FED"/>
    <w:rsid w:val="00EC4E49"/>
    <w:rsid w:val="00ED77FB"/>
    <w:rsid w:val="00EE2533"/>
    <w:rsid w:val="00EE45FA"/>
    <w:rsid w:val="00EE6D3C"/>
    <w:rsid w:val="00EF1087"/>
    <w:rsid w:val="00EF7FA5"/>
    <w:rsid w:val="00F11D6C"/>
    <w:rsid w:val="00F13BCC"/>
    <w:rsid w:val="00F57DED"/>
    <w:rsid w:val="00F66152"/>
    <w:rsid w:val="00F750DD"/>
    <w:rsid w:val="00F77C01"/>
    <w:rsid w:val="00F80245"/>
    <w:rsid w:val="00F842C0"/>
    <w:rsid w:val="00F863E6"/>
    <w:rsid w:val="00F946BF"/>
    <w:rsid w:val="00FB2C87"/>
    <w:rsid w:val="00FB3759"/>
    <w:rsid w:val="00FC58DC"/>
    <w:rsid w:val="00FD72FE"/>
    <w:rsid w:val="00FE54B6"/>
    <w:rsid w:val="00FF4AC3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7F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49789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rsid w:val="0044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A3B"/>
    <w:pPr>
      <w:ind w:left="708"/>
    </w:pPr>
  </w:style>
  <w:style w:type="paragraph" w:styleId="BalloonText">
    <w:name w:val="Balloon Text"/>
    <w:basedOn w:val="Normal"/>
    <w:link w:val="BalloonTextChar"/>
    <w:rsid w:val="00BD7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7A3B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rsid w:val="00BD7A3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D7A3B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BD7A3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link w:val="CommentSubject"/>
    <w:rsid w:val="00BD7A3B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rsid w:val="00D8092A"/>
    <w:rPr>
      <w:color w:val="0000FF"/>
      <w:u w:val="single"/>
    </w:rPr>
  </w:style>
  <w:style w:type="character" w:styleId="PageNumber">
    <w:name w:val="page number"/>
    <w:basedOn w:val="DefaultParagraphFont"/>
    <w:rsid w:val="00A52598"/>
  </w:style>
  <w:style w:type="paragraph" w:styleId="Revision">
    <w:name w:val="Revision"/>
    <w:hidden/>
    <w:uiPriority w:val="99"/>
    <w:semiHidden/>
    <w:rsid w:val="000352EB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A67F6"/>
    <w:rPr>
      <w:rFonts w:ascii="Arial" w:eastAsia="SimSun" w:hAnsi="Arial" w:cs="Arial"/>
      <w:sz w:val="18"/>
      <w:lang w:eastAsia="zh-CN"/>
    </w:rPr>
  </w:style>
  <w:style w:type="character" w:styleId="Emphasis">
    <w:name w:val="Emphasis"/>
    <w:basedOn w:val="DefaultParagraphFont"/>
    <w:uiPriority w:val="20"/>
    <w:qFormat/>
    <w:rsid w:val="00FC58DC"/>
    <w:rPr>
      <w:b/>
      <w:bCs/>
      <w:i w:val="0"/>
      <w:iCs w:val="0"/>
    </w:rPr>
  </w:style>
  <w:style w:type="character" w:customStyle="1" w:styleId="st">
    <w:name w:val="st"/>
    <w:basedOn w:val="DefaultParagraphFont"/>
    <w:rsid w:val="00FC5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67F6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sid w:val="0049789B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table" w:styleId="TableGrid">
    <w:name w:val="Table Grid"/>
    <w:basedOn w:val="TableNormal"/>
    <w:rsid w:val="00441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D7A3B"/>
    <w:pPr>
      <w:ind w:left="708"/>
    </w:pPr>
  </w:style>
  <w:style w:type="paragraph" w:styleId="BalloonText">
    <w:name w:val="Balloon Text"/>
    <w:basedOn w:val="Normal"/>
    <w:link w:val="BalloonTextChar"/>
    <w:rsid w:val="00BD7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D7A3B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rsid w:val="00BD7A3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BD7A3B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BD7A3B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link w:val="CommentSubject"/>
    <w:rsid w:val="00BD7A3B"/>
    <w:rPr>
      <w:rFonts w:ascii="Arial" w:eastAsia="SimSun" w:hAnsi="Arial" w:cs="Arial"/>
      <w:b/>
      <w:bCs/>
      <w:sz w:val="18"/>
      <w:lang w:val="en-US" w:eastAsia="zh-CN"/>
    </w:rPr>
  </w:style>
  <w:style w:type="character" w:styleId="Hyperlink">
    <w:name w:val="Hyperlink"/>
    <w:rsid w:val="00D8092A"/>
    <w:rPr>
      <w:color w:val="0000FF"/>
      <w:u w:val="single"/>
    </w:rPr>
  </w:style>
  <w:style w:type="character" w:styleId="PageNumber">
    <w:name w:val="page number"/>
    <w:basedOn w:val="DefaultParagraphFont"/>
    <w:rsid w:val="00A52598"/>
  </w:style>
  <w:style w:type="paragraph" w:styleId="Revision">
    <w:name w:val="Revision"/>
    <w:hidden/>
    <w:uiPriority w:val="99"/>
    <w:semiHidden/>
    <w:rsid w:val="000352EB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8A67F6"/>
    <w:rPr>
      <w:rFonts w:ascii="Arial" w:eastAsia="SimSun" w:hAnsi="Arial" w:cs="Arial"/>
      <w:sz w:val="18"/>
      <w:lang w:eastAsia="zh-CN"/>
    </w:rPr>
  </w:style>
  <w:style w:type="character" w:styleId="Emphasis">
    <w:name w:val="Emphasis"/>
    <w:basedOn w:val="DefaultParagraphFont"/>
    <w:uiPriority w:val="20"/>
    <w:qFormat/>
    <w:rsid w:val="00FC58DC"/>
    <w:rPr>
      <w:b/>
      <w:bCs/>
      <w:i w:val="0"/>
      <w:iCs w:val="0"/>
    </w:rPr>
  </w:style>
  <w:style w:type="character" w:customStyle="1" w:styleId="st">
    <w:name w:val="st"/>
    <w:basedOn w:val="DefaultParagraphFont"/>
    <w:rsid w:val="00FC5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72053-0561-4B1C-BEAF-F92C9B5388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67AEC5-9CE9-4C5B-AF67-1F05DAF191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B6FC0E-887D-437B-BADA-D66EDBCD6F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615CF6-BFC9-48A9-BB7A-4545065F0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1176</Words>
  <Characters>6245</Characters>
  <Application>Microsoft Office Word</Application>
  <DocSecurity>0</DocSecurity>
  <Lines>160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WO/PBC/20</vt:lpstr>
    </vt:vector>
  </TitlesOfParts>
  <Company>WIPO</Company>
  <LinksUpToDate>false</LinksUpToDate>
  <CharactersWithSpaces>7368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WO/PBC/20</dc:title>
  <dc:creator>Netter</dc:creator>
  <cp:keywords>NG/ko</cp:keywords>
  <cp:lastModifiedBy>NETTER Iza</cp:lastModifiedBy>
  <cp:revision>20</cp:revision>
  <cp:lastPrinted>2014-07-29T12:11:00Z</cp:lastPrinted>
  <dcterms:created xsi:type="dcterms:W3CDTF">2014-07-29T10:17:00Z</dcterms:created>
  <dcterms:modified xsi:type="dcterms:W3CDTF">2014-07-29T14:33:00Z</dcterms:modified>
</cp:coreProperties>
</file>