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B0195" w:rsidRPr="008B2CC1" w:rsidTr="004B406B">
        <w:tc>
          <w:tcPr>
            <w:tcW w:w="4513" w:type="dxa"/>
            <w:tcBorders>
              <w:bottom w:val="single" w:sz="4" w:space="0" w:color="auto"/>
            </w:tcBorders>
            <w:tcMar>
              <w:bottom w:w="170" w:type="dxa"/>
            </w:tcMar>
          </w:tcPr>
          <w:p w:rsidR="001B0195" w:rsidRPr="008B2CC1" w:rsidRDefault="001B0195" w:rsidP="00B36AF7">
            <w:bookmarkStart w:id="0" w:name="TitleOfDoc"/>
            <w:bookmarkEnd w:id="0"/>
          </w:p>
        </w:tc>
        <w:tc>
          <w:tcPr>
            <w:tcW w:w="4337" w:type="dxa"/>
            <w:tcBorders>
              <w:bottom w:val="single" w:sz="4" w:space="0" w:color="auto"/>
            </w:tcBorders>
            <w:tcMar>
              <w:left w:w="0" w:type="dxa"/>
              <w:right w:w="0" w:type="dxa"/>
            </w:tcMar>
          </w:tcPr>
          <w:p w:rsidR="001B0195" w:rsidRPr="008B2CC1" w:rsidRDefault="001B0195" w:rsidP="00B36AF7">
            <w:r>
              <w:rPr>
                <w:noProof/>
                <w:lang w:eastAsia="en-US"/>
              </w:rPr>
              <w:drawing>
                <wp:inline distT="0" distB="0" distL="0" distR="0" wp14:anchorId="78ECB366" wp14:editId="2BAB415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B0195" w:rsidRPr="008B2CC1" w:rsidRDefault="001B0195" w:rsidP="00B36AF7">
            <w:pPr>
              <w:jc w:val="right"/>
            </w:pPr>
            <w:r>
              <w:rPr>
                <w:b/>
                <w:sz w:val="40"/>
                <w:szCs w:val="40"/>
              </w:rPr>
              <w:t>F</w:t>
            </w:r>
          </w:p>
        </w:tc>
      </w:tr>
      <w:tr w:rsidR="001B0195" w:rsidRPr="001832A6" w:rsidTr="004B406B">
        <w:trPr>
          <w:trHeight w:hRule="exact" w:val="357"/>
        </w:trPr>
        <w:tc>
          <w:tcPr>
            <w:tcW w:w="9356" w:type="dxa"/>
            <w:gridSpan w:val="3"/>
            <w:tcBorders>
              <w:top w:val="single" w:sz="4" w:space="0" w:color="auto"/>
            </w:tcBorders>
            <w:tcMar>
              <w:top w:w="170" w:type="dxa"/>
              <w:left w:w="0" w:type="dxa"/>
              <w:right w:w="0" w:type="dxa"/>
            </w:tcMar>
            <w:vAlign w:val="bottom"/>
          </w:tcPr>
          <w:p w:rsidR="001B0195" w:rsidRPr="0090731E" w:rsidRDefault="001B0195" w:rsidP="00B36AF7">
            <w:pPr>
              <w:jc w:val="right"/>
              <w:rPr>
                <w:rFonts w:ascii="Arial Black" w:hAnsi="Arial Black"/>
                <w:caps/>
                <w:sz w:val="15"/>
              </w:rPr>
            </w:pPr>
            <w:r>
              <w:rPr>
                <w:rFonts w:ascii="Arial Black" w:hAnsi="Arial Black"/>
                <w:caps/>
                <w:sz w:val="15"/>
              </w:rPr>
              <w:t>WO/GA/49/</w:t>
            </w:r>
            <w:bookmarkStart w:id="1" w:name="Code"/>
            <w:bookmarkEnd w:id="1"/>
            <w:r>
              <w:rPr>
                <w:rFonts w:ascii="Arial Black" w:hAnsi="Arial Black"/>
                <w:caps/>
                <w:sz w:val="15"/>
              </w:rPr>
              <w:t>14</w:t>
            </w:r>
          </w:p>
        </w:tc>
      </w:tr>
      <w:tr w:rsidR="001B0195" w:rsidRPr="001832A6" w:rsidTr="004B406B">
        <w:trPr>
          <w:trHeight w:hRule="exact" w:val="170"/>
        </w:trPr>
        <w:tc>
          <w:tcPr>
            <w:tcW w:w="9356" w:type="dxa"/>
            <w:gridSpan w:val="3"/>
            <w:noWrap/>
            <w:tcMar>
              <w:left w:w="0" w:type="dxa"/>
              <w:right w:w="0" w:type="dxa"/>
            </w:tcMar>
            <w:vAlign w:val="bottom"/>
          </w:tcPr>
          <w:p w:rsidR="001B0195" w:rsidRPr="0090731E" w:rsidRDefault="001B0195" w:rsidP="00B36AF7">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1B0195" w:rsidRPr="001832A6" w:rsidTr="004B406B">
        <w:trPr>
          <w:trHeight w:hRule="exact" w:val="198"/>
        </w:trPr>
        <w:tc>
          <w:tcPr>
            <w:tcW w:w="9356" w:type="dxa"/>
            <w:gridSpan w:val="3"/>
            <w:tcMar>
              <w:left w:w="0" w:type="dxa"/>
              <w:right w:w="0" w:type="dxa"/>
            </w:tcMar>
            <w:vAlign w:val="bottom"/>
          </w:tcPr>
          <w:p w:rsidR="001B0195" w:rsidRPr="0090731E" w:rsidRDefault="001B0195" w:rsidP="00B36AF7">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 </w:t>
            </w:r>
            <w:bookmarkStart w:id="3" w:name="Date"/>
            <w:bookmarkEnd w:id="3"/>
            <w:r>
              <w:rPr>
                <w:rFonts w:ascii="Arial Black" w:hAnsi="Arial Black"/>
                <w:caps/>
                <w:sz w:val="15"/>
              </w:rPr>
              <w:t>2 août 2017</w:t>
            </w:r>
            <w:r w:rsidRPr="0090731E">
              <w:rPr>
                <w:rFonts w:ascii="Arial Black" w:hAnsi="Arial Black"/>
                <w:caps/>
                <w:sz w:val="15"/>
              </w:rPr>
              <w:t xml:space="preserve"> </w:t>
            </w:r>
          </w:p>
        </w:tc>
      </w:tr>
    </w:tbl>
    <w:p w:rsidR="001B0195" w:rsidRPr="008B2CC1" w:rsidRDefault="001B0195" w:rsidP="00B36AF7"/>
    <w:p w:rsidR="001B0195" w:rsidRPr="008B2CC1" w:rsidRDefault="001B0195" w:rsidP="00B36AF7"/>
    <w:p w:rsidR="001B0195" w:rsidRPr="008B2CC1" w:rsidRDefault="001B0195" w:rsidP="00B36AF7"/>
    <w:p w:rsidR="001B0195" w:rsidRPr="008B2CC1" w:rsidRDefault="001B0195" w:rsidP="00B36AF7"/>
    <w:p w:rsidR="001B0195" w:rsidRPr="008B2CC1" w:rsidRDefault="001B0195" w:rsidP="00B36AF7"/>
    <w:p w:rsidR="001B0195" w:rsidRPr="003845C1" w:rsidRDefault="001B0195" w:rsidP="00B36AF7">
      <w:pPr>
        <w:rPr>
          <w:b/>
          <w:sz w:val="28"/>
          <w:szCs w:val="28"/>
        </w:rPr>
      </w:pPr>
      <w:r w:rsidRPr="00F17FEA">
        <w:rPr>
          <w:b/>
          <w:sz w:val="28"/>
          <w:szCs w:val="28"/>
          <w:lang w:val="fr-FR"/>
        </w:rPr>
        <w:t>Assemblée générale de l</w:t>
      </w:r>
      <w:r>
        <w:rPr>
          <w:b/>
          <w:sz w:val="28"/>
          <w:szCs w:val="28"/>
          <w:lang w:val="fr-FR"/>
        </w:rPr>
        <w:t>’</w:t>
      </w:r>
      <w:r w:rsidRPr="00F17FEA">
        <w:rPr>
          <w:b/>
          <w:sz w:val="28"/>
          <w:szCs w:val="28"/>
          <w:lang w:val="fr-FR"/>
        </w:rPr>
        <w:t>OMPI</w:t>
      </w:r>
    </w:p>
    <w:p w:rsidR="001B0195" w:rsidRDefault="001B0195" w:rsidP="00B36AF7"/>
    <w:p w:rsidR="001B0195" w:rsidRDefault="001B0195" w:rsidP="00B36AF7"/>
    <w:p w:rsidR="001B0195" w:rsidRPr="00F17FEA" w:rsidRDefault="001B0195" w:rsidP="00B36AF7">
      <w:pPr>
        <w:rPr>
          <w:b/>
          <w:sz w:val="24"/>
          <w:szCs w:val="24"/>
          <w:lang w:val="fr-FR"/>
        </w:rPr>
      </w:pPr>
      <w:r w:rsidRPr="00F17FEA">
        <w:rPr>
          <w:b/>
          <w:sz w:val="24"/>
          <w:szCs w:val="24"/>
          <w:lang w:val="fr-FR"/>
        </w:rPr>
        <w:t>Quarante</w:t>
      </w:r>
      <w:r>
        <w:rPr>
          <w:b/>
          <w:sz w:val="24"/>
          <w:szCs w:val="24"/>
          <w:lang w:val="fr-FR"/>
        </w:rPr>
        <w:t>-</w:t>
      </w:r>
      <w:r w:rsidRPr="00F17FEA">
        <w:rPr>
          <w:b/>
          <w:sz w:val="24"/>
          <w:szCs w:val="24"/>
          <w:lang w:val="fr-FR"/>
        </w:rPr>
        <w:t>neuv</w:t>
      </w:r>
      <w:r>
        <w:rPr>
          <w:b/>
          <w:sz w:val="24"/>
          <w:szCs w:val="24"/>
          <w:lang w:val="fr-FR"/>
        </w:rPr>
        <w:t>ième session</w:t>
      </w:r>
      <w:r w:rsidRPr="00F17FEA">
        <w:rPr>
          <w:b/>
          <w:sz w:val="24"/>
          <w:szCs w:val="24"/>
          <w:lang w:val="fr-FR"/>
        </w:rPr>
        <w:t xml:space="preserve"> (23</w:t>
      </w:r>
      <w:r w:rsidRPr="00F17FEA">
        <w:rPr>
          <w:b/>
          <w:sz w:val="24"/>
          <w:szCs w:val="24"/>
          <w:vertAlign w:val="superscript"/>
          <w:lang w:val="fr-FR"/>
        </w:rPr>
        <w:t>e</w:t>
      </w:r>
      <w:r w:rsidR="00054A64">
        <w:rPr>
          <w:b/>
          <w:sz w:val="24"/>
          <w:szCs w:val="24"/>
          <w:lang w:val="fr-FR"/>
        </w:rPr>
        <w:t> </w:t>
      </w:r>
      <w:r w:rsidRPr="00F17FEA">
        <w:rPr>
          <w:b/>
          <w:sz w:val="24"/>
          <w:szCs w:val="24"/>
          <w:lang w:val="fr-FR"/>
        </w:rPr>
        <w:t>session ordinaire)</w:t>
      </w:r>
    </w:p>
    <w:p w:rsidR="001B0195" w:rsidRPr="001B0195" w:rsidRDefault="001B0195" w:rsidP="00B36AF7">
      <w:pPr>
        <w:rPr>
          <w:b/>
          <w:sz w:val="24"/>
          <w:szCs w:val="24"/>
          <w:lang w:val="fr-CH"/>
        </w:rPr>
      </w:pPr>
      <w:r w:rsidRPr="00F17FEA">
        <w:rPr>
          <w:b/>
          <w:sz w:val="24"/>
          <w:szCs w:val="24"/>
          <w:lang w:val="fr-FR"/>
        </w:rPr>
        <w:t>Genève, 2 – 11</w:t>
      </w:r>
      <w:r>
        <w:rPr>
          <w:b/>
          <w:sz w:val="24"/>
          <w:szCs w:val="24"/>
          <w:lang w:val="fr-FR"/>
        </w:rPr>
        <w:t> </w:t>
      </w:r>
      <w:r w:rsidRPr="00F17FEA">
        <w:rPr>
          <w:b/>
          <w:sz w:val="24"/>
          <w:szCs w:val="24"/>
          <w:lang w:val="fr-FR"/>
        </w:rPr>
        <w:t>octobre</w:t>
      </w:r>
      <w:r>
        <w:rPr>
          <w:b/>
          <w:sz w:val="24"/>
          <w:szCs w:val="24"/>
          <w:lang w:val="fr-FR"/>
        </w:rPr>
        <w:t> </w:t>
      </w:r>
      <w:r w:rsidRPr="00F17FEA">
        <w:rPr>
          <w:b/>
          <w:sz w:val="24"/>
          <w:szCs w:val="24"/>
          <w:lang w:val="fr-FR"/>
        </w:rPr>
        <w:t>2017</w:t>
      </w:r>
    </w:p>
    <w:p w:rsidR="001B0195" w:rsidRPr="001B0195" w:rsidRDefault="001B0195" w:rsidP="00B36AF7">
      <w:pPr>
        <w:rPr>
          <w:lang w:val="fr-CH"/>
        </w:rPr>
      </w:pPr>
    </w:p>
    <w:p w:rsidR="001B0195" w:rsidRPr="001B0195" w:rsidRDefault="001B0195" w:rsidP="00B36AF7">
      <w:pPr>
        <w:rPr>
          <w:lang w:val="fr-CH"/>
        </w:rPr>
      </w:pPr>
    </w:p>
    <w:p w:rsidR="001B0195" w:rsidRPr="001B0195" w:rsidRDefault="001B0195" w:rsidP="00B36AF7">
      <w:pPr>
        <w:rPr>
          <w:lang w:val="fr-CH"/>
        </w:rPr>
      </w:pPr>
    </w:p>
    <w:p w:rsidR="008B2CC1" w:rsidRPr="00265EA1" w:rsidRDefault="00B13BD6" w:rsidP="00B36AF7">
      <w:pPr>
        <w:rPr>
          <w:caps/>
          <w:sz w:val="24"/>
          <w:lang w:val="fr-FR"/>
        </w:rPr>
      </w:pPr>
      <w:r w:rsidRPr="00B13BD6">
        <w:rPr>
          <w:caps/>
          <w:sz w:val="24"/>
          <w:lang w:val="fr-FR"/>
        </w:rPr>
        <w:t>Centre d</w:t>
      </w:r>
      <w:r w:rsidR="001B0195">
        <w:rPr>
          <w:caps/>
          <w:sz w:val="24"/>
          <w:lang w:val="fr-FR"/>
        </w:rPr>
        <w:t>’</w:t>
      </w:r>
      <w:r w:rsidRPr="00B13BD6">
        <w:rPr>
          <w:caps/>
          <w:sz w:val="24"/>
          <w:lang w:val="fr-FR"/>
        </w:rPr>
        <w:t>arbitrage et de médiation de l</w:t>
      </w:r>
      <w:r w:rsidR="001B0195">
        <w:rPr>
          <w:caps/>
          <w:sz w:val="24"/>
          <w:lang w:val="fr-FR"/>
        </w:rPr>
        <w:t>’</w:t>
      </w:r>
      <w:r w:rsidRPr="00B13BD6">
        <w:rPr>
          <w:caps/>
          <w:sz w:val="24"/>
          <w:lang w:val="fr-FR"/>
        </w:rPr>
        <w:t xml:space="preserve">OMPI, </w:t>
      </w:r>
      <w:r w:rsidR="001B0195">
        <w:rPr>
          <w:caps/>
          <w:sz w:val="24"/>
          <w:lang w:val="fr-FR"/>
        </w:rPr>
        <w:t>y compris</w:t>
      </w:r>
      <w:r w:rsidRPr="00B13BD6">
        <w:rPr>
          <w:caps/>
          <w:sz w:val="24"/>
          <w:lang w:val="fr-FR"/>
        </w:rPr>
        <w:t xml:space="preserve"> les noms de domaine</w:t>
      </w:r>
    </w:p>
    <w:p w:rsidR="008B2CC1" w:rsidRPr="00265EA1" w:rsidRDefault="008B2CC1" w:rsidP="00B36AF7">
      <w:pPr>
        <w:rPr>
          <w:lang w:val="fr-FR"/>
        </w:rPr>
      </w:pPr>
    </w:p>
    <w:p w:rsidR="00612F56" w:rsidRPr="00265EA1" w:rsidRDefault="00B13BD6" w:rsidP="00B36AF7">
      <w:pPr>
        <w:rPr>
          <w:i/>
          <w:lang w:val="fr-FR"/>
        </w:rPr>
      </w:pPr>
      <w:bookmarkStart w:id="4" w:name="Prepared"/>
      <w:bookmarkEnd w:id="4"/>
      <w:r w:rsidRPr="00B13BD6">
        <w:rPr>
          <w:i/>
          <w:lang w:val="fr-FR"/>
        </w:rPr>
        <w:t>Document établi par le Secrétariat</w:t>
      </w:r>
    </w:p>
    <w:p w:rsidR="00612F56" w:rsidRPr="00265EA1" w:rsidRDefault="00612F56" w:rsidP="00B36AF7">
      <w:pPr>
        <w:rPr>
          <w:lang w:val="fr-FR"/>
        </w:rPr>
      </w:pPr>
    </w:p>
    <w:p w:rsidR="00612F56" w:rsidRPr="00265EA1" w:rsidRDefault="00612F56" w:rsidP="00B36AF7">
      <w:pPr>
        <w:rPr>
          <w:lang w:val="fr-FR"/>
        </w:rPr>
      </w:pPr>
    </w:p>
    <w:p w:rsidR="00612F56" w:rsidRPr="00265EA1" w:rsidRDefault="00612F56" w:rsidP="00B36AF7">
      <w:pPr>
        <w:rPr>
          <w:lang w:val="fr-FR"/>
        </w:rPr>
      </w:pPr>
    </w:p>
    <w:p w:rsidR="00612F56" w:rsidRPr="00265EA1" w:rsidRDefault="00612F56" w:rsidP="00B36AF7">
      <w:pPr>
        <w:rPr>
          <w:lang w:val="fr-FR"/>
        </w:rPr>
      </w:pPr>
    </w:p>
    <w:p w:rsidR="001B0195" w:rsidRDefault="00B13BD6" w:rsidP="00B36AF7">
      <w:pPr>
        <w:pStyle w:val="ONUMFS"/>
        <w:rPr>
          <w:snapToGrid w:val="0"/>
          <w:lang w:val="fr-FR"/>
        </w:rPr>
      </w:pPr>
      <w:r w:rsidRPr="00B13BD6">
        <w:rPr>
          <w:rStyle w:val="ONUMEChar"/>
          <w:szCs w:val="22"/>
          <w:lang w:val="fr-FR"/>
        </w:rPr>
        <w:t>Le présent document fait le point sur les activités du Centre d</w:t>
      </w:r>
      <w:r w:rsidR="001B0195">
        <w:rPr>
          <w:rStyle w:val="ONUMEChar"/>
          <w:szCs w:val="22"/>
          <w:lang w:val="fr-FR"/>
        </w:rPr>
        <w:t>’</w:t>
      </w:r>
      <w:r w:rsidRPr="00B13BD6">
        <w:rPr>
          <w:rStyle w:val="ONUMEChar"/>
          <w:szCs w:val="22"/>
          <w:lang w:val="fr-FR"/>
        </w:rPr>
        <w:t>arbitrag</w:t>
      </w:r>
      <w:r>
        <w:rPr>
          <w:rStyle w:val="ONUMEChar"/>
          <w:szCs w:val="22"/>
          <w:lang w:val="fr-FR"/>
        </w:rPr>
        <w:t>e et de médiation de l</w:t>
      </w:r>
      <w:r w:rsidR="001B0195">
        <w:rPr>
          <w:rStyle w:val="ONUMEChar"/>
          <w:szCs w:val="22"/>
          <w:lang w:val="fr-FR"/>
        </w:rPr>
        <w:t>’</w:t>
      </w:r>
      <w:r>
        <w:rPr>
          <w:rStyle w:val="ONUMEChar"/>
          <w:szCs w:val="22"/>
          <w:lang w:val="fr-FR"/>
        </w:rPr>
        <w:t>OMPI (ci</w:t>
      </w:r>
      <w:r w:rsidR="001B0195">
        <w:rPr>
          <w:rStyle w:val="ONUMEChar"/>
          <w:szCs w:val="22"/>
          <w:lang w:val="fr-FR"/>
        </w:rPr>
        <w:t>-</w:t>
      </w:r>
      <w:r w:rsidRPr="00B13BD6">
        <w:rPr>
          <w:rStyle w:val="ONUMEChar"/>
          <w:szCs w:val="22"/>
          <w:lang w:val="fr-FR"/>
        </w:rPr>
        <w:t>après dénommé “Centre”) en tant que prestataire international de services extrajudiciaires rapides et économiques de règlement des litiges de propriété intellectuelle, proposant à la fois des services d</w:t>
      </w:r>
      <w:r w:rsidR="001B0195">
        <w:rPr>
          <w:rStyle w:val="ONUMEChar"/>
          <w:szCs w:val="22"/>
          <w:lang w:val="fr-FR"/>
        </w:rPr>
        <w:t>’</w:t>
      </w:r>
      <w:r w:rsidRPr="00B13BD6">
        <w:rPr>
          <w:rStyle w:val="ONUMEChar"/>
          <w:szCs w:val="22"/>
          <w:lang w:val="fr-FR"/>
        </w:rPr>
        <w:t>administration de litiges et des services d</w:t>
      </w:r>
      <w:r w:rsidR="001B0195">
        <w:rPr>
          <w:rStyle w:val="ONUMEChar"/>
          <w:szCs w:val="22"/>
          <w:lang w:val="fr-FR"/>
        </w:rPr>
        <w:t>’</w:t>
      </w:r>
      <w:r w:rsidRPr="00B13BD6">
        <w:rPr>
          <w:rStyle w:val="ONUMEChar"/>
          <w:szCs w:val="22"/>
          <w:lang w:val="fr-FR"/>
        </w:rPr>
        <w:t>expertise juridique et d</w:t>
      </w:r>
      <w:r w:rsidR="001B0195">
        <w:rPr>
          <w:rStyle w:val="ONUMEChar"/>
          <w:szCs w:val="22"/>
          <w:lang w:val="fr-FR"/>
        </w:rPr>
        <w:t>’</w:t>
      </w:r>
      <w:r w:rsidRPr="00B13BD6">
        <w:rPr>
          <w:rStyle w:val="ONUMEChar"/>
          <w:szCs w:val="22"/>
          <w:lang w:val="fr-FR"/>
        </w:rPr>
        <w:t>organisation en matière de modes extrajudiciaires de règlement des litiges</w:t>
      </w:r>
      <w:r w:rsidR="00612F56" w:rsidRPr="00265EA1">
        <w:rPr>
          <w:snapToGrid w:val="0"/>
          <w:lang w:val="fr-FR"/>
        </w:rPr>
        <w:t>.</w:t>
      </w:r>
    </w:p>
    <w:p w:rsidR="00612F56" w:rsidRPr="00265EA1" w:rsidRDefault="00B13BD6" w:rsidP="00B36AF7">
      <w:pPr>
        <w:pStyle w:val="ONUMFS"/>
        <w:rPr>
          <w:rStyle w:val="ONUMEChar"/>
          <w:lang w:val="fr-FR"/>
        </w:rPr>
      </w:pPr>
      <w:r w:rsidRPr="00B13BD6">
        <w:rPr>
          <w:rStyle w:val="ONUMEChar"/>
          <w:szCs w:val="22"/>
          <w:lang w:val="fr-FR"/>
        </w:rPr>
        <w:t>Il contient également des informations actualisées sur les activités de l</w:t>
      </w:r>
      <w:r w:rsidR="001B0195">
        <w:rPr>
          <w:rStyle w:val="ONUMEChar"/>
          <w:szCs w:val="22"/>
          <w:lang w:val="fr-FR"/>
        </w:rPr>
        <w:t>’</w:t>
      </w:r>
      <w:r w:rsidRPr="00B13BD6">
        <w:rPr>
          <w:rStyle w:val="ONUMEChar"/>
          <w:szCs w:val="22"/>
          <w:lang w:val="fr-FR"/>
        </w:rPr>
        <w:t>OMPI relatives aux noms de domaine dont il a précédemment été rendu compte dans le document</w:t>
      </w:r>
      <w:r w:rsidR="00AC7A8F">
        <w:rPr>
          <w:rStyle w:val="ONUMEChar"/>
          <w:szCs w:val="22"/>
          <w:lang w:val="fr-FR"/>
        </w:rPr>
        <w:t> </w:t>
      </w:r>
      <w:r w:rsidR="00381542" w:rsidRPr="00265EA1">
        <w:rPr>
          <w:rStyle w:val="ONUMEChar"/>
          <w:szCs w:val="22"/>
          <w:lang w:val="fr-FR"/>
        </w:rPr>
        <w:t xml:space="preserve">WO/GA/48/12 </w:t>
      </w:r>
      <w:r w:rsidR="001D49DA" w:rsidRPr="00265EA1">
        <w:rPr>
          <w:rStyle w:val="ONUMEChar"/>
          <w:szCs w:val="22"/>
          <w:lang w:val="fr-FR"/>
        </w:rPr>
        <w:t>Rev</w:t>
      </w:r>
      <w:r w:rsidR="00612F56" w:rsidRPr="00265EA1">
        <w:rPr>
          <w:rStyle w:val="ONUMEChar"/>
          <w:szCs w:val="22"/>
          <w:vertAlign w:val="superscript"/>
          <w:lang w:val="fr-FR"/>
        </w:rPr>
        <w:footnoteReference w:id="2"/>
      </w:r>
      <w:r w:rsidR="005C03F2">
        <w:rPr>
          <w:rStyle w:val="ONUMEChar"/>
          <w:szCs w:val="22"/>
          <w:lang w:val="fr-FR"/>
        </w:rPr>
        <w:t>.</w:t>
      </w:r>
      <w:r w:rsidR="00612F56" w:rsidRPr="00265EA1">
        <w:rPr>
          <w:rStyle w:val="ONUMEChar"/>
          <w:szCs w:val="22"/>
          <w:lang w:val="fr-FR"/>
        </w:rPr>
        <w:t xml:space="preserve">  </w:t>
      </w:r>
      <w:r w:rsidRPr="00B13BD6">
        <w:rPr>
          <w:rStyle w:val="ONUMEChar"/>
          <w:szCs w:val="22"/>
          <w:lang w:val="fr-FR"/>
        </w:rPr>
        <w:t>Il traite des litiges relatifs aux noms de domaine administrés par le Centre en vertu des différents principes directeurs et des aspects connexes du système des noms de domaine de l</w:t>
      </w:r>
      <w:r w:rsidR="001B0195">
        <w:rPr>
          <w:rStyle w:val="ONUMEChar"/>
          <w:szCs w:val="22"/>
          <w:lang w:val="fr-FR"/>
        </w:rPr>
        <w:t>’</w:t>
      </w:r>
      <w:r w:rsidRPr="00B13BD6">
        <w:rPr>
          <w:rStyle w:val="ONUMEChar"/>
          <w:szCs w:val="22"/>
          <w:lang w:val="fr-FR"/>
        </w:rPr>
        <w:t>Internet (DNS), ainsi que de certains faits de politique générale, en particulier les mécanismes de protection des droits pour l</w:t>
      </w:r>
      <w:r w:rsidR="001B0195">
        <w:rPr>
          <w:rStyle w:val="ONUMEChar"/>
          <w:szCs w:val="22"/>
          <w:lang w:val="fr-FR"/>
        </w:rPr>
        <w:t>’</w:t>
      </w:r>
      <w:r w:rsidRPr="00B13BD6">
        <w:rPr>
          <w:rStyle w:val="ONUMEChar"/>
          <w:szCs w:val="22"/>
          <w:lang w:val="fr-FR"/>
        </w:rPr>
        <w:t>introduction de nouveaux domaines génériques de premier niveau (gTLD), l</w:t>
      </w:r>
      <w:r w:rsidR="001B0195">
        <w:rPr>
          <w:rStyle w:val="ONUMEChar"/>
          <w:szCs w:val="22"/>
          <w:lang w:val="fr-FR"/>
        </w:rPr>
        <w:t>’</w:t>
      </w:r>
      <w:r w:rsidRPr="00B13BD6">
        <w:rPr>
          <w:rStyle w:val="ONUMEChar"/>
          <w:szCs w:val="22"/>
          <w:lang w:val="fr-FR"/>
        </w:rPr>
        <w:t>émergence des noms de domaine internationalisés dans les gTLD, la future révision par l</w:t>
      </w:r>
      <w:r w:rsidR="001B0195">
        <w:rPr>
          <w:rStyle w:val="ONUMEChar"/>
          <w:szCs w:val="22"/>
          <w:lang w:val="fr-FR"/>
        </w:rPr>
        <w:t>’</w:t>
      </w:r>
      <w:r w:rsidRPr="00B13BD6">
        <w:rPr>
          <w:rStyle w:val="ONUMEChar"/>
          <w:szCs w:val="22"/>
          <w:lang w:val="fr-FR"/>
        </w:rPr>
        <w:t xml:space="preserve">Internet Corporation for </w:t>
      </w:r>
      <w:proofErr w:type="spellStart"/>
      <w:r w:rsidRPr="00B13BD6">
        <w:rPr>
          <w:rStyle w:val="ONUMEChar"/>
          <w:szCs w:val="22"/>
          <w:lang w:val="fr-FR"/>
        </w:rPr>
        <w:t>Assigned</w:t>
      </w:r>
      <w:proofErr w:type="spellEnd"/>
      <w:r w:rsidRPr="00B13BD6">
        <w:rPr>
          <w:rStyle w:val="ONUMEChar"/>
          <w:szCs w:val="22"/>
          <w:lang w:val="fr-FR"/>
        </w:rPr>
        <w:t xml:space="preserve"> </w:t>
      </w:r>
      <w:proofErr w:type="spellStart"/>
      <w:r w:rsidRPr="00B13BD6">
        <w:rPr>
          <w:rStyle w:val="ONUMEChar"/>
          <w:szCs w:val="22"/>
          <w:lang w:val="fr-FR"/>
        </w:rPr>
        <w:t>Names</w:t>
      </w:r>
      <w:proofErr w:type="spellEnd"/>
      <w:r w:rsidRPr="00B13BD6">
        <w:rPr>
          <w:rStyle w:val="ONUMEChar"/>
          <w:szCs w:val="22"/>
          <w:lang w:val="fr-FR"/>
        </w:rPr>
        <w:t xml:space="preserve"> and </w:t>
      </w:r>
      <w:proofErr w:type="spellStart"/>
      <w:r w:rsidRPr="00B13BD6">
        <w:rPr>
          <w:rStyle w:val="ONUMEChar"/>
          <w:szCs w:val="22"/>
          <w:lang w:val="fr-FR"/>
        </w:rPr>
        <w:t>Numbers</w:t>
      </w:r>
      <w:proofErr w:type="spellEnd"/>
      <w:r w:rsidRPr="00B13BD6">
        <w:rPr>
          <w:rStyle w:val="ONUMEChar"/>
          <w:szCs w:val="22"/>
          <w:lang w:val="fr-FR"/>
        </w:rPr>
        <w:t xml:space="preserve"> (ICANN) des Principes directeurs concernant le règlement uniforme des litiges relatifs aux noms de domaine (principes UDRP) </w:t>
      </w:r>
      <w:r>
        <w:rPr>
          <w:rStyle w:val="ONUMEChar"/>
          <w:szCs w:val="22"/>
          <w:lang w:val="fr-FR"/>
        </w:rPr>
        <w:t xml:space="preserve">et les autres </w:t>
      </w:r>
      <w:r w:rsidRPr="00B13BD6">
        <w:rPr>
          <w:rStyle w:val="ONUMEChar"/>
          <w:szCs w:val="22"/>
          <w:lang w:val="fr-FR"/>
        </w:rPr>
        <w:t>mécanismes de protection des droits</w:t>
      </w:r>
      <w:r>
        <w:rPr>
          <w:rStyle w:val="ONUMEChar"/>
          <w:szCs w:val="22"/>
          <w:lang w:val="fr-FR"/>
        </w:rPr>
        <w:t>, ainsi que de</w:t>
      </w:r>
      <w:r w:rsidRPr="00B13BD6">
        <w:rPr>
          <w:rStyle w:val="ONUMEChar"/>
          <w:szCs w:val="22"/>
          <w:lang w:val="fr-FR"/>
        </w:rPr>
        <w:t xml:space="preserve"> la suite donnée aux recommandations faites par les États membres de l</w:t>
      </w:r>
      <w:r w:rsidR="001B0195">
        <w:rPr>
          <w:rStyle w:val="ONUMEChar"/>
          <w:szCs w:val="22"/>
          <w:lang w:val="fr-FR"/>
        </w:rPr>
        <w:t>’</w:t>
      </w:r>
      <w:r w:rsidRPr="00B13BD6">
        <w:rPr>
          <w:rStyle w:val="ONUMEChar"/>
          <w:szCs w:val="22"/>
          <w:lang w:val="fr-FR"/>
        </w:rPr>
        <w:t>OMPI dans le contexte du deuxième processus de consultations de l</w:t>
      </w:r>
      <w:r w:rsidR="001B0195">
        <w:rPr>
          <w:rStyle w:val="ONUMEChar"/>
          <w:szCs w:val="22"/>
          <w:lang w:val="fr-FR"/>
        </w:rPr>
        <w:t>’</w:t>
      </w:r>
      <w:r w:rsidRPr="00B13BD6">
        <w:rPr>
          <w:rStyle w:val="ONUMEChar"/>
          <w:szCs w:val="22"/>
          <w:lang w:val="fr-FR"/>
        </w:rPr>
        <w:t>OMPI sur les noms de domaine de l</w:t>
      </w:r>
      <w:r w:rsidR="001B0195">
        <w:rPr>
          <w:rStyle w:val="ONUMEChar"/>
          <w:szCs w:val="22"/>
          <w:lang w:val="fr-FR"/>
        </w:rPr>
        <w:t>’</w:t>
      </w:r>
      <w:r w:rsidRPr="00B13BD6">
        <w:rPr>
          <w:rStyle w:val="ONUMEChar"/>
          <w:szCs w:val="22"/>
          <w:lang w:val="fr-FR"/>
        </w:rPr>
        <w:t>Internet.</w:t>
      </w:r>
    </w:p>
    <w:p w:rsidR="00612F56" w:rsidRPr="00345811" w:rsidRDefault="008700E1" w:rsidP="00345811">
      <w:pPr>
        <w:pStyle w:val="Heading1"/>
      </w:pPr>
      <w:r w:rsidRPr="00345811">
        <w:lastRenderedPageBreak/>
        <w:t>Arbitrage et médiation des litiges de propriété intellectuelle</w:t>
      </w:r>
    </w:p>
    <w:p w:rsidR="00612F56" w:rsidRPr="00265EA1" w:rsidRDefault="00F54C9F" w:rsidP="00B36AF7">
      <w:pPr>
        <w:pStyle w:val="Heading2"/>
        <w:rPr>
          <w:lang w:val="fr-FR"/>
        </w:rPr>
      </w:pPr>
      <w:r w:rsidRPr="00265EA1">
        <w:rPr>
          <w:lang w:val="fr-FR"/>
        </w:rPr>
        <w:t>A.</w:t>
      </w:r>
      <w:r w:rsidRPr="00265EA1">
        <w:rPr>
          <w:lang w:val="fr-FR"/>
        </w:rPr>
        <w:tab/>
      </w:r>
      <w:r w:rsidR="008700E1">
        <w:rPr>
          <w:lang w:val="fr-FR"/>
        </w:rPr>
        <w:t>A</w:t>
      </w:r>
      <w:r w:rsidR="008700E1" w:rsidRPr="008700E1">
        <w:rPr>
          <w:lang w:val="fr-CH"/>
        </w:rPr>
        <w:t>dministration des procédures d’arbitrage et de médiation</w:t>
      </w:r>
    </w:p>
    <w:p w:rsidR="00612F56" w:rsidRPr="00265EA1" w:rsidRDefault="00612F56" w:rsidP="00B36AF7">
      <w:pPr>
        <w:jc w:val="both"/>
        <w:rPr>
          <w:snapToGrid w:val="0"/>
          <w:sz w:val="20"/>
          <w:lang w:val="fr-FR"/>
        </w:rPr>
      </w:pPr>
    </w:p>
    <w:p w:rsidR="00612F56" w:rsidRPr="008700E1" w:rsidRDefault="00F54C9F" w:rsidP="00B36AF7">
      <w:pPr>
        <w:pStyle w:val="ONUMFS"/>
        <w:rPr>
          <w:szCs w:val="22"/>
          <w:lang w:val="fr-FR"/>
        </w:rPr>
      </w:pPr>
      <w:r w:rsidRPr="00F54C9F">
        <w:rPr>
          <w:lang w:val="fr-FR"/>
        </w:rPr>
        <w:t>Les procédures d</w:t>
      </w:r>
      <w:r w:rsidR="001B0195">
        <w:rPr>
          <w:lang w:val="fr-FR"/>
        </w:rPr>
        <w:t>’</w:t>
      </w:r>
      <w:r w:rsidRPr="00F54C9F">
        <w:rPr>
          <w:lang w:val="fr-FR"/>
        </w:rPr>
        <w:t>arbitrage et de médiation proposées par le Centre visent à répondre aux besoins des parties en matière de rapidité et de rentabilité dans le règlement des litiges relatifs aux droits de propriété intellectuel</w:t>
      </w:r>
      <w:r w:rsidR="00FE15D5" w:rsidRPr="00F54C9F">
        <w:rPr>
          <w:lang w:val="fr-FR"/>
        </w:rPr>
        <w:t>le</w:t>
      </w:r>
      <w:r w:rsidR="00FE15D5">
        <w:rPr>
          <w:lang w:val="fr-FR"/>
        </w:rPr>
        <w:t xml:space="preserve">.  </w:t>
      </w:r>
      <w:r w:rsidR="00FE15D5" w:rsidRPr="00F54C9F">
        <w:rPr>
          <w:lang w:val="fr-FR"/>
        </w:rPr>
        <w:t>Le</w:t>
      </w:r>
      <w:r w:rsidRPr="00F54C9F">
        <w:rPr>
          <w:lang w:val="fr-FR"/>
        </w:rPr>
        <w:t xml:space="preserve"> Centre est chargé de l</w:t>
      </w:r>
      <w:r w:rsidR="001B0195">
        <w:rPr>
          <w:lang w:val="fr-FR"/>
        </w:rPr>
        <w:t>’</w:t>
      </w:r>
      <w:r w:rsidRPr="00F54C9F">
        <w:rPr>
          <w:lang w:val="fr-FR"/>
        </w:rPr>
        <w:t>administration et du règlement des litiges instruits dans le cadre de ces procédures, ce qui passe par la formation</w:t>
      </w:r>
      <w:r w:rsidR="00612F56" w:rsidRPr="00265EA1">
        <w:rPr>
          <w:rStyle w:val="FootnoteReference"/>
          <w:lang w:val="fr-FR"/>
        </w:rPr>
        <w:footnoteReference w:id="3"/>
      </w:r>
      <w:r>
        <w:rPr>
          <w:lang w:val="fr-FR"/>
        </w:rPr>
        <w:t>,</w:t>
      </w:r>
      <w:r w:rsidR="00612F56" w:rsidRPr="00265EA1">
        <w:rPr>
          <w:lang w:val="fr-FR"/>
        </w:rPr>
        <w:t xml:space="preserve"> </w:t>
      </w:r>
      <w:r w:rsidRPr="00F54C9F">
        <w:rPr>
          <w:lang w:val="fr-FR"/>
        </w:rPr>
        <w:t>la désignation d</w:t>
      </w:r>
      <w:r w:rsidR="001B0195">
        <w:rPr>
          <w:lang w:val="fr-FR"/>
        </w:rPr>
        <w:t>’</w:t>
      </w:r>
      <w:r w:rsidRPr="00F54C9F">
        <w:rPr>
          <w:lang w:val="fr-FR"/>
        </w:rPr>
        <w:t>arbitres et de médiateurs qualifiés et le maintien d</w:t>
      </w:r>
      <w:r w:rsidR="001B0195">
        <w:rPr>
          <w:lang w:val="fr-FR"/>
        </w:rPr>
        <w:t>’</w:t>
      </w:r>
      <w:r w:rsidRPr="00F54C9F">
        <w:rPr>
          <w:lang w:val="fr-FR"/>
        </w:rPr>
        <w:t>une infrastructure moderne d</w:t>
      </w:r>
      <w:r w:rsidR="001B0195">
        <w:rPr>
          <w:lang w:val="fr-FR"/>
        </w:rPr>
        <w:t>’</w:t>
      </w:r>
      <w:r w:rsidRPr="00F54C9F">
        <w:rPr>
          <w:lang w:val="fr-FR"/>
        </w:rPr>
        <w:t>administration des litiges, grâce notamment à des solutions informatiques telles que le système OMPI de gestion électronique des litiges (ECAF)</w:t>
      </w:r>
      <w:r w:rsidR="00612F56" w:rsidRPr="00265EA1">
        <w:rPr>
          <w:rStyle w:val="FootnoteReference"/>
          <w:lang w:val="fr-FR"/>
        </w:rPr>
        <w:footnoteReference w:id="4"/>
      </w:r>
      <w:r>
        <w:rPr>
          <w:lang w:val="fr-FR"/>
        </w:rPr>
        <w:t>.</w:t>
      </w:r>
      <w:r w:rsidR="00661DB4" w:rsidRPr="00265EA1">
        <w:rPr>
          <w:lang w:val="fr-FR"/>
        </w:rPr>
        <w:t xml:space="preserve">  </w:t>
      </w:r>
      <w:r w:rsidRPr="00F54C9F">
        <w:rPr>
          <w:lang w:val="fr-FR"/>
        </w:rPr>
        <w:t>Les litiges administrés par l</w:t>
      </w:r>
      <w:r w:rsidR="001B0195">
        <w:rPr>
          <w:lang w:val="fr-FR"/>
        </w:rPr>
        <w:t>’</w:t>
      </w:r>
      <w:r w:rsidRPr="00F54C9F">
        <w:rPr>
          <w:lang w:val="fr-FR"/>
        </w:rPr>
        <w:t>OMPI pendant l</w:t>
      </w:r>
      <w:r w:rsidR="001B0195">
        <w:rPr>
          <w:lang w:val="fr-FR"/>
        </w:rPr>
        <w:t>’</w:t>
      </w:r>
      <w:r w:rsidRPr="00F54C9F">
        <w:rPr>
          <w:lang w:val="fr-FR"/>
        </w:rPr>
        <w:t xml:space="preserve">année écoulée ont notamment porté sur des brevets, des marques, </w:t>
      </w:r>
      <w:r>
        <w:rPr>
          <w:lang w:val="fr-FR"/>
        </w:rPr>
        <w:t>le droit d</w:t>
      </w:r>
      <w:r w:rsidR="001B0195">
        <w:rPr>
          <w:lang w:val="fr-FR"/>
        </w:rPr>
        <w:t>’</w:t>
      </w:r>
      <w:r>
        <w:rPr>
          <w:lang w:val="fr-FR"/>
        </w:rPr>
        <w:t>auteur</w:t>
      </w:r>
      <w:r w:rsidR="00964123" w:rsidRPr="00265EA1">
        <w:rPr>
          <w:lang w:val="fr-FR"/>
        </w:rPr>
        <w:t xml:space="preserve"> (</w:t>
      </w:r>
      <w:r w:rsidR="001B0195">
        <w:rPr>
          <w:lang w:val="fr-FR"/>
        </w:rPr>
        <w:t>y compris</w:t>
      </w:r>
      <w:r>
        <w:rPr>
          <w:lang w:val="fr-FR"/>
        </w:rPr>
        <w:t xml:space="preserve"> des sociétés de perception</w:t>
      </w:r>
      <w:r w:rsidR="00964123" w:rsidRPr="00265EA1">
        <w:rPr>
          <w:lang w:val="fr-FR"/>
        </w:rPr>
        <w:t>)</w:t>
      </w:r>
      <w:r w:rsidR="00661DB4" w:rsidRPr="00265EA1">
        <w:rPr>
          <w:lang w:val="fr-FR"/>
        </w:rPr>
        <w:t>,</w:t>
      </w:r>
      <w:r w:rsidR="001B0195" w:rsidRPr="001B0195">
        <w:rPr>
          <w:lang w:val="fr-FR"/>
        </w:rPr>
        <w:t xml:space="preserve"> les TIC</w:t>
      </w:r>
      <w:r w:rsidR="00612F56" w:rsidRPr="00265EA1">
        <w:rPr>
          <w:lang w:val="fr-FR"/>
        </w:rPr>
        <w:t xml:space="preserve">, </w:t>
      </w:r>
      <w:r>
        <w:rPr>
          <w:lang w:val="fr-FR"/>
        </w:rPr>
        <w:t>la recherche</w:t>
      </w:r>
      <w:r w:rsidR="001B0195">
        <w:rPr>
          <w:lang w:val="fr-FR"/>
        </w:rPr>
        <w:t>-</w:t>
      </w:r>
      <w:r>
        <w:rPr>
          <w:lang w:val="fr-FR"/>
        </w:rPr>
        <w:t>développement (R</w:t>
      </w:r>
      <w:r w:rsidR="001B0195">
        <w:rPr>
          <w:lang w:val="fr-FR"/>
        </w:rPr>
        <w:t>-</w:t>
      </w:r>
      <w:r>
        <w:rPr>
          <w:lang w:val="fr-FR"/>
        </w:rPr>
        <w:t>D)</w:t>
      </w:r>
      <w:r w:rsidR="00612F56" w:rsidRPr="00265EA1">
        <w:rPr>
          <w:lang w:val="fr-FR"/>
        </w:rPr>
        <w:t>,</w:t>
      </w:r>
      <w:r w:rsidR="00C905F4" w:rsidRPr="00265EA1">
        <w:rPr>
          <w:lang w:val="fr-FR"/>
        </w:rPr>
        <w:t xml:space="preserve"> </w:t>
      </w:r>
      <w:r>
        <w:rPr>
          <w:lang w:val="fr-FR"/>
        </w:rPr>
        <w:t>les sciences de la vie</w:t>
      </w:r>
      <w:r w:rsidR="00C905F4" w:rsidRPr="00265EA1">
        <w:rPr>
          <w:lang w:val="fr-FR"/>
        </w:rPr>
        <w:t>,</w:t>
      </w:r>
      <w:r w:rsidR="00612F56" w:rsidRPr="00265EA1">
        <w:rPr>
          <w:lang w:val="fr-FR"/>
        </w:rPr>
        <w:t xml:space="preserve"> </w:t>
      </w:r>
      <w:r>
        <w:rPr>
          <w:lang w:val="fr-FR"/>
        </w:rPr>
        <w:t>les films et les médias</w:t>
      </w:r>
      <w:r w:rsidR="00964123" w:rsidRPr="00265EA1">
        <w:rPr>
          <w:lang w:val="fr-FR"/>
        </w:rPr>
        <w:t xml:space="preserve"> (</w:t>
      </w:r>
      <w:r w:rsidR="001B0195">
        <w:rPr>
          <w:lang w:val="fr-FR"/>
        </w:rPr>
        <w:t>y compris</w:t>
      </w:r>
      <w:r>
        <w:rPr>
          <w:lang w:val="fr-FR"/>
        </w:rPr>
        <w:t xml:space="preserve"> des litiges concernant le format de télévision)</w:t>
      </w:r>
      <w:r w:rsidR="00661DB4" w:rsidRPr="00265EA1">
        <w:rPr>
          <w:lang w:val="fr-FR"/>
        </w:rPr>
        <w:t xml:space="preserve">, </w:t>
      </w:r>
      <w:r w:rsidR="00CB74B2">
        <w:rPr>
          <w:lang w:val="fr-FR"/>
        </w:rPr>
        <w:t>la</w:t>
      </w:r>
      <w:r w:rsidR="00661DB4" w:rsidRPr="00265EA1">
        <w:rPr>
          <w:lang w:val="fr-FR"/>
        </w:rPr>
        <w:t xml:space="preserve"> distribution </w:t>
      </w:r>
      <w:r w:rsidR="00CB74B2">
        <w:rPr>
          <w:lang w:val="fr-FR"/>
        </w:rPr>
        <w:t>et d</w:t>
      </w:r>
      <w:r w:rsidRPr="00F54C9F">
        <w:rPr>
          <w:lang w:val="fr-FR"/>
        </w:rPr>
        <w:t>es accords de franchise, et ont été soumis au Centre par les parties sur la base de clauses contractuelles</w:t>
      </w:r>
      <w:r w:rsidR="00BB48A1" w:rsidRPr="00BB48A1">
        <w:rPr>
          <w:lang w:val="fr-FR"/>
        </w:rPr>
        <w:t xml:space="preserve"> </w:t>
      </w:r>
      <w:r w:rsidR="00BB48A1" w:rsidRPr="00F54C9F">
        <w:rPr>
          <w:lang w:val="fr-FR"/>
        </w:rPr>
        <w:t>préalables</w:t>
      </w:r>
      <w:r>
        <w:rPr>
          <w:lang w:val="fr-FR"/>
        </w:rPr>
        <w:t>,</w:t>
      </w:r>
      <w:r w:rsidRPr="00F54C9F">
        <w:rPr>
          <w:lang w:val="fr-FR"/>
        </w:rPr>
        <w:t xml:space="preserve"> de conventions ad hoc </w:t>
      </w:r>
      <w:r w:rsidR="00964123" w:rsidRPr="00265EA1">
        <w:rPr>
          <w:lang w:val="fr-FR"/>
        </w:rPr>
        <w:t>(</w:t>
      </w:r>
      <w:r w:rsidR="001B0195">
        <w:rPr>
          <w:lang w:val="fr-FR"/>
        </w:rPr>
        <w:t>y compris</w:t>
      </w:r>
      <w:r w:rsidR="00CB74B2">
        <w:rPr>
          <w:lang w:val="fr-FR"/>
        </w:rPr>
        <w:t xml:space="preserve"> de renvois devant les tribunaux), et également sur la base d</w:t>
      </w:r>
      <w:r w:rsidR="001B0195">
        <w:rPr>
          <w:lang w:val="fr-FR"/>
        </w:rPr>
        <w:t>’</w:t>
      </w:r>
      <w:r w:rsidR="00CB74B2">
        <w:rPr>
          <w:lang w:val="fr-FR"/>
        </w:rPr>
        <w:t>une demande unilatérale en vertu de l</w:t>
      </w:r>
      <w:r w:rsidR="001B0195">
        <w:rPr>
          <w:lang w:val="fr-FR"/>
        </w:rPr>
        <w:t>’article 4</w:t>
      </w:r>
      <w:r w:rsidR="00CB74B2">
        <w:rPr>
          <w:lang w:val="fr-FR"/>
        </w:rPr>
        <w:t xml:space="preserve"> du Règlement de médiation de l</w:t>
      </w:r>
      <w:r w:rsidR="001B0195">
        <w:rPr>
          <w:lang w:val="fr-FR"/>
        </w:rPr>
        <w:t>’</w:t>
      </w:r>
      <w:r w:rsidR="00CB74B2">
        <w:rPr>
          <w:lang w:val="fr-FR"/>
        </w:rPr>
        <w:t>O</w:t>
      </w:r>
      <w:r w:rsidR="00FE15D5">
        <w:rPr>
          <w:lang w:val="fr-FR"/>
        </w:rPr>
        <w:t xml:space="preserve">MPI.  </w:t>
      </w:r>
      <w:r w:rsidR="00FE15D5" w:rsidRPr="00F54C9F">
        <w:rPr>
          <w:lang w:val="fr-FR"/>
        </w:rPr>
        <w:t>Pl</w:t>
      </w:r>
      <w:r w:rsidRPr="00F54C9F">
        <w:rPr>
          <w:lang w:val="fr-FR"/>
        </w:rPr>
        <w:t>us de la moitié des parties concernées sont des utilisateurs des services du PCT et du système de Madrid de l</w:t>
      </w:r>
      <w:r w:rsidR="001B0195">
        <w:rPr>
          <w:lang w:val="fr-FR"/>
        </w:rPr>
        <w:t>’</w:t>
      </w:r>
      <w:r w:rsidRPr="00F54C9F">
        <w:rPr>
          <w:lang w:val="fr-FR"/>
        </w:rPr>
        <w:t>O</w:t>
      </w:r>
      <w:r w:rsidR="00FE15D5" w:rsidRPr="00F54C9F">
        <w:rPr>
          <w:lang w:val="fr-FR"/>
        </w:rPr>
        <w:t>MPI</w:t>
      </w:r>
      <w:r w:rsidR="00FE15D5">
        <w:rPr>
          <w:lang w:val="fr-FR"/>
        </w:rPr>
        <w:t xml:space="preserve">.  </w:t>
      </w:r>
      <w:r w:rsidR="00FE15D5" w:rsidRPr="00F54C9F">
        <w:rPr>
          <w:lang w:val="fr-FR"/>
        </w:rPr>
        <w:t>Qu</w:t>
      </w:r>
      <w:r w:rsidRPr="00F54C9F">
        <w:rPr>
          <w:lang w:val="fr-FR"/>
        </w:rPr>
        <w:t>elque 70% des médiations de l</w:t>
      </w:r>
      <w:r w:rsidR="001B0195">
        <w:rPr>
          <w:lang w:val="fr-FR"/>
        </w:rPr>
        <w:t>’</w:t>
      </w:r>
      <w:r w:rsidRPr="00F54C9F">
        <w:rPr>
          <w:lang w:val="fr-FR"/>
        </w:rPr>
        <w:t>OMPI aboutissent et avec un taux de réussite de 40%, même la soumission d</w:t>
      </w:r>
      <w:r w:rsidR="001B0195">
        <w:rPr>
          <w:lang w:val="fr-FR"/>
        </w:rPr>
        <w:t>’</w:t>
      </w:r>
      <w:r w:rsidRPr="00F54C9F">
        <w:rPr>
          <w:lang w:val="fr-FR"/>
        </w:rPr>
        <w:t>un litige à la médiation de l</w:t>
      </w:r>
      <w:r w:rsidR="001B0195">
        <w:rPr>
          <w:lang w:val="fr-FR"/>
        </w:rPr>
        <w:t>’</w:t>
      </w:r>
      <w:r w:rsidRPr="00F54C9F">
        <w:rPr>
          <w:lang w:val="fr-FR"/>
        </w:rPr>
        <w:t>OMPI peut favoriser un accord entre les parties.</w:t>
      </w:r>
    </w:p>
    <w:p w:rsidR="001828EE" w:rsidRPr="001828EE" w:rsidRDefault="003A2A92" w:rsidP="001828EE">
      <w:pPr>
        <w:pStyle w:val="ONUMFS"/>
        <w:rPr>
          <w:szCs w:val="22"/>
          <w:lang w:val="fr-FR"/>
        </w:rPr>
      </w:pPr>
      <w:r>
        <w:rPr>
          <w:lang w:val="fr-FR"/>
        </w:rPr>
        <w:t>Le Centre a récemment pris plusieurs mesures visant à faciliter encore l</w:t>
      </w:r>
      <w:r w:rsidR="001B0195">
        <w:rPr>
          <w:lang w:val="fr-FR"/>
        </w:rPr>
        <w:t>’</w:t>
      </w:r>
      <w:r>
        <w:rPr>
          <w:lang w:val="fr-FR"/>
        </w:rPr>
        <w:t>accès des utilisateurs potentiels du règlement extrajudiciaire des litiges de l</w:t>
      </w:r>
      <w:r w:rsidR="001B0195">
        <w:rPr>
          <w:lang w:val="fr-FR"/>
        </w:rPr>
        <w:t>’</w:t>
      </w:r>
      <w:r>
        <w:rPr>
          <w:lang w:val="fr-FR"/>
        </w:rPr>
        <w:t>O</w:t>
      </w:r>
      <w:r w:rsidR="00FE15D5">
        <w:rPr>
          <w:lang w:val="fr-FR"/>
        </w:rPr>
        <w:t>MPI.  On</w:t>
      </w:r>
      <w:r>
        <w:rPr>
          <w:lang w:val="fr-FR"/>
        </w:rPr>
        <w:t xml:space="preserve"> peut notamment citer la publication d</w:t>
      </w:r>
      <w:r w:rsidR="001B0195">
        <w:rPr>
          <w:lang w:val="fr-FR"/>
        </w:rPr>
        <w:t>’</w:t>
      </w:r>
      <w:r>
        <w:rPr>
          <w:lang w:val="fr-FR"/>
        </w:rPr>
        <w:t>un commentaire</w:t>
      </w:r>
      <w:r w:rsidR="00BB48A1">
        <w:rPr>
          <w:lang w:val="fr-FR"/>
        </w:rPr>
        <w:t xml:space="preserve"> sur chacun des articles</w:t>
      </w:r>
      <w:r>
        <w:rPr>
          <w:lang w:val="fr-FR"/>
        </w:rPr>
        <w:t xml:space="preserve"> du Règlement d</w:t>
      </w:r>
      <w:r w:rsidR="001B0195">
        <w:rPr>
          <w:lang w:val="fr-FR"/>
        </w:rPr>
        <w:t>’</w:t>
      </w:r>
      <w:r>
        <w:rPr>
          <w:lang w:val="fr-FR"/>
        </w:rPr>
        <w:t>arbitrage de l</w:t>
      </w:r>
      <w:r w:rsidR="001B0195">
        <w:rPr>
          <w:lang w:val="fr-FR"/>
        </w:rPr>
        <w:t>’</w:t>
      </w:r>
      <w:r>
        <w:rPr>
          <w:lang w:val="fr-FR"/>
        </w:rPr>
        <w:t xml:space="preserve">OMPI, </w:t>
      </w:r>
      <w:r w:rsidR="00BB48A1">
        <w:rPr>
          <w:lang w:val="fr-FR"/>
        </w:rPr>
        <w:t>ainsi qu</w:t>
      </w:r>
      <w:r w:rsidR="001B0195">
        <w:rPr>
          <w:lang w:val="fr-FR"/>
        </w:rPr>
        <w:t>’</w:t>
      </w:r>
      <w:r w:rsidR="00BB48A1">
        <w:rPr>
          <w:lang w:val="fr-FR"/>
        </w:rPr>
        <w:t>un générateur de clauses en ligne qui a été mis à jour et qui permet aux parties de rédiger des clauses essentielles et des conventions ad</w:t>
      </w:r>
      <w:r w:rsidR="005C03F2">
        <w:rPr>
          <w:lang w:val="fr-FR"/>
        </w:rPr>
        <w:t> </w:t>
      </w:r>
      <w:r w:rsidR="00BB48A1">
        <w:rPr>
          <w:lang w:val="fr-FR"/>
        </w:rPr>
        <w:t>hoc</w:t>
      </w:r>
      <w:r w:rsidR="00D40611" w:rsidRPr="00265EA1">
        <w:rPr>
          <w:szCs w:val="22"/>
          <w:lang w:val="fr-FR"/>
        </w:rPr>
        <w:t xml:space="preserve">, </w:t>
      </w:r>
      <w:r w:rsidR="00A37AC3">
        <w:rPr>
          <w:szCs w:val="22"/>
          <w:lang w:val="fr-FR"/>
        </w:rPr>
        <w:t>avec la possibilité de sélectionner d</w:t>
      </w:r>
      <w:r w:rsidR="001B0195">
        <w:rPr>
          <w:szCs w:val="22"/>
          <w:lang w:val="fr-FR"/>
        </w:rPr>
        <w:t>’</w:t>
      </w:r>
      <w:r w:rsidR="00A37AC3">
        <w:rPr>
          <w:szCs w:val="22"/>
          <w:lang w:val="fr-FR"/>
        </w:rPr>
        <w:t>autres dispositions pour répondre à des besoins particuliers</w:t>
      </w:r>
      <w:r w:rsidR="00D40611" w:rsidRPr="00265EA1">
        <w:rPr>
          <w:rStyle w:val="FootnoteReference"/>
          <w:szCs w:val="22"/>
          <w:lang w:val="fr-FR"/>
        </w:rPr>
        <w:footnoteReference w:id="5"/>
      </w:r>
      <w:r w:rsidR="00A37AC3">
        <w:rPr>
          <w:szCs w:val="22"/>
          <w:lang w:val="fr-FR"/>
        </w:rPr>
        <w:t>.</w:t>
      </w:r>
      <w:r w:rsidR="006638D9" w:rsidRPr="00265EA1">
        <w:rPr>
          <w:szCs w:val="22"/>
          <w:lang w:val="fr-FR"/>
        </w:rPr>
        <w:t xml:space="preserve">  </w:t>
      </w:r>
      <w:r w:rsidR="001F4736">
        <w:rPr>
          <w:szCs w:val="22"/>
          <w:lang w:val="fr-FR"/>
        </w:rPr>
        <w:t>Le Centre a également produit un calculateur de taxes en ligne qui permet aux parties actuelles et futures d</w:t>
      </w:r>
      <w:r w:rsidR="001B0195">
        <w:rPr>
          <w:szCs w:val="22"/>
          <w:lang w:val="fr-FR"/>
        </w:rPr>
        <w:t>’</w:t>
      </w:r>
      <w:r w:rsidR="001F4736">
        <w:rPr>
          <w:szCs w:val="22"/>
          <w:lang w:val="fr-FR"/>
        </w:rPr>
        <w:t xml:space="preserve">obtenir une estimation du montant des taxes et des coûts </w:t>
      </w:r>
      <w:r w:rsidR="001F3942">
        <w:rPr>
          <w:szCs w:val="22"/>
          <w:lang w:val="fr-FR"/>
        </w:rPr>
        <w:t xml:space="preserve">des </w:t>
      </w:r>
      <w:r w:rsidR="001F4736">
        <w:rPr>
          <w:szCs w:val="22"/>
          <w:lang w:val="fr-FR"/>
        </w:rPr>
        <w:t>procédures d</w:t>
      </w:r>
      <w:r w:rsidR="001B0195">
        <w:rPr>
          <w:szCs w:val="22"/>
          <w:lang w:val="fr-FR"/>
        </w:rPr>
        <w:t>’</w:t>
      </w:r>
      <w:r w:rsidR="001F4736">
        <w:rPr>
          <w:szCs w:val="22"/>
          <w:lang w:val="fr-FR"/>
        </w:rPr>
        <w:t xml:space="preserve">arbitrage, </w:t>
      </w:r>
      <w:r w:rsidR="001F3942">
        <w:rPr>
          <w:szCs w:val="22"/>
          <w:lang w:val="fr-FR"/>
        </w:rPr>
        <w:t xml:space="preserve">de médiation, </w:t>
      </w:r>
      <w:r w:rsidR="001F4736">
        <w:rPr>
          <w:szCs w:val="22"/>
          <w:lang w:val="fr-FR"/>
        </w:rPr>
        <w:t>d</w:t>
      </w:r>
      <w:r w:rsidR="001B0195">
        <w:rPr>
          <w:szCs w:val="22"/>
          <w:lang w:val="fr-FR"/>
        </w:rPr>
        <w:t>’</w:t>
      </w:r>
      <w:r w:rsidR="001F4736">
        <w:rPr>
          <w:szCs w:val="22"/>
          <w:lang w:val="fr-FR"/>
        </w:rPr>
        <w:t>arbitrage accéléré ou d</w:t>
      </w:r>
      <w:r w:rsidR="001B0195">
        <w:rPr>
          <w:szCs w:val="22"/>
          <w:lang w:val="fr-FR"/>
        </w:rPr>
        <w:t>’</w:t>
      </w:r>
      <w:r w:rsidR="001F3942">
        <w:rPr>
          <w:szCs w:val="22"/>
          <w:lang w:val="fr-FR"/>
        </w:rPr>
        <w:t>expertise relatives aux litiges dont le Centre est saisi</w:t>
      </w:r>
      <w:r w:rsidR="0071160B" w:rsidRPr="00265EA1">
        <w:rPr>
          <w:rStyle w:val="FootnoteReference"/>
          <w:szCs w:val="22"/>
          <w:lang w:val="fr-FR"/>
        </w:rPr>
        <w:footnoteReference w:id="6"/>
      </w:r>
      <w:r w:rsidR="001F3942">
        <w:rPr>
          <w:szCs w:val="22"/>
          <w:lang w:val="fr-FR"/>
        </w:rPr>
        <w:t>.</w:t>
      </w:r>
      <w:r w:rsidR="006638D9" w:rsidRPr="00265EA1">
        <w:rPr>
          <w:szCs w:val="22"/>
          <w:lang w:val="fr-FR"/>
        </w:rPr>
        <w:t xml:space="preserve">  </w:t>
      </w:r>
      <w:r w:rsidR="001F3942" w:rsidRPr="001F3942">
        <w:rPr>
          <w:szCs w:val="22"/>
          <w:lang w:val="fr-FR"/>
        </w:rPr>
        <w:t xml:space="preserve">Dans une enquête organisée </w:t>
      </w:r>
      <w:r w:rsidR="001B0195">
        <w:rPr>
          <w:szCs w:val="22"/>
          <w:lang w:val="fr-FR"/>
        </w:rPr>
        <w:t>en 2016</w:t>
      </w:r>
      <w:r w:rsidR="001F3942">
        <w:rPr>
          <w:szCs w:val="22"/>
          <w:lang w:val="fr-FR"/>
        </w:rPr>
        <w:t xml:space="preserve"> </w:t>
      </w:r>
      <w:r w:rsidR="001F3942" w:rsidRPr="001F3942">
        <w:rPr>
          <w:szCs w:val="22"/>
          <w:lang w:val="fr-FR"/>
        </w:rPr>
        <w:t>par la faculté d</w:t>
      </w:r>
      <w:r w:rsidR="001B0195">
        <w:rPr>
          <w:szCs w:val="22"/>
          <w:lang w:val="fr-FR"/>
        </w:rPr>
        <w:t>’</w:t>
      </w:r>
      <w:r w:rsidR="001F3942" w:rsidRPr="001F3942">
        <w:rPr>
          <w:szCs w:val="22"/>
          <w:lang w:val="fr-FR"/>
        </w:rPr>
        <w:t>arbitrage international de l</w:t>
      </w:r>
      <w:r w:rsidR="001B0195">
        <w:rPr>
          <w:szCs w:val="22"/>
          <w:lang w:val="fr-FR"/>
        </w:rPr>
        <w:t>’</w:t>
      </w:r>
      <w:r w:rsidR="001F3942" w:rsidRPr="001F3942">
        <w:rPr>
          <w:szCs w:val="22"/>
          <w:lang w:val="fr-FR"/>
        </w:rPr>
        <w:t xml:space="preserve">Université </w:t>
      </w:r>
      <w:proofErr w:type="spellStart"/>
      <w:r w:rsidR="001F3942" w:rsidRPr="001F3942">
        <w:rPr>
          <w:szCs w:val="22"/>
          <w:lang w:val="fr-FR"/>
        </w:rPr>
        <w:t>Queen</w:t>
      </w:r>
      <w:proofErr w:type="spellEnd"/>
      <w:r w:rsidR="001F3942" w:rsidRPr="001F3942">
        <w:rPr>
          <w:szCs w:val="22"/>
          <w:lang w:val="fr-FR"/>
        </w:rPr>
        <w:t xml:space="preserve"> Mary de Londres concernant le recours à l</w:t>
      </w:r>
      <w:r w:rsidR="001B0195">
        <w:rPr>
          <w:szCs w:val="22"/>
          <w:lang w:val="fr-FR"/>
        </w:rPr>
        <w:t>’</w:t>
      </w:r>
      <w:r w:rsidR="001F3942" w:rsidRPr="001F3942">
        <w:rPr>
          <w:szCs w:val="22"/>
          <w:lang w:val="fr-FR"/>
        </w:rPr>
        <w:t xml:space="preserve">arbitrage dans les litiges dans le domaine des technologies, des médias et des télécommunications, </w:t>
      </w:r>
      <w:r w:rsidR="001F3942">
        <w:rPr>
          <w:szCs w:val="22"/>
          <w:lang w:val="fr-FR"/>
        </w:rPr>
        <w:t xml:space="preserve">les parties ayant une expérience dans le domaine des litiges relatifs à la propriété intellectuelle ont classé le Centre </w:t>
      </w:r>
      <w:r w:rsidR="00996ECC" w:rsidRPr="00265EA1">
        <w:rPr>
          <w:lang w:val="fr-FR"/>
        </w:rPr>
        <w:t xml:space="preserve">(55%) </w:t>
      </w:r>
      <w:r w:rsidR="001F3942">
        <w:rPr>
          <w:lang w:val="fr-FR"/>
        </w:rPr>
        <w:t>à la deuxième place du classement des institutions les plus utilisées, juste derrière la Cour d</w:t>
      </w:r>
      <w:r w:rsidR="001B0195">
        <w:rPr>
          <w:lang w:val="fr-FR"/>
        </w:rPr>
        <w:t>’</w:t>
      </w:r>
      <w:r w:rsidR="001F3942">
        <w:rPr>
          <w:lang w:val="fr-FR"/>
        </w:rPr>
        <w:t>arbitrage de</w:t>
      </w:r>
      <w:r w:rsidR="001B0195" w:rsidRPr="001B0195">
        <w:rPr>
          <w:lang w:val="fr-FR"/>
        </w:rPr>
        <w:t xml:space="preserve"> la CCI</w:t>
      </w:r>
      <w:r w:rsidR="00996ECC" w:rsidRPr="00265EA1">
        <w:rPr>
          <w:lang w:val="fr-FR"/>
        </w:rPr>
        <w:t xml:space="preserve"> (59%).</w:t>
      </w:r>
      <w:r w:rsidR="001F3942">
        <w:rPr>
          <w:lang w:val="fr-FR"/>
        </w:rPr>
        <w:t xml:space="preserve"> </w:t>
      </w:r>
      <w:r w:rsidR="00996ECC" w:rsidRPr="00265EA1">
        <w:rPr>
          <w:lang w:val="fr-FR"/>
        </w:rPr>
        <w:t xml:space="preserve"> </w:t>
      </w:r>
      <w:r w:rsidR="001F3942" w:rsidRPr="001F3942">
        <w:rPr>
          <w:lang w:val="fr-FR"/>
        </w:rPr>
        <w:t>Lorsque les personnes interrogées devaient indiquer leur préférence pour une institution, le Cent</w:t>
      </w:r>
      <w:r w:rsidR="001F3942">
        <w:rPr>
          <w:lang w:val="fr-FR"/>
        </w:rPr>
        <w:t>re arrivait à la première place</w:t>
      </w:r>
      <w:r w:rsidR="00661DB4" w:rsidRPr="00265EA1">
        <w:rPr>
          <w:rStyle w:val="FootnoteReference"/>
          <w:lang w:val="fr-FR"/>
        </w:rPr>
        <w:footnoteReference w:id="7"/>
      </w:r>
      <w:r w:rsidR="001F3942">
        <w:rPr>
          <w:lang w:val="fr-FR"/>
        </w:rPr>
        <w:t>.</w:t>
      </w:r>
      <w:r w:rsidR="008700E1">
        <w:rPr>
          <w:lang w:val="fr-FR"/>
        </w:rPr>
        <w:t xml:space="preserve"> </w:t>
      </w:r>
    </w:p>
    <w:p w:rsidR="00345811" w:rsidRDefault="00345811">
      <w:pPr>
        <w:rPr>
          <w:bCs/>
          <w:iCs/>
          <w:caps/>
          <w:szCs w:val="28"/>
          <w:lang w:val="fr-CH"/>
        </w:rPr>
      </w:pPr>
      <w:r>
        <w:rPr>
          <w:lang w:val="fr-CH"/>
        </w:rPr>
        <w:br w:type="page"/>
      </w:r>
    </w:p>
    <w:p w:rsidR="00612F56" w:rsidRDefault="00512E47" w:rsidP="00110383">
      <w:pPr>
        <w:pStyle w:val="Heading2"/>
        <w:ind w:left="567" w:hanging="567"/>
        <w:rPr>
          <w:lang w:val="fr-CH"/>
        </w:rPr>
      </w:pPr>
      <w:r w:rsidRPr="00B36AF7">
        <w:rPr>
          <w:lang w:val="fr-CH"/>
        </w:rPr>
        <w:lastRenderedPageBreak/>
        <w:t>B.</w:t>
      </w:r>
      <w:r w:rsidRPr="00B36AF7">
        <w:rPr>
          <w:lang w:val="fr-CH"/>
        </w:rPr>
        <w:tab/>
      </w:r>
      <w:r w:rsidR="008700E1" w:rsidRPr="00B36AF7">
        <w:rPr>
          <w:lang w:val="fr-CH"/>
        </w:rPr>
        <w:t>SERVICES DE RÈGLEMENT EXTRAJUDICIAIRE DES LITIGES DANS DES SECTEURS PARTICULIERS</w:t>
      </w:r>
    </w:p>
    <w:p w:rsidR="00612F56" w:rsidRPr="00345811" w:rsidRDefault="00512E47" w:rsidP="00345811">
      <w:pPr>
        <w:pStyle w:val="Heading3"/>
      </w:pPr>
      <w:r w:rsidRPr="00345811">
        <w:t>Collaboration avec les offices de propriété intellectuelle</w:t>
      </w:r>
    </w:p>
    <w:p w:rsidR="00612F56" w:rsidRPr="00265EA1" w:rsidRDefault="00612F56" w:rsidP="00B36AF7">
      <w:pPr>
        <w:rPr>
          <w:lang w:val="fr-FR"/>
        </w:rPr>
      </w:pPr>
    </w:p>
    <w:p w:rsidR="00612F56" w:rsidRPr="006D7EF4" w:rsidRDefault="00F07B27" w:rsidP="00195D72">
      <w:pPr>
        <w:pStyle w:val="ONUMFS"/>
        <w:rPr>
          <w:lang w:val="fr-FR"/>
        </w:rPr>
      </w:pPr>
      <w:r w:rsidRPr="006D7EF4">
        <w:rPr>
          <w:lang w:val="fr-FR"/>
        </w:rPr>
        <w:t>Outre ses services traditionnels, le Centre offre aux offices de propriété intellectuelle des services d</w:t>
      </w:r>
      <w:r w:rsidR="001B0195" w:rsidRPr="006D7EF4">
        <w:rPr>
          <w:lang w:val="fr-FR"/>
        </w:rPr>
        <w:t>’</w:t>
      </w:r>
      <w:r w:rsidRPr="006D7EF4">
        <w:rPr>
          <w:lang w:val="fr-FR"/>
        </w:rPr>
        <w:t>aide à l</w:t>
      </w:r>
      <w:r w:rsidR="001B0195" w:rsidRPr="006D7EF4">
        <w:rPr>
          <w:lang w:val="fr-FR"/>
        </w:rPr>
        <w:t>’</w:t>
      </w:r>
      <w:r w:rsidRPr="006D7EF4">
        <w:rPr>
          <w:lang w:val="fr-FR"/>
        </w:rPr>
        <w:t>établissement de leurs propres cadres facultatifs de règlement extrajudiciaire des litiges</w:t>
      </w:r>
      <w:r w:rsidR="00AD2D6F" w:rsidRPr="006D7EF4">
        <w:rPr>
          <w:lang w:val="fr-FR"/>
        </w:rPr>
        <w:t xml:space="preserve">, </w:t>
      </w:r>
      <w:r w:rsidRPr="006D7EF4">
        <w:rPr>
          <w:lang w:val="fr-FR"/>
        </w:rPr>
        <w:t>à l</w:t>
      </w:r>
      <w:r w:rsidR="001B0195" w:rsidRPr="006D7EF4">
        <w:rPr>
          <w:lang w:val="fr-FR"/>
        </w:rPr>
        <w:t>’</w:t>
      </w:r>
      <w:r w:rsidRPr="006D7EF4">
        <w:rPr>
          <w:lang w:val="fr-FR"/>
        </w:rPr>
        <w:t>organisation de programmes de formation et d</w:t>
      </w:r>
      <w:r w:rsidR="001B0195" w:rsidRPr="006D7EF4">
        <w:rPr>
          <w:lang w:val="fr-FR"/>
        </w:rPr>
        <w:t>’</w:t>
      </w:r>
      <w:r w:rsidRPr="006D7EF4">
        <w:rPr>
          <w:lang w:val="fr-FR"/>
        </w:rPr>
        <w:t>activités de promotion</w:t>
      </w:r>
      <w:r w:rsidR="00BA10B8" w:rsidRPr="006D7EF4">
        <w:rPr>
          <w:lang w:val="fr-FR"/>
        </w:rPr>
        <w:t xml:space="preserve">, </w:t>
      </w:r>
      <w:r w:rsidRPr="006D7EF4">
        <w:rPr>
          <w:lang w:val="fr-FR"/>
        </w:rPr>
        <w:t>et à l</w:t>
      </w:r>
      <w:r w:rsidR="001B0195" w:rsidRPr="006D7EF4">
        <w:rPr>
          <w:lang w:val="fr-FR"/>
        </w:rPr>
        <w:t>’</w:t>
      </w:r>
      <w:r w:rsidRPr="006D7EF4">
        <w:rPr>
          <w:lang w:val="fr-FR"/>
        </w:rPr>
        <w:t>administration des litig</w:t>
      </w:r>
      <w:r w:rsidR="00FE15D5" w:rsidRPr="006D7EF4">
        <w:rPr>
          <w:lang w:val="fr-FR"/>
        </w:rPr>
        <w:t>es.  Ce</w:t>
      </w:r>
      <w:r w:rsidRPr="006D7EF4">
        <w:rPr>
          <w:lang w:val="fr-FR"/>
        </w:rPr>
        <w:t>tte collaboration vise à mettre à la disposition des parties des solutions souples et économiques pour le règlement de leurs litiges devant les offices de propriété intellectuelle en ce qui concerne des droits octroyés ou en instance</w:t>
      </w:r>
      <w:r w:rsidR="00BA10B8" w:rsidRPr="00265EA1">
        <w:rPr>
          <w:rStyle w:val="FootnoteReference"/>
          <w:lang w:val="fr-FR"/>
        </w:rPr>
        <w:footnoteReference w:id="8"/>
      </w:r>
      <w:r w:rsidRPr="006D7EF4">
        <w:rPr>
          <w:lang w:val="fr-FR"/>
        </w:rPr>
        <w:t>.</w:t>
      </w:r>
    </w:p>
    <w:p w:rsidR="001B0195" w:rsidRDefault="00E24FA5" w:rsidP="00B36AF7">
      <w:pPr>
        <w:pStyle w:val="ONUMFS"/>
        <w:rPr>
          <w:lang w:val="fr-FR"/>
        </w:rPr>
      </w:pPr>
      <w:r>
        <w:rPr>
          <w:lang w:val="fr-FR"/>
        </w:rPr>
        <w:t>Au cours de l</w:t>
      </w:r>
      <w:r w:rsidR="001B0195">
        <w:rPr>
          <w:lang w:val="fr-FR"/>
        </w:rPr>
        <w:t>’</w:t>
      </w:r>
      <w:r>
        <w:rPr>
          <w:lang w:val="fr-FR"/>
        </w:rPr>
        <w:t>année écoulée</w:t>
      </w:r>
      <w:r w:rsidR="0071160B" w:rsidRPr="00265EA1">
        <w:rPr>
          <w:lang w:val="fr-FR"/>
        </w:rPr>
        <w:t xml:space="preserve">, </w:t>
      </w:r>
      <w:r>
        <w:rPr>
          <w:lang w:val="fr-FR"/>
        </w:rPr>
        <w:t xml:space="preserve">le Centre a administré plusieurs litiges découlant de </w:t>
      </w:r>
      <w:r w:rsidRPr="00E24FA5">
        <w:rPr>
          <w:lang w:val="fr-FR"/>
        </w:rPr>
        <w:t>l</w:t>
      </w:r>
      <w:r w:rsidR="001B0195">
        <w:rPr>
          <w:lang w:val="fr-FR"/>
        </w:rPr>
        <w:t>’</w:t>
      </w:r>
      <w:r w:rsidRPr="00E24FA5">
        <w:rPr>
          <w:lang w:val="fr-FR"/>
        </w:rPr>
        <w:t>établissement en 2011 d</w:t>
      </w:r>
      <w:r w:rsidR="001B0195">
        <w:rPr>
          <w:lang w:val="fr-FR"/>
        </w:rPr>
        <w:t>’</w:t>
      </w:r>
      <w:r w:rsidRPr="00E24FA5">
        <w:rPr>
          <w:lang w:val="fr-FR"/>
        </w:rPr>
        <w:t>une procédure conjointe de règlement des litiges pour faciliter la médiation des litiges en matière de marques soumis à l</w:t>
      </w:r>
      <w:r w:rsidR="001B0195">
        <w:rPr>
          <w:lang w:val="fr-FR"/>
        </w:rPr>
        <w:t>’</w:t>
      </w:r>
      <w:r w:rsidRPr="00E24FA5">
        <w:rPr>
          <w:lang w:val="fr-FR"/>
        </w:rPr>
        <w:t>Office de la propriété intellectuelle de Singapour (IPOS)</w:t>
      </w:r>
      <w:r w:rsidR="0071160B" w:rsidRPr="00265EA1">
        <w:rPr>
          <w:lang w:val="fr-FR"/>
        </w:rPr>
        <w:t xml:space="preserve">.  </w:t>
      </w:r>
      <w:r>
        <w:rPr>
          <w:lang w:val="fr-FR"/>
        </w:rPr>
        <w:t xml:space="preserve">Le Centre a également commencé à administrer des litiges à la suite de sa désignation, </w:t>
      </w:r>
      <w:r w:rsidR="001B0195">
        <w:rPr>
          <w:lang w:val="fr-FR"/>
        </w:rPr>
        <w:t>en 2015</w:t>
      </w:r>
      <w:r>
        <w:rPr>
          <w:lang w:val="fr-FR"/>
        </w:rPr>
        <w:t xml:space="preserve">, par </w:t>
      </w:r>
      <w:r w:rsidRPr="00E24FA5">
        <w:rPr>
          <w:lang w:val="fr-FR"/>
        </w:rPr>
        <w:t>l</w:t>
      </w:r>
      <w:r w:rsidR="001B0195">
        <w:rPr>
          <w:lang w:val="fr-FR"/>
        </w:rPr>
        <w:t>’</w:t>
      </w:r>
      <w:r w:rsidRPr="00E24FA5">
        <w:rPr>
          <w:lang w:val="fr-FR"/>
        </w:rPr>
        <w:t>Office de la propriété intellectuelle des Philippines (IPOPHL)</w:t>
      </w:r>
      <w:r>
        <w:rPr>
          <w:lang w:val="fr-FR"/>
        </w:rPr>
        <w:t>,</w:t>
      </w:r>
      <w:r w:rsidR="00612F56" w:rsidRPr="00265EA1">
        <w:rPr>
          <w:lang w:val="fr-FR"/>
        </w:rPr>
        <w:t xml:space="preserve"> </w:t>
      </w:r>
      <w:r w:rsidRPr="00E24FA5">
        <w:rPr>
          <w:lang w:val="fr-FR"/>
        </w:rPr>
        <w:t>comme institution de médiation pour les litiges portés devant l</w:t>
      </w:r>
      <w:r w:rsidR="001B0195">
        <w:rPr>
          <w:lang w:val="fr-FR"/>
        </w:rPr>
        <w:t>’</w:t>
      </w:r>
      <w:r w:rsidRPr="00E24FA5">
        <w:rPr>
          <w:lang w:val="fr-FR"/>
        </w:rPr>
        <w:t>IPOPHL impliquant une ou plusieurs parties ayant leur siège en dehors des Philippin</w:t>
      </w:r>
      <w:r w:rsidR="00FE15D5" w:rsidRPr="00E24FA5">
        <w:rPr>
          <w:lang w:val="fr-FR"/>
        </w:rPr>
        <w:t>es</w:t>
      </w:r>
      <w:r w:rsidR="00FE15D5">
        <w:rPr>
          <w:lang w:val="fr-FR"/>
        </w:rPr>
        <w:t>.  Ap</w:t>
      </w:r>
      <w:r>
        <w:rPr>
          <w:lang w:val="fr-FR"/>
        </w:rPr>
        <w:t>rès la conclusion d</w:t>
      </w:r>
      <w:r w:rsidR="001B0195">
        <w:rPr>
          <w:lang w:val="fr-FR"/>
        </w:rPr>
        <w:t>’</w:t>
      </w:r>
      <w:r>
        <w:rPr>
          <w:lang w:val="fr-FR"/>
        </w:rPr>
        <w:t>un accord avec l</w:t>
      </w:r>
      <w:r w:rsidR="001B0195">
        <w:rPr>
          <w:lang w:val="fr-FR"/>
        </w:rPr>
        <w:t>’</w:t>
      </w:r>
      <w:r>
        <w:rPr>
          <w:lang w:val="fr-FR"/>
        </w:rPr>
        <w:t>Institut mexicain de la propriété industrielle (IMPI), le Centre et l</w:t>
      </w:r>
      <w:r w:rsidR="001B0195">
        <w:rPr>
          <w:lang w:val="fr-FR"/>
        </w:rPr>
        <w:t>’</w:t>
      </w:r>
      <w:r>
        <w:rPr>
          <w:lang w:val="fr-FR"/>
        </w:rPr>
        <w:t>IMPI ont organisé une manifestation pour promouvoir le recours au règlement extrajudiciaire des litiges de propriété intellectuelle</w:t>
      </w:r>
      <w:r w:rsidR="00612F56" w:rsidRPr="00265EA1">
        <w:rPr>
          <w:lang w:val="fr-FR"/>
        </w:rPr>
        <w:t>.</w:t>
      </w:r>
    </w:p>
    <w:p w:rsidR="00326B6B" w:rsidRPr="002F5F9F" w:rsidRDefault="002F5F9F" w:rsidP="00B36AF7">
      <w:pPr>
        <w:pStyle w:val="ONUMFS"/>
        <w:rPr>
          <w:lang w:val="fr-FR"/>
        </w:rPr>
      </w:pPr>
      <w:r w:rsidRPr="002F5F9F">
        <w:rPr>
          <w:lang w:val="fr-FR"/>
        </w:rPr>
        <w:t>La Commission des audiences et recours en matière de marques (TTAB) et la Commission des audiences et recours en matière de brevets (PTAB) de l</w:t>
      </w:r>
      <w:r w:rsidR="001B0195">
        <w:rPr>
          <w:lang w:val="fr-FR"/>
        </w:rPr>
        <w:t>’</w:t>
      </w:r>
      <w:r w:rsidRPr="002F5F9F">
        <w:rPr>
          <w:lang w:val="fr-FR"/>
        </w:rPr>
        <w:t>Office des brevets et des marques des États</w:t>
      </w:r>
      <w:r w:rsidR="005C03F2">
        <w:rPr>
          <w:lang w:val="fr-FR"/>
        </w:rPr>
        <w:t>-</w:t>
      </w:r>
      <w:r w:rsidRPr="002F5F9F">
        <w:rPr>
          <w:lang w:val="fr-FR"/>
        </w:rPr>
        <w:t>Unis d</w:t>
      </w:r>
      <w:r w:rsidR="001B0195">
        <w:rPr>
          <w:lang w:val="fr-FR"/>
        </w:rPr>
        <w:t>’</w:t>
      </w:r>
      <w:r w:rsidRPr="002F5F9F">
        <w:rPr>
          <w:lang w:val="fr-FR"/>
        </w:rPr>
        <w:t>Amérique (USPTO) encouragent les parties à considérer le règlement extrajudiciaire des litiges comme un moyen de régler des questions soulevées devant l</w:t>
      </w:r>
      <w:r w:rsidR="001B0195">
        <w:rPr>
          <w:lang w:val="fr-FR"/>
        </w:rPr>
        <w:t>’</w:t>
      </w:r>
      <w:r w:rsidRPr="002F5F9F">
        <w:rPr>
          <w:lang w:val="fr-FR"/>
        </w:rPr>
        <w:t>une ou l</w:t>
      </w:r>
      <w:r w:rsidR="001B0195">
        <w:rPr>
          <w:lang w:val="fr-FR"/>
        </w:rPr>
        <w:t>’</w:t>
      </w:r>
      <w:r w:rsidRPr="002F5F9F">
        <w:rPr>
          <w:lang w:val="fr-FR"/>
        </w:rPr>
        <w:t>autre commissi</w:t>
      </w:r>
      <w:r w:rsidR="00FE15D5" w:rsidRPr="002F5F9F">
        <w:rPr>
          <w:lang w:val="fr-FR"/>
        </w:rPr>
        <w:t>on</w:t>
      </w:r>
      <w:r w:rsidR="00FE15D5">
        <w:rPr>
          <w:lang w:val="fr-FR"/>
        </w:rPr>
        <w:t xml:space="preserve">.  </w:t>
      </w:r>
      <w:r w:rsidR="00FE15D5" w:rsidRPr="002F5F9F">
        <w:rPr>
          <w:lang w:val="fr-FR"/>
        </w:rPr>
        <w:t>De</w:t>
      </w:r>
      <w:r w:rsidRPr="002F5F9F">
        <w:rPr>
          <w:lang w:val="fr-FR"/>
        </w:rPr>
        <w:t>puis janvier 2016, le Centre figure sur la liste des fournisseurs de services de règlement extrajudiciaire des litiges qui peuvent être choisis pour les procédures devant le TTAB et le PTAB.</w:t>
      </w:r>
    </w:p>
    <w:p w:rsidR="00612F56" w:rsidRPr="00265EA1" w:rsidRDefault="001B0195" w:rsidP="00B36AF7">
      <w:pPr>
        <w:pStyle w:val="ONUMFS"/>
        <w:rPr>
          <w:lang w:val="fr-FR"/>
        </w:rPr>
      </w:pPr>
      <w:r>
        <w:rPr>
          <w:lang w:val="fr-FR"/>
        </w:rPr>
        <w:t>E</w:t>
      </w:r>
      <w:r w:rsidRPr="00265EA1">
        <w:rPr>
          <w:lang w:val="fr-FR"/>
        </w:rPr>
        <w:t>n</w:t>
      </w:r>
      <w:r>
        <w:rPr>
          <w:lang w:val="fr-FR"/>
        </w:rPr>
        <w:t> </w:t>
      </w:r>
      <w:r w:rsidRPr="00265EA1">
        <w:rPr>
          <w:lang w:val="fr-FR"/>
        </w:rPr>
        <w:t>2017</w:t>
      </w:r>
      <w:r w:rsidR="00326B6B" w:rsidRPr="00265EA1">
        <w:rPr>
          <w:lang w:val="fr-FR"/>
        </w:rPr>
        <w:t xml:space="preserve">, </w:t>
      </w:r>
      <w:r w:rsidR="00A31B2A" w:rsidRPr="00265EA1">
        <w:rPr>
          <w:lang w:val="fr-FR"/>
        </w:rPr>
        <w:t>IP</w:t>
      </w:r>
      <w:r w:rsidR="005C03F2">
        <w:rPr>
          <w:lang w:val="fr-FR"/>
        </w:rPr>
        <w:t> </w:t>
      </w:r>
      <w:r w:rsidR="00A31B2A" w:rsidRPr="00265EA1">
        <w:rPr>
          <w:lang w:val="fr-FR"/>
        </w:rPr>
        <w:t xml:space="preserve">Australia </w:t>
      </w:r>
      <w:r w:rsidR="00930AAF">
        <w:rPr>
          <w:lang w:val="fr-FR"/>
        </w:rPr>
        <w:t>et le Centre ont lancé une initiative visant à promouvoir les procédures de règlement extrajudiciaire des litiges de propriété intellectuelle et de technologie en Austral</w:t>
      </w:r>
      <w:r w:rsidR="00FE15D5">
        <w:rPr>
          <w:lang w:val="fr-FR"/>
        </w:rPr>
        <w:t>ie.  C’e</w:t>
      </w:r>
      <w:r w:rsidR="00930AAF">
        <w:rPr>
          <w:lang w:val="fr-FR"/>
        </w:rPr>
        <w:t>st ainsi que le Centre propose désormais aux parties intéressées des solutions de communication en ligne, comme le système ECAF et des moyens de visioconféren</w:t>
      </w:r>
      <w:r w:rsidR="00FE15D5">
        <w:rPr>
          <w:lang w:val="fr-FR"/>
        </w:rPr>
        <w:t>ce.  Le</w:t>
      </w:r>
      <w:r w:rsidR="00930AAF">
        <w:rPr>
          <w:lang w:val="fr-FR"/>
        </w:rPr>
        <w:t xml:space="preserve"> Centre collabore également avec l</w:t>
      </w:r>
      <w:r>
        <w:rPr>
          <w:lang w:val="fr-FR"/>
        </w:rPr>
        <w:t>’</w:t>
      </w:r>
      <w:r w:rsidR="00930AAF">
        <w:rPr>
          <w:lang w:val="fr-FR"/>
        </w:rPr>
        <w:t>Office des brevets d</w:t>
      </w:r>
      <w:r>
        <w:rPr>
          <w:lang w:val="fr-FR"/>
        </w:rPr>
        <w:t>’</w:t>
      </w:r>
      <w:r w:rsidR="00930AAF">
        <w:rPr>
          <w:lang w:val="fr-FR"/>
        </w:rPr>
        <w:t>Israël (ILPO) pour promouvoir le recours aux procédures de règlement extrajudiciaire des litiges de propriété intellectuelle et de technologie en Israël.</w:t>
      </w:r>
    </w:p>
    <w:p w:rsidR="00612F56" w:rsidRDefault="00B064ED" w:rsidP="00B36AF7">
      <w:pPr>
        <w:pStyle w:val="ONUMFS"/>
        <w:rPr>
          <w:lang w:val="fr-FR"/>
        </w:rPr>
      </w:pPr>
      <w:r w:rsidRPr="005F3ACA">
        <w:rPr>
          <w:lang w:val="fr-FR"/>
        </w:rPr>
        <w:t xml:space="preserve">Le Centre procède actuellement à une mise à jour </w:t>
      </w:r>
      <w:r w:rsidR="005F3ACA" w:rsidRPr="005F3ACA">
        <w:rPr>
          <w:lang w:val="fr-FR"/>
        </w:rPr>
        <w:t>du Guide de l</w:t>
      </w:r>
      <w:r w:rsidR="001B0195">
        <w:rPr>
          <w:lang w:val="fr-FR"/>
        </w:rPr>
        <w:t>’</w:t>
      </w:r>
      <w:r w:rsidR="005F3ACA" w:rsidRPr="005F3ACA">
        <w:rPr>
          <w:lang w:val="fr-FR"/>
        </w:rPr>
        <w:t>OMPI sur les modes extrajudiciaires de règlement des litiges pour les offices de propriété intellectuelle et les tribunaux afin de prendre en considération les faits nouveaux survenus dans ce domaine</w:t>
      </w:r>
      <w:r w:rsidR="00612F56" w:rsidRPr="00265EA1">
        <w:rPr>
          <w:rStyle w:val="FootnoteReference"/>
          <w:lang w:val="fr-FR"/>
        </w:rPr>
        <w:footnoteReference w:id="9"/>
      </w:r>
      <w:r w:rsidR="005F3ACA" w:rsidRPr="005F3ACA">
        <w:rPr>
          <w:lang w:val="fr-FR"/>
        </w:rPr>
        <w:t>.</w:t>
      </w:r>
      <w:r w:rsidR="003226C2" w:rsidRPr="005F3ACA">
        <w:rPr>
          <w:lang w:val="fr-FR"/>
        </w:rPr>
        <w:t xml:space="preserve">  </w:t>
      </w:r>
      <w:r w:rsidR="005F3ACA" w:rsidRPr="005F3ACA">
        <w:rPr>
          <w:lang w:val="fr-FR"/>
        </w:rPr>
        <w:t>Compte tenu de l</w:t>
      </w:r>
      <w:r w:rsidR="001B0195">
        <w:rPr>
          <w:lang w:val="fr-FR"/>
        </w:rPr>
        <w:t>’</w:t>
      </w:r>
      <w:r w:rsidR="005F3ACA" w:rsidRPr="005F3ACA">
        <w:rPr>
          <w:lang w:val="fr-FR"/>
        </w:rPr>
        <w:t>expérience de l</w:t>
      </w:r>
      <w:r w:rsidR="001B0195">
        <w:rPr>
          <w:lang w:val="fr-FR"/>
        </w:rPr>
        <w:t>’</w:t>
      </w:r>
      <w:r w:rsidR="005F3ACA" w:rsidRPr="005F3ACA">
        <w:rPr>
          <w:lang w:val="fr-FR"/>
        </w:rPr>
        <w:t>OMPI dans ce domaine, ce guide présente une vue d</w:t>
      </w:r>
      <w:r w:rsidR="001B0195">
        <w:rPr>
          <w:lang w:val="fr-FR"/>
        </w:rPr>
        <w:t>’</w:t>
      </w:r>
      <w:r w:rsidR="005F3ACA" w:rsidRPr="005F3ACA">
        <w:rPr>
          <w:lang w:val="fr-FR"/>
        </w:rPr>
        <w:t>ensemble des modes extrajudiciaires de règlement des litiges relatifs à la propriété intellectuelle et les différentes options permettant aux offices de propriété intellectuelle et aux tribunaux d</w:t>
      </w:r>
      <w:r w:rsidR="001B0195">
        <w:rPr>
          <w:lang w:val="fr-FR"/>
        </w:rPr>
        <w:t>’</w:t>
      </w:r>
      <w:r w:rsidR="005F3ACA" w:rsidRPr="005F3ACA">
        <w:rPr>
          <w:lang w:val="fr-FR"/>
        </w:rPr>
        <w:t>intégrer les modes extrajudiciaires de règlement des litiges à leurs procédur</w:t>
      </w:r>
      <w:r w:rsidR="00FE15D5" w:rsidRPr="005F3ACA">
        <w:rPr>
          <w:lang w:val="fr-FR"/>
        </w:rPr>
        <w:t>es</w:t>
      </w:r>
      <w:r w:rsidR="00FE15D5">
        <w:rPr>
          <w:lang w:val="fr-FR"/>
        </w:rPr>
        <w:t xml:space="preserve">.  </w:t>
      </w:r>
      <w:r w:rsidR="00FE15D5" w:rsidRPr="005F3ACA">
        <w:rPr>
          <w:lang w:val="fr-FR"/>
        </w:rPr>
        <w:t>Le</w:t>
      </w:r>
      <w:r w:rsidR="005F3ACA" w:rsidRPr="005F3ACA">
        <w:rPr>
          <w:lang w:val="fr-FR"/>
        </w:rPr>
        <w:t xml:space="preserve"> guide comprend un aperçu des collaborations du Centre avec les offices de propriété intellectuelle et des documents types connexes.</w:t>
      </w:r>
    </w:p>
    <w:p w:rsidR="00345811" w:rsidRDefault="00345811">
      <w:pPr>
        <w:rPr>
          <w:bCs/>
          <w:szCs w:val="22"/>
          <w:u w:val="single"/>
          <w:lang w:val="fr-FR"/>
        </w:rPr>
      </w:pPr>
      <w:r>
        <w:br w:type="page"/>
      </w:r>
    </w:p>
    <w:p w:rsidR="001B0195" w:rsidRDefault="00612F56" w:rsidP="00345811">
      <w:pPr>
        <w:pStyle w:val="Heading3"/>
      </w:pPr>
      <w:r w:rsidRPr="00265EA1">
        <w:lastRenderedPageBreak/>
        <w:t>R</w:t>
      </w:r>
      <w:r w:rsidR="008D59AB">
        <w:t>èglement des litiges en matière de recherche</w:t>
      </w:r>
      <w:r w:rsidR="001B0195">
        <w:t>-</w:t>
      </w:r>
      <w:r w:rsidR="008D59AB">
        <w:t>développement</w:t>
      </w:r>
    </w:p>
    <w:p w:rsidR="00612F56" w:rsidRPr="00265EA1" w:rsidRDefault="00612F56" w:rsidP="00B36AF7">
      <w:pPr>
        <w:rPr>
          <w:rStyle w:val="ONUMEChar"/>
          <w:lang w:val="fr-FR"/>
        </w:rPr>
      </w:pPr>
    </w:p>
    <w:p w:rsidR="001B0195" w:rsidRDefault="007A6384" w:rsidP="00B36AF7">
      <w:pPr>
        <w:pStyle w:val="ONUMFS"/>
        <w:rPr>
          <w:lang w:val="fr-FR"/>
        </w:rPr>
      </w:pPr>
      <w:r w:rsidRPr="007A6384">
        <w:rPr>
          <w:lang w:val="fr-FR"/>
        </w:rPr>
        <w:t>Suite à une coopération précédente avec les parties prenantes à la recherche</w:t>
      </w:r>
      <w:r w:rsidR="00AC7A8F">
        <w:rPr>
          <w:lang w:val="fr-FR"/>
        </w:rPr>
        <w:t>-</w:t>
      </w:r>
      <w:r w:rsidRPr="007A6384">
        <w:rPr>
          <w:lang w:val="fr-FR"/>
        </w:rPr>
        <w:t>développement européenne</w:t>
      </w:r>
      <w:r w:rsidR="00612F56" w:rsidRPr="00265EA1">
        <w:rPr>
          <w:vertAlign w:val="superscript"/>
          <w:lang w:val="fr-FR"/>
        </w:rPr>
        <w:footnoteReference w:id="10"/>
      </w:r>
      <w:r>
        <w:rPr>
          <w:lang w:val="fr-FR"/>
        </w:rPr>
        <w:t>,</w:t>
      </w:r>
      <w:r w:rsidR="00612F56" w:rsidRPr="00265EA1">
        <w:rPr>
          <w:lang w:val="fr-FR"/>
        </w:rPr>
        <w:t xml:space="preserve"> </w:t>
      </w:r>
      <w:r w:rsidRPr="007A6384">
        <w:rPr>
          <w:lang w:val="fr-FR"/>
        </w:rPr>
        <w:t>des institutions allemandes</w:t>
      </w:r>
      <w:r w:rsidR="00612F56" w:rsidRPr="00265EA1">
        <w:rPr>
          <w:vertAlign w:val="superscript"/>
          <w:lang w:val="fr-FR"/>
        </w:rPr>
        <w:footnoteReference w:id="11"/>
      </w:r>
      <w:r w:rsidR="00612F56" w:rsidRPr="00265EA1">
        <w:rPr>
          <w:lang w:val="fr-FR"/>
        </w:rPr>
        <w:t xml:space="preserve"> </w:t>
      </w:r>
      <w:r w:rsidRPr="007A6384">
        <w:rPr>
          <w:lang w:val="fr-FR"/>
        </w:rPr>
        <w:t>et des entités autrichiennes</w:t>
      </w:r>
      <w:r w:rsidR="00612F56" w:rsidRPr="00265EA1">
        <w:rPr>
          <w:vertAlign w:val="superscript"/>
          <w:lang w:val="fr-FR"/>
        </w:rPr>
        <w:footnoteReference w:id="12"/>
      </w:r>
      <w:r>
        <w:rPr>
          <w:lang w:val="fr-FR"/>
        </w:rPr>
        <w:t xml:space="preserve">, </w:t>
      </w:r>
      <w:r w:rsidRPr="007A6384">
        <w:rPr>
          <w:lang w:val="fr-FR"/>
        </w:rPr>
        <w:t>le Centre a continué d</w:t>
      </w:r>
      <w:r w:rsidR="001B0195">
        <w:rPr>
          <w:lang w:val="fr-FR"/>
        </w:rPr>
        <w:t>’</w:t>
      </w:r>
      <w:r w:rsidRPr="007A6384">
        <w:rPr>
          <w:lang w:val="fr-FR"/>
        </w:rPr>
        <w:t>apporter son aide à l</w:t>
      </w:r>
      <w:r w:rsidR="001B0195">
        <w:rPr>
          <w:lang w:val="fr-FR"/>
        </w:rPr>
        <w:t>’</w:t>
      </w:r>
      <w:r w:rsidRPr="007A6384">
        <w:rPr>
          <w:lang w:val="fr-FR"/>
        </w:rPr>
        <w:t>élaboration d</w:t>
      </w:r>
      <w:r w:rsidR="001B0195">
        <w:rPr>
          <w:lang w:val="fr-FR"/>
        </w:rPr>
        <w:t>’</w:t>
      </w:r>
      <w:r w:rsidRPr="007A6384">
        <w:rPr>
          <w:lang w:val="fr-FR"/>
        </w:rPr>
        <w:t>accords types visant à favoriser une transmission efficace du savoir et de la technolog</w:t>
      </w:r>
      <w:r w:rsidR="00FE15D5" w:rsidRPr="007A6384">
        <w:rPr>
          <w:lang w:val="fr-FR"/>
        </w:rPr>
        <w:t>ie</w:t>
      </w:r>
      <w:r w:rsidR="00FE15D5">
        <w:rPr>
          <w:lang w:val="fr-FR"/>
        </w:rPr>
        <w:t xml:space="preserve">.  </w:t>
      </w:r>
      <w:r w:rsidR="00FE15D5" w:rsidRPr="007A6384">
        <w:rPr>
          <w:lang w:val="fr-FR"/>
        </w:rPr>
        <w:t>Il</w:t>
      </w:r>
      <w:r w:rsidRPr="007A6384">
        <w:rPr>
          <w:lang w:val="fr-FR"/>
        </w:rPr>
        <w:t xml:space="preserve"> s</w:t>
      </w:r>
      <w:r w:rsidR="001B0195">
        <w:rPr>
          <w:lang w:val="fr-FR"/>
        </w:rPr>
        <w:t>’</w:t>
      </w:r>
      <w:r w:rsidRPr="007A6384">
        <w:rPr>
          <w:lang w:val="fr-FR"/>
        </w:rPr>
        <w:t>est notamment agi de la poursuite de la collaboration avec l</w:t>
      </w:r>
      <w:r w:rsidR="001B0195">
        <w:rPr>
          <w:lang w:val="fr-FR"/>
        </w:rPr>
        <w:t>’</w:t>
      </w:r>
      <w:r w:rsidRPr="007A6384">
        <w:rPr>
          <w:lang w:val="fr-FR"/>
        </w:rPr>
        <w:t>Office espagnol des brevets et des marques (OEPM) pour l</w:t>
      </w:r>
      <w:r w:rsidR="001B0195">
        <w:rPr>
          <w:lang w:val="fr-FR"/>
        </w:rPr>
        <w:t>’</w:t>
      </w:r>
      <w:r w:rsidRPr="007A6384">
        <w:rPr>
          <w:lang w:val="fr-FR"/>
        </w:rPr>
        <w:t>élaboration d</w:t>
      </w:r>
      <w:r w:rsidR="001B0195">
        <w:rPr>
          <w:lang w:val="fr-FR"/>
        </w:rPr>
        <w:t>’</w:t>
      </w:r>
      <w:r w:rsidRPr="007A6384">
        <w:rPr>
          <w:lang w:val="fr-FR"/>
        </w:rPr>
        <w:t>accords types supplémentaires de recherche</w:t>
      </w:r>
      <w:r w:rsidR="00AC7A8F">
        <w:rPr>
          <w:lang w:val="fr-FR"/>
        </w:rPr>
        <w:t>-</w:t>
      </w:r>
      <w:r w:rsidRPr="007A6384">
        <w:rPr>
          <w:lang w:val="fr-FR"/>
        </w:rPr>
        <w:t>développement prévoyant des options de médiation et d</w:t>
      </w:r>
      <w:r w:rsidR="001B0195">
        <w:rPr>
          <w:lang w:val="fr-FR"/>
        </w:rPr>
        <w:t>’</w:t>
      </w:r>
      <w:r w:rsidRPr="007A6384">
        <w:rPr>
          <w:lang w:val="fr-FR"/>
        </w:rPr>
        <w:t>arbitrage accéléré de l</w:t>
      </w:r>
      <w:r w:rsidR="001B0195">
        <w:rPr>
          <w:lang w:val="fr-FR"/>
        </w:rPr>
        <w:t>’</w:t>
      </w:r>
      <w:r w:rsidRPr="007A6384">
        <w:rPr>
          <w:lang w:val="fr-FR"/>
        </w:rPr>
        <w:t>OMPI, ainsi que de guides connexes pour les utilisateurs</w:t>
      </w:r>
      <w:r w:rsidR="00612F56" w:rsidRPr="00265EA1">
        <w:rPr>
          <w:vertAlign w:val="superscript"/>
          <w:lang w:val="fr-FR"/>
        </w:rPr>
        <w:footnoteReference w:id="13"/>
      </w:r>
      <w:r>
        <w:rPr>
          <w:lang w:val="fr-FR"/>
        </w:rPr>
        <w:t>.</w:t>
      </w:r>
      <w:r w:rsidR="0020610D" w:rsidRPr="00265EA1">
        <w:rPr>
          <w:lang w:val="fr-FR"/>
        </w:rPr>
        <w:t xml:space="preserve">  </w:t>
      </w:r>
      <w:r>
        <w:rPr>
          <w:lang w:val="fr-FR"/>
        </w:rPr>
        <w:t>Au cours de cette période,</w:t>
      </w:r>
      <w:r w:rsidR="006934B7" w:rsidRPr="00265EA1">
        <w:rPr>
          <w:lang w:val="fr-FR"/>
        </w:rPr>
        <w:t xml:space="preserve"> </w:t>
      </w:r>
      <w:r>
        <w:rPr>
          <w:lang w:val="fr-FR"/>
        </w:rPr>
        <w:t xml:space="preserve">le </w:t>
      </w:r>
      <w:r w:rsidR="005C03F2">
        <w:rPr>
          <w:lang w:val="fr-FR"/>
        </w:rPr>
        <w:t>Ministère</w:t>
      </w:r>
      <w:r>
        <w:rPr>
          <w:lang w:val="fr-FR"/>
        </w:rPr>
        <w:t xml:space="preserve"> fédéral allemand de l</w:t>
      </w:r>
      <w:r w:rsidR="001B0195">
        <w:rPr>
          <w:lang w:val="fr-FR"/>
        </w:rPr>
        <w:t>’</w:t>
      </w:r>
      <w:r>
        <w:rPr>
          <w:lang w:val="fr-FR"/>
        </w:rPr>
        <w:t>économie et de l</w:t>
      </w:r>
      <w:r w:rsidR="001B0195">
        <w:rPr>
          <w:lang w:val="fr-FR"/>
        </w:rPr>
        <w:t>’</w:t>
      </w:r>
      <w:r>
        <w:rPr>
          <w:lang w:val="fr-FR"/>
        </w:rPr>
        <w:t>énergie a publié une édition révisée de ses</w:t>
      </w:r>
      <w:r w:rsidR="005B5972" w:rsidRPr="00265EA1">
        <w:rPr>
          <w:lang w:val="fr-FR"/>
        </w:rPr>
        <w:t xml:space="preserve"> “</w:t>
      </w:r>
      <w:r>
        <w:rPr>
          <w:lang w:val="fr-FR"/>
        </w:rPr>
        <w:t>Accords types visant à favoriser la coopération dans le domaine de la recherche</w:t>
      </w:r>
      <w:r w:rsidR="001B0195">
        <w:rPr>
          <w:lang w:val="fr-FR"/>
        </w:rPr>
        <w:t>-</w:t>
      </w:r>
      <w:r>
        <w:rPr>
          <w:lang w:val="fr-FR"/>
        </w:rPr>
        <w:t>développement – Directives en matière de coopération entre le secteur académique et l</w:t>
      </w:r>
      <w:r w:rsidR="001B0195">
        <w:rPr>
          <w:lang w:val="fr-FR"/>
        </w:rPr>
        <w:t>’</w:t>
      </w:r>
      <w:r>
        <w:rPr>
          <w:lang w:val="fr-FR"/>
        </w:rPr>
        <w:t>industrie</w:t>
      </w:r>
      <w:r w:rsidR="005B5972" w:rsidRPr="00265EA1">
        <w:rPr>
          <w:lang w:val="fr-FR"/>
        </w:rPr>
        <w:t>”</w:t>
      </w:r>
      <w:r>
        <w:rPr>
          <w:lang w:val="fr-FR"/>
        </w:rPr>
        <w:t xml:space="preserve">, </w:t>
      </w:r>
      <w:r w:rsidR="00565A61" w:rsidRPr="007A6384">
        <w:rPr>
          <w:lang w:val="fr-FR"/>
        </w:rPr>
        <w:t>qui préconise le recours aux procédures de médiation de l</w:t>
      </w:r>
      <w:r w:rsidR="001B0195">
        <w:rPr>
          <w:lang w:val="fr-FR"/>
        </w:rPr>
        <w:t>’</w:t>
      </w:r>
      <w:r w:rsidR="00565A61" w:rsidRPr="007A6384">
        <w:rPr>
          <w:lang w:val="fr-FR"/>
        </w:rPr>
        <w:t>OMPI suivies, en l</w:t>
      </w:r>
      <w:r w:rsidR="001B0195">
        <w:rPr>
          <w:lang w:val="fr-FR"/>
        </w:rPr>
        <w:t>’</w:t>
      </w:r>
      <w:r w:rsidR="00565A61" w:rsidRPr="007A6384">
        <w:rPr>
          <w:lang w:val="fr-FR"/>
        </w:rPr>
        <w:t>absence de</w:t>
      </w:r>
      <w:r w:rsidR="00565A61">
        <w:rPr>
          <w:lang w:val="fr-FR"/>
        </w:rPr>
        <w:t xml:space="preserve"> </w:t>
      </w:r>
      <w:r w:rsidR="00565A61" w:rsidRPr="007A6384">
        <w:rPr>
          <w:lang w:val="fr-FR"/>
        </w:rPr>
        <w:t>règlement, de l</w:t>
      </w:r>
      <w:r w:rsidR="001B0195">
        <w:rPr>
          <w:lang w:val="fr-FR"/>
        </w:rPr>
        <w:t>’</w:t>
      </w:r>
      <w:r w:rsidR="00565A61" w:rsidRPr="007A6384">
        <w:rPr>
          <w:lang w:val="fr-FR"/>
        </w:rPr>
        <w:t>arbitrage accéléré de l</w:t>
      </w:r>
      <w:r w:rsidR="001B0195">
        <w:rPr>
          <w:lang w:val="fr-FR"/>
        </w:rPr>
        <w:t>’</w:t>
      </w:r>
      <w:r w:rsidR="00565A61" w:rsidRPr="007A6384">
        <w:rPr>
          <w:lang w:val="fr-FR"/>
        </w:rPr>
        <w:t>OMPI</w:t>
      </w:r>
      <w:r>
        <w:rPr>
          <w:lang w:val="fr-FR"/>
        </w:rPr>
        <w:t>.</w:t>
      </w:r>
    </w:p>
    <w:p w:rsidR="001B0195" w:rsidRDefault="00BE5F82" w:rsidP="00B36AF7">
      <w:pPr>
        <w:pStyle w:val="ONUMFS"/>
        <w:rPr>
          <w:lang w:val="fr-FR"/>
        </w:rPr>
      </w:pPr>
      <w:r>
        <w:rPr>
          <w:lang w:val="fr-FR"/>
        </w:rPr>
        <w:t>Fin</w:t>
      </w:r>
      <w:r w:rsidR="003878C3" w:rsidRPr="00265EA1">
        <w:rPr>
          <w:lang w:val="fr-FR"/>
        </w:rPr>
        <w:t xml:space="preserve"> </w:t>
      </w:r>
      <w:r w:rsidR="00AA09BE" w:rsidRPr="00265EA1">
        <w:rPr>
          <w:lang w:val="fr-FR"/>
        </w:rPr>
        <w:t xml:space="preserve">2016, </w:t>
      </w:r>
      <w:r>
        <w:rPr>
          <w:lang w:val="fr-FR"/>
        </w:rPr>
        <w:t>le programme de Centres d</w:t>
      </w:r>
      <w:r w:rsidR="001B0195">
        <w:rPr>
          <w:lang w:val="fr-FR"/>
        </w:rPr>
        <w:t>’</w:t>
      </w:r>
      <w:r>
        <w:rPr>
          <w:lang w:val="fr-FR"/>
        </w:rPr>
        <w:t>appui à la technologie et à l</w:t>
      </w:r>
      <w:r w:rsidR="001B0195">
        <w:rPr>
          <w:lang w:val="fr-FR"/>
        </w:rPr>
        <w:t>’</w:t>
      </w:r>
      <w:r>
        <w:rPr>
          <w:lang w:val="fr-FR"/>
        </w:rPr>
        <w:t>innovation (CATI) et le Centre ont entamé une coopération pour faire connaître les aspects pratiques et procéduraux des services de règlement extrajudiciaire des litiges de propriété intellectuelle aux innovateurs de pays en développement participant au program</w:t>
      </w:r>
      <w:r w:rsidR="00FE15D5">
        <w:rPr>
          <w:lang w:val="fr-FR"/>
        </w:rPr>
        <w:t>me.  Ve</w:t>
      </w:r>
      <w:r>
        <w:rPr>
          <w:lang w:val="fr-FR"/>
        </w:rPr>
        <w:t>rs le milieu de l</w:t>
      </w:r>
      <w:r w:rsidR="001B0195">
        <w:rPr>
          <w:lang w:val="fr-FR"/>
        </w:rPr>
        <w:t>’</w:t>
      </w:r>
      <w:r>
        <w:rPr>
          <w:lang w:val="fr-FR"/>
        </w:rPr>
        <w:t>année</w:t>
      </w:r>
      <w:r w:rsidR="00054A64">
        <w:rPr>
          <w:lang w:val="fr-FR"/>
        </w:rPr>
        <w:t> </w:t>
      </w:r>
      <w:r>
        <w:rPr>
          <w:lang w:val="fr-FR"/>
        </w:rPr>
        <w:t xml:space="preserve">2017, la </w:t>
      </w:r>
      <w:r w:rsidRPr="00BE5F82">
        <w:rPr>
          <w:lang w:val="fr-FR"/>
        </w:rPr>
        <w:t>Fédération internationale des associations d</w:t>
      </w:r>
      <w:r w:rsidR="001B0195">
        <w:rPr>
          <w:lang w:val="fr-FR"/>
        </w:rPr>
        <w:t>’</w:t>
      </w:r>
      <w:r w:rsidRPr="00BE5F82">
        <w:rPr>
          <w:lang w:val="fr-FR"/>
        </w:rPr>
        <w:t xml:space="preserve">inventeurs (IFIA) </w:t>
      </w:r>
      <w:r>
        <w:rPr>
          <w:lang w:val="fr-FR"/>
        </w:rPr>
        <w:t xml:space="preserve">a commencé à informer ses membres au sujet des </w:t>
      </w:r>
      <w:r w:rsidR="006A0C6C">
        <w:rPr>
          <w:lang w:val="fr-FR"/>
        </w:rPr>
        <w:t>procédures prévues par l</w:t>
      </w:r>
      <w:r w:rsidR="001B0195">
        <w:rPr>
          <w:lang w:val="fr-FR"/>
        </w:rPr>
        <w:t>’</w:t>
      </w:r>
      <w:r w:rsidR="006A0C6C">
        <w:rPr>
          <w:lang w:val="fr-FR"/>
        </w:rPr>
        <w:t>OMPI pour le règlement extrajudiciaire des litiges découlant de relations de collaboration établies avec d</w:t>
      </w:r>
      <w:r w:rsidR="001B0195">
        <w:rPr>
          <w:lang w:val="fr-FR"/>
        </w:rPr>
        <w:t>’</w:t>
      </w:r>
      <w:r w:rsidR="006A0C6C">
        <w:rPr>
          <w:lang w:val="fr-FR"/>
        </w:rPr>
        <w:t>autres parties</w:t>
      </w:r>
      <w:r w:rsidR="00A34514" w:rsidRPr="00265EA1">
        <w:rPr>
          <w:rStyle w:val="FootnoteReference"/>
          <w:lang w:val="fr-FR"/>
        </w:rPr>
        <w:footnoteReference w:id="14"/>
      </w:r>
      <w:r w:rsidR="006A0C6C">
        <w:rPr>
          <w:lang w:val="fr-FR"/>
        </w:rPr>
        <w:t>.</w:t>
      </w:r>
    </w:p>
    <w:p w:rsidR="00612F56" w:rsidRPr="00265EA1" w:rsidRDefault="00C87EE9" w:rsidP="00345811">
      <w:pPr>
        <w:pStyle w:val="Heading3"/>
      </w:pPr>
      <w:r>
        <w:t>Règlement des litiges de franchisage</w:t>
      </w:r>
    </w:p>
    <w:p w:rsidR="00612F56" w:rsidRPr="00265EA1" w:rsidRDefault="00612F56" w:rsidP="00B36AF7">
      <w:pPr>
        <w:rPr>
          <w:rStyle w:val="ONUMEChar"/>
          <w:szCs w:val="22"/>
          <w:lang w:val="fr-FR"/>
        </w:rPr>
      </w:pPr>
    </w:p>
    <w:p w:rsidR="00612F56" w:rsidRPr="001828EE" w:rsidRDefault="00C87EE9" w:rsidP="00B36AF7">
      <w:pPr>
        <w:pStyle w:val="ONUMFS"/>
        <w:rPr>
          <w:rStyle w:val="ONUMEChar"/>
          <w:lang w:val="fr-FR"/>
        </w:rPr>
      </w:pPr>
      <w:r w:rsidRPr="00C87EE9">
        <w:rPr>
          <w:rStyle w:val="ONUMEChar"/>
          <w:szCs w:val="22"/>
          <w:lang w:val="fr-FR"/>
        </w:rPr>
        <w:t>Dans le cadre des services de règlement extrajudiciaire des litiges proposés dans des secteurs particuliers, et compte tenu de l</w:t>
      </w:r>
      <w:r w:rsidR="001B0195">
        <w:rPr>
          <w:rStyle w:val="ONUMEChar"/>
          <w:szCs w:val="22"/>
          <w:lang w:val="fr-FR"/>
        </w:rPr>
        <w:t>’</w:t>
      </w:r>
      <w:r w:rsidRPr="00C87EE9">
        <w:rPr>
          <w:rStyle w:val="ONUMEChar"/>
          <w:szCs w:val="22"/>
          <w:lang w:val="fr-FR"/>
        </w:rPr>
        <w:t>augmentation de nombre de litiges en matière de franchises et d</w:t>
      </w:r>
      <w:r w:rsidR="001B0195">
        <w:rPr>
          <w:rStyle w:val="ONUMEChar"/>
          <w:szCs w:val="22"/>
          <w:lang w:val="fr-FR"/>
        </w:rPr>
        <w:t>’</w:t>
      </w:r>
      <w:r w:rsidRPr="00C87EE9">
        <w:rPr>
          <w:rStyle w:val="ONUMEChar"/>
          <w:szCs w:val="22"/>
          <w:lang w:val="fr-FR"/>
        </w:rPr>
        <w:t>accords de distribution, le Centre offre des services de conseil sur mesure et d</w:t>
      </w:r>
      <w:r w:rsidR="001B0195">
        <w:rPr>
          <w:rStyle w:val="ONUMEChar"/>
          <w:szCs w:val="22"/>
          <w:lang w:val="fr-FR"/>
        </w:rPr>
        <w:t>’</w:t>
      </w:r>
      <w:r w:rsidRPr="00C87EE9">
        <w:rPr>
          <w:rStyle w:val="ONUMEChar"/>
          <w:szCs w:val="22"/>
          <w:lang w:val="fr-FR"/>
        </w:rPr>
        <w:t>administration des litiges pour régler les litig</w:t>
      </w:r>
      <w:r w:rsidR="00FE15D5" w:rsidRPr="00C87EE9">
        <w:rPr>
          <w:rStyle w:val="ONUMEChar"/>
          <w:szCs w:val="22"/>
          <w:lang w:val="fr-FR"/>
        </w:rPr>
        <w:t>es</w:t>
      </w:r>
      <w:r w:rsidR="00FE15D5">
        <w:rPr>
          <w:rStyle w:val="ONUMEChar"/>
          <w:szCs w:val="22"/>
          <w:lang w:val="fr-FR"/>
        </w:rPr>
        <w:t xml:space="preserve">.  </w:t>
      </w:r>
      <w:r w:rsidR="00FE15D5" w:rsidRPr="00C87EE9">
        <w:rPr>
          <w:rStyle w:val="ONUMEChar"/>
          <w:szCs w:val="22"/>
          <w:lang w:val="fr-FR"/>
        </w:rPr>
        <w:t>Le</w:t>
      </w:r>
      <w:r w:rsidRPr="00C87EE9">
        <w:rPr>
          <w:rStyle w:val="ONUMEChar"/>
          <w:szCs w:val="22"/>
          <w:lang w:val="fr-FR"/>
        </w:rPr>
        <w:t xml:space="preserve"> Centre coopère notamment avec l</w:t>
      </w:r>
      <w:r w:rsidR="001B0195">
        <w:rPr>
          <w:rStyle w:val="ONUMEChar"/>
          <w:szCs w:val="22"/>
          <w:lang w:val="fr-FR"/>
        </w:rPr>
        <w:t>’</w:t>
      </w:r>
      <w:r w:rsidRPr="00C87EE9">
        <w:rPr>
          <w:rStyle w:val="ONUMEChar"/>
          <w:szCs w:val="22"/>
          <w:lang w:val="fr-FR"/>
        </w:rPr>
        <w:t>Association brésilienne de la franchise (ABF)</w:t>
      </w:r>
      <w:r>
        <w:rPr>
          <w:rStyle w:val="ONUMEChar"/>
          <w:szCs w:val="22"/>
          <w:lang w:val="fr-FR"/>
        </w:rPr>
        <w:t>,</w:t>
      </w:r>
      <w:r w:rsidRPr="00C87EE9">
        <w:rPr>
          <w:rStyle w:val="ONUMEChar"/>
          <w:szCs w:val="22"/>
          <w:lang w:val="fr-FR"/>
        </w:rPr>
        <w:t xml:space="preserve"> l</w:t>
      </w:r>
      <w:r w:rsidR="001B0195">
        <w:rPr>
          <w:rStyle w:val="ONUMEChar"/>
          <w:szCs w:val="22"/>
          <w:lang w:val="fr-FR"/>
        </w:rPr>
        <w:t>’</w:t>
      </w:r>
      <w:r w:rsidRPr="00C87EE9">
        <w:rPr>
          <w:rStyle w:val="ONUMEChar"/>
          <w:szCs w:val="22"/>
          <w:lang w:val="fr-FR"/>
        </w:rPr>
        <w:t>Association espagnole des franchiseurs (AEF)</w:t>
      </w:r>
      <w:r>
        <w:rPr>
          <w:rStyle w:val="ONUMEChar"/>
          <w:szCs w:val="22"/>
          <w:lang w:val="fr-FR"/>
        </w:rPr>
        <w:t>,</w:t>
      </w:r>
      <w:r w:rsidRPr="00C87EE9">
        <w:rPr>
          <w:rStyle w:val="ONUMEChar"/>
          <w:szCs w:val="22"/>
          <w:lang w:val="fr-FR"/>
        </w:rPr>
        <w:t xml:space="preserve"> la Fédération suisse de la franchise (FSF)</w:t>
      </w:r>
      <w:r>
        <w:rPr>
          <w:rStyle w:val="ONUMEChar"/>
          <w:szCs w:val="22"/>
          <w:lang w:val="fr-FR"/>
        </w:rPr>
        <w:t xml:space="preserve"> et </w:t>
      </w:r>
      <w:r w:rsidRPr="00C87EE9">
        <w:rPr>
          <w:rStyle w:val="ONUMEChar"/>
          <w:szCs w:val="22"/>
          <w:lang w:val="fr-FR"/>
        </w:rPr>
        <w:t xml:space="preserve">la Franchising and </w:t>
      </w:r>
      <w:proofErr w:type="spellStart"/>
      <w:r w:rsidRPr="00C87EE9">
        <w:rPr>
          <w:rStyle w:val="ONUMEChar"/>
          <w:szCs w:val="22"/>
          <w:lang w:val="fr-FR"/>
        </w:rPr>
        <w:t>Licensing</w:t>
      </w:r>
      <w:proofErr w:type="spellEnd"/>
      <w:r>
        <w:rPr>
          <w:rStyle w:val="ONUMEChar"/>
          <w:szCs w:val="22"/>
          <w:lang w:val="fr-FR"/>
        </w:rPr>
        <w:t xml:space="preserve"> Association (FLA) de Singapour</w:t>
      </w:r>
      <w:r w:rsidRPr="00C87EE9">
        <w:rPr>
          <w:rStyle w:val="ONUMEChar"/>
          <w:szCs w:val="22"/>
          <w:lang w:val="fr-FR"/>
        </w:rPr>
        <w:t xml:space="preserve"> pour mieux faire connaître les mécanismes extrajudiciaires de règlement des litiges proposés aux parties prenantes</w:t>
      </w:r>
      <w:r>
        <w:rPr>
          <w:rStyle w:val="ONUMEChar"/>
          <w:szCs w:val="22"/>
          <w:lang w:val="fr-FR"/>
        </w:rPr>
        <w:t>.</w:t>
      </w:r>
    </w:p>
    <w:p w:rsidR="00612F56" w:rsidRPr="00265EA1" w:rsidRDefault="004D0056" w:rsidP="00345811">
      <w:pPr>
        <w:pStyle w:val="Heading1"/>
      </w:pPr>
      <w:r w:rsidRPr="004D0056">
        <w:t>Administration des litiges relatifs aux noms de domaine</w:t>
      </w:r>
    </w:p>
    <w:p w:rsidR="00612F56" w:rsidRPr="008700E1" w:rsidRDefault="00612F56" w:rsidP="00B36AF7">
      <w:pPr>
        <w:pStyle w:val="Heading2"/>
      </w:pPr>
      <w:r w:rsidRPr="008700E1">
        <w:t>A.</w:t>
      </w:r>
      <w:r w:rsidRPr="008700E1">
        <w:tab/>
      </w:r>
      <w:r w:rsidR="008700E1" w:rsidRPr="008700E1">
        <w:t>Principes UDRP</w:t>
      </w:r>
    </w:p>
    <w:p w:rsidR="00612F56" w:rsidRPr="00265EA1" w:rsidRDefault="00612F56" w:rsidP="00B36AF7">
      <w:pPr>
        <w:rPr>
          <w:lang w:val="fr-FR"/>
        </w:rPr>
      </w:pPr>
    </w:p>
    <w:p w:rsidR="00612F56" w:rsidRPr="00265EA1" w:rsidRDefault="004D0056" w:rsidP="00B36AF7">
      <w:pPr>
        <w:pStyle w:val="ONUMFS"/>
        <w:rPr>
          <w:lang w:val="fr-FR"/>
        </w:rPr>
      </w:pPr>
      <w:r w:rsidRPr="004D0056">
        <w:rPr>
          <w:lang w:val="fr-FR"/>
        </w:rPr>
        <w:t>Le système de noms de domaine (DNS) soulève sur le plan de la protection de la propriété intellectuelle un certain nombre de défis qui, compte tenu de la nature planétaire de l</w:t>
      </w:r>
      <w:r w:rsidR="001B0195">
        <w:rPr>
          <w:lang w:val="fr-FR"/>
        </w:rPr>
        <w:t>’</w:t>
      </w:r>
      <w:r w:rsidRPr="004D0056">
        <w:rPr>
          <w:lang w:val="fr-FR"/>
        </w:rPr>
        <w:t>Internet, appellent une action internationale.</w:t>
      </w:r>
      <w:r>
        <w:rPr>
          <w:lang w:val="fr-FR"/>
        </w:rPr>
        <w:t xml:space="preserve">  </w:t>
      </w:r>
      <w:r w:rsidRPr="004D0056">
        <w:rPr>
          <w:lang w:val="fr-FR"/>
        </w:rPr>
        <w:t>L</w:t>
      </w:r>
      <w:r w:rsidR="001B0195">
        <w:rPr>
          <w:lang w:val="fr-FR"/>
        </w:rPr>
        <w:t>’</w:t>
      </w:r>
      <w:r w:rsidRPr="004D0056">
        <w:rPr>
          <w:lang w:val="fr-FR"/>
        </w:rPr>
        <w:t xml:space="preserve">OMPI répond à ces défis depuis 1998, en </w:t>
      </w:r>
      <w:r w:rsidRPr="004D0056">
        <w:rPr>
          <w:lang w:val="fr-FR"/>
        </w:rPr>
        <w:lastRenderedPageBreak/>
        <w:t>élaborant des solutions sur mesure, notamment dans le cadre des premier</w:t>
      </w:r>
      <w:r w:rsidR="00612F56" w:rsidRPr="00265EA1">
        <w:rPr>
          <w:rStyle w:val="FootnoteReference"/>
          <w:szCs w:val="24"/>
          <w:lang w:val="fr-FR"/>
        </w:rPr>
        <w:footnoteReference w:id="15"/>
      </w:r>
      <w:r w:rsidR="00612F56" w:rsidRPr="00265EA1">
        <w:rPr>
          <w:lang w:val="fr-FR"/>
        </w:rPr>
        <w:t xml:space="preserve"> </w:t>
      </w:r>
      <w:r w:rsidRPr="004D0056">
        <w:rPr>
          <w:lang w:val="fr-FR"/>
        </w:rPr>
        <w:t>et deuxième</w:t>
      </w:r>
      <w:r w:rsidR="00612F56" w:rsidRPr="00265EA1">
        <w:rPr>
          <w:rStyle w:val="FootnoteReference"/>
          <w:szCs w:val="24"/>
          <w:lang w:val="fr-FR"/>
        </w:rPr>
        <w:footnoteReference w:id="16"/>
      </w:r>
      <w:r w:rsidR="00612F56" w:rsidRPr="00265EA1">
        <w:rPr>
          <w:lang w:val="fr-FR"/>
        </w:rPr>
        <w:t xml:space="preserve"> </w:t>
      </w:r>
      <w:r w:rsidRPr="004D0056">
        <w:rPr>
          <w:lang w:val="fr-FR"/>
        </w:rPr>
        <w:t>processus de consultations de l</w:t>
      </w:r>
      <w:r w:rsidR="001B0195">
        <w:rPr>
          <w:lang w:val="fr-FR"/>
        </w:rPr>
        <w:t>’</w:t>
      </w:r>
      <w:r w:rsidRPr="004D0056">
        <w:rPr>
          <w:lang w:val="fr-FR"/>
        </w:rPr>
        <w:t>OMPI sur les noms de domaine de l</w:t>
      </w:r>
      <w:r w:rsidR="001B0195">
        <w:rPr>
          <w:lang w:val="fr-FR"/>
        </w:rPr>
        <w:t>’</w:t>
      </w:r>
      <w:r w:rsidRPr="004D0056">
        <w:rPr>
          <w:lang w:val="fr-FR"/>
        </w:rPr>
        <w:t>Intern</w:t>
      </w:r>
      <w:r w:rsidR="00FE15D5" w:rsidRPr="004D0056">
        <w:rPr>
          <w:lang w:val="fr-FR"/>
        </w:rPr>
        <w:t>et</w:t>
      </w:r>
      <w:r w:rsidR="00FE15D5">
        <w:rPr>
          <w:lang w:val="fr-FR"/>
        </w:rPr>
        <w:t xml:space="preserve">.  </w:t>
      </w:r>
      <w:r w:rsidR="00FE15D5" w:rsidRPr="004D0056">
        <w:rPr>
          <w:lang w:val="fr-FR"/>
        </w:rPr>
        <w:t>Pa</w:t>
      </w:r>
      <w:r w:rsidRPr="004D0056">
        <w:rPr>
          <w:lang w:val="fr-FR"/>
        </w:rPr>
        <w:t>r l</w:t>
      </w:r>
      <w:r w:rsidR="001B0195">
        <w:rPr>
          <w:lang w:val="fr-FR"/>
        </w:rPr>
        <w:t>’</w:t>
      </w:r>
      <w:r w:rsidRPr="004D0056">
        <w:rPr>
          <w:lang w:val="fr-FR"/>
        </w:rPr>
        <w:t>intermédiaire du Centre, l</w:t>
      </w:r>
      <w:r w:rsidR="001B0195">
        <w:rPr>
          <w:lang w:val="fr-FR"/>
        </w:rPr>
        <w:t>’</w:t>
      </w:r>
      <w:r w:rsidRPr="004D0056">
        <w:rPr>
          <w:lang w:val="fr-FR"/>
        </w:rPr>
        <w:t>OMPI met à la disposition des propriétaires de marques des mécanismes internationaux efficaces contre l</w:t>
      </w:r>
      <w:r w:rsidR="001B0195">
        <w:rPr>
          <w:lang w:val="fr-FR"/>
        </w:rPr>
        <w:t>’</w:t>
      </w:r>
      <w:r w:rsidRPr="004D0056">
        <w:rPr>
          <w:lang w:val="fr-FR"/>
        </w:rPr>
        <w:t>enregistrement et l</w:t>
      </w:r>
      <w:r w:rsidR="001B0195">
        <w:rPr>
          <w:lang w:val="fr-FR"/>
        </w:rPr>
        <w:t>’</w:t>
      </w:r>
      <w:r w:rsidRPr="004D0056">
        <w:rPr>
          <w:lang w:val="fr-FR"/>
        </w:rPr>
        <w:t>utilisation de mauvaise foi de noms de domaine correspondant à leurs marqu</w:t>
      </w:r>
      <w:r w:rsidR="00FE15D5" w:rsidRPr="004D0056">
        <w:rPr>
          <w:lang w:val="fr-FR"/>
        </w:rPr>
        <w:t>es</w:t>
      </w:r>
      <w:r w:rsidR="00FE15D5">
        <w:rPr>
          <w:lang w:val="fr-FR"/>
        </w:rPr>
        <w:t xml:space="preserve">.  </w:t>
      </w:r>
      <w:r w:rsidR="00FE15D5" w:rsidRPr="004D0056">
        <w:rPr>
          <w:lang w:val="fr-FR"/>
        </w:rPr>
        <w:t>Le</w:t>
      </w:r>
      <w:r w:rsidRPr="004D0056">
        <w:rPr>
          <w:lang w:val="fr-FR"/>
        </w:rPr>
        <w:t xml:space="preserve"> principal mécanisme administré par le Centre, </w:t>
      </w:r>
      <w:r w:rsidR="001B0195">
        <w:rPr>
          <w:lang w:val="fr-FR"/>
        </w:rPr>
        <w:t>à savoir</w:t>
      </w:r>
      <w:r w:rsidRPr="004D0056">
        <w:rPr>
          <w:lang w:val="fr-FR"/>
        </w:rPr>
        <w:t xml:space="preserve"> les principes UDRP, a été adopté par l</w:t>
      </w:r>
      <w:r w:rsidR="001B0195">
        <w:rPr>
          <w:lang w:val="fr-FR"/>
        </w:rPr>
        <w:t>’</w:t>
      </w:r>
      <w:r w:rsidRPr="004D0056">
        <w:rPr>
          <w:lang w:val="fr-FR"/>
        </w:rPr>
        <w:t>ICANN sur la base des recommandations faites par l</w:t>
      </w:r>
      <w:r w:rsidR="001B0195">
        <w:rPr>
          <w:lang w:val="fr-FR"/>
        </w:rPr>
        <w:t>’</w:t>
      </w:r>
      <w:r w:rsidRPr="004D0056">
        <w:rPr>
          <w:lang w:val="fr-FR"/>
        </w:rPr>
        <w:t>OMPI à l</w:t>
      </w:r>
      <w:r w:rsidR="001B0195">
        <w:rPr>
          <w:lang w:val="fr-FR"/>
        </w:rPr>
        <w:t>’</w:t>
      </w:r>
      <w:r w:rsidRPr="004D0056">
        <w:rPr>
          <w:lang w:val="fr-FR"/>
        </w:rPr>
        <w:t>issue du premier processus de consultations sur les noms de domaine de l</w:t>
      </w:r>
      <w:r w:rsidR="001B0195">
        <w:rPr>
          <w:lang w:val="fr-FR"/>
        </w:rPr>
        <w:t>’</w:t>
      </w:r>
      <w:r w:rsidRPr="004D0056">
        <w:rPr>
          <w:lang w:val="fr-FR"/>
        </w:rPr>
        <w:t>Internet</w:t>
      </w:r>
      <w:r w:rsidR="00612F56" w:rsidRPr="00265EA1">
        <w:rPr>
          <w:lang w:val="fr-FR"/>
        </w:rPr>
        <w:t>.</w:t>
      </w:r>
    </w:p>
    <w:p w:rsidR="00612F56" w:rsidRPr="00265EA1" w:rsidRDefault="00DE4093" w:rsidP="00B36AF7">
      <w:pPr>
        <w:pStyle w:val="ONUMFS"/>
        <w:rPr>
          <w:lang w:val="fr-FR"/>
        </w:rPr>
      </w:pPr>
      <w:r>
        <w:rPr>
          <w:lang w:val="fr-FR"/>
        </w:rPr>
        <w:t>S</w:t>
      </w:r>
      <w:r w:rsidR="001B0195">
        <w:rPr>
          <w:lang w:val="fr-FR"/>
        </w:rPr>
        <w:t>’</w:t>
      </w:r>
      <w:r>
        <w:rPr>
          <w:lang w:val="fr-FR"/>
        </w:rPr>
        <w:t>appliquant exclusivement aux cas manifestes de mauvaise foi, les principes UDRP sont très appréciés parmi les propriétaires de marques</w:t>
      </w:r>
      <w:r w:rsidR="00612F56" w:rsidRPr="00265EA1">
        <w:rPr>
          <w:rStyle w:val="FootnoteReference"/>
          <w:szCs w:val="24"/>
          <w:lang w:val="fr-FR"/>
        </w:rPr>
        <w:footnoteReference w:id="17"/>
      </w:r>
      <w:r>
        <w:rPr>
          <w:lang w:val="fr-FR"/>
        </w:rPr>
        <w:t>.</w:t>
      </w:r>
      <w:r w:rsidR="00612F56" w:rsidRPr="00265EA1">
        <w:rPr>
          <w:lang w:val="fr-FR"/>
        </w:rPr>
        <w:t xml:space="preserve">  </w:t>
      </w:r>
      <w:r w:rsidRPr="00DE4093">
        <w:rPr>
          <w:lang w:val="fr-FR"/>
        </w:rPr>
        <w:t xml:space="preserve">Depuis décembre 1999, le Centre a administré </w:t>
      </w:r>
      <w:r>
        <w:rPr>
          <w:lang w:val="fr-FR"/>
        </w:rPr>
        <w:t>plus de</w:t>
      </w:r>
      <w:r w:rsidRPr="00DE4093">
        <w:rPr>
          <w:lang w:val="fr-FR"/>
        </w:rPr>
        <w:t xml:space="preserve"> 3</w:t>
      </w:r>
      <w:r>
        <w:rPr>
          <w:lang w:val="fr-FR"/>
        </w:rPr>
        <w:t>8</w:t>
      </w:r>
      <w:r w:rsidRPr="00DE4093">
        <w:rPr>
          <w:lang w:val="fr-FR"/>
        </w:rPr>
        <w:t> 000 litiges sur la base des principes UDRP</w:t>
      </w:r>
      <w:r w:rsidR="00612F56" w:rsidRPr="00265EA1">
        <w:rPr>
          <w:vertAlign w:val="superscript"/>
          <w:lang w:val="fr-FR"/>
        </w:rPr>
        <w:footnoteReference w:id="18"/>
      </w:r>
      <w:r>
        <w:rPr>
          <w:lang w:val="fr-FR"/>
        </w:rPr>
        <w:t>.</w:t>
      </w:r>
      <w:r w:rsidR="00612F56" w:rsidRPr="00265EA1">
        <w:rPr>
          <w:lang w:val="fr-FR"/>
        </w:rPr>
        <w:t xml:space="preserve">  </w:t>
      </w:r>
      <w:r w:rsidRPr="00DE4093">
        <w:rPr>
          <w:lang w:val="fr-FR"/>
        </w:rPr>
        <w:t>En 201</w:t>
      </w:r>
      <w:r>
        <w:rPr>
          <w:lang w:val="fr-FR"/>
        </w:rPr>
        <w:t>6</w:t>
      </w:r>
      <w:r w:rsidRPr="00DE4093">
        <w:rPr>
          <w:lang w:val="fr-FR"/>
        </w:rPr>
        <w:t xml:space="preserve">, les propriétaires de marques ont déposé auprès du Centre </w:t>
      </w:r>
      <w:r>
        <w:rPr>
          <w:lang w:val="fr-FR"/>
        </w:rPr>
        <w:t>3036</w:t>
      </w:r>
      <w:r w:rsidRPr="00DE4093">
        <w:rPr>
          <w:lang w:val="fr-FR"/>
        </w:rPr>
        <w:t> plaintes en vertu des prin</w:t>
      </w:r>
      <w:r>
        <w:rPr>
          <w:lang w:val="fr-FR"/>
        </w:rPr>
        <w:t>cipes UDRP, soit une augmentation de 10</w:t>
      </w:r>
      <w:r w:rsidRPr="00DE4093">
        <w:rPr>
          <w:lang w:val="fr-FR"/>
        </w:rPr>
        <w:t>% par rapport à 201</w:t>
      </w:r>
      <w:r>
        <w:rPr>
          <w:lang w:val="fr-FR"/>
        </w:rPr>
        <w:t>5</w:t>
      </w:r>
      <w:r w:rsidR="00663228" w:rsidRPr="00265EA1">
        <w:rPr>
          <w:lang w:val="fr-FR"/>
        </w:rPr>
        <w:t xml:space="preserve"> </w:t>
      </w:r>
      <w:r>
        <w:rPr>
          <w:lang w:val="fr-FR"/>
        </w:rPr>
        <w:t>et la première fois que le nombre de plaintes déposées dépasse la barre des 3000 en une ann</w:t>
      </w:r>
      <w:r w:rsidR="00FE15D5">
        <w:rPr>
          <w:lang w:val="fr-FR"/>
        </w:rPr>
        <w:t>ée.  Au</w:t>
      </w:r>
      <w:r>
        <w:rPr>
          <w:lang w:val="fr-FR"/>
        </w:rPr>
        <w:t xml:space="preserve"> mois de </w:t>
      </w:r>
      <w:r w:rsidR="001B0195">
        <w:rPr>
          <w:lang w:val="fr-FR"/>
        </w:rPr>
        <w:t>juin 20</w:t>
      </w:r>
      <w:r>
        <w:rPr>
          <w:lang w:val="fr-FR"/>
        </w:rPr>
        <w:t xml:space="preserve">17, </w:t>
      </w:r>
      <w:r w:rsidRPr="00DE4093">
        <w:rPr>
          <w:lang w:val="fr-FR"/>
        </w:rPr>
        <w:t>le nombre total de litiges relatifs à des noms de domaine administrés par l</w:t>
      </w:r>
      <w:r w:rsidR="001B0195">
        <w:rPr>
          <w:lang w:val="fr-FR"/>
        </w:rPr>
        <w:t>’</w:t>
      </w:r>
      <w:r w:rsidRPr="00DE4093">
        <w:rPr>
          <w:lang w:val="fr-FR"/>
        </w:rPr>
        <w:t xml:space="preserve">OMPI en vertu des principes UDRP </w:t>
      </w:r>
      <w:r>
        <w:rPr>
          <w:lang w:val="fr-FR"/>
        </w:rPr>
        <w:t xml:space="preserve">dépassait les </w:t>
      </w:r>
      <w:r w:rsidRPr="00DE4093">
        <w:rPr>
          <w:lang w:val="fr-FR"/>
        </w:rPr>
        <w:t>7</w:t>
      </w:r>
      <w:r>
        <w:rPr>
          <w:lang w:val="fr-FR"/>
        </w:rPr>
        <w:t>0</w:t>
      </w:r>
      <w:r w:rsidRPr="00DE4093">
        <w:rPr>
          <w:lang w:val="fr-FR"/>
        </w:rPr>
        <w:t> 000.</w:t>
      </w:r>
    </w:p>
    <w:p w:rsidR="00612F56" w:rsidRPr="00265EA1" w:rsidRDefault="00606034" w:rsidP="00B36AF7">
      <w:pPr>
        <w:pStyle w:val="ONUMFS"/>
        <w:rPr>
          <w:lang w:val="fr-FR"/>
        </w:rPr>
      </w:pPr>
      <w:r w:rsidRPr="00606034">
        <w:rPr>
          <w:lang w:val="fr-FR"/>
        </w:rPr>
        <w:t>Un mélange d</w:t>
      </w:r>
      <w:r w:rsidR="001B0195">
        <w:rPr>
          <w:lang w:val="fr-FR"/>
        </w:rPr>
        <w:t>’</w:t>
      </w:r>
      <w:r w:rsidRPr="00606034">
        <w:rPr>
          <w:lang w:val="fr-FR"/>
        </w:rPr>
        <w:t>entreprises, d</w:t>
      </w:r>
      <w:r w:rsidR="001B0195">
        <w:rPr>
          <w:lang w:val="fr-FR"/>
        </w:rPr>
        <w:t>’</w:t>
      </w:r>
      <w:r w:rsidRPr="00606034">
        <w:rPr>
          <w:lang w:val="fr-FR"/>
        </w:rPr>
        <w:t>institutions et de particuliers ont fait appel aux procédures de règlement des litiges du Centre en </w:t>
      </w:r>
      <w:r w:rsidR="00612F56" w:rsidRPr="00265EA1">
        <w:rPr>
          <w:lang w:val="fr-FR"/>
        </w:rPr>
        <w:t>201</w:t>
      </w:r>
      <w:r w:rsidR="00663228" w:rsidRPr="00265EA1">
        <w:rPr>
          <w:lang w:val="fr-FR"/>
        </w:rPr>
        <w:t>6</w:t>
      </w:r>
      <w:r>
        <w:rPr>
          <w:lang w:val="fr-FR"/>
        </w:rPr>
        <w:t xml:space="preserve">. </w:t>
      </w:r>
      <w:r w:rsidR="00964123" w:rsidRPr="00265EA1">
        <w:rPr>
          <w:lang w:val="fr-FR"/>
        </w:rPr>
        <w:t xml:space="preserve"> </w:t>
      </w:r>
      <w:r w:rsidRPr="00606034">
        <w:rPr>
          <w:lang w:val="fr-FR"/>
        </w:rPr>
        <w:t>Les principaux secteurs d</w:t>
      </w:r>
      <w:r w:rsidR="001B0195">
        <w:rPr>
          <w:lang w:val="fr-FR"/>
        </w:rPr>
        <w:t>’</w:t>
      </w:r>
      <w:r w:rsidRPr="00606034">
        <w:rPr>
          <w:lang w:val="fr-FR"/>
        </w:rPr>
        <w:t>activité des requérants étaient la banque et la finance, la mode, l</w:t>
      </w:r>
      <w:r w:rsidR="001B0195">
        <w:rPr>
          <w:lang w:val="fr-FR"/>
        </w:rPr>
        <w:t>’</w:t>
      </w:r>
      <w:r w:rsidRPr="00606034">
        <w:rPr>
          <w:lang w:val="fr-FR"/>
        </w:rPr>
        <w:t>industrie lourde et la construction de machines</w:t>
      </w:r>
      <w:r>
        <w:rPr>
          <w:lang w:val="fr-FR"/>
        </w:rPr>
        <w:t>,</w:t>
      </w:r>
      <w:r w:rsidRPr="00606034">
        <w:rPr>
          <w:lang w:val="fr-FR"/>
        </w:rPr>
        <w:t xml:space="preserve"> l</w:t>
      </w:r>
      <w:r w:rsidR="001B0195">
        <w:rPr>
          <w:lang w:val="fr-FR"/>
        </w:rPr>
        <w:t>’</w:t>
      </w:r>
      <w:r w:rsidRPr="00606034">
        <w:rPr>
          <w:lang w:val="fr-FR"/>
        </w:rPr>
        <w:t>Internet et les technologies de l</w:t>
      </w:r>
      <w:r w:rsidR="001B0195">
        <w:rPr>
          <w:lang w:val="fr-FR"/>
        </w:rPr>
        <w:t>’</w:t>
      </w:r>
      <w:r w:rsidRPr="00606034">
        <w:rPr>
          <w:lang w:val="fr-FR"/>
        </w:rPr>
        <w:t xml:space="preserve">information, </w:t>
      </w:r>
      <w:r>
        <w:rPr>
          <w:lang w:val="fr-FR"/>
        </w:rPr>
        <w:t xml:space="preserve">la biotechnologie et les médicaments, ainsi que </w:t>
      </w:r>
      <w:r w:rsidRPr="00606034">
        <w:rPr>
          <w:lang w:val="fr-FR"/>
        </w:rPr>
        <w:t>le commerce de déta</w:t>
      </w:r>
      <w:r w:rsidR="00FE15D5" w:rsidRPr="00606034">
        <w:rPr>
          <w:lang w:val="fr-FR"/>
        </w:rPr>
        <w:t>il</w:t>
      </w:r>
      <w:r w:rsidR="00FE15D5">
        <w:rPr>
          <w:lang w:val="fr-FR"/>
        </w:rPr>
        <w:t>.  L</w:t>
      </w:r>
      <w:r w:rsidR="00FE15D5" w:rsidRPr="00606034">
        <w:rPr>
          <w:lang w:val="fr-FR"/>
        </w:rPr>
        <w:t>e</w:t>
      </w:r>
      <w:r w:rsidRPr="00606034">
        <w:rPr>
          <w:lang w:val="fr-FR"/>
        </w:rPr>
        <w:t>s plaintes relatives aux marques de luxe sous lesquelles sont commercialisés les produits ou services en interaction directe avec les consommateurs sont souvent déposées par des propriétaires de marques pour des contrefaçons proposées sur les pages Web du domaine en liti</w:t>
      </w:r>
      <w:r w:rsidR="00FE15D5" w:rsidRPr="00606034">
        <w:rPr>
          <w:lang w:val="fr-FR"/>
        </w:rPr>
        <w:t>ge</w:t>
      </w:r>
      <w:r w:rsidR="00FE15D5">
        <w:rPr>
          <w:lang w:val="fr-FR"/>
        </w:rPr>
        <w:t xml:space="preserve">.  </w:t>
      </w:r>
      <w:r w:rsidR="00FE15D5" w:rsidRPr="00606034">
        <w:rPr>
          <w:lang w:val="fr-FR"/>
        </w:rPr>
        <w:t>Si</w:t>
      </w:r>
      <w:r w:rsidRPr="00606034">
        <w:rPr>
          <w:lang w:val="fr-FR"/>
        </w:rPr>
        <w:t>gne de la portée globale de ce mécanisme de règlement des litiges, les parties nommément désignées dans les procédures administrées par l</w:t>
      </w:r>
      <w:r w:rsidR="001B0195">
        <w:rPr>
          <w:lang w:val="fr-FR"/>
        </w:rPr>
        <w:t>’</w:t>
      </w:r>
      <w:r w:rsidRPr="00606034">
        <w:rPr>
          <w:lang w:val="fr-FR"/>
        </w:rPr>
        <w:t>OMPI en 2016 ont représenté 178 pa</w:t>
      </w:r>
      <w:r w:rsidR="00FE15D5" w:rsidRPr="00606034">
        <w:rPr>
          <w:lang w:val="fr-FR"/>
        </w:rPr>
        <w:t>ys</w:t>
      </w:r>
      <w:r w:rsidR="00FE15D5">
        <w:rPr>
          <w:lang w:val="fr-FR"/>
        </w:rPr>
        <w:t xml:space="preserve">.  </w:t>
      </w:r>
      <w:r w:rsidR="00FE15D5" w:rsidRPr="00606034">
        <w:rPr>
          <w:lang w:val="fr-FR"/>
        </w:rPr>
        <w:t>En</w:t>
      </w:r>
      <w:r w:rsidRPr="00606034">
        <w:rPr>
          <w:lang w:val="fr-FR"/>
        </w:rPr>
        <w:t xml:space="preserve"> fonction de la langue du contrat d</w:t>
      </w:r>
      <w:r w:rsidR="001B0195">
        <w:rPr>
          <w:lang w:val="fr-FR"/>
        </w:rPr>
        <w:t>’</w:t>
      </w:r>
      <w:r w:rsidRPr="00606034">
        <w:rPr>
          <w:lang w:val="fr-FR"/>
        </w:rPr>
        <w:t>enregistrement applicable au nom de domaine en cause, l</w:t>
      </w:r>
      <w:r w:rsidR="001B0195">
        <w:rPr>
          <w:lang w:val="fr-FR"/>
        </w:rPr>
        <w:t>’</w:t>
      </w:r>
      <w:r w:rsidRPr="00606034">
        <w:rPr>
          <w:lang w:val="fr-FR"/>
        </w:rPr>
        <w:t>OMPI a conduit jusqu</w:t>
      </w:r>
      <w:r w:rsidR="001B0195">
        <w:rPr>
          <w:lang w:val="fr-FR"/>
        </w:rPr>
        <w:t>’</w:t>
      </w:r>
      <w:r w:rsidRPr="00606034">
        <w:rPr>
          <w:lang w:val="fr-FR"/>
        </w:rPr>
        <w:t>ici des procédures en vertu des principes UDRP dans 21 langues</w:t>
      </w:r>
      <w:r w:rsidR="00612F56" w:rsidRPr="00265EA1">
        <w:rPr>
          <w:rStyle w:val="FootnoteReference"/>
          <w:szCs w:val="24"/>
          <w:lang w:val="fr-FR"/>
        </w:rPr>
        <w:footnoteReference w:id="19"/>
      </w:r>
      <w:r>
        <w:rPr>
          <w:lang w:val="fr-FR"/>
        </w:rPr>
        <w:t>.</w:t>
      </w:r>
    </w:p>
    <w:p w:rsidR="00612F56" w:rsidRPr="00265EA1" w:rsidRDefault="00332C20" w:rsidP="00B36AF7">
      <w:pPr>
        <w:pStyle w:val="ONUMFS"/>
        <w:rPr>
          <w:lang w:val="fr-FR"/>
        </w:rPr>
      </w:pPr>
      <w:r w:rsidRPr="00332C20">
        <w:rPr>
          <w:lang w:val="fr-FR"/>
        </w:rPr>
        <w:t>Toutes les décisions rendues par les commissions administratives de l</w:t>
      </w:r>
      <w:r w:rsidR="001B0195">
        <w:rPr>
          <w:lang w:val="fr-FR"/>
        </w:rPr>
        <w:t>’</w:t>
      </w:r>
      <w:r w:rsidRPr="00332C20">
        <w:rPr>
          <w:lang w:val="fr-FR"/>
        </w:rPr>
        <w:t>OMPI sont publiées sur le site Web du Cent</w:t>
      </w:r>
      <w:r w:rsidR="00FE15D5" w:rsidRPr="00332C20">
        <w:rPr>
          <w:lang w:val="fr-FR"/>
        </w:rPr>
        <w:t>re</w:t>
      </w:r>
      <w:r w:rsidR="00FE15D5">
        <w:rPr>
          <w:lang w:val="fr-FR"/>
        </w:rPr>
        <w:t>.  En</w:t>
      </w:r>
      <w:r w:rsidR="001B0195">
        <w:rPr>
          <w:lang w:val="fr-FR"/>
        </w:rPr>
        <w:t> </w:t>
      </w:r>
      <w:r w:rsidR="001B0195" w:rsidRPr="00265EA1">
        <w:rPr>
          <w:lang w:val="fr-FR"/>
        </w:rPr>
        <w:t>2017</w:t>
      </w:r>
      <w:r w:rsidR="00C12A9F" w:rsidRPr="00265EA1">
        <w:rPr>
          <w:lang w:val="fr-FR"/>
        </w:rPr>
        <w:t xml:space="preserve">, </w:t>
      </w:r>
      <w:r>
        <w:rPr>
          <w:lang w:val="fr-FR"/>
        </w:rPr>
        <w:t xml:space="preserve">le Centre a publié la troisième édition de la </w:t>
      </w:r>
      <w:r w:rsidRPr="00332C20">
        <w:rPr>
          <w:lang w:val="fr-FR"/>
        </w:rPr>
        <w:t>“Synthèse des avis des commissions administratives de l</w:t>
      </w:r>
      <w:r w:rsidR="001B0195">
        <w:rPr>
          <w:lang w:val="fr-FR"/>
        </w:rPr>
        <w:t>’</w:t>
      </w:r>
      <w:r w:rsidRPr="00332C20">
        <w:rPr>
          <w:lang w:val="fr-FR"/>
        </w:rPr>
        <w:t>OMPI sur certaines questions relatives aux principes UDRP”</w:t>
      </w:r>
      <w:r w:rsidR="00C12A9F" w:rsidRPr="00265EA1">
        <w:rPr>
          <w:lang w:val="fr-FR"/>
        </w:rPr>
        <w:t xml:space="preserve"> (WIPO </w:t>
      </w:r>
      <w:proofErr w:type="spellStart"/>
      <w:r w:rsidR="00C12A9F" w:rsidRPr="00265EA1">
        <w:rPr>
          <w:lang w:val="fr-FR"/>
        </w:rPr>
        <w:t>Overview</w:t>
      </w:r>
      <w:proofErr w:type="spellEnd"/>
      <w:r w:rsidR="00054A64">
        <w:rPr>
          <w:lang w:val="fr-FR"/>
        </w:rPr>
        <w:t> </w:t>
      </w:r>
      <w:r w:rsidR="00C12A9F" w:rsidRPr="00265EA1">
        <w:rPr>
          <w:lang w:val="fr-FR"/>
        </w:rPr>
        <w:t>3.0)</w:t>
      </w:r>
      <w:r w:rsidR="00DD06D0" w:rsidRPr="00265EA1">
        <w:rPr>
          <w:rStyle w:val="FootnoteReference"/>
          <w:lang w:val="fr-FR"/>
        </w:rPr>
        <w:footnoteReference w:id="20"/>
      </w:r>
      <w:r>
        <w:rPr>
          <w:lang w:val="fr-FR"/>
        </w:rPr>
        <w:t>,</w:t>
      </w:r>
      <w:r w:rsidR="00612F56" w:rsidRPr="00265EA1">
        <w:rPr>
          <w:lang w:val="fr-FR"/>
        </w:rPr>
        <w:t xml:space="preserve"> </w:t>
      </w:r>
      <w:r w:rsidRPr="00332C20">
        <w:rPr>
          <w:lang w:val="fr-FR"/>
        </w:rPr>
        <w:t>une synthèse unique des tendances générales des décisions rendues sur certaines questions importantes</w:t>
      </w:r>
      <w:r>
        <w:rPr>
          <w:lang w:val="fr-FR"/>
        </w:rPr>
        <w:t>, consultée en ligne dans le monde enti</w:t>
      </w:r>
      <w:r w:rsidR="00FE15D5">
        <w:rPr>
          <w:lang w:val="fr-FR"/>
        </w:rPr>
        <w:t>er.  Co</w:t>
      </w:r>
      <w:r w:rsidR="005961F7">
        <w:rPr>
          <w:lang w:val="fr-FR"/>
        </w:rPr>
        <w:t>uvrant plus d</w:t>
      </w:r>
      <w:r w:rsidR="001B0195">
        <w:rPr>
          <w:lang w:val="fr-FR"/>
        </w:rPr>
        <w:t>’</w:t>
      </w:r>
      <w:r w:rsidR="005961F7">
        <w:rPr>
          <w:lang w:val="fr-FR"/>
        </w:rPr>
        <w:t>une centaine de sujets, la présente version recense environ mille décisions représentatives rendues par 265</w:t>
      </w:r>
      <w:r w:rsidR="00054A64">
        <w:rPr>
          <w:lang w:val="fr-FR"/>
        </w:rPr>
        <w:t> </w:t>
      </w:r>
      <w:r w:rsidR="005961F7">
        <w:rPr>
          <w:lang w:val="fr-FR"/>
        </w:rPr>
        <w:t>experts de l</w:t>
      </w:r>
      <w:r w:rsidR="001B0195">
        <w:rPr>
          <w:lang w:val="fr-FR"/>
        </w:rPr>
        <w:t>’</w:t>
      </w:r>
      <w:r w:rsidR="005961F7">
        <w:rPr>
          <w:lang w:val="fr-FR"/>
        </w:rPr>
        <w:t>O</w:t>
      </w:r>
      <w:r w:rsidR="00FE15D5">
        <w:rPr>
          <w:lang w:val="fr-FR"/>
        </w:rPr>
        <w:t>MPI.  La</w:t>
      </w:r>
      <w:r w:rsidR="005961F7">
        <w:rPr>
          <w:lang w:val="fr-FR"/>
        </w:rPr>
        <w:t xml:space="preserve"> portée élargie de la version</w:t>
      </w:r>
      <w:r w:rsidR="00054A64">
        <w:rPr>
          <w:lang w:val="fr-FR"/>
        </w:rPr>
        <w:t> </w:t>
      </w:r>
      <w:r w:rsidR="005961F7">
        <w:rPr>
          <w:lang w:val="fr-FR"/>
        </w:rPr>
        <w:t>3.0 depuis la publication de la version</w:t>
      </w:r>
      <w:r w:rsidR="00054A64">
        <w:rPr>
          <w:lang w:val="fr-FR"/>
        </w:rPr>
        <w:t> </w:t>
      </w:r>
      <w:r w:rsidR="005961F7">
        <w:rPr>
          <w:lang w:val="fr-FR"/>
        </w:rPr>
        <w:t xml:space="preserve">2.0 </w:t>
      </w:r>
      <w:r w:rsidR="001B0195">
        <w:rPr>
          <w:lang w:val="fr-FR"/>
        </w:rPr>
        <w:t>en 2011</w:t>
      </w:r>
      <w:r w:rsidR="005961F7">
        <w:rPr>
          <w:lang w:val="fr-FR"/>
        </w:rPr>
        <w:t xml:space="preserve"> témoigne de l</w:t>
      </w:r>
      <w:r w:rsidR="001B0195">
        <w:rPr>
          <w:lang w:val="fr-FR"/>
        </w:rPr>
        <w:t>’</w:t>
      </w:r>
      <w:r w:rsidR="005961F7">
        <w:rPr>
          <w:lang w:val="fr-FR"/>
        </w:rPr>
        <w:t xml:space="preserve">évolution des litiges </w:t>
      </w:r>
      <w:r w:rsidR="005961F7">
        <w:rPr>
          <w:lang w:val="fr-FR"/>
        </w:rPr>
        <w:lastRenderedPageBreak/>
        <w:t>relatifs aux noms de domaine et des litiges administrés en vertu des principes UDRP, dont le nombre a pratiquement doublé depuis lo</w:t>
      </w:r>
      <w:r w:rsidR="00FE15D5">
        <w:rPr>
          <w:lang w:val="fr-FR"/>
        </w:rPr>
        <w:t>rs.  Ce</w:t>
      </w:r>
      <w:r w:rsidR="007B3909">
        <w:rPr>
          <w:lang w:val="fr-FR"/>
        </w:rPr>
        <w:t>t instrument joue un rôle essentiel en ce qu</w:t>
      </w:r>
      <w:r w:rsidR="001B0195">
        <w:rPr>
          <w:lang w:val="fr-FR"/>
        </w:rPr>
        <w:t>’</w:t>
      </w:r>
      <w:r w:rsidR="007B3909">
        <w:rPr>
          <w:lang w:val="fr-FR"/>
        </w:rPr>
        <w:t>il contribue à préserver la cohérence de la jurisprudence dans ce domai</w:t>
      </w:r>
      <w:r w:rsidR="00FE15D5">
        <w:rPr>
          <w:lang w:val="fr-FR"/>
        </w:rPr>
        <w:t xml:space="preserve">ne.  </w:t>
      </w:r>
      <w:r w:rsidR="00FE15D5" w:rsidRPr="007B3909">
        <w:rPr>
          <w:lang w:val="fr-FR"/>
        </w:rPr>
        <w:t>Po</w:t>
      </w:r>
      <w:r w:rsidR="007B3909" w:rsidRPr="007B3909">
        <w:rPr>
          <w:lang w:val="fr-FR"/>
        </w:rPr>
        <w:t>ur faciliter l</w:t>
      </w:r>
      <w:r w:rsidR="001B0195">
        <w:rPr>
          <w:lang w:val="fr-FR"/>
        </w:rPr>
        <w:t>’</w:t>
      </w:r>
      <w:r w:rsidR="007B3909" w:rsidRPr="007B3909">
        <w:rPr>
          <w:lang w:val="fr-FR"/>
        </w:rPr>
        <w:t>accès thématique à ces décisions, le Centre met aussi à disposition un index juridique des décisions rendues en vertu des principes UDRP qui permet d</w:t>
      </w:r>
      <w:r w:rsidR="001B0195">
        <w:rPr>
          <w:lang w:val="fr-FR"/>
        </w:rPr>
        <w:t>’</w:t>
      </w:r>
      <w:r w:rsidR="007B3909" w:rsidRPr="007B3909">
        <w:rPr>
          <w:lang w:val="fr-FR"/>
        </w:rPr>
        <w:t>effectuer des recherches en ligne</w:t>
      </w:r>
      <w:r w:rsidR="00612F56" w:rsidRPr="00265EA1">
        <w:rPr>
          <w:vertAlign w:val="superscript"/>
          <w:lang w:val="fr-FR"/>
        </w:rPr>
        <w:footnoteReference w:id="21"/>
      </w:r>
      <w:r w:rsidR="007B3909">
        <w:rPr>
          <w:lang w:val="fr-FR"/>
        </w:rPr>
        <w:t>.</w:t>
      </w:r>
      <w:r w:rsidR="005B1FA1" w:rsidRPr="00265EA1">
        <w:rPr>
          <w:lang w:val="fr-FR"/>
        </w:rPr>
        <w:t xml:space="preserve">  </w:t>
      </w:r>
      <w:r w:rsidR="007B3909" w:rsidRPr="007B3909">
        <w:rPr>
          <w:lang w:val="fr-FR"/>
        </w:rPr>
        <w:t>Ces ressources de l</w:t>
      </w:r>
      <w:r w:rsidR="001B0195">
        <w:rPr>
          <w:lang w:val="fr-FR"/>
        </w:rPr>
        <w:t>’</w:t>
      </w:r>
      <w:r w:rsidR="007B3909" w:rsidRPr="007B3909">
        <w:rPr>
          <w:lang w:val="fr-FR"/>
        </w:rPr>
        <w:t>OMPI sont accessibles gratuitement dans le monde entier</w:t>
      </w:r>
      <w:r w:rsidR="00612F56" w:rsidRPr="00265EA1">
        <w:rPr>
          <w:lang w:val="fr-FR"/>
        </w:rPr>
        <w:t>.</w:t>
      </w:r>
    </w:p>
    <w:p w:rsidR="001828EE" w:rsidRPr="001828EE" w:rsidRDefault="00CB75A3" w:rsidP="00B36AF7">
      <w:pPr>
        <w:pStyle w:val="ONUMFS"/>
        <w:rPr>
          <w:lang w:val="fr-FR"/>
        </w:rPr>
      </w:pPr>
      <w:r w:rsidRPr="00CB75A3">
        <w:rPr>
          <w:lang w:val="fr-FR"/>
        </w:rPr>
        <w:t>Conscient du rôle moteur joué par l</w:t>
      </w:r>
      <w:r w:rsidR="001B0195">
        <w:rPr>
          <w:lang w:val="fr-FR"/>
        </w:rPr>
        <w:t>’</w:t>
      </w:r>
      <w:r w:rsidRPr="00CB75A3">
        <w:rPr>
          <w:lang w:val="fr-FR"/>
        </w:rPr>
        <w:t>OMPI en ce qui concerne les principes UDRP, le Centre se tient informé des évolutions à l</w:t>
      </w:r>
      <w:r w:rsidR="001B0195">
        <w:rPr>
          <w:lang w:val="fr-FR"/>
        </w:rPr>
        <w:t>’</w:t>
      </w:r>
      <w:r w:rsidRPr="00CB75A3">
        <w:rPr>
          <w:lang w:val="fr-FR"/>
        </w:rPr>
        <w:t>œuvre dans le DNS afin d</w:t>
      </w:r>
      <w:r w:rsidR="001B0195">
        <w:rPr>
          <w:lang w:val="fr-FR"/>
        </w:rPr>
        <w:t>’</w:t>
      </w:r>
      <w:r w:rsidRPr="00CB75A3">
        <w:rPr>
          <w:lang w:val="fr-FR"/>
        </w:rPr>
        <w:t>ajuster ses ressources et ses pratiques</w:t>
      </w:r>
      <w:r w:rsidR="00612F56" w:rsidRPr="00265EA1">
        <w:rPr>
          <w:rStyle w:val="FootnoteReference"/>
          <w:szCs w:val="24"/>
          <w:lang w:val="fr-FR"/>
        </w:rPr>
        <w:footnoteReference w:id="22"/>
      </w:r>
      <w:r>
        <w:rPr>
          <w:lang w:val="fr-FR"/>
        </w:rPr>
        <w:t>.</w:t>
      </w:r>
      <w:r w:rsidR="00612F56" w:rsidRPr="00265EA1">
        <w:rPr>
          <w:lang w:val="fr-FR"/>
        </w:rPr>
        <w:t xml:space="preserve">  </w:t>
      </w:r>
      <w:r w:rsidRPr="00CB75A3">
        <w:rPr>
          <w:lang w:val="fr-FR"/>
        </w:rPr>
        <w:t>Le Centre organise régulièrement des ateliers sur le règlement des litiges relatifs aux noms de domaine pour informer les parties intéressées</w:t>
      </w:r>
      <w:r w:rsidR="00612F56" w:rsidRPr="00265EA1">
        <w:rPr>
          <w:rStyle w:val="FootnoteReference"/>
          <w:lang w:val="fr-FR"/>
        </w:rPr>
        <w:footnoteReference w:id="23"/>
      </w:r>
      <w:r>
        <w:rPr>
          <w:lang w:val="fr-FR"/>
        </w:rPr>
        <w:t>,</w:t>
      </w:r>
      <w:r w:rsidR="00612F56" w:rsidRPr="00265EA1">
        <w:rPr>
          <w:lang w:val="fr-FR"/>
        </w:rPr>
        <w:t xml:space="preserve"> </w:t>
      </w:r>
      <w:r w:rsidRPr="00CB75A3">
        <w:rPr>
          <w:lang w:val="fr-FR"/>
        </w:rPr>
        <w:t>ainsi que des réunions à l</w:t>
      </w:r>
      <w:r w:rsidR="001B0195">
        <w:rPr>
          <w:lang w:val="fr-FR"/>
        </w:rPr>
        <w:t>’</w:t>
      </w:r>
      <w:r w:rsidRPr="00CB75A3">
        <w:rPr>
          <w:lang w:val="fr-FR"/>
        </w:rPr>
        <w:t>intention de ses experts des noms de domaine.</w:t>
      </w:r>
    </w:p>
    <w:p w:rsidR="00612F56" w:rsidRPr="00B36AF7" w:rsidRDefault="00612F56" w:rsidP="00B36AF7">
      <w:pPr>
        <w:pStyle w:val="Heading2"/>
        <w:rPr>
          <w:lang w:val="fr-CH"/>
        </w:rPr>
      </w:pPr>
      <w:r w:rsidRPr="00B36AF7">
        <w:rPr>
          <w:lang w:val="fr-CH"/>
        </w:rPr>
        <w:t>B.</w:t>
      </w:r>
      <w:r w:rsidRPr="00B36AF7">
        <w:rPr>
          <w:lang w:val="fr-CH"/>
        </w:rPr>
        <w:tab/>
      </w:r>
      <w:r w:rsidR="008700E1" w:rsidRPr="00B36AF7">
        <w:rPr>
          <w:lang w:val="fr-CH"/>
        </w:rPr>
        <w:t>Domaines de premier niveau qui sont des codes de pays (ccTLD)</w:t>
      </w:r>
    </w:p>
    <w:p w:rsidR="00612F56" w:rsidRPr="00265EA1" w:rsidRDefault="00612F56" w:rsidP="00B36AF7">
      <w:pPr>
        <w:rPr>
          <w:lang w:val="fr-FR"/>
        </w:rPr>
      </w:pPr>
    </w:p>
    <w:p w:rsidR="00612F56" w:rsidRPr="00265EA1" w:rsidRDefault="00BB2713" w:rsidP="00B36AF7">
      <w:pPr>
        <w:pStyle w:val="ONUMFS"/>
        <w:rPr>
          <w:lang w:val="fr-FR"/>
        </w:rPr>
      </w:pPr>
      <w:r w:rsidRPr="00BB2713">
        <w:rPr>
          <w:lang w:val="fr-FR"/>
        </w:rPr>
        <w:t>L</w:t>
      </w:r>
      <w:r w:rsidR="001B0195">
        <w:rPr>
          <w:lang w:val="fr-FR"/>
        </w:rPr>
        <w:t>’</w:t>
      </w:r>
      <w:r w:rsidRPr="00BB2713">
        <w:rPr>
          <w:lang w:val="fr-FR"/>
        </w:rPr>
        <w:t>application obligatoire des principes UDRP est limitée aux noms de domaine enregistrés dans les gTLD traditionnels</w:t>
      </w:r>
      <w:r>
        <w:rPr>
          <w:lang w:val="fr-FR"/>
        </w:rPr>
        <w:t xml:space="preserve"> (</w:t>
      </w:r>
      <w:r w:rsidRPr="00BB2713">
        <w:rPr>
          <w:lang w:val="fr-FR"/>
        </w:rPr>
        <w:t>tels que .</w:t>
      </w:r>
      <w:proofErr w:type="spellStart"/>
      <w:r w:rsidRPr="00BB2713">
        <w:rPr>
          <w:lang w:val="fr-FR"/>
        </w:rPr>
        <w:t>com</w:t>
      </w:r>
      <w:proofErr w:type="spellEnd"/>
      <w:r>
        <w:rPr>
          <w:lang w:val="fr-FR"/>
        </w:rPr>
        <w:t>)</w:t>
      </w:r>
      <w:r w:rsidRPr="00BB2713">
        <w:rPr>
          <w:lang w:val="fr-FR"/>
        </w:rPr>
        <w:t xml:space="preserve"> et les nouveaux gTLD introduits plus récemment, mais le Centre aide également de nombreux services d</w:t>
      </w:r>
      <w:r w:rsidR="001B0195">
        <w:rPr>
          <w:lang w:val="fr-FR"/>
        </w:rPr>
        <w:t>’</w:t>
      </w:r>
      <w:r w:rsidRPr="00BB2713">
        <w:rPr>
          <w:lang w:val="fr-FR"/>
        </w:rPr>
        <w:t>enregistrement de ccTLD à établir des conditions d</w:t>
      </w:r>
      <w:r w:rsidR="001B0195">
        <w:rPr>
          <w:lang w:val="fr-FR"/>
        </w:rPr>
        <w:t>’</w:t>
      </w:r>
      <w:r w:rsidRPr="00BB2713">
        <w:rPr>
          <w:lang w:val="fr-FR"/>
        </w:rPr>
        <w:t>enregistrement et des procédures de règlement des litiges conformes aux pratiques recommandées en matière de gestion des services d</w:t>
      </w:r>
      <w:r w:rsidR="001B0195">
        <w:rPr>
          <w:lang w:val="fr-FR"/>
        </w:rPr>
        <w:t>’</w:t>
      </w:r>
      <w:r w:rsidRPr="00BB2713">
        <w:rPr>
          <w:lang w:val="fr-FR"/>
        </w:rPr>
        <w:t>enregistrement et de protection de la propriété intellectuel</w:t>
      </w:r>
      <w:r w:rsidR="00FE15D5" w:rsidRPr="00BB2713">
        <w:rPr>
          <w:lang w:val="fr-FR"/>
        </w:rPr>
        <w:t>le</w:t>
      </w:r>
      <w:r w:rsidR="00FE15D5">
        <w:rPr>
          <w:lang w:val="fr-FR"/>
        </w:rPr>
        <w:t xml:space="preserve">.  </w:t>
      </w:r>
      <w:r w:rsidR="00FE15D5" w:rsidRPr="00BB2713">
        <w:rPr>
          <w:lang w:val="fr-FR"/>
        </w:rPr>
        <w:t>Ce</w:t>
      </w:r>
      <w:r w:rsidRPr="00BB2713">
        <w:rPr>
          <w:lang w:val="fr-FR"/>
        </w:rPr>
        <w:t>s procédures sont pour la plupart calquées sur les principes UDRP mais peuvent tenir compte de la situation et des besoins particuliers des différents ccTLD.</w:t>
      </w:r>
      <w:r>
        <w:rPr>
          <w:lang w:val="fr-FR"/>
        </w:rPr>
        <w:t xml:space="preserve">  À la suite de discussions avec le service européen chargé de l</w:t>
      </w:r>
      <w:r w:rsidR="001B0195">
        <w:rPr>
          <w:lang w:val="fr-FR"/>
        </w:rPr>
        <w:t>’</w:t>
      </w:r>
      <w:r>
        <w:rPr>
          <w:lang w:val="fr-FR"/>
        </w:rPr>
        <w:t>enregistrement des noms de domaine de l</w:t>
      </w:r>
      <w:r w:rsidR="001B0195">
        <w:rPr>
          <w:lang w:val="fr-FR"/>
        </w:rPr>
        <w:t>’</w:t>
      </w:r>
      <w:r>
        <w:rPr>
          <w:lang w:val="fr-FR"/>
        </w:rPr>
        <w:t>Internet</w:t>
      </w:r>
      <w:r w:rsidR="008C7347" w:rsidRPr="00265EA1">
        <w:rPr>
          <w:lang w:val="fr-FR"/>
        </w:rPr>
        <w:t xml:space="preserve"> </w:t>
      </w:r>
      <w:r>
        <w:rPr>
          <w:lang w:val="fr-FR"/>
        </w:rPr>
        <w:t>(</w:t>
      </w:r>
      <w:proofErr w:type="spellStart"/>
      <w:r w:rsidR="008C7347" w:rsidRPr="00265EA1">
        <w:rPr>
          <w:lang w:val="fr-FR"/>
        </w:rPr>
        <w:t>EURid</w:t>
      </w:r>
      <w:proofErr w:type="spellEnd"/>
      <w:r>
        <w:rPr>
          <w:lang w:val="fr-FR"/>
        </w:rPr>
        <w:t>)</w:t>
      </w:r>
      <w:r w:rsidR="00E528DB" w:rsidRPr="00265EA1">
        <w:rPr>
          <w:lang w:val="fr-FR"/>
        </w:rPr>
        <w:t xml:space="preserve">, </w:t>
      </w:r>
      <w:r>
        <w:rPr>
          <w:lang w:val="fr-FR"/>
        </w:rPr>
        <w:t xml:space="preserve">depuis le mois de </w:t>
      </w:r>
      <w:r w:rsidR="001B0195">
        <w:rPr>
          <w:lang w:val="fr-FR"/>
        </w:rPr>
        <w:t>juin 20</w:t>
      </w:r>
      <w:r>
        <w:rPr>
          <w:lang w:val="fr-FR"/>
        </w:rPr>
        <w:t xml:space="preserve">17, le Centre propose des services pour les enregistrements de noms de domaine </w:t>
      </w:r>
      <w:r w:rsidR="008C7347" w:rsidRPr="00265EA1">
        <w:rPr>
          <w:lang w:val="fr-FR"/>
        </w:rPr>
        <w:t xml:space="preserve">.eu </w:t>
      </w:r>
      <w:r>
        <w:rPr>
          <w:lang w:val="fr-FR"/>
        </w:rPr>
        <w:t>et</w:t>
      </w:r>
      <w:r w:rsidR="008C7347" w:rsidRPr="00265EA1">
        <w:rPr>
          <w:lang w:val="fr-FR"/>
        </w:rPr>
        <w:t xml:space="preserve"> .</w:t>
      </w:r>
      <w:proofErr w:type="spellStart"/>
      <w:r w:rsidR="008C7347" w:rsidRPr="00265EA1">
        <w:rPr>
          <w:lang w:val="fr-FR"/>
        </w:rPr>
        <w:t>ею</w:t>
      </w:r>
      <w:proofErr w:type="spellEnd"/>
      <w:r w:rsidR="008C7347" w:rsidRPr="00265EA1">
        <w:rPr>
          <w:lang w:val="fr-FR"/>
        </w:rPr>
        <w:t xml:space="preserve"> </w:t>
      </w:r>
      <w:r w:rsidR="00E528DB" w:rsidRPr="00265EA1">
        <w:rPr>
          <w:lang w:val="fr-FR"/>
        </w:rPr>
        <w:t>(</w:t>
      </w:r>
      <w:r>
        <w:rPr>
          <w:lang w:val="fr-FR"/>
        </w:rPr>
        <w:t>caractères cyrilliques)</w:t>
      </w:r>
      <w:r w:rsidR="00E528DB" w:rsidRPr="00265EA1">
        <w:rPr>
          <w:lang w:val="fr-FR"/>
        </w:rPr>
        <w:t xml:space="preserve">, </w:t>
      </w:r>
      <w:r>
        <w:rPr>
          <w:lang w:val="fr-FR"/>
        </w:rPr>
        <w:t xml:space="preserve">dans les </w:t>
      </w:r>
      <w:r w:rsidR="00E528DB" w:rsidRPr="00265EA1">
        <w:rPr>
          <w:lang w:val="fr-FR"/>
        </w:rPr>
        <w:t>24</w:t>
      </w:r>
      <w:r w:rsidR="00054A64">
        <w:rPr>
          <w:lang w:val="fr-FR"/>
        </w:rPr>
        <w:t> </w:t>
      </w:r>
      <w:r>
        <w:rPr>
          <w:lang w:val="fr-FR"/>
        </w:rPr>
        <w:t>langues de l</w:t>
      </w:r>
      <w:r w:rsidR="001B0195">
        <w:rPr>
          <w:lang w:val="fr-FR"/>
        </w:rPr>
        <w:t>’</w:t>
      </w:r>
      <w:r>
        <w:rPr>
          <w:lang w:val="fr-FR"/>
        </w:rPr>
        <w:t>Union européenne</w:t>
      </w:r>
      <w:r w:rsidR="00E528DB" w:rsidRPr="00265EA1">
        <w:rPr>
          <w:rStyle w:val="FootnoteReference"/>
          <w:lang w:val="fr-FR"/>
        </w:rPr>
        <w:footnoteReference w:id="24"/>
      </w:r>
      <w:r>
        <w:rPr>
          <w:lang w:val="fr-FR"/>
        </w:rPr>
        <w:t>.</w:t>
      </w:r>
      <w:r w:rsidR="00E528DB" w:rsidRPr="00265EA1">
        <w:rPr>
          <w:lang w:val="fr-FR"/>
        </w:rPr>
        <w:t xml:space="preserve">  </w:t>
      </w:r>
      <w:r>
        <w:rPr>
          <w:lang w:val="fr-FR"/>
        </w:rPr>
        <w:t>Avec l</w:t>
      </w:r>
      <w:r w:rsidR="001B0195">
        <w:rPr>
          <w:lang w:val="fr-FR"/>
        </w:rPr>
        <w:t>’</w:t>
      </w:r>
      <w:r>
        <w:rPr>
          <w:lang w:val="fr-FR"/>
        </w:rPr>
        <w:t>ajout de ce service d</w:t>
      </w:r>
      <w:r w:rsidR="001B0195">
        <w:rPr>
          <w:lang w:val="fr-FR"/>
        </w:rPr>
        <w:t>’</w:t>
      </w:r>
      <w:r>
        <w:rPr>
          <w:lang w:val="fr-FR"/>
        </w:rPr>
        <w:t xml:space="preserve">enregistrement régional, le </w:t>
      </w:r>
      <w:r w:rsidRPr="00BB2713">
        <w:rPr>
          <w:lang w:val="fr-FR"/>
        </w:rPr>
        <w:t>Centre assure actuellement des services de règlement des litiges relatifs aux noms de domaine à l</w:t>
      </w:r>
      <w:r w:rsidR="001B0195">
        <w:rPr>
          <w:lang w:val="fr-FR"/>
        </w:rPr>
        <w:t>’</w:t>
      </w:r>
      <w:r w:rsidRPr="00BB2713">
        <w:rPr>
          <w:lang w:val="fr-FR"/>
        </w:rPr>
        <w:t>intention de 75 services d</w:t>
      </w:r>
      <w:r w:rsidR="001B0195">
        <w:rPr>
          <w:lang w:val="fr-FR"/>
        </w:rPr>
        <w:t>’</w:t>
      </w:r>
      <w:r w:rsidRPr="00BB2713">
        <w:rPr>
          <w:lang w:val="fr-FR"/>
        </w:rPr>
        <w:t>enregistrement pour des ccTLD</w:t>
      </w:r>
      <w:r w:rsidR="00612F56" w:rsidRPr="00265EA1">
        <w:rPr>
          <w:vertAlign w:val="superscript"/>
          <w:lang w:val="fr-FR"/>
        </w:rPr>
        <w:footnoteReference w:id="25"/>
      </w:r>
      <w:r>
        <w:rPr>
          <w:lang w:val="fr-FR"/>
        </w:rPr>
        <w:t>.</w:t>
      </w:r>
    </w:p>
    <w:p w:rsidR="000322A2" w:rsidRPr="00265EA1" w:rsidRDefault="00907C05" w:rsidP="00575294">
      <w:pPr>
        <w:pStyle w:val="Heading1"/>
        <w:ind w:left="567" w:hanging="567"/>
      </w:pPr>
      <w:r w:rsidRPr="00907C05">
        <w:t>Faits nouveaux de politique générale dans le système des noms de domaine</w:t>
      </w:r>
    </w:p>
    <w:p w:rsidR="000322A2" w:rsidRPr="00265EA1" w:rsidRDefault="000322A2" w:rsidP="00B36AF7">
      <w:pPr>
        <w:rPr>
          <w:szCs w:val="24"/>
          <w:lang w:val="fr-FR"/>
        </w:rPr>
      </w:pPr>
    </w:p>
    <w:p w:rsidR="000322A2" w:rsidRPr="0040743E" w:rsidRDefault="0040743E" w:rsidP="00B36AF7">
      <w:pPr>
        <w:pStyle w:val="ONUMFS"/>
        <w:rPr>
          <w:lang w:val="fr-FR"/>
        </w:rPr>
      </w:pPr>
      <w:r w:rsidRPr="0040743E">
        <w:rPr>
          <w:lang w:val="fr-FR"/>
        </w:rPr>
        <w:t>Plusieurs initiatives de politique générale de l</w:t>
      </w:r>
      <w:r w:rsidR="001B0195">
        <w:rPr>
          <w:lang w:val="fr-FR"/>
        </w:rPr>
        <w:t>’</w:t>
      </w:r>
      <w:r w:rsidRPr="0040743E">
        <w:rPr>
          <w:lang w:val="fr-FR"/>
        </w:rPr>
        <w:t>ICANN créent non seulement des opportunités mais également des difficultés pour les titulaires de droits de propriété intellectuelle et les utilisateu</w:t>
      </w:r>
      <w:r w:rsidR="00FE15D5" w:rsidRPr="0040743E">
        <w:rPr>
          <w:lang w:val="fr-FR"/>
        </w:rPr>
        <w:t>rs</w:t>
      </w:r>
      <w:r w:rsidR="00FE15D5">
        <w:rPr>
          <w:lang w:val="fr-FR"/>
        </w:rPr>
        <w:t xml:space="preserve">.  </w:t>
      </w:r>
      <w:r w:rsidR="00FE15D5" w:rsidRPr="0040743E">
        <w:rPr>
          <w:lang w:val="fr-FR"/>
        </w:rPr>
        <w:t>La</w:t>
      </w:r>
      <w:r w:rsidRPr="0040743E">
        <w:rPr>
          <w:lang w:val="fr-FR"/>
        </w:rPr>
        <w:t xml:space="preserve"> première concerne l</w:t>
      </w:r>
      <w:r w:rsidR="001B0195">
        <w:rPr>
          <w:lang w:val="fr-FR"/>
        </w:rPr>
        <w:t>’</w:t>
      </w:r>
      <w:r w:rsidRPr="0040743E">
        <w:rPr>
          <w:lang w:val="fr-FR"/>
        </w:rPr>
        <w:t>introduction de 1400 nouveaux gTLD par l</w:t>
      </w:r>
      <w:r w:rsidR="001B0195">
        <w:rPr>
          <w:lang w:val="fr-FR"/>
        </w:rPr>
        <w:t>’</w:t>
      </w:r>
      <w:r w:rsidRPr="0040743E">
        <w:rPr>
          <w:lang w:val="fr-FR"/>
        </w:rPr>
        <w:t>IC</w:t>
      </w:r>
      <w:r w:rsidR="00FE15D5" w:rsidRPr="0040743E">
        <w:rPr>
          <w:lang w:val="fr-FR"/>
        </w:rPr>
        <w:t>ANN</w:t>
      </w:r>
      <w:r w:rsidR="00FE15D5">
        <w:rPr>
          <w:lang w:val="fr-FR"/>
        </w:rPr>
        <w:t xml:space="preserve">.  </w:t>
      </w:r>
      <w:r w:rsidR="00FE15D5" w:rsidRPr="0040743E">
        <w:rPr>
          <w:lang w:val="fr-FR"/>
        </w:rPr>
        <w:t>Ce</w:t>
      </w:r>
      <w:r w:rsidRPr="0040743E">
        <w:rPr>
          <w:lang w:val="fr-FR"/>
        </w:rPr>
        <w:t>s nouveaux domaines génériques de premier niveau peuvent être de nature “ouverte” (similaires à .</w:t>
      </w:r>
      <w:proofErr w:type="spellStart"/>
      <w:r w:rsidRPr="0040743E">
        <w:rPr>
          <w:lang w:val="fr-FR"/>
        </w:rPr>
        <w:t>com</w:t>
      </w:r>
      <w:proofErr w:type="spellEnd"/>
      <w:r w:rsidRPr="0040743E">
        <w:rPr>
          <w:lang w:val="fr-FR"/>
        </w:rPr>
        <w:t>), ou plus spécifique ou restrictive, par exemple .[marque], .[ville], .[collectivité], .[culture], .[industrie] ou .[langue].  La deuxième initiative importante concerne l</w:t>
      </w:r>
      <w:r w:rsidR="001B0195">
        <w:rPr>
          <w:lang w:val="fr-FR"/>
        </w:rPr>
        <w:t>’</w:t>
      </w:r>
      <w:r w:rsidRPr="0040743E">
        <w:rPr>
          <w:lang w:val="fr-FR"/>
        </w:rPr>
        <w:t>introduction de noms de domaine internationalisés au premier nive</w:t>
      </w:r>
      <w:r w:rsidR="00FE15D5" w:rsidRPr="0040743E">
        <w:rPr>
          <w:lang w:val="fr-FR"/>
        </w:rPr>
        <w:t>au</w:t>
      </w:r>
      <w:r w:rsidR="00FE15D5">
        <w:rPr>
          <w:lang w:val="fr-FR"/>
        </w:rPr>
        <w:t xml:space="preserve">.  </w:t>
      </w:r>
      <w:r w:rsidR="00FE15D5" w:rsidRPr="0040743E">
        <w:rPr>
          <w:lang w:val="fr-FR"/>
        </w:rPr>
        <w:t>En</w:t>
      </w:r>
      <w:r w:rsidRPr="0040743E">
        <w:rPr>
          <w:lang w:val="fr-FR"/>
        </w:rPr>
        <w:t xml:space="preserve"> outre, l</w:t>
      </w:r>
      <w:r w:rsidR="001B0195">
        <w:rPr>
          <w:lang w:val="fr-FR"/>
        </w:rPr>
        <w:t>’</w:t>
      </w:r>
      <w:r w:rsidRPr="0040743E">
        <w:rPr>
          <w:lang w:val="fr-FR"/>
        </w:rPr>
        <w:t>expansion du système des noms de domaine (DNS) envisagée par l</w:t>
      </w:r>
      <w:r w:rsidR="001B0195">
        <w:rPr>
          <w:lang w:val="fr-FR"/>
        </w:rPr>
        <w:t>’</w:t>
      </w:r>
      <w:r w:rsidRPr="0040743E">
        <w:rPr>
          <w:lang w:val="fr-FR"/>
        </w:rPr>
        <w:t>ICANN soulève des questions de protection des droits en rapport avec le deuxième processus de consultations de l</w:t>
      </w:r>
      <w:r w:rsidR="001B0195">
        <w:rPr>
          <w:lang w:val="fr-FR"/>
        </w:rPr>
        <w:t>’</w:t>
      </w:r>
      <w:r w:rsidRPr="0040743E">
        <w:rPr>
          <w:lang w:val="fr-FR"/>
        </w:rPr>
        <w:t>OMPI sur les noms de domaine de l</w:t>
      </w:r>
      <w:r w:rsidR="001B0195">
        <w:rPr>
          <w:lang w:val="fr-FR"/>
        </w:rPr>
        <w:t>’</w:t>
      </w:r>
      <w:r w:rsidRPr="0040743E">
        <w:rPr>
          <w:lang w:val="fr-FR"/>
        </w:rPr>
        <w:t>Internet.</w:t>
      </w:r>
    </w:p>
    <w:p w:rsidR="000322A2" w:rsidRPr="008700E1" w:rsidRDefault="000322A2" w:rsidP="00B36AF7">
      <w:pPr>
        <w:pStyle w:val="Heading2"/>
      </w:pPr>
      <w:r w:rsidRPr="008700E1">
        <w:lastRenderedPageBreak/>
        <w:t>A.</w:t>
      </w:r>
      <w:r w:rsidRPr="008700E1">
        <w:tab/>
      </w:r>
      <w:r w:rsidR="008700E1" w:rsidRPr="008700E1">
        <w:t>Nouveaux GTLD</w:t>
      </w:r>
    </w:p>
    <w:p w:rsidR="000322A2" w:rsidRPr="00265EA1" w:rsidRDefault="000322A2" w:rsidP="00B36AF7">
      <w:pPr>
        <w:rPr>
          <w:color w:val="000000"/>
          <w:szCs w:val="24"/>
          <w:lang w:val="fr-FR"/>
        </w:rPr>
      </w:pPr>
    </w:p>
    <w:p w:rsidR="008700E1" w:rsidRDefault="000D2A47" w:rsidP="00B36AF7">
      <w:pPr>
        <w:pStyle w:val="ONUMFS"/>
        <w:rPr>
          <w:lang w:val="fr-FR"/>
        </w:rPr>
      </w:pPr>
      <w:r w:rsidRPr="000D2A47">
        <w:rPr>
          <w:lang w:val="fr-FR"/>
        </w:rPr>
        <w:t>La mise en œuvre du programme de l</w:t>
      </w:r>
      <w:r w:rsidR="001B0195">
        <w:rPr>
          <w:lang w:val="fr-FR"/>
        </w:rPr>
        <w:t>’</w:t>
      </w:r>
      <w:r w:rsidRPr="000D2A47">
        <w:rPr>
          <w:lang w:val="fr-FR"/>
        </w:rPr>
        <w:t>ICANN relatif aux nouveaux gTLD officiellement approuvée en juin 2011</w:t>
      </w:r>
      <w:r w:rsidR="000322A2" w:rsidRPr="00265EA1">
        <w:rPr>
          <w:rStyle w:val="FootnoteReference"/>
          <w:szCs w:val="22"/>
          <w:lang w:val="fr-FR"/>
        </w:rPr>
        <w:footnoteReference w:id="26"/>
      </w:r>
      <w:r w:rsidR="000322A2" w:rsidRPr="00265EA1">
        <w:rPr>
          <w:lang w:val="fr-FR"/>
        </w:rPr>
        <w:t xml:space="preserve"> </w:t>
      </w:r>
      <w:r>
        <w:rPr>
          <w:lang w:val="fr-FR"/>
        </w:rPr>
        <w:t xml:space="preserve">est détaillée </w:t>
      </w:r>
      <w:r w:rsidRPr="000D2A47">
        <w:rPr>
          <w:lang w:val="fr-FR"/>
        </w:rPr>
        <w:t>dans le “Guide de candidature” de l</w:t>
      </w:r>
      <w:r w:rsidR="001B0195">
        <w:rPr>
          <w:lang w:val="fr-FR"/>
        </w:rPr>
        <w:t>’</w:t>
      </w:r>
      <w:r w:rsidRPr="000D2A47">
        <w:rPr>
          <w:lang w:val="fr-FR"/>
        </w:rPr>
        <w:t>ICANN, qui a fait l</w:t>
      </w:r>
      <w:r w:rsidR="001B0195">
        <w:rPr>
          <w:lang w:val="fr-FR"/>
        </w:rPr>
        <w:t>’</w:t>
      </w:r>
      <w:r w:rsidRPr="000D2A47">
        <w:rPr>
          <w:lang w:val="fr-FR"/>
        </w:rPr>
        <w:t>objet de nombreuses révisions</w:t>
      </w:r>
      <w:r w:rsidR="000322A2" w:rsidRPr="00265EA1">
        <w:rPr>
          <w:vertAlign w:val="superscript"/>
          <w:lang w:val="fr-FR"/>
        </w:rPr>
        <w:footnoteReference w:id="27"/>
      </w:r>
      <w:r>
        <w:rPr>
          <w:lang w:val="fr-FR"/>
        </w:rPr>
        <w:t>.</w:t>
      </w:r>
      <w:r w:rsidR="000322A2" w:rsidRPr="00265EA1">
        <w:rPr>
          <w:lang w:val="fr-FR"/>
        </w:rPr>
        <w:t xml:space="preserve">  </w:t>
      </w:r>
      <w:r w:rsidRPr="000D2A47">
        <w:rPr>
          <w:lang w:val="fr-FR"/>
        </w:rPr>
        <w:t>L</w:t>
      </w:r>
      <w:r w:rsidR="001B0195">
        <w:rPr>
          <w:lang w:val="fr-FR"/>
        </w:rPr>
        <w:t>’</w:t>
      </w:r>
      <w:r w:rsidRPr="000D2A47">
        <w:rPr>
          <w:lang w:val="fr-FR"/>
        </w:rPr>
        <w:t>attribution des premiers nouveaux gTLD dans la zone racine de l</w:t>
      </w:r>
      <w:r w:rsidR="001B0195">
        <w:rPr>
          <w:lang w:val="fr-FR"/>
        </w:rPr>
        <w:t>’</w:t>
      </w:r>
      <w:r w:rsidRPr="000D2A47">
        <w:rPr>
          <w:lang w:val="fr-FR"/>
        </w:rPr>
        <w:t>Internet est intervenue en octobre </w:t>
      </w:r>
      <w:r>
        <w:rPr>
          <w:lang w:val="fr-FR"/>
        </w:rPr>
        <w:t xml:space="preserve">2013 et on dénombrait plus </w:t>
      </w:r>
      <w:r w:rsidR="001B0195">
        <w:rPr>
          <w:lang w:val="fr-FR"/>
        </w:rPr>
        <w:t>de 12</w:t>
      </w:r>
      <w:r w:rsidR="001B0195" w:rsidRPr="000D2A47">
        <w:rPr>
          <w:lang w:val="fr-FR"/>
        </w:rPr>
        <w:t>00</w:t>
      </w:r>
      <w:r w:rsidRPr="000D2A47">
        <w:rPr>
          <w:lang w:val="fr-FR"/>
        </w:rPr>
        <w:t xml:space="preserve"> gTLD supplémentaires attribués au mois </w:t>
      </w:r>
      <w:r>
        <w:rPr>
          <w:lang w:val="fr-FR"/>
        </w:rPr>
        <w:t>de juin</w:t>
      </w:r>
      <w:r w:rsidRPr="000D2A47">
        <w:rPr>
          <w:lang w:val="fr-FR"/>
        </w:rPr>
        <w:t> 201</w:t>
      </w:r>
      <w:r>
        <w:rPr>
          <w:lang w:val="fr-FR"/>
        </w:rPr>
        <w:t>7</w:t>
      </w:r>
      <w:r w:rsidR="000322A2" w:rsidRPr="00265EA1">
        <w:rPr>
          <w:rStyle w:val="FootnoteReference"/>
          <w:szCs w:val="22"/>
          <w:lang w:val="fr-FR"/>
        </w:rPr>
        <w:footnoteReference w:id="28"/>
      </w:r>
      <w:r>
        <w:rPr>
          <w:lang w:val="fr-FR"/>
        </w:rPr>
        <w:t>.</w:t>
      </w:r>
    </w:p>
    <w:p w:rsidR="000322A2" w:rsidRPr="008700E1" w:rsidRDefault="00F83F98" w:rsidP="00B36AF7">
      <w:pPr>
        <w:pStyle w:val="ONUMFS"/>
        <w:rPr>
          <w:lang w:val="fr-FR"/>
        </w:rPr>
      </w:pPr>
      <w:r w:rsidRPr="008700E1">
        <w:rPr>
          <w:szCs w:val="22"/>
          <w:lang w:val="fr-FR"/>
        </w:rPr>
        <w:t>Le Centre reste déterminé à travailler avec les parties prenantes pour tenter de préserver l</w:t>
      </w:r>
      <w:r w:rsidR="001B0195" w:rsidRPr="008700E1">
        <w:rPr>
          <w:szCs w:val="22"/>
          <w:lang w:val="fr-FR"/>
        </w:rPr>
        <w:t>’</w:t>
      </w:r>
      <w:r w:rsidRPr="008700E1">
        <w:rPr>
          <w:szCs w:val="22"/>
          <w:lang w:val="fr-FR"/>
        </w:rPr>
        <w:t>observation des principes généraux de la protection de la propriété intellectuelle dans les nouveaux g</w:t>
      </w:r>
      <w:r w:rsidR="00FE15D5" w:rsidRPr="008700E1">
        <w:rPr>
          <w:szCs w:val="22"/>
          <w:lang w:val="fr-FR"/>
        </w:rPr>
        <w:t>TLD.  Ce</w:t>
      </w:r>
      <w:r w:rsidRPr="008700E1">
        <w:rPr>
          <w:szCs w:val="22"/>
          <w:lang w:val="fr-FR"/>
        </w:rPr>
        <w:t>rtains mécanismes de protection des droits ont émergé d</w:t>
      </w:r>
      <w:r w:rsidR="001B0195" w:rsidRPr="008700E1">
        <w:rPr>
          <w:szCs w:val="22"/>
          <w:lang w:val="fr-FR"/>
        </w:rPr>
        <w:t>’</w:t>
      </w:r>
      <w:r w:rsidRPr="008700E1">
        <w:rPr>
          <w:szCs w:val="22"/>
          <w:lang w:val="fr-FR"/>
        </w:rPr>
        <w:t>une série de comités et processus de l</w:t>
      </w:r>
      <w:r w:rsidR="001B0195" w:rsidRPr="008700E1">
        <w:rPr>
          <w:szCs w:val="22"/>
          <w:lang w:val="fr-FR"/>
        </w:rPr>
        <w:t>’</w:t>
      </w:r>
      <w:r w:rsidRPr="008700E1">
        <w:rPr>
          <w:szCs w:val="22"/>
          <w:lang w:val="fr-FR"/>
        </w:rPr>
        <w:t>ICANN relatifs aux nouveaux gTLD</w:t>
      </w:r>
      <w:r w:rsidR="000322A2" w:rsidRPr="00265EA1">
        <w:rPr>
          <w:rStyle w:val="FootnoteReference"/>
          <w:szCs w:val="22"/>
          <w:lang w:val="fr-FR"/>
        </w:rPr>
        <w:footnoteReference w:id="29"/>
      </w:r>
      <w:r w:rsidRPr="008700E1">
        <w:rPr>
          <w:rStyle w:val="FootnoteReference"/>
          <w:vertAlign w:val="baseline"/>
          <w:lang w:val="fr-FR"/>
        </w:rPr>
        <w:t>.</w:t>
      </w:r>
      <w:r w:rsidR="000322A2" w:rsidRPr="008700E1">
        <w:rPr>
          <w:rStyle w:val="FootnoteReference"/>
          <w:vertAlign w:val="baseline"/>
          <w:lang w:val="fr-FR"/>
        </w:rPr>
        <w:t xml:space="preserve"> </w:t>
      </w:r>
      <w:r w:rsidR="000322A2" w:rsidRPr="008700E1">
        <w:rPr>
          <w:szCs w:val="22"/>
          <w:lang w:val="fr-FR"/>
        </w:rPr>
        <w:t xml:space="preserve"> </w:t>
      </w:r>
      <w:r w:rsidRPr="008700E1">
        <w:rPr>
          <w:szCs w:val="22"/>
          <w:lang w:val="fr-FR"/>
        </w:rPr>
        <w:t>On trouvera ci</w:t>
      </w:r>
      <w:r w:rsidR="001B0195" w:rsidRPr="008700E1">
        <w:rPr>
          <w:szCs w:val="22"/>
          <w:lang w:val="fr-FR"/>
        </w:rPr>
        <w:t>-</w:t>
      </w:r>
      <w:r w:rsidRPr="008700E1">
        <w:rPr>
          <w:szCs w:val="22"/>
          <w:lang w:val="fr-FR"/>
        </w:rPr>
        <w:t>après une description générale des mécanismes de protection des droits de l</w:t>
      </w:r>
      <w:r w:rsidR="001B0195" w:rsidRPr="008700E1">
        <w:rPr>
          <w:szCs w:val="22"/>
          <w:lang w:val="fr-FR"/>
        </w:rPr>
        <w:t>’</w:t>
      </w:r>
      <w:r w:rsidRPr="008700E1">
        <w:rPr>
          <w:szCs w:val="22"/>
          <w:lang w:val="fr-FR"/>
        </w:rPr>
        <w:t>ICANN, pour les premier et deuxième niveaux respectivement.</w:t>
      </w:r>
    </w:p>
    <w:p w:rsidR="000322A2" w:rsidRPr="00345811" w:rsidRDefault="006330A4" w:rsidP="00345811">
      <w:pPr>
        <w:pStyle w:val="Heading3"/>
        <w:numPr>
          <w:ilvl w:val="4"/>
          <w:numId w:val="16"/>
        </w:numPr>
        <w:ind w:left="1134" w:hanging="567"/>
      </w:pPr>
      <w:r w:rsidRPr="00345811">
        <w:t>Mécanismes de protection des droits de premier niveau</w:t>
      </w:r>
    </w:p>
    <w:p w:rsidR="000322A2" w:rsidRPr="00265EA1" w:rsidRDefault="000322A2" w:rsidP="00345811">
      <w:pPr>
        <w:pStyle w:val="Heading3"/>
        <w:numPr>
          <w:ilvl w:val="0"/>
          <w:numId w:val="10"/>
        </w:numPr>
        <w:ind w:left="1701" w:hanging="567"/>
      </w:pPr>
      <w:r w:rsidRPr="00265EA1">
        <w:t>P</w:t>
      </w:r>
      <w:r w:rsidR="006330A4">
        <w:t>rocédure de règlement des litiges préalable à l</w:t>
      </w:r>
      <w:r w:rsidR="001B0195">
        <w:t>’</w:t>
      </w:r>
      <w:r w:rsidR="006330A4">
        <w:t>attribution d</w:t>
      </w:r>
      <w:r w:rsidR="001B0195">
        <w:t>’</w:t>
      </w:r>
      <w:r w:rsidR="006330A4">
        <w:t>un domaine de premier niveau</w:t>
      </w:r>
    </w:p>
    <w:p w:rsidR="000322A2" w:rsidRPr="00265EA1" w:rsidRDefault="000322A2" w:rsidP="00B36AF7">
      <w:pPr>
        <w:rPr>
          <w:color w:val="000000"/>
          <w:szCs w:val="22"/>
          <w:lang w:val="fr-FR"/>
        </w:rPr>
      </w:pPr>
    </w:p>
    <w:p w:rsidR="000322A2" w:rsidRPr="00265EA1" w:rsidRDefault="000876BC" w:rsidP="00B36AF7">
      <w:pPr>
        <w:pStyle w:val="ONUMFS"/>
        <w:rPr>
          <w:lang w:val="fr-FR"/>
        </w:rPr>
      </w:pPr>
      <w:r w:rsidRPr="000876BC">
        <w:rPr>
          <w:lang w:val="fr-FR"/>
        </w:rPr>
        <w:t>Ce mécanisme permettait aux propriétaires de marques d</w:t>
      </w:r>
      <w:r w:rsidR="001B0195">
        <w:rPr>
          <w:lang w:val="fr-FR"/>
        </w:rPr>
        <w:t>’</w:t>
      </w:r>
      <w:r w:rsidRPr="000876BC">
        <w:rPr>
          <w:lang w:val="fr-FR"/>
        </w:rPr>
        <w:t>opposer aux demandes de nouveaux gTLD au premier niveau des objections pour atteinte aux droits lorsque certains critères matériels étaient réunis</w:t>
      </w:r>
      <w:r w:rsidR="000322A2" w:rsidRPr="00265EA1">
        <w:rPr>
          <w:rStyle w:val="FootnoteReference"/>
          <w:szCs w:val="22"/>
          <w:lang w:val="fr-FR"/>
        </w:rPr>
        <w:footnoteReference w:id="30"/>
      </w:r>
      <w:r>
        <w:rPr>
          <w:lang w:val="fr-FR"/>
        </w:rPr>
        <w:t>.</w:t>
      </w:r>
      <w:r w:rsidR="000322A2" w:rsidRPr="00265EA1">
        <w:rPr>
          <w:lang w:val="fr-FR"/>
        </w:rPr>
        <w:t xml:space="preserve">  </w:t>
      </w:r>
      <w:r w:rsidRPr="000876BC">
        <w:rPr>
          <w:lang w:val="fr-FR"/>
        </w:rPr>
        <w:t>Le Centre a apporté à l</w:t>
      </w:r>
      <w:r w:rsidR="001B0195">
        <w:rPr>
          <w:lang w:val="fr-FR"/>
        </w:rPr>
        <w:t>’</w:t>
      </w:r>
      <w:r w:rsidRPr="000876BC">
        <w:rPr>
          <w:lang w:val="fr-FR"/>
        </w:rPr>
        <w:t>ICANN une assistance pour l</w:t>
      </w:r>
      <w:r w:rsidR="001B0195">
        <w:rPr>
          <w:lang w:val="fr-FR"/>
        </w:rPr>
        <w:t>’</w:t>
      </w:r>
      <w:r w:rsidRPr="000876BC">
        <w:rPr>
          <w:lang w:val="fr-FR"/>
        </w:rPr>
        <w:t>élaboration de ces critères sur la base de la “Recommandation commune de l</w:t>
      </w:r>
      <w:r w:rsidR="001B0195">
        <w:rPr>
          <w:lang w:val="fr-FR"/>
        </w:rPr>
        <w:t>’</w:t>
      </w:r>
      <w:r w:rsidRPr="000876BC">
        <w:rPr>
          <w:lang w:val="fr-FR"/>
        </w:rPr>
        <w:t>OMPI concernant la protection des marques, et autres droits de propriété industrielle relatifs à des signes, sur l</w:t>
      </w:r>
      <w:r w:rsidR="001B0195">
        <w:rPr>
          <w:lang w:val="fr-FR"/>
        </w:rPr>
        <w:t>’</w:t>
      </w:r>
      <w:r w:rsidRPr="000876BC">
        <w:rPr>
          <w:lang w:val="fr-FR"/>
        </w:rPr>
        <w:t>Internet”</w:t>
      </w:r>
      <w:r w:rsidR="000322A2" w:rsidRPr="00265EA1">
        <w:rPr>
          <w:vertAlign w:val="superscript"/>
          <w:lang w:val="fr-FR"/>
        </w:rPr>
        <w:footnoteReference w:id="31"/>
      </w:r>
      <w:r>
        <w:rPr>
          <w:lang w:val="fr-FR"/>
        </w:rPr>
        <w:t>.</w:t>
      </w:r>
    </w:p>
    <w:p w:rsidR="00345811" w:rsidRDefault="00345811">
      <w:pPr>
        <w:rPr>
          <w:lang w:val="fr-FR"/>
        </w:rPr>
      </w:pPr>
      <w:r>
        <w:rPr>
          <w:lang w:val="fr-FR"/>
        </w:rPr>
        <w:br w:type="page"/>
      </w:r>
    </w:p>
    <w:p w:rsidR="001B0195" w:rsidRDefault="00BD030B" w:rsidP="00B36AF7">
      <w:pPr>
        <w:pStyle w:val="ONUMFS"/>
        <w:rPr>
          <w:lang w:val="fr-FR"/>
        </w:rPr>
      </w:pPr>
      <w:r w:rsidRPr="00BD030B">
        <w:rPr>
          <w:lang w:val="fr-FR"/>
        </w:rPr>
        <w:lastRenderedPageBreak/>
        <w:t>Désigné par l</w:t>
      </w:r>
      <w:r w:rsidR="001B0195">
        <w:rPr>
          <w:lang w:val="fr-FR"/>
        </w:rPr>
        <w:t>’</w:t>
      </w:r>
      <w:r w:rsidRPr="00BD030B">
        <w:rPr>
          <w:lang w:val="fr-FR"/>
        </w:rPr>
        <w:t>ICANN comme prestataire exclusif de services de règlement des litiges relatifs aux objections pour atteinte aux droits</w:t>
      </w:r>
      <w:r w:rsidR="000322A2" w:rsidRPr="00265EA1">
        <w:rPr>
          <w:rStyle w:val="FootnoteReference"/>
          <w:szCs w:val="22"/>
          <w:lang w:val="fr-FR"/>
        </w:rPr>
        <w:footnoteReference w:id="32"/>
      </w:r>
      <w:r>
        <w:rPr>
          <w:lang w:val="fr-FR"/>
        </w:rPr>
        <w:t>,</w:t>
      </w:r>
      <w:r w:rsidR="000322A2" w:rsidRPr="00265EA1">
        <w:rPr>
          <w:bCs/>
          <w:lang w:val="fr-FR"/>
        </w:rPr>
        <w:t xml:space="preserve"> </w:t>
      </w:r>
      <w:r w:rsidRPr="00BD030B">
        <w:rPr>
          <w:lang w:val="fr-FR"/>
        </w:rPr>
        <w:t xml:space="preserve">le Centre a reçu à ce </w:t>
      </w:r>
      <w:r w:rsidR="001B0195" w:rsidRPr="00BD030B">
        <w:rPr>
          <w:lang w:val="fr-FR"/>
        </w:rPr>
        <w:t>titre</w:t>
      </w:r>
      <w:r w:rsidR="001B0195">
        <w:rPr>
          <w:lang w:val="fr-FR"/>
        </w:rPr>
        <w:t> </w:t>
      </w:r>
      <w:r w:rsidR="001B0195" w:rsidRPr="00BD030B">
        <w:rPr>
          <w:lang w:val="fr-FR"/>
        </w:rPr>
        <w:t>6</w:t>
      </w:r>
      <w:r w:rsidRPr="00BD030B">
        <w:rPr>
          <w:lang w:val="fr-FR"/>
        </w:rPr>
        <w:t>9 plaintes en bonne et due forme, dont il a achevé l</w:t>
      </w:r>
      <w:r w:rsidR="001B0195">
        <w:rPr>
          <w:lang w:val="fr-FR"/>
        </w:rPr>
        <w:t>’</w:t>
      </w:r>
      <w:r w:rsidRPr="00BD030B">
        <w:rPr>
          <w:lang w:val="fr-FR"/>
        </w:rPr>
        <w:t>instruction en septembre 2013</w:t>
      </w:r>
      <w:r w:rsidR="000322A2" w:rsidRPr="00265EA1">
        <w:rPr>
          <w:rStyle w:val="FootnoteReference"/>
          <w:szCs w:val="22"/>
          <w:lang w:val="fr-FR"/>
        </w:rPr>
        <w:footnoteReference w:id="33"/>
      </w:r>
      <w:r>
        <w:rPr>
          <w:lang w:val="fr-FR"/>
        </w:rPr>
        <w:t>.</w:t>
      </w:r>
      <w:r w:rsidR="000322A2" w:rsidRPr="00265EA1">
        <w:rPr>
          <w:lang w:val="fr-FR"/>
        </w:rPr>
        <w:t xml:space="preserve">  </w:t>
      </w:r>
      <w:r w:rsidRPr="00BD030B">
        <w:rPr>
          <w:lang w:val="fr-FR"/>
        </w:rPr>
        <w:t>Toutes les décisions rendues par les commissions administratives de l</w:t>
      </w:r>
      <w:r w:rsidR="001B0195">
        <w:rPr>
          <w:lang w:val="fr-FR"/>
        </w:rPr>
        <w:t>’</w:t>
      </w:r>
      <w:r w:rsidRPr="00BD030B">
        <w:rPr>
          <w:lang w:val="fr-FR"/>
        </w:rPr>
        <w:t>OMPI sont disponibles sur le site Internet du Centre</w:t>
      </w:r>
      <w:r w:rsidR="000322A2" w:rsidRPr="00265EA1">
        <w:rPr>
          <w:rStyle w:val="FootnoteReference"/>
          <w:szCs w:val="22"/>
          <w:lang w:val="fr-FR"/>
        </w:rPr>
        <w:footnoteReference w:id="34"/>
      </w:r>
      <w:r>
        <w:rPr>
          <w:lang w:val="fr-FR"/>
        </w:rPr>
        <w:t>,</w:t>
      </w:r>
      <w:r w:rsidR="000322A2" w:rsidRPr="00265EA1">
        <w:rPr>
          <w:lang w:val="fr-FR"/>
        </w:rPr>
        <w:t xml:space="preserve"> </w:t>
      </w:r>
      <w:r w:rsidRPr="00BD030B">
        <w:rPr>
          <w:lang w:val="fr-FR"/>
        </w:rPr>
        <w:t>de même que le rapport établi sur les procédures d</w:t>
      </w:r>
      <w:r w:rsidR="001B0195">
        <w:rPr>
          <w:lang w:val="fr-FR"/>
        </w:rPr>
        <w:t>’</w:t>
      </w:r>
      <w:r w:rsidRPr="00BD030B">
        <w:rPr>
          <w:lang w:val="fr-FR"/>
        </w:rPr>
        <w:t>objection pour atteinte aux droits</w:t>
      </w:r>
      <w:r w:rsidR="000322A2" w:rsidRPr="00265EA1">
        <w:rPr>
          <w:rStyle w:val="FootnoteReference"/>
          <w:szCs w:val="22"/>
          <w:lang w:val="fr-FR"/>
        </w:rPr>
        <w:footnoteReference w:id="35"/>
      </w:r>
      <w:r>
        <w:rPr>
          <w:lang w:val="fr-FR"/>
        </w:rPr>
        <w:t>.</w:t>
      </w:r>
    </w:p>
    <w:p w:rsidR="001B0195" w:rsidRDefault="003157FF" w:rsidP="00345811">
      <w:pPr>
        <w:pStyle w:val="Heading3"/>
        <w:numPr>
          <w:ilvl w:val="0"/>
          <w:numId w:val="10"/>
        </w:numPr>
      </w:pPr>
      <w:r w:rsidRPr="00265EA1">
        <w:t>P</w:t>
      </w:r>
      <w:r>
        <w:t>rocédure de règlement des litiges postérieure à l</w:t>
      </w:r>
      <w:r w:rsidR="001B0195">
        <w:t>’</w:t>
      </w:r>
      <w:r>
        <w:t>attribution d</w:t>
      </w:r>
      <w:r w:rsidR="001B0195">
        <w:t>’</w:t>
      </w:r>
      <w:r>
        <w:t>un domaine de premier niveau</w:t>
      </w:r>
    </w:p>
    <w:p w:rsidR="000322A2" w:rsidRPr="00265EA1" w:rsidRDefault="000322A2" w:rsidP="00B36AF7">
      <w:pPr>
        <w:rPr>
          <w:color w:val="000000"/>
          <w:szCs w:val="22"/>
          <w:lang w:val="fr-FR"/>
        </w:rPr>
      </w:pPr>
    </w:p>
    <w:p w:rsidR="001B0195" w:rsidRDefault="00226D21" w:rsidP="00B36AF7">
      <w:pPr>
        <w:pStyle w:val="ONUMFS"/>
        <w:rPr>
          <w:lang w:val="fr-FR"/>
        </w:rPr>
      </w:pPr>
      <w:r w:rsidRPr="00226D21">
        <w:rPr>
          <w:lang w:val="fr-FR"/>
        </w:rPr>
        <w:t>Début 2009, le Centre a communiqué à l</w:t>
      </w:r>
      <w:r w:rsidR="001B0195">
        <w:rPr>
          <w:lang w:val="fr-FR"/>
        </w:rPr>
        <w:t>’</w:t>
      </w:r>
      <w:r w:rsidRPr="00226D21">
        <w:rPr>
          <w:lang w:val="fr-FR"/>
        </w:rPr>
        <w:t>ICANN une proposition concrète en faveur d</w:t>
      </w:r>
      <w:r w:rsidR="001B0195">
        <w:rPr>
          <w:lang w:val="fr-FR"/>
        </w:rPr>
        <w:t>’</w:t>
      </w:r>
      <w:r w:rsidRPr="00226D21">
        <w:rPr>
          <w:lang w:val="fr-FR"/>
        </w:rPr>
        <w:t>une option administrative permanente qui permettrait le dépôt d</w:t>
      </w:r>
      <w:r w:rsidR="001B0195">
        <w:rPr>
          <w:lang w:val="fr-FR"/>
        </w:rPr>
        <w:t>’</w:t>
      </w:r>
      <w:r w:rsidRPr="00226D21">
        <w:rPr>
          <w:lang w:val="fr-FR"/>
        </w:rPr>
        <w:t>une plainte contre l</w:t>
      </w:r>
      <w:r w:rsidR="001B0195">
        <w:rPr>
          <w:lang w:val="fr-FR"/>
        </w:rPr>
        <w:t>’</w:t>
      </w:r>
      <w:r w:rsidRPr="00226D21">
        <w:rPr>
          <w:lang w:val="fr-FR"/>
        </w:rPr>
        <w:t>administrateur d</w:t>
      </w:r>
      <w:r w:rsidR="001B0195">
        <w:rPr>
          <w:lang w:val="fr-FR"/>
        </w:rPr>
        <w:t>’</w:t>
      </w:r>
      <w:r w:rsidRPr="00226D21">
        <w:rPr>
          <w:lang w:val="fr-FR"/>
        </w:rPr>
        <w:t>un service d</w:t>
      </w:r>
      <w:r w:rsidR="001B0195">
        <w:rPr>
          <w:lang w:val="fr-FR"/>
        </w:rPr>
        <w:t>’</w:t>
      </w:r>
      <w:r w:rsidRPr="00226D21">
        <w:rPr>
          <w:lang w:val="fr-FR"/>
        </w:rPr>
        <w:t>enregistrement pour un gTLD nouvellement approuvé dont le mode de fonctionnement ou l</w:t>
      </w:r>
      <w:r w:rsidR="001B0195">
        <w:rPr>
          <w:lang w:val="fr-FR"/>
        </w:rPr>
        <w:t>’</w:t>
      </w:r>
      <w:r w:rsidRPr="00226D21">
        <w:rPr>
          <w:lang w:val="fr-FR"/>
        </w:rPr>
        <w:t>utilisation de son service porterait atteinte ou contribuerait matériellement à porter atteinte à une marque</w:t>
      </w:r>
      <w:r w:rsidR="000322A2" w:rsidRPr="00265EA1">
        <w:rPr>
          <w:vertAlign w:val="superscript"/>
          <w:lang w:val="fr-FR"/>
        </w:rPr>
        <w:footnoteReference w:id="36"/>
      </w:r>
      <w:r>
        <w:rPr>
          <w:lang w:val="fr-FR"/>
        </w:rPr>
        <w:t>.</w:t>
      </w:r>
      <w:r w:rsidR="000322A2" w:rsidRPr="00265EA1">
        <w:rPr>
          <w:lang w:val="fr-FR"/>
        </w:rPr>
        <w:t xml:space="preserve">  </w:t>
      </w:r>
      <w:r w:rsidRPr="00226D21">
        <w:rPr>
          <w:lang w:val="fr-FR"/>
        </w:rPr>
        <w:t>L</w:t>
      </w:r>
      <w:r w:rsidR="001B0195">
        <w:rPr>
          <w:lang w:val="fr-FR"/>
        </w:rPr>
        <w:t>’</w:t>
      </w:r>
      <w:r w:rsidRPr="00226D21">
        <w:rPr>
          <w:lang w:val="fr-FR"/>
        </w:rPr>
        <w:t>intention était de procurer une forme d</w:t>
      </w:r>
      <w:r w:rsidR="001B0195">
        <w:rPr>
          <w:lang w:val="fr-FR"/>
        </w:rPr>
        <w:t>’</w:t>
      </w:r>
      <w:r w:rsidRPr="00226D21">
        <w:rPr>
          <w:lang w:val="fr-FR"/>
        </w:rPr>
        <w:t>assistance normalisée à l</w:t>
      </w:r>
      <w:r w:rsidR="001B0195">
        <w:rPr>
          <w:lang w:val="fr-FR"/>
        </w:rPr>
        <w:t>’</w:t>
      </w:r>
      <w:r w:rsidRPr="00226D21">
        <w:rPr>
          <w:lang w:val="fr-FR"/>
        </w:rPr>
        <w:t>ICANN pour lui permettre de s</w:t>
      </w:r>
      <w:r w:rsidR="001B0195">
        <w:rPr>
          <w:lang w:val="fr-FR"/>
        </w:rPr>
        <w:t>’</w:t>
      </w:r>
      <w:r w:rsidRPr="00226D21">
        <w:rPr>
          <w:lang w:val="fr-FR"/>
        </w:rPr>
        <w:t>acquitter de ses responsabilités en matière de supervision, en prévoyant une voie de règlement administrative pouvant se substituer à l</w:t>
      </w:r>
      <w:r w:rsidR="001B0195">
        <w:rPr>
          <w:lang w:val="fr-FR"/>
        </w:rPr>
        <w:t>’</w:t>
      </w:r>
      <w:r w:rsidRPr="00226D21">
        <w:rPr>
          <w:lang w:val="fr-FR"/>
        </w:rPr>
        <w:t>action en justice et en encourageant les acteurs concernés à se comporter de manière responsable, le tout assorti de clauses d</w:t>
      </w:r>
      <w:r w:rsidR="001B0195">
        <w:rPr>
          <w:lang w:val="fr-FR"/>
        </w:rPr>
        <w:t>’</w:t>
      </w:r>
      <w:r w:rsidRPr="00226D21">
        <w:rPr>
          <w:lang w:val="fr-FR"/>
        </w:rPr>
        <w:t>exonération de responsabilité</w:t>
      </w:r>
      <w:r w:rsidR="000322A2" w:rsidRPr="00265EA1">
        <w:rPr>
          <w:rStyle w:val="FootnoteReference"/>
          <w:szCs w:val="22"/>
          <w:lang w:val="fr-FR"/>
        </w:rPr>
        <w:footnoteReference w:id="37"/>
      </w:r>
      <w:r>
        <w:rPr>
          <w:lang w:val="fr-FR"/>
        </w:rPr>
        <w:t>.</w:t>
      </w:r>
    </w:p>
    <w:p w:rsidR="000322A2" w:rsidRPr="00226D21" w:rsidRDefault="00226D21" w:rsidP="00B36AF7">
      <w:pPr>
        <w:pStyle w:val="ONUMFS"/>
        <w:rPr>
          <w:lang w:val="fr-FR"/>
        </w:rPr>
      </w:pPr>
      <w:r w:rsidRPr="00226D21">
        <w:rPr>
          <w:lang w:val="fr-FR"/>
        </w:rPr>
        <w:t>À la suite de différentes procédures de l</w:t>
      </w:r>
      <w:r w:rsidR="001B0195">
        <w:rPr>
          <w:lang w:val="fr-FR"/>
        </w:rPr>
        <w:t>’</w:t>
      </w:r>
      <w:r w:rsidRPr="00226D21">
        <w:rPr>
          <w:lang w:val="fr-FR"/>
        </w:rPr>
        <w:t>ICANN, notamment les consultations avec les administrateurs de services d</w:t>
      </w:r>
      <w:r w:rsidR="001B0195">
        <w:rPr>
          <w:lang w:val="fr-FR"/>
        </w:rPr>
        <w:t>’</w:t>
      </w:r>
      <w:r w:rsidRPr="00226D21">
        <w:rPr>
          <w:lang w:val="fr-FR"/>
        </w:rPr>
        <w:t>enregistrement, l</w:t>
      </w:r>
      <w:r w:rsidR="001B0195">
        <w:rPr>
          <w:lang w:val="fr-FR"/>
        </w:rPr>
        <w:t>’</w:t>
      </w:r>
      <w:r w:rsidRPr="00226D21">
        <w:rPr>
          <w:lang w:val="fr-FR"/>
        </w:rPr>
        <w:t>efficacité de la procédure de règlement des litiges postérieure à l</w:t>
      </w:r>
      <w:r w:rsidR="001B0195">
        <w:rPr>
          <w:lang w:val="fr-FR"/>
        </w:rPr>
        <w:t>’</w:t>
      </w:r>
      <w:r w:rsidRPr="00226D21">
        <w:rPr>
          <w:lang w:val="fr-FR"/>
        </w:rPr>
        <w:t>attribution reste incertaine, compte tenu en particulier de la superposition de différentes couches procédurales et des problèmes concernant le champ d</w:t>
      </w:r>
      <w:r w:rsidR="001B0195">
        <w:rPr>
          <w:lang w:val="fr-FR"/>
        </w:rPr>
        <w:t>’</w:t>
      </w:r>
      <w:r w:rsidRPr="00226D21">
        <w:rPr>
          <w:lang w:val="fr-FR"/>
        </w:rPr>
        <w:t>application de ce mécanis</w:t>
      </w:r>
      <w:r w:rsidR="00FE15D5" w:rsidRPr="00226D21">
        <w:rPr>
          <w:lang w:val="fr-FR"/>
        </w:rPr>
        <w:t>me</w:t>
      </w:r>
      <w:r w:rsidR="00FE15D5">
        <w:rPr>
          <w:lang w:val="fr-FR"/>
        </w:rPr>
        <w:t xml:space="preserve">.  </w:t>
      </w:r>
      <w:r w:rsidR="00FE15D5" w:rsidRPr="00226D21">
        <w:rPr>
          <w:lang w:val="fr-FR"/>
        </w:rPr>
        <w:t>Co</w:t>
      </w:r>
      <w:r w:rsidRPr="00226D21">
        <w:rPr>
          <w:lang w:val="fr-FR"/>
        </w:rPr>
        <w:t>mpte tenu de certains intérêts plus généraux, le Centre est convenu en 2013 avec l</w:t>
      </w:r>
      <w:r w:rsidR="001B0195">
        <w:rPr>
          <w:lang w:val="fr-FR"/>
        </w:rPr>
        <w:t>’</w:t>
      </w:r>
      <w:r w:rsidRPr="00226D21">
        <w:rPr>
          <w:lang w:val="fr-FR"/>
        </w:rPr>
        <w:t>ICANN de devenir prestataire de services dans le cadre de la procédure de règlement des litiges postérieure à l</w:t>
      </w:r>
      <w:r w:rsidR="001B0195">
        <w:rPr>
          <w:lang w:val="fr-FR"/>
        </w:rPr>
        <w:t>’</w:t>
      </w:r>
      <w:r w:rsidRPr="00226D21">
        <w:rPr>
          <w:lang w:val="fr-FR"/>
        </w:rPr>
        <w:t>attribution en ce qui concerne les marques.</w:t>
      </w:r>
    </w:p>
    <w:p w:rsidR="000322A2" w:rsidRPr="00D25E54" w:rsidRDefault="00D25E54" w:rsidP="00345811">
      <w:pPr>
        <w:pStyle w:val="Heading3"/>
      </w:pPr>
      <w:r w:rsidRPr="00D25E54">
        <w:t>Mécanismes de protection des droits au deuxième niveau</w:t>
      </w:r>
    </w:p>
    <w:p w:rsidR="000322A2" w:rsidRPr="00265EA1" w:rsidRDefault="00061C09" w:rsidP="00345811">
      <w:pPr>
        <w:pStyle w:val="Heading3"/>
        <w:numPr>
          <w:ilvl w:val="0"/>
          <w:numId w:val="11"/>
        </w:numPr>
      </w:pPr>
      <w:r>
        <w:t>Base de données centrale sur les marques</w:t>
      </w:r>
    </w:p>
    <w:p w:rsidR="000322A2" w:rsidRPr="00265EA1" w:rsidRDefault="000322A2" w:rsidP="00345811">
      <w:pPr>
        <w:pStyle w:val="Heading3"/>
        <w:numPr>
          <w:ilvl w:val="0"/>
          <w:numId w:val="0"/>
        </w:numPr>
      </w:pPr>
    </w:p>
    <w:p w:rsidR="001B0195" w:rsidRDefault="00061C09" w:rsidP="00B36AF7">
      <w:pPr>
        <w:pStyle w:val="ONUMFS"/>
        <w:rPr>
          <w:lang w:val="fr-FR"/>
        </w:rPr>
      </w:pPr>
      <w:r w:rsidRPr="00061C09">
        <w:rPr>
          <w:lang w:val="fr-FR"/>
        </w:rPr>
        <w:t>Le programme de l</w:t>
      </w:r>
      <w:r w:rsidR="001B0195">
        <w:rPr>
          <w:lang w:val="fr-FR"/>
        </w:rPr>
        <w:t>’</w:t>
      </w:r>
      <w:r w:rsidRPr="00061C09">
        <w:rPr>
          <w:lang w:val="fr-FR"/>
        </w:rPr>
        <w:t>ICANN relatif aux nouveaux gTLD prévoit l</w:t>
      </w:r>
      <w:r w:rsidR="001B0195">
        <w:rPr>
          <w:lang w:val="fr-FR"/>
        </w:rPr>
        <w:t>’</w:t>
      </w:r>
      <w:r w:rsidRPr="00061C09">
        <w:rPr>
          <w:lang w:val="fr-FR"/>
        </w:rPr>
        <w:t>établissement d</w:t>
      </w:r>
      <w:r w:rsidR="001B0195">
        <w:rPr>
          <w:lang w:val="fr-FR"/>
        </w:rPr>
        <w:t>’</w:t>
      </w:r>
      <w:r w:rsidRPr="00061C09">
        <w:rPr>
          <w:lang w:val="fr-FR"/>
        </w:rPr>
        <w:t xml:space="preserve">une base de données centrale sur les marques pouvant être invoquée en vertu des mécanismes de </w:t>
      </w:r>
      <w:r w:rsidRPr="00061C09">
        <w:rPr>
          <w:lang w:val="fr-FR"/>
        </w:rPr>
        <w:lastRenderedPageBreak/>
        <w:t>protection des droits relatifs aux nouveaux gTLD</w:t>
      </w:r>
      <w:r w:rsidR="000322A2" w:rsidRPr="00265EA1">
        <w:rPr>
          <w:rStyle w:val="FootnoteReference"/>
          <w:lang w:val="fr-FR"/>
        </w:rPr>
        <w:footnoteReference w:id="38"/>
      </w:r>
      <w:r>
        <w:rPr>
          <w:lang w:val="fr-FR"/>
        </w:rPr>
        <w:t>.</w:t>
      </w:r>
      <w:r w:rsidR="000322A2" w:rsidRPr="00265EA1">
        <w:rPr>
          <w:lang w:val="fr-FR"/>
        </w:rPr>
        <w:t xml:space="preserve">  </w:t>
      </w:r>
      <w:r w:rsidRPr="00061C09">
        <w:rPr>
          <w:lang w:val="fr-FR"/>
        </w:rPr>
        <w:t>Le Centre a fait valoir que toute base de données centrale devrait éviter d</w:t>
      </w:r>
      <w:r w:rsidR="001B0195">
        <w:rPr>
          <w:lang w:val="fr-FR"/>
        </w:rPr>
        <w:t>’</w:t>
      </w:r>
      <w:r w:rsidRPr="00061C09">
        <w:rPr>
          <w:lang w:val="fr-FR"/>
        </w:rPr>
        <w:t>alourdir la charge de travail des titulaires de droits en matière de traitement des enregistrements de marques légitimement obtenus dans le cadre des systèmes d</w:t>
      </w:r>
      <w:r w:rsidR="001B0195">
        <w:rPr>
          <w:lang w:val="fr-FR"/>
        </w:rPr>
        <w:t>’</w:t>
      </w:r>
      <w:r w:rsidRPr="00061C09">
        <w:rPr>
          <w:lang w:val="fr-FR"/>
        </w:rPr>
        <w:t>examen et d</w:t>
      </w:r>
      <w:r w:rsidR="001B0195">
        <w:rPr>
          <w:lang w:val="fr-FR"/>
        </w:rPr>
        <w:t>’</w:t>
      </w:r>
      <w:r w:rsidRPr="00061C09">
        <w:rPr>
          <w:lang w:val="fr-FR"/>
        </w:rPr>
        <w:t>enregistrement appliqués dans de nombreux ressorts juridiques et qu</w:t>
      </w:r>
      <w:r w:rsidR="001B0195">
        <w:rPr>
          <w:lang w:val="fr-FR"/>
        </w:rPr>
        <w:t>’</w:t>
      </w:r>
      <w:r w:rsidRPr="00061C09">
        <w:rPr>
          <w:lang w:val="fr-FR"/>
        </w:rPr>
        <w:t>il conviendrait, le cas échéant, d</w:t>
      </w:r>
      <w:r w:rsidR="001B0195">
        <w:rPr>
          <w:lang w:val="fr-FR"/>
        </w:rPr>
        <w:t>’</w:t>
      </w:r>
      <w:r w:rsidRPr="00061C09">
        <w:rPr>
          <w:lang w:val="fr-FR"/>
        </w:rPr>
        <w:t>envisager des mesures pratiques pour recenser toute invocation inappropriée de droits dans certains context</w:t>
      </w:r>
      <w:r w:rsidR="00FE15D5" w:rsidRPr="00061C09">
        <w:rPr>
          <w:lang w:val="fr-FR"/>
        </w:rPr>
        <w:t>es</w:t>
      </w:r>
      <w:r w:rsidR="00FE15D5">
        <w:rPr>
          <w:lang w:val="fr-FR"/>
        </w:rPr>
        <w:t>.  Se</w:t>
      </w:r>
      <w:r>
        <w:rPr>
          <w:lang w:val="fr-FR"/>
        </w:rPr>
        <w:t xml:space="preserve">lon les informations disponibles, </w:t>
      </w:r>
      <w:r w:rsidR="009C1D7E">
        <w:rPr>
          <w:lang w:val="fr-FR"/>
        </w:rPr>
        <w:t>il apparaît qu</w:t>
      </w:r>
      <w:r w:rsidR="001B0195">
        <w:rPr>
          <w:lang w:val="fr-FR"/>
        </w:rPr>
        <w:t>’</w:t>
      </w:r>
      <w:r w:rsidR="009C1D7E">
        <w:rPr>
          <w:lang w:val="fr-FR"/>
        </w:rPr>
        <w:t xml:space="preserve">en </w:t>
      </w:r>
      <w:r w:rsidR="001B0195">
        <w:rPr>
          <w:lang w:val="fr-FR"/>
        </w:rPr>
        <w:t>mars 20</w:t>
      </w:r>
      <w:r>
        <w:rPr>
          <w:lang w:val="fr-FR"/>
        </w:rPr>
        <w:t>17, la base de données centrale sur les marques comptait plus de 42 000</w:t>
      </w:r>
      <w:r w:rsidR="00054A64">
        <w:rPr>
          <w:lang w:val="fr-FR"/>
        </w:rPr>
        <w:t> </w:t>
      </w:r>
      <w:r>
        <w:rPr>
          <w:lang w:val="fr-FR"/>
        </w:rPr>
        <w:t>entrées</w:t>
      </w:r>
      <w:r w:rsidR="000322A2" w:rsidRPr="00265EA1">
        <w:rPr>
          <w:rStyle w:val="FootnoteReference"/>
          <w:szCs w:val="22"/>
          <w:lang w:val="fr-FR"/>
        </w:rPr>
        <w:footnoteReference w:id="39"/>
      </w:r>
      <w:r>
        <w:rPr>
          <w:lang w:val="fr-FR"/>
        </w:rPr>
        <w:t>.</w:t>
      </w:r>
    </w:p>
    <w:p w:rsidR="000322A2" w:rsidRPr="00265EA1" w:rsidRDefault="0040274B" w:rsidP="00345811">
      <w:pPr>
        <w:pStyle w:val="Heading3"/>
        <w:numPr>
          <w:ilvl w:val="0"/>
          <w:numId w:val="11"/>
        </w:numPr>
        <w:rPr>
          <w:color w:val="000000"/>
        </w:rPr>
      </w:pPr>
      <w:r>
        <w:t>Système de suspension uniforme rapide</w:t>
      </w:r>
    </w:p>
    <w:p w:rsidR="000322A2" w:rsidRPr="00265EA1" w:rsidRDefault="000322A2" w:rsidP="00B36AF7">
      <w:pPr>
        <w:rPr>
          <w:szCs w:val="22"/>
          <w:lang w:val="fr-FR"/>
        </w:rPr>
      </w:pPr>
    </w:p>
    <w:p w:rsidR="001B0195" w:rsidRDefault="0040274B" w:rsidP="00B36AF7">
      <w:pPr>
        <w:pStyle w:val="ONUMFS"/>
        <w:rPr>
          <w:lang w:val="fr-FR"/>
        </w:rPr>
      </w:pPr>
      <w:r w:rsidRPr="0040274B">
        <w:rPr>
          <w:lang w:val="fr-FR"/>
        </w:rPr>
        <w:t>Les principes UDRP resteront un important instrument défensif pour certains litiges qui appellent le transfert du nom de domaine contesté au propriétaire de la marque, et l</w:t>
      </w:r>
      <w:r w:rsidR="001B0195">
        <w:rPr>
          <w:lang w:val="fr-FR"/>
        </w:rPr>
        <w:t>’</w:t>
      </w:r>
      <w:r w:rsidRPr="0040274B">
        <w:rPr>
          <w:lang w:val="fr-FR"/>
        </w:rPr>
        <w:t>ICANN a mis en place un mécanisme allégé de protection des droits de deuxième niveau dans certains cas</w:t>
      </w:r>
      <w:r w:rsidR="000322A2" w:rsidRPr="00265EA1">
        <w:rPr>
          <w:rStyle w:val="FootnoteReference"/>
          <w:lang w:val="fr-FR"/>
        </w:rPr>
        <w:footnoteReference w:id="40"/>
      </w:r>
      <w:r>
        <w:rPr>
          <w:lang w:val="fr-FR"/>
        </w:rPr>
        <w:t>.</w:t>
      </w:r>
    </w:p>
    <w:p w:rsidR="001B0195" w:rsidRDefault="0040274B" w:rsidP="00B36AF7">
      <w:pPr>
        <w:pStyle w:val="ONUMFS"/>
        <w:rPr>
          <w:lang w:val="fr-FR"/>
        </w:rPr>
      </w:pPr>
      <w:r w:rsidRPr="0040274B">
        <w:rPr>
          <w:lang w:val="fr-FR"/>
        </w:rPr>
        <w:t>Issu d</w:t>
      </w:r>
      <w:r w:rsidR="001B0195">
        <w:rPr>
          <w:lang w:val="fr-FR"/>
        </w:rPr>
        <w:t>’</w:t>
      </w:r>
      <w:r w:rsidRPr="0040274B">
        <w:rPr>
          <w:lang w:val="fr-FR"/>
        </w:rPr>
        <w:t>une série de procédures et de comités de l</w:t>
      </w:r>
      <w:r w:rsidR="001B0195">
        <w:rPr>
          <w:lang w:val="fr-FR"/>
        </w:rPr>
        <w:t>’</w:t>
      </w:r>
      <w:r w:rsidRPr="0040274B">
        <w:rPr>
          <w:lang w:val="fr-FR"/>
        </w:rPr>
        <w:t>ICANN, le système de suspension uniforme rapide continue de soulever un certain nombre de questions, concernant en particulier son lien avec les principes UDRP</w:t>
      </w:r>
      <w:r w:rsidR="000322A2" w:rsidRPr="00265EA1">
        <w:rPr>
          <w:rStyle w:val="FootnoteReference"/>
          <w:szCs w:val="22"/>
          <w:lang w:val="fr-FR"/>
        </w:rPr>
        <w:footnoteReference w:id="41"/>
      </w:r>
      <w:r>
        <w:rPr>
          <w:lang w:val="fr-FR"/>
        </w:rPr>
        <w:t>.</w:t>
      </w:r>
      <w:r w:rsidR="000322A2" w:rsidRPr="00265EA1">
        <w:rPr>
          <w:lang w:val="fr-FR"/>
        </w:rPr>
        <w:t xml:space="preserve">  </w:t>
      </w:r>
      <w:r w:rsidRPr="0040274B">
        <w:rPr>
          <w:lang w:val="fr-FR"/>
        </w:rPr>
        <w:t>L</w:t>
      </w:r>
      <w:r w:rsidR="001B0195">
        <w:rPr>
          <w:lang w:val="fr-FR"/>
        </w:rPr>
        <w:t>’</w:t>
      </w:r>
      <w:r w:rsidRPr="0040274B">
        <w:rPr>
          <w:lang w:val="fr-FR"/>
        </w:rPr>
        <w:t>ICANN a adressé aux prestataires potentiels de services de suspension uniforme rapide un appel d</w:t>
      </w:r>
      <w:r w:rsidR="001B0195">
        <w:rPr>
          <w:lang w:val="fr-FR"/>
        </w:rPr>
        <w:t>’</w:t>
      </w:r>
      <w:r w:rsidRPr="0040274B">
        <w:rPr>
          <w:lang w:val="fr-FR"/>
        </w:rPr>
        <w:t>offres auquel, à l</w:t>
      </w:r>
      <w:r w:rsidR="001B0195">
        <w:rPr>
          <w:lang w:val="fr-FR"/>
        </w:rPr>
        <w:t>’</w:t>
      </w:r>
      <w:r w:rsidRPr="0040274B">
        <w:rPr>
          <w:lang w:val="fr-FR"/>
        </w:rPr>
        <w:t>issue d</w:t>
      </w:r>
      <w:r w:rsidR="001B0195">
        <w:rPr>
          <w:lang w:val="fr-FR"/>
        </w:rPr>
        <w:t>’</w:t>
      </w:r>
      <w:r w:rsidRPr="0040274B">
        <w:rPr>
          <w:lang w:val="fr-FR"/>
        </w:rPr>
        <w:t>un examen approfondi du modèle de suspension uniforme rapide de l</w:t>
      </w:r>
      <w:r w:rsidR="001B0195">
        <w:rPr>
          <w:lang w:val="fr-FR"/>
        </w:rPr>
        <w:t>’</w:t>
      </w:r>
      <w:r w:rsidRPr="0040274B">
        <w:rPr>
          <w:lang w:val="fr-FR"/>
        </w:rPr>
        <w:t>ICANN et des ressources nécessaires, le Centre n</w:t>
      </w:r>
      <w:r w:rsidR="001B0195">
        <w:rPr>
          <w:lang w:val="fr-FR"/>
        </w:rPr>
        <w:t>’</w:t>
      </w:r>
      <w:r w:rsidRPr="0040274B">
        <w:rPr>
          <w:lang w:val="fr-FR"/>
        </w:rPr>
        <w:t>a pas été en mesure de participer</w:t>
      </w:r>
      <w:r w:rsidR="000322A2" w:rsidRPr="00265EA1">
        <w:rPr>
          <w:rStyle w:val="FootnoteReference"/>
          <w:lang w:val="fr-FR"/>
        </w:rPr>
        <w:footnoteReference w:id="42"/>
      </w:r>
      <w:r>
        <w:rPr>
          <w:lang w:val="fr-FR"/>
        </w:rPr>
        <w:t>.</w:t>
      </w:r>
      <w:r w:rsidR="000322A2" w:rsidRPr="00265EA1">
        <w:rPr>
          <w:lang w:val="fr-FR"/>
        </w:rPr>
        <w:t xml:space="preserve">  </w:t>
      </w:r>
      <w:r w:rsidRPr="0040274B">
        <w:rPr>
          <w:lang w:val="fr-FR"/>
        </w:rPr>
        <w:t>Le Centre continue de suivre de près l</w:t>
      </w:r>
      <w:r w:rsidR="001B0195">
        <w:rPr>
          <w:lang w:val="fr-FR"/>
        </w:rPr>
        <w:t>’</w:t>
      </w:r>
      <w:r w:rsidRPr="0040274B">
        <w:rPr>
          <w:lang w:val="fr-FR"/>
        </w:rPr>
        <w:t>évolution de la situation</w:t>
      </w:r>
      <w:r w:rsidR="000322A2" w:rsidRPr="00265EA1">
        <w:rPr>
          <w:lang w:val="fr-FR"/>
        </w:rPr>
        <w:t>.</w:t>
      </w:r>
    </w:p>
    <w:p w:rsidR="000322A2" w:rsidRPr="00B36AF7" w:rsidRDefault="000322A2" w:rsidP="00575294">
      <w:pPr>
        <w:pStyle w:val="Heading2"/>
        <w:ind w:left="567" w:hanging="567"/>
        <w:rPr>
          <w:lang w:val="fr-CH"/>
        </w:rPr>
      </w:pPr>
      <w:r w:rsidRPr="00B36AF7">
        <w:rPr>
          <w:lang w:val="fr-CH"/>
        </w:rPr>
        <w:lastRenderedPageBreak/>
        <w:t>B.</w:t>
      </w:r>
      <w:r w:rsidRPr="00B36AF7">
        <w:rPr>
          <w:lang w:val="fr-CH"/>
        </w:rPr>
        <w:tab/>
      </w:r>
      <w:r w:rsidR="006D7EF4" w:rsidRPr="00B36AF7">
        <w:rPr>
          <w:lang w:val="fr-CH"/>
        </w:rPr>
        <w:t>Plans de l’ICANN en vue d’une révision future des principes UDRP établis à l’initiative de l’ompi et autres mécanismes de protection des droits</w:t>
      </w:r>
    </w:p>
    <w:p w:rsidR="000322A2" w:rsidRPr="00265EA1" w:rsidRDefault="000322A2" w:rsidP="00B36AF7">
      <w:pPr>
        <w:keepNext/>
        <w:keepLines/>
        <w:rPr>
          <w:bCs/>
          <w:color w:val="000000"/>
          <w:szCs w:val="22"/>
          <w:lang w:val="fr-FR"/>
        </w:rPr>
      </w:pPr>
    </w:p>
    <w:p w:rsidR="000322A2" w:rsidRPr="00265EA1" w:rsidRDefault="00333FE5" w:rsidP="00B36AF7">
      <w:pPr>
        <w:pStyle w:val="ONUMFS"/>
        <w:rPr>
          <w:lang w:val="fr-FR"/>
        </w:rPr>
      </w:pPr>
      <w:r w:rsidRPr="00333FE5">
        <w:rPr>
          <w:lang w:val="fr-FR"/>
        </w:rPr>
        <w:t>Adaptés à l</w:t>
      </w:r>
      <w:r w:rsidR="001B0195">
        <w:rPr>
          <w:lang w:val="fr-FR"/>
        </w:rPr>
        <w:t>’</w:t>
      </w:r>
      <w:r w:rsidRPr="00333FE5">
        <w:rPr>
          <w:lang w:val="fr-FR"/>
        </w:rPr>
        <w:t>évolution dynamique du DNS, les principes UDRP offrent aux propriétaires de marques, aux détenteurs de noms de domaine et aux administrateurs de services d</w:t>
      </w:r>
      <w:r w:rsidR="001B0195">
        <w:rPr>
          <w:lang w:val="fr-FR"/>
        </w:rPr>
        <w:t>’</w:t>
      </w:r>
      <w:r w:rsidRPr="00333FE5">
        <w:rPr>
          <w:lang w:val="fr-FR"/>
        </w:rPr>
        <w:t>enregistrement une solution remplaçant avantageusement l</w:t>
      </w:r>
      <w:r w:rsidR="001B0195">
        <w:rPr>
          <w:lang w:val="fr-FR"/>
        </w:rPr>
        <w:t>’</w:t>
      </w:r>
      <w:r w:rsidRPr="00333FE5">
        <w:rPr>
          <w:lang w:val="fr-FR"/>
        </w:rPr>
        <w:t>action judiciai</w:t>
      </w:r>
      <w:r w:rsidR="00FE15D5" w:rsidRPr="00333FE5">
        <w:rPr>
          <w:lang w:val="fr-FR"/>
        </w:rPr>
        <w:t>re</w:t>
      </w:r>
      <w:r w:rsidR="00FE15D5">
        <w:rPr>
          <w:lang w:val="fr-FR"/>
        </w:rPr>
        <w:t xml:space="preserve">.  </w:t>
      </w:r>
      <w:r w:rsidR="00FE15D5" w:rsidRPr="00333FE5">
        <w:rPr>
          <w:lang w:val="fr-FR"/>
        </w:rPr>
        <w:t>Or</w:t>
      </w:r>
      <w:r w:rsidRPr="00333FE5">
        <w:rPr>
          <w:lang w:val="fr-FR"/>
        </w:rPr>
        <w:t>, à l</w:t>
      </w:r>
      <w:r w:rsidR="001B0195">
        <w:rPr>
          <w:lang w:val="fr-FR"/>
        </w:rPr>
        <w:t>’</w:t>
      </w:r>
      <w:r w:rsidRPr="00333FE5">
        <w:rPr>
          <w:lang w:val="fr-FR"/>
        </w:rPr>
        <w:t xml:space="preserve">issue de discussions </w:t>
      </w:r>
      <w:r w:rsidR="001B0195">
        <w:rPr>
          <w:lang w:val="fr-FR"/>
        </w:rPr>
        <w:t>en 2011</w:t>
      </w:r>
      <w:r>
        <w:rPr>
          <w:lang w:val="fr-FR"/>
        </w:rPr>
        <w:t xml:space="preserve"> </w:t>
      </w:r>
      <w:r w:rsidRPr="00333FE5">
        <w:rPr>
          <w:lang w:val="fr-FR"/>
        </w:rPr>
        <w:t>au</w:t>
      </w:r>
      <w:bookmarkStart w:id="5" w:name="_GoBack"/>
      <w:bookmarkEnd w:id="5"/>
      <w:r w:rsidRPr="00333FE5">
        <w:rPr>
          <w:lang w:val="fr-FR"/>
        </w:rPr>
        <w:t xml:space="preserve"> cours desquelles une nette majorité des participants a estimé qu</w:t>
      </w:r>
      <w:r w:rsidR="001B0195">
        <w:rPr>
          <w:lang w:val="fr-FR"/>
        </w:rPr>
        <w:t>’</w:t>
      </w:r>
      <w:r w:rsidRPr="00333FE5">
        <w:rPr>
          <w:lang w:val="fr-FR"/>
        </w:rPr>
        <w:t>une éventuelle révision des principes UDRP effectuée par l</w:t>
      </w:r>
      <w:r w:rsidR="001B0195">
        <w:rPr>
          <w:lang w:val="fr-FR"/>
        </w:rPr>
        <w:t>’</w:t>
      </w:r>
      <w:r w:rsidRPr="00333FE5">
        <w:rPr>
          <w:lang w:val="fr-FR"/>
        </w:rPr>
        <w:t>ICANN en tant qu</w:t>
      </w:r>
      <w:r w:rsidR="001B0195">
        <w:rPr>
          <w:lang w:val="fr-FR"/>
        </w:rPr>
        <w:t>’</w:t>
      </w:r>
      <w:r w:rsidRPr="00333FE5">
        <w:rPr>
          <w:lang w:val="fr-FR"/>
        </w:rPr>
        <w:t>organe axé sur les enregistrements ferait davantage de mal que de bien</w:t>
      </w:r>
      <w:r w:rsidR="000322A2" w:rsidRPr="00265EA1">
        <w:rPr>
          <w:vertAlign w:val="superscript"/>
          <w:lang w:val="fr-FR"/>
        </w:rPr>
        <w:footnoteReference w:id="43"/>
      </w:r>
      <w:r>
        <w:rPr>
          <w:lang w:val="fr-FR"/>
        </w:rPr>
        <w:t>,</w:t>
      </w:r>
      <w:r w:rsidR="000322A2" w:rsidRPr="00265EA1">
        <w:rPr>
          <w:lang w:val="fr-FR"/>
        </w:rPr>
        <w:t xml:space="preserve"> </w:t>
      </w:r>
      <w:r w:rsidRPr="00333FE5">
        <w:rPr>
          <w:lang w:val="fr-FR"/>
        </w:rPr>
        <w:t>l</w:t>
      </w:r>
      <w:r w:rsidR="001B0195">
        <w:rPr>
          <w:lang w:val="fr-FR"/>
        </w:rPr>
        <w:t>’</w:t>
      </w:r>
      <w:r w:rsidRPr="00333FE5">
        <w:rPr>
          <w:lang w:val="fr-FR"/>
        </w:rPr>
        <w:t>Organisation de soutien en matière de noms de domaine génériques de l</w:t>
      </w:r>
      <w:r w:rsidR="001B0195">
        <w:rPr>
          <w:lang w:val="fr-FR"/>
        </w:rPr>
        <w:t>’</w:t>
      </w:r>
      <w:r w:rsidRPr="00333FE5">
        <w:rPr>
          <w:lang w:val="fr-FR"/>
        </w:rPr>
        <w:t>Internet (GNSO) a pris la décision de procéder à la révision des principes UDRP après le lancement de nouveaux g</w:t>
      </w:r>
      <w:r w:rsidR="00FE15D5" w:rsidRPr="00333FE5">
        <w:rPr>
          <w:lang w:val="fr-FR"/>
        </w:rPr>
        <w:t>TLD</w:t>
      </w:r>
      <w:r w:rsidR="00FE15D5">
        <w:rPr>
          <w:lang w:val="fr-FR"/>
        </w:rPr>
        <w:t xml:space="preserve">.  </w:t>
      </w:r>
      <w:r w:rsidR="00FE15D5" w:rsidRPr="00333FE5">
        <w:rPr>
          <w:lang w:val="fr-FR"/>
        </w:rPr>
        <w:t>Le</w:t>
      </w:r>
      <w:r w:rsidRPr="00333FE5">
        <w:rPr>
          <w:lang w:val="fr-FR"/>
        </w:rPr>
        <w:t xml:space="preserve"> rapport préliminaire de l</w:t>
      </w:r>
      <w:r w:rsidR="001B0195">
        <w:rPr>
          <w:lang w:val="fr-FR"/>
        </w:rPr>
        <w:t>’</w:t>
      </w:r>
      <w:r w:rsidRPr="00333FE5">
        <w:rPr>
          <w:lang w:val="fr-FR"/>
        </w:rPr>
        <w:t>ICANN sur cette question qui a été publié en octobre 2015 présentait une série de questions complexes relatives au fond et à la procédure</w:t>
      </w:r>
      <w:r w:rsidR="000322A2" w:rsidRPr="00265EA1">
        <w:rPr>
          <w:vertAlign w:val="superscript"/>
          <w:lang w:val="fr-FR"/>
        </w:rPr>
        <w:footnoteReference w:id="44"/>
      </w:r>
      <w:r>
        <w:rPr>
          <w:lang w:val="fr-FR"/>
        </w:rPr>
        <w:t>.</w:t>
      </w:r>
      <w:r w:rsidR="000322A2" w:rsidRPr="00265EA1">
        <w:rPr>
          <w:lang w:val="fr-FR"/>
        </w:rPr>
        <w:t xml:space="preserve">  </w:t>
      </w:r>
      <w:r w:rsidRPr="00333FE5">
        <w:rPr>
          <w:lang w:val="fr-FR"/>
        </w:rPr>
        <w:t>À cet égard, le Centre a formulé des observations soulignant le succès de longue date des principes UDRP et les risques liés à toute tentative de révision des principes UDRP par l</w:t>
      </w:r>
      <w:r w:rsidR="001B0195">
        <w:rPr>
          <w:lang w:val="fr-FR"/>
        </w:rPr>
        <w:t>’</w:t>
      </w:r>
      <w:r w:rsidRPr="00333FE5">
        <w:rPr>
          <w:lang w:val="fr-FR"/>
        </w:rPr>
        <w:t>IC</w:t>
      </w:r>
      <w:r w:rsidR="00FE15D5" w:rsidRPr="00333FE5">
        <w:rPr>
          <w:lang w:val="fr-FR"/>
        </w:rPr>
        <w:t>ANN</w:t>
      </w:r>
      <w:r w:rsidR="00FE15D5">
        <w:rPr>
          <w:lang w:val="fr-FR"/>
        </w:rPr>
        <w:t xml:space="preserve">.  </w:t>
      </w:r>
      <w:r w:rsidR="00FE15D5" w:rsidRPr="00333FE5">
        <w:rPr>
          <w:lang w:val="fr-FR"/>
        </w:rPr>
        <w:t>Ap</w:t>
      </w:r>
      <w:r w:rsidRPr="00333FE5">
        <w:rPr>
          <w:lang w:val="fr-FR"/>
        </w:rPr>
        <w:t>rès l</w:t>
      </w:r>
      <w:r w:rsidR="001B0195">
        <w:rPr>
          <w:lang w:val="fr-FR"/>
        </w:rPr>
        <w:t>’</w:t>
      </w:r>
      <w:r w:rsidRPr="00333FE5">
        <w:rPr>
          <w:lang w:val="fr-FR"/>
        </w:rPr>
        <w:t>ouverture d</w:t>
      </w:r>
      <w:r w:rsidR="001B0195">
        <w:rPr>
          <w:lang w:val="fr-FR"/>
        </w:rPr>
        <w:t>’</w:t>
      </w:r>
      <w:r w:rsidRPr="00333FE5">
        <w:rPr>
          <w:lang w:val="fr-FR"/>
        </w:rPr>
        <w:t>un débat public, l</w:t>
      </w:r>
      <w:r w:rsidR="001B0195">
        <w:rPr>
          <w:lang w:val="fr-FR"/>
        </w:rPr>
        <w:t>’</w:t>
      </w:r>
      <w:r w:rsidRPr="00333FE5">
        <w:rPr>
          <w:lang w:val="fr-FR"/>
        </w:rPr>
        <w:t>ICANN a publié son rapport final sur cette question en janvier 2016, recommandant que la GNSO lance un processus d</w:t>
      </w:r>
      <w:r w:rsidR="001B0195">
        <w:rPr>
          <w:lang w:val="fr-FR"/>
        </w:rPr>
        <w:t>’</w:t>
      </w:r>
      <w:r w:rsidRPr="00333FE5">
        <w:rPr>
          <w:lang w:val="fr-FR"/>
        </w:rPr>
        <w:t>élaboration de politique afin d</w:t>
      </w:r>
      <w:r w:rsidR="001B0195">
        <w:rPr>
          <w:lang w:val="fr-FR"/>
        </w:rPr>
        <w:t>’</w:t>
      </w:r>
      <w:r w:rsidRPr="00333FE5">
        <w:rPr>
          <w:lang w:val="fr-FR"/>
        </w:rPr>
        <w:t>examiner tous les mécanismes de protection des droits en deux phas</w:t>
      </w:r>
      <w:r w:rsidR="00FE15D5" w:rsidRPr="00333FE5">
        <w:rPr>
          <w:lang w:val="fr-FR"/>
        </w:rPr>
        <w:t>es</w:t>
      </w:r>
      <w:r w:rsidR="00FE15D5">
        <w:rPr>
          <w:lang w:val="fr-FR"/>
        </w:rPr>
        <w:t xml:space="preserve">.  </w:t>
      </w:r>
      <w:r w:rsidR="00FE15D5" w:rsidRPr="00333FE5">
        <w:rPr>
          <w:lang w:val="fr-FR"/>
        </w:rPr>
        <w:t>La</w:t>
      </w:r>
      <w:r w:rsidRPr="00333FE5">
        <w:rPr>
          <w:lang w:val="fr-FR"/>
        </w:rPr>
        <w:t xml:space="preserve"> phase initiale porte actuellement sur les mécanismes de protection des droits établis pour le programme relatif aux nouveaux gTLD</w:t>
      </w:r>
      <w:r w:rsidR="00B0164D" w:rsidRPr="00265EA1">
        <w:rPr>
          <w:lang w:val="fr-FR"/>
        </w:rPr>
        <w:t xml:space="preserve">, </w:t>
      </w:r>
      <w:r>
        <w:rPr>
          <w:lang w:val="fr-FR"/>
        </w:rPr>
        <w:t>notamment la base de données centrale sur les marques</w:t>
      </w:r>
      <w:r w:rsidR="000322A2" w:rsidRPr="00265EA1">
        <w:rPr>
          <w:lang w:val="fr-FR"/>
        </w:rPr>
        <w:t xml:space="preserve"> (</w:t>
      </w:r>
      <w:r w:rsidR="001B0195">
        <w:rPr>
          <w:lang w:val="fr-FR"/>
        </w:rPr>
        <w:t>y compris</w:t>
      </w:r>
      <w:r>
        <w:rPr>
          <w:lang w:val="fr-FR"/>
        </w:rPr>
        <w:t xml:space="preserve"> les </w:t>
      </w:r>
      <w:r w:rsidR="0043724E">
        <w:rPr>
          <w:lang w:val="fr-FR"/>
        </w:rPr>
        <w:t xml:space="preserve">services “préliminaires” et le </w:t>
      </w:r>
      <w:r w:rsidR="0043724E" w:rsidRPr="009C1D7E">
        <w:rPr>
          <w:lang w:val="fr-FR"/>
        </w:rPr>
        <w:t>système de “contentieux”</w:t>
      </w:r>
      <w:r w:rsidR="0043724E">
        <w:rPr>
          <w:lang w:val="fr-FR"/>
        </w:rPr>
        <w:t>) et le système de suspension uniforme rapide</w:t>
      </w:r>
      <w:r w:rsidR="000322A2" w:rsidRPr="00265EA1">
        <w:rPr>
          <w:lang w:val="fr-FR"/>
        </w:rPr>
        <w:t xml:space="preserve">, </w:t>
      </w:r>
      <w:r>
        <w:rPr>
          <w:lang w:val="fr-FR"/>
        </w:rPr>
        <w:t xml:space="preserve">tandis que </w:t>
      </w:r>
      <w:r w:rsidRPr="00333FE5">
        <w:rPr>
          <w:lang w:val="fr-FR"/>
        </w:rPr>
        <w:t xml:space="preserve">la deuxième </w:t>
      </w:r>
      <w:r>
        <w:rPr>
          <w:lang w:val="fr-FR"/>
        </w:rPr>
        <w:t xml:space="preserve">phase </w:t>
      </w:r>
      <w:r w:rsidRPr="00333FE5">
        <w:rPr>
          <w:lang w:val="fr-FR"/>
        </w:rPr>
        <w:t>portera sur les principes UDRP</w:t>
      </w:r>
      <w:r w:rsidR="000322A2" w:rsidRPr="00265EA1">
        <w:rPr>
          <w:vertAlign w:val="superscript"/>
          <w:lang w:val="fr-FR"/>
        </w:rPr>
        <w:footnoteReference w:id="45"/>
      </w:r>
      <w:r>
        <w:rPr>
          <w:lang w:val="fr-FR"/>
        </w:rPr>
        <w:t>.</w:t>
      </w:r>
      <w:r w:rsidR="000322A2" w:rsidRPr="00265EA1">
        <w:rPr>
          <w:lang w:val="fr-FR"/>
        </w:rPr>
        <w:t xml:space="preserve">  </w:t>
      </w:r>
      <w:r w:rsidR="006D52A4" w:rsidRPr="006D52A4">
        <w:rPr>
          <w:lang w:val="fr-FR"/>
        </w:rPr>
        <w:t>C</w:t>
      </w:r>
      <w:r w:rsidR="001B0195">
        <w:rPr>
          <w:lang w:val="fr-FR"/>
        </w:rPr>
        <w:t>’</w:t>
      </w:r>
      <w:r w:rsidR="006D52A4" w:rsidRPr="006D52A4">
        <w:rPr>
          <w:lang w:val="fr-FR"/>
        </w:rPr>
        <w:t>est un sujet de préoccupation important et le Centre continue de se tenir activement informé des intentions des parties prenantes de l</w:t>
      </w:r>
      <w:r w:rsidR="001B0195">
        <w:rPr>
          <w:lang w:val="fr-FR"/>
        </w:rPr>
        <w:t>’</w:t>
      </w:r>
      <w:r w:rsidR="006D52A4" w:rsidRPr="006D52A4">
        <w:rPr>
          <w:lang w:val="fr-FR"/>
        </w:rPr>
        <w:t>ICANN concernant les principes UDRP et des mécanismes de protection des droits attachés aux marques en génér</w:t>
      </w:r>
      <w:r w:rsidR="00FE15D5" w:rsidRPr="006D52A4">
        <w:rPr>
          <w:lang w:val="fr-FR"/>
        </w:rPr>
        <w:t>al</w:t>
      </w:r>
      <w:r w:rsidR="00FE15D5">
        <w:rPr>
          <w:lang w:val="fr-FR"/>
        </w:rPr>
        <w:t xml:space="preserve">.  À </w:t>
      </w:r>
      <w:r w:rsidR="006D52A4">
        <w:rPr>
          <w:lang w:val="fr-FR"/>
        </w:rPr>
        <w:t>cet égard, le Centre reste en relation avec les principaux acteurs du domaine des marques, tels que l</w:t>
      </w:r>
      <w:r w:rsidR="001B0195">
        <w:rPr>
          <w:lang w:val="fr-FR"/>
        </w:rPr>
        <w:t>’</w:t>
      </w:r>
      <w:r w:rsidR="006D52A4">
        <w:rPr>
          <w:lang w:val="fr-FR"/>
        </w:rPr>
        <w:t xml:space="preserve">INTA et </w:t>
      </w:r>
      <w:r w:rsidR="000322A2" w:rsidRPr="00265EA1">
        <w:rPr>
          <w:lang w:val="fr-FR"/>
        </w:rPr>
        <w:t>MARQUES.</w:t>
      </w:r>
    </w:p>
    <w:p w:rsidR="004848A7" w:rsidRPr="001828EE" w:rsidRDefault="004848A7" w:rsidP="00B36AF7">
      <w:pPr>
        <w:pStyle w:val="Heading2"/>
        <w:rPr>
          <w:lang w:val="fr-CH"/>
        </w:rPr>
      </w:pPr>
      <w:r w:rsidRPr="001828EE">
        <w:rPr>
          <w:lang w:val="fr-CH"/>
        </w:rPr>
        <w:t>C.</w:t>
      </w:r>
      <w:r w:rsidRPr="001828EE">
        <w:rPr>
          <w:lang w:val="fr-CH"/>
        </w:rPr>
        <w:tab/>
      </w:r>
      <w:r w:rsidR="006D7EF4" w:rsidRPr="001828EE">
        <w:rPr>
          <w:lang w:val="fr-CH"/>
        </w:rPr>
        <w:t>Noms de domaine internationalisés</w:t>
      </w:r>
    </w:p>
    <w:p w:rsidR="004848A7" w:rsidRPr="00265EA1" w:rsidRDefault="004848A7" w:rsidP="00B36AF7">
      <w:pPr>
        <w:rPr>
          <w:color w:val="000000"/>
          <w:szCs w:val="22"/>
          <w:lang w:val="fr-FR"/>
        </w:rPr>
      </w:pPr>
    </w:p>
    <w:p w:rsidR="004848A7" w:rsidRPr="00265EA1" w:rsidRDefault="006D52A4" w:rsidP="00B36AF7">
      <w:pPr>
        <w:pStyle w:val="ONUMFS"/>
        <w:rPr>
          <w:lang w:val="fr-FR"/>
        </w:rPr>
      </w:pPr>
      <w:r w:rsidRPr="006D52A4">
        <w:rPr>
          <w:lang w:val="fr-FR"/>
        </w:rPr>
        <w:t>Ainsi qu</w:t>
      </w:r>
      <w:r w:rsidR="001B0195">
        <w:rPr>
          <w:lang w:val="fr-FR"/>
        </w:rPr>
        <w:t>’</w:t>
      </w:r>
      <w:r w:rsidRPr="006D52A4">
        <w:rPr>
          <w:lang w:val="fr-FR"/>
        </w:rPr>
        <w:t>il est indiqué au paragraphe 22, l</w:t>
      </w:r>
      <w:r w:rsidR="001B0195">
        <w:rPr>
          <w:lang w:val="fr-FR"/>
        </w:rPr>
        <w:t>’</w:t>
      </w:r>
      <w:r w:rsidRPr="006D52A4">
        <w:rPr>
          <w:lang w:val="fr-FR"/>
        </w:rPr>
        <w:t>introduction de noms de domaine internationalisés (en caractères non latins) dans les domaines de premier niveau constitue une autre évolution importante du DNS</w:t>
      </w:r>
      <w:r w:rsidR="004848A7" w:rsidRPr="00265EA1">
        <w:rPr>
          <w:rStyle w:val="FootnoteReference"/>
          <w:szCs w:val="22"/>
          <w:lang w:val="fr-FR"/>
        </w:rPr>
        <w:footnoteReference w:id="46"/>
      </w:r>
      <w:r>
        <w:rPr>
          <w:lang w:val="fr-FR"/>
        </w:rPr>
        <w:t xml:space="preserve">. </w:t>
      </w:r>
      <w:r w:rsidR="004848A7" w:rsidRPr="00265EA1">
        <w:rPr>
          <w:lang w:val="fr-FR"/>
        </w:rPr>
        <w:t xml:space="preserve"> </w:t>
      </w:r>
      <w:r w:rsidRPr="006D52A4">
        <w:rPr>
          <w:lang w:val="fr-FR"/>
        </w:rPr>
        <w:t>Ces domaines étaient nombreux parmi les premiers gTLD dont l</w:t>
      </w:r>
      <w:r w:rsidR="001B0195">
        <w:rPr>
          <w:lang w:val="fr-FR"/>
        </w:rPr>
        <w:t>’</w:t>
      </w:r>
      <w:r w:rsidRPr="006D52A4">
        <w:rPr>
          <w:lang w:val="fr-FR"/>
        </w:rPr>
        <w:t>attribution dans la zone racine du DNS a été annoncée par l</w:t>
      </w:r>
      <w:r w:rsidR="001B0195">
        <w:rPr>
          <w:lang w:val="fr-FR"/>
        </w:rPr>
        <w:t>’</w:t>
      </w:r>
      <w:r w:rsidRPr="006D52A4">
        <w:rPr>
          <w:lang w:val="fr-FR"/>
        </w:rPr>
        <w:t>ICANN.</w:t>
      </w:r>
    </w:p>
    <w:p w:rsidR="004848A7" w:rsidRPr="006D7EF4" w:rsidRDefault="004848A7" w:rsidP="00B36AF7">
      <w:pPr>
        <w:pStyle w:val="Heading2"/>
      </w:pPr>
      <w:r w:rsidRPr="006D7EF4">
        <w:t>D.</w:t>
      </w:r>
      <w:r w:rsidRPr="006D7EF4">
        <w:tab/>
      </w:r>
      <w:r w:rsidR="006D7EF4" w:rsidRPr="006D7EF4">
        <w:t>Autres désignations</w:t>
      </w:r>
    </w:p>
    <w:p w:rsidR="004848A7" w:rsidRPr="00265EA1" w:rsidRDefault="004848A7" w:rsidP="00B36AF7">
      <w:pPr>
        <w:rPr>
          <w:lang w:val="fr-FR"/>
        </w:rPr>
      </w:pPr>
    </w:p>
    <w:p w:rsidR="004848A7" w:rsidRPr="00265EA1" w:rsidRDefault="00065824" w:rsidP="00B36AF7">
      <w:pPr>
        <w:pStyle w:val="ONUMFS"/>
        <w:rPr>
          <w:lang w:val="fr-FR"/>
        </w:rPr>
      </w:pPr>
      <w:r w:rsidRPr="00065824">
        <w:rPr>
          <w:lang w:val="fr-FR"/>
        </w:rPr>
        <w:t>Outre les évolutions susmentionnées et en relation avec celles</w:t>
      </w:r>
      <w:r w:rsidR="001B0195">
        <w:rPr>
          <w:lang w:val="fr-FR"/>
        </w:rPr>
        <w:t>-</w:t>
      </w:r>
      <w:r w:rsidRPr="00065824">
        <w:rPr>
          <w:lang w:val="fr-FR"/>
        </w:rPr>
        <w:t>ci, d</w:t>
      </w:r>
      <w:r w:rsidR="001B0195">
        <w:rPr>
          <w:lang w:val="fr-FR"/>
        </w:rPr>
        <w:t>’</w:t>
      </w:r>
      <w:r w:rsidRPr="00065824">
        <w:rPr>
          <w:lang w:val="fr-FR"/>
        </w:rPr>
        <w:t>autres activités déployées par l</w:t>
      </w:r>
      <w:r w:rsidR="001B0195">
        <w:rPr>
          <w:lang w:val="fr-FR"/>
        </w:rPr>
        <w:t>’</w:t>
      </w:r>
      <w:r w:rsidRPr="00065824">
        <w:rPr>
          <w:lang w:val="fr-FR"/>
        </w:rPr>
        <w:t>ICANN touchent à la protection de désignations autres que les marques.</w:t>
      </w:r>
    </w:p>
    <w:p w:rsidR="004848A7" w:rsidRPr="00265EA1" w:rsidRDefault="00065824" w:rsidP="00345811">
      <w:pPr>
        <w:pStyle w:val="Heading3"/>
        <w:keepLines/>
        <w:numPr>
          <w:ilvl w:val="4"/>
          <w:numId w:val="17"/>
        </w:numPr>
        <w:ind w:left="1134" w:hanging="567"/>
      </w:pPr>
      <w:r>
        <w:lastRenderedPageBreak/>
        <w:t>Organisations intergouvernementales</w:t>
      </w:r>
    </w:p>
    <w:p w:rsidR="004848A7" w:rsidRPr="00265EA1" w:rsidRDefault="004848A7" w:rsidP="00345811">
      <w:pPr>
        <w:keepNext/>
        <w:keepLines/>
        <w:rPr>
          <w:szCs w:val="22"/>
          <w:lang w:val="fr-FR"/>
        </w:rPr>
      </w:pPr>
    </w:p>
    <w:p w:rsidR="004848A7" w:rsidRPr="00265EA1" w:rsidRDefault="00065824" w:rsidP="00345811">
      <w:pPr>
        <w:pStyle w:val="ONUMFS"/>
        <w:keepNext/>
        <w:keepLines/>
        <w:rPr>
          <w:lang w:val="fr-FR"/>
        </w:rPr>
      </w:pPr>
      <w:r w:rsidRPr="00065824">
        <w:rPr>
          <w:lang w:val="fr-FR"/>
        </w:rPr>
        <w:t>Il est rappelé que le premier processus de consultations de l</w:t>
      </w:r>
      <w:r w:rsidR="001B0195">
        <w:rPr>
          <w:lang w:val="fr-FR"/>
        </w:rPr>
        <w:t>’</w:t>
      </w:r>
      <w:r w:rsidRPr="00065824">
        <w:rPr>
          <w:lang w:val="fr-FR"/>
        </w:rPr>
        <w:t>OMPI sur les noms de domaine de l</w:t>
      </w:r>
      <w:r w:rsidR="001B0195">
        <w:rPr>
          <w:lang w:val="fr-FR"/>
        </w:rPr>
        <w:t>’</w:t>
      </w:r>
      <w:r w:rsidRPr="00065824">
        <w:rPr>
          <w:lang w:val="fr-FR"/>
        </w:rPr>
        <w:t>Internet traitait du lien entre les noms de domaine et les marqu</w:t>
      </w:r>
      <w:r w:rsidR="00FE15D5" w:rsidRPr="00065824">
        <w:rPr>
          <w:lang w:val="fr-FR"/>
        </w:rPr>
        <w:t>es</w:t>
      </w:r>
      <w:r w:rsidR="00FE15D5">
        <w:rPr>
          <w:lang w:val="fr-FR"/>
        </w:rPr>
        <w:t xml:space="preserve">.  </w:t>
      </w:r>
      <w:r w:rsidR="00FE15D5" w:rsidRPr="00065824">
        <w:rPr>
          <w:lang w:val="fr-FR"/>
        </w:rPr>
        <w:t>Le</w:t>
      </w:r>
      <w:r w:rsidRPr="00065824">
        <w:rPr>
          <w:lang w:val="fr-FR"/>
        </w:rPr>
        <w:t xml:space="preserve"> second traitait du lien entre les noms de domaine et d</w:t>
      </w:r>
      <w:r w:rsidR="001B0195">
        <w:rPr>
          <w:lang w:val="fr-FR"/>
        </w:rPr>
        <w:t>’</w:t>
      </w:r>
      <w:r w:rsidRPr="00065824">
        <w:rPr>
          <w:lang w:val="fr-FR"/>
        </w:rPr>
        <w:t>autres types de désignations, dont les noms de pays et les noms et sigles d</w:t>
      </w:r>
      <w:r w:rsidR="001B0195">
        <w:rPr>
          <w:lang w:val="fr-FR"/>
        </w:rPr>
        <w:t>’</w:t>
      </w:r>
      <w:r w:rsidRPr="00065824">
        <w:rPr>
          <w:lang w:val="fr-FR"/>
        </w:rPr>
        <w:t>organisations intergouvernementales.</w:t>
      </w:r>
    </w:p>
    <w:p w:rsidR="004848A7" w:rsidRPr="00265EA1" w:rsidRDefault="00065824" w:rsidP="00B36AF7">
      <w:pPr>
        <w:pStyle w:val="ONUMFS"/>
        <w:rPr>
          <w:lang w:val="fr-FR"/>
        </w:rPr>
      </w:pPr>
      <w:r w:rsidRPr="00065824">
        <w:rPr>
          <w:lang w:val="fr-FR"/>
        </w:rPr>
        <w:t>En 2002, l</w:t>
      </w:r>
      <w:r w:rsidR="001B0195">
        <w:rPr>
          <w:lang w:val="fr-FR"/>
        </w:rPr>
        <w:t>’</w:t>
      </w:r>
      <w:r w:rsidRPr="00065824">
        <w:rPr>
          <w:lang w:val="fr-FR"/>
        </w:rPr>
        <w:t>Assemblée générale de l</w:t>
      </w:r>
      <w:r w:rsidR="001B0195">
        <w:rPr>
          <w:lang w:val="fr-FR"/>
        </w:rPr>
        <w:t>’</w:t>
      </w:r>
      <w:r w:rsidRPr="00065824">
        <w:rPr>
          <w:lang w:val="fr-FR"/>
        </w:rPr>
        <w:t>OMPI a recommandé de modifier les principes UDRP afin de protéger les noms de pays et les noms et sigles d</w:t>
      </w:r>
      <w:r w:rsidR="001B0195">
        <w:rPr>
          <w:lang w:val="fr-FR"/>
        </w:rPr>
        <w:t>’</w:t>
      </w:r>
      <w:r w:rsidRPr="00065824">
        <w:rPr>
          <w:lang w:val="fr-FR"/>
        </w:rPr>
        <w:t>organisations intergouvernementales</w:t>
      </w:r>
      <w:r w:rsidR="004848A7" w:rsidRPr="00265EA1">
        <w:rPr>
          <w:vertAlign w:val="superscript"/>
          <w:lang w:val="fr-FR"/>
        </w:rPr>
        <w:footnoteReference w:id="47"/>
      </w:r>
      <w:r>
        <w:rPr>
          <w:lang w:val="fr-FR"/>
        </w:rPr>
        <w:t>.</w:t>
      </w:r>
      <w:r w:rsidR="004848A7" w:rsidRPr="00265EA1">
        <w:rPr>
          <w:lang w:val="fr-FR"/>
        </w:rPr>
        <w:t xml:space="preserve">  </w:t>
      </w:r>
      <w:r w:rsidRPr="00065824">
        <w:rPr>
          <w:lang w:val="fr-FR"/>
        </w:rPr>
        <w:t>Le Secrétariat de l</w:t>
      </w:r>
      <w:r w:rsidR="001B0195">
        <w:rPr>
          <w:lang w:val="fr-FR"/>
        </w:rPr>
        <w:t>’</w:t>
      </w:r>
      <w:r w:rsidRPr="00065824">
        <w:rPr>
          <w:lang w:val="fr-FR"/>
        </w:rPr>
        <w:t>OMPI a transmis ces recommandations à l</w:t>
      </w:r>
      <w:r w:rsidR="001B0195">
        <w:rPr>
          <w:lang w:val="fr-FR"/>
        </w:rPr>
        <w:t>’</w:t>
      </w:r>
      <w:r w:rsidRPr="00065824">
        <w:rPr>
          <w:lang w:val="fr-FR"/>
        </w:rPr>
        <w:t>ICANN en février 2003</w:t>
      </w:r>
      <w:r w:rsidR="004848A7" w:rsidRPr="00265EA1">
        <w:rPr>
          <w:vertAlign w:val="superscript"/>
          <w:lang w:val="fr-FR"/>
        </w:rPr>
        <w:footnoteReference w:id="48"/>
      </w:r>
      <w:r>
        <w:rPr>
          <w:lang w:val="fr-FR"/>
        </w:rPr>
        <w:t>.</w:t>
      </w:r>
    </w:p>
    <w:p w:rsidR="001B0195" w:rsidRDefault="00065824" w:rsidP="00B36AF7">
      <w:pPr>
        <w:pStyle w:val="ONUMFS"/>
        <w:rPr>
          <w:lang w:val="fr-FR"/>
        </w:rPr>
      </w:pPr>
      <w:r w:rsidRPr="00065824">
        <w:rPr>
          <w:lang w:val="fr-FR"/>
        </w:rPr>
        <w:t>À l</w:t>
      </w:r>
      <w:r w:rsidR="001B0195">
        <w:rPr>
          <w:lang w:val="fr-FR"/>
        </w:rPr>
        <w:t>’</w:t>
      </w:r>
      <w:r w:rsidRPr="00065824">
        <w:rPr>
          <w:lang w:val="fr-FR"/>
        </w:rPr>
        <w:t>issue des délibérations de l</w:t>
      </w:r>
      <w:r w:rsidR="001B0195">
        <w:rPr>
          <w:lang w:val="fr-FR"/>
        </w:rPr>
        <w:t>’</w:t>
      </w:r>
      <w:r w:rsidRPr="00065824">
        <w:rPr>
          <w:lang w:val="fr-FR"/>
        </w:rPr>
        <w:t>ICANN</w:t>
      </w:r>
      <w:r w:rsidR="004848A7" w:rsidRPr="00265EA1">
        <w:rPr>
          <w:rStyle w:val="FootnoteReference"/>
          <w:szCs w:val="22"/>
          <w:lang w:val="fr-FR"/>
        </w:rPr>
        <w:footnoteReference w:id="49"/>
      </w:r>
      <w:r>
        <w:rPr>
          <w:lang w:val="fr-FR"/>
        </w:rPr>
        <w:t xml:space="preserve">, </w:t>
      </w:r>
      <w:r w:rsidRPr="00065824">
        <w:rPr>
          <w:lang w:val="fr-FR"/>
        </w:rPr>
        <w:t>le Guide de candidature aux nouveaux gTLD de l</w:t>
      </w:r>
      <w:r w:rsidR="001B0195">
        <w:rPr>
          <w:lang w:val="fr-FR"/>
        </w:rPr>
        <w:t>’</w:t>
      </w:r>
      <w:r w:rsidRPr="00065824">
        <w:rPr>
          <w:lang w:val="fr-FR"/>
        </w:rPr>
        <w:t>ICANN a limité la question de la protection des noms et sigles d</w:t>
      </w:r>
      <w:r w:rsidR="001B0195">
        <w:rPr>
          <w:lang w:val="fr-FR"/>
        </w:rPr>
        <w:t>’</w:t>
      </w:r>
      <w:r w:rsidRPr="00065824">
        <w:rPr>
          <w:lang w:val="fr-FR"/>
        </w:rPr>
        <w:t>organisations intergouvernementales au recours prévu dans le cadre des procédures d</w:t>
      </w:r>
      <w:r w:rsidR="001B0195">
        <w:rPr>
          <w:lang w:val="fr-FR"/>
        </w:rPr>
        <w:t>’</w:t>
      </w:r>
      <w:r w:rsidRPr="00065824">
        <w:rPr>
          <w:lang w:val="fr-FR"/>
        </w:rPr>
        <w:t>objection préalable à l</w:t>
      </w:r>
      <w:r w:rsidR="001B0195">
        <w:rPr>
          <w:lang w:val="fr-FR"/>
        </w:rPr>
        <w:t>’</w:t>
      </w:r>
      <w:r w:rsidRPr="00065824">
        <w:rPr>
          <w:lang w:val="fr-FR"/>
        </w:rPr>
        <w:t xml:space="preserve">attribution des domaines de premier niveau (pour les domaines demandés), dont il est question aux </w:t>
      </w:r>
      <w:r w:rsidR="001B0195" w:rsidRPr="00065824">
        <w:rPr>
          <w:lang w:val="fr-FR"/>
        </w:rPr>
        <w:t>paragraphes</w:t>
      </w:r>
      <w:r w:rsidR="001B0195">
        <w:rPr>
          <w:lang w:val="fr-FR"/>
        </w:rPr>
        <w:t> 2</w:t>
      </w:r>
      <w:r>
        <w:rPr>
          <w:lang w:val="fr-FR"/>
        </w:rPr>
        <w:t>2 et 23</w:t>
      </w:r>
      <w:r w:rsidR="004848A7" w:rsidRPr="00265EA1">
        <w:rPr>
          <w:lang w:val="fr-FR"/>
        </w:rPr>
        <w:t xml:space="preserve">.  </w:t>
      </w:r>
      <w:r w:rsidRPr="00065824">
        <w:rPr>
          <w:lang w:val="fr-FR"/>
        </w:rPr>
        <w:t>Toutefois, après des pressions soutenues des organisations intergouvernementales, le Comité consultatif gouvernemental (GAC) de l</w:t>
      </w:r>
      <w:r w:rsidR="001B0195">
        <w:rPr>
          <w:lang w:val="fr-FR"/>
        </w:rPr>
        <w:t>’</w:t>
      </w:r>
      <w:r w:rsidRPr="00065824">
        <w:rPr>
          <w:lang w:val="fr-FR"/>
        </w:rPr>
        <w:t>ICANN a conseillé au Conseil d</w:t>
      </w:r>
      <w:r w:rsidR="001B0195">
        <w:rPr>
          <w:lang w:val="fr-FR"/>
        </w:rPr>
        <w:t>’</w:t>
      </w:r>
      <w:r w:rsidRPr="00065824">
        <w:rPr>
          <w:lang w:val="fr-FR"/>
        </w:rPr>
        <w:t>administration de l</w:t>
      </w:r>
      <w:r w:rsidR="001B0195">
        <w:rPr>
          <w:lang w:val="fr-FR"/>
        </w:rPr>
        <w:t>’</w:t>
      </w:r>
      <w:r w:rsidRPr="00065824">
        <w:rPr>
          <w:lang w:val="fr-FR"/>
        </w:rPr>
        <w:t>ICANN de protéger les désignations d</w:t>
      </w:r>
      <w:r w:rsidR="001B0195">
        <w:rPr>
          <w:lang w:val="fr-FR"/>
        </w:rPr>
        <w:t>’</w:t>
      </w:r>
      <w:r w:rsidRPr="00065824">
        <w:rPr>
          <w:lang w:val="fr-FR"/>
        </w:rPr>
        <w:t>organisations intergouvernementales contre leur enregistrement abusif par des tiers dans le DNS avant l</w:t>
      </w:r>
      <w:r w:rsidR="001B0195">
        <w:rPr>
          <w:lang w:val="fr-FR"/>
        </w:rPr>
        <w:t>’</w:t>
      </w:r>
      <w:r w:rsidRPr="00065824">
        <w:rPr>
          <w:lang w:val="fr-FR"/>
        </w:rPr>
        <w:t>attribution de tout nouveau gTLD</w:t>
      </w:r>
      <w:r w:rsidR="004848A7" w:rsidRPr="00265EA1">
        <w:rPr>
          <w:rStyle w:val="FootnoteReference"/>
          <w:szCs w:val="22"/>
          <w:lang w:val="fr-FR"/>
        </w:rPr>
        <w:footnoteReference w:id="50"/>
      </w:r>
      <w:r>
        <w:rPr>
          <w:lang w:val="fr-FR"/>
        </w:rPr>
        <w:t>.</w:t>
      </w:r>
      <w:r w:rsidR="004848A7" w:rsidRPr="00265EA1">
        <w:rPr>
          <w:lang w:val="fr-FR"/>
        </w:rPr>
        <w:t xml:space="preserve">  </w:t>
      </w:r>
      <w:r w:rsidRPr="00065824">
        <w:rPr>
          <w:lang w:val="fr-FR"/>
        </w:rPr>
        <w:t>Le GAC a également recommandé au Conseil d</w:t>
      </w:r>
      <w:r w:rsidR="001B0195">
        <w:rPr>
          <w:lang w:val="fr-FR"/>
        </w:rPr>
        <w:t>’</w:t>
      </w:r>
      <w:r w:rsidRPr="00065824">
        <w:rPr>
          <w:lang w:val="fr-FR"/>
        </w:rPr>
        <w:t>administration de l</w:t>
      </w:r>
      <w:r w:rsidR="001B0195">
        <w:rPr>
          <w:lang w:val="fr-FR"/>
        </w:rPr>
        <w:t>’</w:t>
      </w:r>
      <w:r w:rsidRPr="00065824">
        <w:rPr>
          <w:lang w:val="fr-FR"/>
        </w:rPr>
        <w:t>ICANN, sur la base des critères existants pour l</w:t>
      </w:r>
      <w:r w:rsidR="001B0195">
        <w:rPr>
          <w:lang w:val="fr-FR"/>
        </w:rPr>
        <w:t>’</w:t>
      </w:r>
      <w:r w:rsidRPr="00065824">
        <w:rPr>
          <w:lang w:val="fr-FR"/>
        </w:rPr>
        <w:t>enregistrement sous le nom de domaine de premier niveau .</w:t>
      </w:r>
      <w:proofErr w:type="spellStart"/>
      <w:r w:rsidRPr="00065824">
        <w:rPr>
          <w:lang w:val="fr-FR"/>
        </w:rPr>
        <w:t>int</w:t>
      </w:r>
      <w:proofErr w:type="spellEnd"/>
      <w:r w:rsidRPr="00065824">
        <w:rPr>
          <w:lang w:val="fr-FR"/>
        </w:rPr>
        <w:t>, de collaborer avec les organisations intergouvernementales afin d</w:t>
      </w:r>
      <w:r w:rsidR="001B0195">
        <w:rPr>
          <w:lang w:val="fr-FR"/>
        </w:rPr>
        <w:t>’</w:t>
      </w:r>
      <w:r w:rsidRPr="00065824">
        <w:rPr>
          <w:lang w:val="fr-FR"/>
        </w:rPr>
        <w:t>établir une liste des noms et sigles d</w:t>
      </w:r>
      <w:r w:rsidR="001B0195">
        <w:rPr>
          <w:lang w:val="fr-FR"/>
        </w:rPr>
        <w:t>’</w:t>
      </w:r>
      <w:r w:rsidRPr="00065824">
        <w:rPr>
          <w:lang w:val="fr-FR"/>
        </w:rPr>
        <w:t>organisations intergouvernementales à protéger au moins pour la série actuelle de nouveaux g</w:t>
      </w:r>
      <w:r w:rsidR="00FE15D5" w:rsidRPr="00065824">
        <w:rPr>
          <w:lang w:val="fr-FR"/>
        </w:rPr>
        <w:t>TLD</w:t>
      </w:r>
      <w:r w:rsidR="00FE15D5">
        <w:rPr>
          <w:lang w:val="fr-FR"/>
        </w:rPr>
        <w:t xml:space="preserve">.  </w:t>
      </w:r>
      <w:r w:rsidR="00FE15D5" w:rsidRPr="00065824">
        <w:rPr>
          <w:lang w:val="fr-FR"/>
        </w:rPr>
        <w:t>Le</w:t>
      </w:r>
      <w:r w:rsidRPr="00065824">
        <w:rPr>
          <w:lang w:val="fr-FR"/>
        </w:rPr>
        <w:t> GAC a également recommandé au Conseil d</w:t>
      </w:r>
      <w:r w:rsidR="001B0195">
        <w:rPr>
          <w:lang w:val="fr-FR"/>
        </w:rPr>
        <w:t>’</w:t>
      </w:r>
      <w:r w:rsidRPr="00065824">
        <w:rPr>
          <w:lang w:val="fr-FR"/>
        </w:rPr>
        <w:t>administration, dans l</w:t>
      </w:r>
      <w:r w:rsidR="001B0195">
        <w:rPr>
          <w:lang w:val="fr-FR"/>
        </w:rPr>
        <w:t>’</w:t>
      </w:r>
      <w:r w:rsidRPr="00065824">
        <w:rPr>
          <w:lang w:val="fr-FR"/>
        </w:rPr>
        <w:t>attente des travaux complémentaires sur des mesures de mise en œuvre spécifiques, de prévoir la protection à titre provisoire des noms et sigles d</w:t>
      </w:r>
      <w:r w:rsidR="001B0195">
        <w:rPr>
          <w:lang w:val="fr-FR"/>
        </w:rPr>
        <w:t>’</w:t>
      </w:r>
      <w:r w:rsidRPr="00065824">
        <w:rPr>
          <w:lang w:val="fr-FR"/>
        </w:rPr>
        <w:t>organisations intergouvernementales par le biais d</w:t>
      </w:r>
      <w:r w:rsidR="001B0195">
        <w:rPr>
          <w:lang w:val="fr-FR"/>
        </w:rPr>
        <w:t>’</w:t>
      </w:r>
      <w:r w:rsidRPr="00065824">
        <w:rPr>
          <w:lang w:val="fr-FR"/>
        </w:rPr>
        <w:t>un moratoire contre l</w:t>
      </w:r>
      <w:r w:rsidR="001B0195">
        <w:rPr>
          <w:lang w:val="fr-FR"/>
        </w:rPr>
        <w:t>’</w:t>
      </w:r>
      <w:r w:rsidRPr="00065824">
        <w:rPr>
          <w:lang w:val="fr-FR"/>
        </w:rPr>
        <w:t>enregistrement par un tie</w:t>
      </w:r>
      <w:r w:rsidR="00FE15D5" w:rsidRPr="00065824">
        <w:rPr>
          <w:lang w:val="fr-FR"/>
        </w:rPr>
        <w:t>rs</w:t>
      </w:r>
      <w:r w:rsidR="00FE15D5">
        <w:rPr>
          <w:lang w:val="fr-FR"/>
        </w:rPr>
        <w:t>.  Bi</w:t>
      </w:r>
      <w:r>
        <w:rPr>
          <w:lang w:val="fr-FR"/>
        </w:rPr>
        <w:t xml:space="preserve">en que des progrès aient été réalisés en </w:t>
      </w:r>
      <w:r w:rsidR="00D107A5">
        <w:rPr>
          <w:lang w:val="fr-FR"/>
        </w:rPr>
        <w:t>termes de</w:t>
      </w:r>
      <w:r>
        <w:rPr>
          <w:lang w:val="fr-FR"/>
        </w:rPr>
        <w:t xml:space="preserve"> mise en œuvre</w:t>
      </w:r>
      <w:r w:rsidR="00D107A5">
        <w:rPr>
          <w:lang w:val="fr-FR"/>
        </w:rPr>
        <w:t xml:space="preserve">, </w:t>
      </w:r>
      <w:r w:rsidR="00DA6373">
        <w:rPr>
          <w:lang w:val="fr-FR"/>
        </w:rPr>
        <w:t>l</w:t>
      </w:r>
      <w:r w:rsidR="00D107A5">
        <w:rPr>
          <w:lang w:val="fr-FR"/>
        </w:rPr>
        <w:t>e moratoire reste en vigueur</w:t>
      </w:r>
      <w:r w:rsidR="004848A7" w:rsidRPr="00265EA1">
        <w:rPr>
          <w:lang w:val="fr-FR"/>
        </w:rPr>
        <w:t>.</w:t>
      </w:r>
    </w:p>
    <w:p w:rsidR="004848A7" w:rsidRPr="00265EA1" w:rsidRDefault="007D0558" w:rsidP="00B36AF7">
      <w:pPr>
        <w:pStyle w:val="ONUMFS"/>
        <w:rPr>
          <w:lang w:val="fr-FR"/>
        </w:rPr>
      </w:pPr>
      <w:r w:rsidRPr="007D0558">
        <w:rPr>
          <w:lang w:val="fr-FR"/>
        </w:rPr>
        <w:t>Dans sa réponse au GAC, le Conseil d</w:t>
      </w:r>
      <w:r w:rsidR="001B0195">
        <w:rPr>
          <w:lang w:val="fr-FR"/>
        </w:rPr>
        <w:t>’</w:t>
      </w:r>
      <w:r w:rsidRPr="007D0558">
        <w:rPr>
          <w:lang w:val="fr-FR"/>
        </w:rPr>
        <w:t>administration de l</w:t>
      </w:r>
      <w:r w:rsidR="001B0195">
        <w:rPr>
          <w:lang w:val="fr-FR"/>
        </w:rPr>
        <w:t>’</w:t>
      </w:r>
      <w:r w:rsidRPr="007D0558">
        <w:rPr>
          <w:lang w:val="fr-FR"/>
        </w:rPr>
        <w:t>ICANN a indiqué qu</w:t>
      </w:r>
      <w:r w:rsidR="001B0195">
        <w:rPr>
          <w:lang w:val="fr-FR"/>
        </w:rPr>
        <w:t>’</w:t>
      </w:r>
      <w:r w:rsidRPr="007D0558">
        <w:rPr>
          <w:lang w:val="fr-FR"/>
        </w:rPr>
        <w:t xml:space="preserve">il avait adopté une résolution </w:t>
      </w:r>
      <w:r>
        <w:rPr>
          <w:lang w:val="fr-FR"/>
        </w:rPr>
        <w:t xml:space="preserve">concernant </w:t>
      </w:r>
      <w:r w:rsidRPr="007D0558">
        <w:rPr>
          <w:lang w:val="fr-FR"/>
        </w:rPr>
        <w:t>une telle protection à titre provisoire au deuxième niveau sur la base des critères existants pour l</w:t>
      </w:r>
      <w:r w:rsidR="001B0195">
        <w:rPr>
          <w:lang w:val="fr-FR"/>
        </w:rPr>
        <w:t>’</w:t>
      </w:r>
      <w:r w:rsidRPr="007D0558">
        <w:rPr>
          <w:lang w:val="fr-FR"/>
        </w:rPr>
        <w:t>enregistrement dans le nom de domaine de premier niveau .</w:t>
      </w:r>
      <w:proofErr w:type="spellStart"/>
      <w:r w:rsidRPr="007D0558">
        <w:rPr>
          <w:lang w:val="fr-FR"/>
        </w:rPr>
        <w:t>int</w:t>
      </w:r>
      <w:proofErr w:type="spellEnd"/>
      <w:r w:rsidRPr="007D0558">
        <w:rPr>
          <w:lang w:val="fr-FR"/>
        </w:rPr>
        <w:t>, via une liste de réserve de l</w:t>
      </w:r>
      <w:r w:rsidR="001B0195">
        <w:rPr>
          <w:lang w:val="fr-FR"/>
        </w:rPr>
        <w:t>’</w:t>
      </w:r>
      <w:r w:rsidRPr="007D0558">
        <w:rPr>
          <w:lang w:val="fr-FR"/>
        </w:rPr>
        <w:t>ICANN dans laquelle étaient recensés les noms et sigles d</w:t>
      </w:r>
      <w:r w:rsidR="001B0195">
        <w:rPr>
          <w:lang w:val="fr-FR"/>
        </w:rPr>
        <w:t>’</w:t>
      </w:r>
      <w:r w:rsidRPr="007D0558">
        <w:rPr>
          <w:lang w:val="fr-FR"/>
        </w:rPr>
        <w:t>organisations intergouvernementales à protéger contre l</w:t>
      </w:r>
      <w:r w:rsidR="001B0195">
        <w:rPr>
          <w:lang w:val="fr-FR"/>
        </w:rPr>
        <w:t>’</w:t>
      </w:r>
      <w:r w:rsidRPr="007D0558">
        <w:rPr>
          <w:lang w:val="fr-FR"/>
        </w:rPr>
        <w:t>enregistrement par un tiers, dans le cadre du contrat avec les services d</w:t>
      </w:r>
      <w:r w:rsidR="001B0195">
        <w:rPr>
          <w:lang w:val="fr-FR"/>
        </w:rPr>
        <w:t>’</w:t>
      </w:r>
      <w:r w:rsidRPr="007D0558">
        <w:rPr>
          <w:lang w:val="fr-FR"/>
        </w:rPr>
        <w:t xml:space="preserve">enregistrement de TLD génériques. </w:t>
      </w:r>
      <w:r>
        <w:rPr>
          <w:lang w:val="fr-FR"/>
        </w:rPr>
        <w:t xml:space="preserve"> </w:t>
      </w:r>
      <w:r w:rsidRPr="007D0558">
        <w:rPr>
          <w:lang w:val="fr-FR"/>
        </w:rPr>
        <w:t>L</w:t>
      </w:r>
      <w:r w:rsidR="001B0195">
        <w:rPr>
          <w:lang w:val="fr-FR"/>
        </w:rPr>
        <w:t>’</w:t>
      </w:r>
      <w:r w:rsidRPr="007D0558">
        <w:rPr>
          <w:lang w:val="fr-FR"/>
        </w:rPr>
        <w:t>ICANN a invité les organisations intergouvernementales remplissant les conditions requises à se faire connaître, tout en sollicitant de la part du GAC (et des organisations intergouvernementales) une synthèse comprenant les critères et la liste des noms et sigles d</w:t>
      </w:r>
      <w:r w:rsidR="001B0195">
        <w:rPr>
          <w:lang w:val="fr-FR"/>
        </w:rPr>
        <w:t>’</w:t>
      </w:r>
      <w:r w:rsidRPr="007D0558">
        <w:rPr>
          <w:lang w:val="fr-FR"/>
        </w:rPr>
        <w:t>organisations intergouvernementales dont le GAC recommandait la protection</w:t>
      </w:r>
      <w:r w:rsidR="004848A7" w:rsidRPr="00265EA1">
        <w:rPr>
          <w:rStyle w:val="FootnoteReference"/>
          <w:szCs w:val="22"/>
          <w:lang w:val="fr-FR"/>
        </w:rPr>
        <w:footnoteReference w:id="51"/>
      </w:r>
      <w:r>
        <w:rPr>
          <w:lang w:val="fr-FR"/>
        </w:rPr>
        <w:t>.</w:t>
      </w:r>
      <w:r w:rsidR="004848A7" w:rsidRPr="00265EA1">
        <w:rPr>
          <w:lang w:val="fr-FR"/>
        </w:rPr>
        <w:t xml:space="preserve">  </w:t>
      </w:r>
      <w:r w:rsidRPr="007D0558">
        <w:rPr>
          <w:lang w:val="fr-FR"/>
        </w:rPr>
        <w:t>En réponse, une coalition d</w:t>
      </w:r>
      <w:r w:rsidR="001B0195">
        <w:rPr>
          <w:lang w:val="fr-FR"/>
        </w:rPr>
        <w:t>’</w:t>
      </w:r>
      <w:r w:rsidRPr="007D0558">
        <w:rPr>
          <w:lang w:val="fr-FR"/>
        </w:rPr>
        <w:t>organisations intergouvernementales a élaboré des critères fondés sur le domaine .</w:t>
      </w:r>
      <w:proofErr w:type="spellStart"/>
      <w:r w:rsidRPr="007D0558">
        <w:rPr>
          <w:lang w:val="fr-FR"/>
        </w:rPr>
        <w:t>int</w:t>
      </w:r>
      <w:proofErr w:type="spellEnd"/>
      <w:r w:rsidRPr="007D0558">
        <w:rPr>
          <w:lang w:val="fr-FR"/>
        </w:rPr>
        <w:t xml:space="preserve"> pour la protection des organisations intergouvernementales ainsi qu</w:t>
      </w:r>
      <w:r w:rsidR="001B0195">
        <w:rPr>
          <w:lang w:val="fr-FR"/>
        </w:rPr>
        <w:t>’</w:t>
      </w:r>
      <w:r w:rsidRPr="007D0558">
        <w:rPr>
          <w:lang w:val="fr-FR"/>
        </w:rPr>
        <w:t>une liste de ces organisations, qu</w:t>
      </w:r>
      <w:r w:rsidR="001B0195">
        <w:rPr>
          <w:lang w:val="fr-FR"/>
        </w:rPr>
        <w:t>’</w:t>
      </w:r>
      <w:r w:rsidRPr="007D0558">
        <w:rPr>
          <w:lang w:val="fr-FR"/>
        </w:rPr>
        <w:t>elle a transmis au Conseil d</w:t>
      </w:r>
      <w:r w:rsidR="001B0195">
        <w:rPr>
          <w:lang w:val="fr-FR"/>
        </w:rPr>
        <w:t>’</w:t>
      </w:r>
      <w:r w:rsidRPr="007D0558">
        <w:rPr>
          <w:lang w:val="fr-FR"/>
        </w:rPr>
        <w:t>administration de l</w:t>
      </w:r>
      <w:r w:rsidR="001B0195">
        <w:rPr>
          <w:lang w:val="fr-FR"/>
        </w:rPr>
        <w:t>’</w:t>
      </w:r>
      <w:r w:rsidRPr="007D0558">
        <w:rPr>
          <w:lang w:val="fr-FR"/>
        </w:rPr>
        <w:t>ICANN en février 2013</w:t>
      </w:r>
      <w:r w:rsidR="004848A7" w:rsidRPr="00265EA1">
        <w:rPr>
          <w:lang w:val="fr-FR"/>
        </w:rPr>
        <w:t xml:space="preserve">.  </w:t>
      </w:r>
      <w:r w:rsidRPr="007D0558">
        <w:rPr>
          <w:lang w:val="fr-FR"/>
        </w:rPr>
        <w:t>Par la suite, le GAC a communiqué au Conseil d</w:t>
      </w:r>
      <w:r w:rsidR="001B0195">
        <w:rPr>
          <w:lang w:val="fr-FR"/>
        </w:rPr>
        <w:t>’</w:t>
      </w:r>
      <w:r w:rsidRPr="007D0558">
        <w:rPr>
          <w:lang w:val="fr-FR"/>
        </w:rPr>
        <w:t>administration de l</w:t>
      </w:r>
      <w:r w:rsidR="001B0195">
        <w:rPr>
          <w:lang w:val="fr-FR"/>
        </w:rPr>
        <w:t>’</w:t>
      </w:r>
      <w:r w:rsidRPr="007D0558">
        <w:rPr>
          <w:lang w:val="fr-FR"/>
        </w:rPr>
        <w:t xml:space="preserve">ICANN ses recommandations sur les conditions que devaient remplir les organisations intergouvernementales pour pouvoir bénéficier de la </w:t>
      </w:r>
      <w:r w:rsidRPr="007D0558">
        <w:rPr>
          <w:lang w:val="fr-FR"/>
        </w:rPr>
        <w:lastRenderedPageBreak/>
        <w:t>protection</w:t>
      </w:r>
      <w:r w:rsidR="004848A7" w:rsidRPr="00265EA1">
        <w:rPr>
          <w:rStyle w:val="FootnoteReference"/>
          <w:szCs w:val="22"/>
          <w:lang w:val="fr-FR"/>
        </w:rPr>
        <w:footnoteReference w:id="52"/>
      </w:r>
      <w:r>
        <w:rPr>
          <w:lang w:val="fr-FR"/>
        </w:rPr>
        <w:t>,</w:t>
      </w:r>
      <w:r w:rsidR="004848A7" w:rsidRPr="00265EA1">
        <w:rPr>
          <w:lang w:val="fr-FR"/>
        </w:rPr>
        <w:t xml:space="preserve"> </w:t>
      </w:r>
      <w:r w:rsidRPr="007D0558">
        <w:rPr>
          <w:lang w:val="fr-FR"/>
        </w:rPr>
        <w:t>ainsi qu</w:t>
      </w:r>
      <w:r w:rsidR="001B0195">
        <w:rPr>
          <w:lang w:val="fr-FR"/>
        </w:rPr>
        <w:t>’</w:t>
      </w:r>
      <w:r w:rsidRPr="007D0558">
        <w:rPr>
          <w:lang w:val="fr-FR"/>
        </w:rPr>
        <w:t>une liste des noms et sigles d</w:t>
      </w:r>
      <w:r w:rsidR="001B0195">
        <w:rPr>
          <w:lang w:val="fr-FR"/>
        </w:rPr>
        <w:t>’</w:t>
      </w:r>
      <w:r w:rsidRPr="007D0558">
        <w:rPr>
          <w:lang w:val="fr-FR"/>
        </w:rPr>
        <w:t>organisations intergouvernementales à protéger</w:t>
      </w:r>
      <w:r w:rsidR="004848A7" w:rsidRPr="00265EA1">
        <w:rPr>
          <w:rStyle w:val="FootnoteReference"/>
          <w:szCs w:val="22"/>
          <w:lang w:val="fr-FR"/>
        </w:rPr>
        <w:footnoteReference w:id="53"/>
      </w:r>
      <w:r>
        <w:rPr>
          <w:lang w:val="fr-FR"/>
        </w:rPr>
        <w:t>.</w:t>
      </w:r>
    </w:p>
    <w:p w:rsidR="004848A7" w:rsidRPr="00265EA1" w:rsidRDefault="00DD1EDA" w:rsidP="00B36AF7">
      <w:pPr>
        <w:pStyle w:val="ONUMFS"/>
        <w:rPr>
          <w:lang w:val="fr-FR"/>
        </w:rPr>
      </w:pPr>
      <w:r w:rsidRPr="00DD1EDA">
        <w:rPr>
          <w:lang w:val="fr-FR"/>
        </w:rPr>
        <w:t>Le</w:t>
      </w:r>
      <w:r w:rsidR="001B0195">
        <w:rPr>
          <w:lang w:val="fr-FR"/>
        </w:rPr>
        <w:t xml:space="preserve"> 1</w:t>
      </w:r>
      <w:r w:rsidR="001B0195" w:rsidRPr="001B0195">
        <w:rPr>
          <w:vertAlign w:val="superscript"/>
          <w:lang w:val="fr-FR"/>
        </w:rPr>
        <w:t>er</w:t>
      </w:r>
      <w:r w:rsidR="001B0195">
        <w:rPr>
          <w:lang w:val="fr-FR"/>
        </w:rPr>
        <w:t> </w:t>
      </w:r>
      <w:r w:rsidRPr="00DD1EDA">
        <w:rPr>
          <w:lang w:val="fr-FR"/>
        </w:rPr>
        <w:t>avril 2013, le Conseil d</w:t>
      </w:r>
      <w:r w:rsidR="001B0195">
        <w:rPr>
          <w:lang w:val="fr-FR"/>
        </w:rPr>
        <w:t>’</w:t>
      </w:r>
      <w:r w:rsidRPr="00DD1EDA">
        <w:rPr>
          <w:lang w:val="fr-FR"/>
        </w:rPr>
        <w:t>administration a fait part au GAC de ses préoccupations quant à la manière dont la protection des sigles d</w:t>
      </w:r>
      <w:r w:rsidR="001B0195">
        <w:rPr>
          <w:lang w:val="fr-FR"/>
        </w:rPr>
        <w:t>’</w:t>
      </w:r>
      <w:r w:rsidRPr="00DD1EDA">
        <w:rPr>
          <w:lang w:val="fr-FR"/>
        </w:rPr>
        <w:t>organisations intergouvernementales pourrait être conciliée avec les demandes d</w:t>
      </w:r>
      <w:r w:rsidR="001B0195">
        <w:rPr>
          <w:lang w:val="fr-FR"/>
        </w:rPr>
        <w:t>’</w:t>
      </w:r>
      <w:r w:rsidRPr="00DD1EDA">
        <w:rPr>
          <w:lang w:val="fr-FR"/>
        </w:rPr>
        <w:t xml:space="preserve">enregistrement potentiellement légitimes de tiers portant sur des noms de domaine </w:t>
      </w:r>
      <w:r>
        <w:rPr>
          <w:lang w:val="fr-FR"/>
        </w:rPr>
        <w:t>correspondants</w:t>
      </w:r>
      <w:r w:rsidRPr="00DD1EDA">
        <w:rPr>
          <w:lang w:val="fr-FR"/>
        </w:rPr>
        <w:t xml:space="preserve">, et demandé </w:t>
      </w:r>
      <w:r>
        <w:rPr>
          <w:lang w:val="fr-FR"/>
        </w:rPr>
        <w:t>comment</w:t>
      </w:r>
      <w:r w:rsidRPr="00DD1EDA">
        <w:rPr>
          <w:lang w:val="fr-FR"/>
        </w:rPr>
        <w:t xml:space="preserve"> gérer dans la pratique les cas potentiellement légitimes d</w:t>
      </w:r>
      <w:r w:rsidR="001B0195">
        <w:rPr>
          <w:lang w:val="fr-FR"/>
        </w:rPr>
        <w:t>’</w:t>
      </w:r>
      <w:r w:rsidRPr="00DD1EDA">
        <w:rPr>
          <w:lang w:val="fr-FR"/>
        </w:rPr>
        <w:t>utilisation concomitante de ces sigles</w:t>
      </w:r>
      <w:r w:rsidR="004848A7" w:rsidRPr="00265EA1">
        <w:rPr>
          <w:rStyle w:val="FootnoteReference"/>
          <w:szCs w:val="22"/>
          <w:lang w:val="fr-FR"/>
        </w:rPr>
        <w:footnoteReference w:id="54"/>
      </w:r>
      <w:r>
        <w:rPr>
          <w:lang w:val="fr-FR"/>
        </w:rPr>
        <w:t>.</w:t>
      </w:r>
      <w:r w:rsidR="004848A7" w:rsidRPr="00265EA1">
        <w:rPr>
          <w:lang w:val="fr-FR"/>
        </w:rPr>
        <w:t xml:space="preserve">  </w:t>
      </w:r>
      <w:r w:rsidRPr="00DD1EDA">
        <w:rPr>
          <w:lang w:val="fr-FR"/>
        </w:rPr>
        <w:t>En juillet 2013, à la suite de délibérations approfondies avec l</w:t>
      </w:r>
      <w:r w:rsidR="001B0195">
        <w:rPr>
          <w:lang w:val="fr-FR"/>
        </w:rPr>
        <w:t>’</w:t>
      </w:r>
      <w:r w:rsidRPr="00DD1EDA">
        <w:rPr>
          <w:lang w:val="fr-FR"/>
        </w:rPr>
        <w:t>ICANN et des efforts soutenus déployés par les organisations intergouvernementales, le GAC a fait des recommandations au Conseil d</w:t>
      </w:r>
      <w:r w:rsidR="001B0195">
        <w:rPr>
          <w:lang w:val="fr-FR"/>
        </w:rPr>
        <w:t>’</w:t>
      </w:r>
      <w:r w:rsidRPr="00DD1EDA">
        <w:rPr>
          <w:lang w:val="fr-FR"/>
        </w:rPr>
        <w:t>administration de l</w:t>
      </w:r>
      <w:r w:rsidR="001B0195">
        <w:rPr>
          <w:lang w:val="fr-FR"/>
        </w:rPr>
        <w:t>’</w:t>
      </w:r>
      <w:r w:rsidRPr="00DD1EDA">
        <w:rPr>
          <w:lang w:val="fr-FR"/>
        </w:rPr>
        <w:t>ICANN soulignant la nécessité d</w:t>
      </w:r>
      <w:r w:rsidR="001B0195">
        <w:rPr>
          <w:lang w:val="fr-FR"/>
        </w:rPr>
        <w:t>’</w:t>
      </w:r>
      <w:r w:rsidRPr="00DD1EDA">
        <w:rPr>
          <w:lang w:val="fr-FR"/>
        </w:rPr>
        <w:t>une protection spéciale de nature préventive pour les noms et sigles d</w:t>
      </w:r>
      <w:r w:rsidR="001B0195">
        <w:rPr>
          <w:lang w:val="fr-FR"/>
        </w:rPr>
        <w:t>’</w:t>
      </w:r>
      <w:r w:rsidRPr="00DD1EDA">
        <w:rPr>
          <w:lang w:val="fr-FR"/>
        </w:rPr>
        <w:t>organisations intergouvernementales dans le DNS</w:t>
      </w:r>
      <w:r w:rsidR="004848A7" w:rsidRPr="00265EA1">
        <w:rPr>
          <w:rStyle w:val="FootnoteReference"/>
          <w:szCs w:val="22"/>
          <w:lang w:val="fr-FR"/>
        </w:rPr>
        <w:footnoteReference w:id="55"/>
      </w:r>
      <w:r>
        <w:rPr>
          <w:lang w:val="fr-FR"/>
        </w:rPr>
        <w:t>.</w:t>
      </w:r>
      <w:r w:rsidR="004848A7" w:rsidRPr="00265EA1">
        <w:rPr>
          <w:lang w:val="fr-FR"/>
        </w:rPr>
        <w:t xml:space="preserve">  </w:t>
      </w:r>
      <w:r w:rsidRPr="00DD1EDA">
        <w:rPr>
          <w:lang w:val="fr-FR"/>
        </w:rPr>
        <w:t>Dans ce contexte, le Conseil d</w:t>
      </w:r>
      <w:r w:rsidR="001B0195">
        <w:rPr>
          <w:lang w:val="fr-FR"/>
        </w:rPr>
        <w:t>’</w:t>
      </w:r>
      <w:r w:rsidRPr="00DD1EDA">
        <w:rPr>
          <w:lang w:val="fr-FR"/>
        </w:rPr>
        <w:t>administration de l</w:t>
      </w:r>
      <w:r w:rsidR="001B0195">
        <w:rPr>
          <w:lang w:val="fr-FR"/>
        </w:rPr>
        <w:t>’</w:t>
      </w:r>
      <w:r w:rsidRPr="00DD1EDA">
        <w:rPr>
          <w:lang w:val="fr-FR"/>
        </w:rPr>
        <w:t>ICANN a pris une résolution tendant à prolonger la période de protection provisoire jusqu</w:t>
      </w:r>
      <w:r w:rsidR="001B0195">
        <w:rPr>
          <w:lang w:val="fr-FR"/>
        </w:rPr>
        <w:t>’</w:t>
      </w:r>
      <w:r w:rsidRPr="00DD1EDA">
        <w:rPr>
          <w:lang w:val="fr-FR"/>
        </w:rPr>
        <w:t>à la première réunion du comité chargé du programme de l</w:t>
      </w:r>
      <w:r w:rsidR="001B0195">
        <w:rPr>
          <w:lang w:val="fr-FR"/>
        </w:rPr>
        <w:t>’</w:t>
      </w:r>
      <w:r w:rsidRPr="00DD1EDA">
        <w:rPr>
          <w:lang w:val="fr-FR"/>
        </w:rPr>
        <w:t xml:space="preserve">ICANN relatif aux nouveaux </w:t>
      </w:r>
      <w:proofErr w:type="spellStart"/>
      <w:r w:rsidRPr="00DD1EDA">
        <w:rPr>
          <w:lang w:val="fr-FR"/>
        </w:rPr>
        <w:t>gTLD</w:t>
      </w:r>
      <w:proofErr w:type="spellEnd"/>
      <w:r w:rsidRPr="00DD1EDA">
        <w:rPr>
          <w:lang w:val="fr-FR"/>
        </w:rPr>
        <w:t xml:space="preserve"> (NGPC), après la réunion de l</w:t>
      </w:r>
      <w:r w:rsidR="001B0195">
        <w:rPr>
          <w:lang w:val="fr-FR"/>
        </w:rPr>
        <w:t>’</w:t>
      </w:r>
      <w:r w:rsidRPr="00DD1EDA">
        <w:rPr>
          <w:lang w:val="fr-FR"/>
        </w:rPr>
        <w:t>ICANN de novembre 2013</w:t>
      </w:r>
      <w:r w:rsidR="004848A7" w:rsidRPr="00265EA1">
        <w:rPr>
          <w:rStyle w:val="FootnoteReference"/>
          <w:szCs w:val="22"/>
          <w:lang w:val="fr-FR"/>
        </w:rPr>
        <w:footnoteReference w:id="56"/>
      </w:r>
      <w:r>
        <w:rPr>
          <w:lang w:val="fr-FR"/>
        </w:rPr>
        <w:t>.</w:t>
      </w:r>
    </w:p>
    <w:p w:rsidR="001B0195" w:rsidRDefault="00534A4A" w:rsidP="00B36AF7">
      <w:pPr>
        <w:pStyle w:val="ONUMFS"/>
        <w:rPr>
          <w:lang w:val="fr-FR"/>
        </w:rPr>
      </w:pPr>
      <w:r w:rsidRPr="00534A4A">
        <w:rPr>
          <w:lang w:val="fr-FR"/>
        </w:rPr>
        <w:t>En octobre 2013, le NGPC a présenté une proposition de protection des sigles d</w:t>
      </w:r>
      <w:r w:rsidR="001B0195">
        <w:rPr>
          <w:lang w:val="fr-FR"/>
        </w:rPr>
        <w:t>’</w:t>
      </w:r>
      <w:r w:rsidRPr="00534A4A">
        <w:rPr>
          <w:lang w:val="fr-FR"/>
        </w:rPr>
        <w:t>organisations intergouvernementales au deuxième niveau qui ne conférait pas auxdits sigles la protection permanente de nature préventive évoquée dans les précédents communiqués du GAC</w:t>
      </w:r>
      <w:r w:rsidR="004848A7" w:rsidRPr="00265EA1">
        <w:rPr>
          <w:rStyle w:val="FootnoteReference"/>
          <w:szCs w:val="22"/>
          <w:lang w:val="fr-FR"/>
        </w:rPr>
        <w:footnoteReference w:id="57"/>
      </w:r>
      <w:r>
        <w:rPr>
          <w:lang w:val="fr-FR"/>
        </w:rPr>
        <w:t>.</w:t>
      </w:r>
    </w:p>
    <w:p w:rsidR="001B0195" w:rsidRDefault="00BD5E37" w:rsidP="00B36AF7">
      <w:pPr>
        <w:pStyle w:val="ONUMFS"/>
        <w:rPr>
          <w:lang w:val="fr-FR"/>
        </w:rPr>
      </w:pPr>
      <w:r>
        <w:rPr>
          <w:lang w:val="fr-FR"/>
        </w:rPr>
        <w:t>Parallèlement aux efforts déployés par</w:t>
      </w:r>
      <w:r w:rsidR="001B0195" w:rsidRPr="001B0195">
        <w:rPr>
          <w:lang w:val="fr-FR"/>
        </w:rPr>
        <w:t xml:space="preserve"> le NGP</w:t>
      </w:r>
      <w:r>
        <w:rPr>
          <w:lang w:val="fr-FR"/>
        </w:rPr>
        <w:t>C,</w:t>
      </w:r>
      <w:r w:rsidR="001B0195" w:rsidRPr="001B0195">
        <w:rPr>
          <w:lang w:val="fr-FR"/>
        </w:rPr>
        <w:t xml:space="preserve"> le GAC</w:t>
      </w:r>
      <w:r>
        <w:rPr>
          <w:lang w:val="fr-FR"/>
        </w:rPr>
        <w:t xml:space="preserve"> et les organisations intergouvernementales</w:t>
      </w:r>
      <w:r w:rsidR="004848A7" w:rsidRPr="00265EA1">
        <w:rPr>
          <w:rStyle w:val="FootnoteReference"/>
          <w:szCs w:val="22"/>
          <w:lang w:val="fr-FR"/>
        </w:rPr>
        <w:footnoteReference w:id="58"/>
      </w:r>
      <w:r>
        <w:rPr>
          <w:lang w:val="fr-FR"/>
        </w:rPr>
        <w:t>,</w:t>
      </w:r>
      <w:r w:rsidR="004848A7" w:rsidRPr="00265EA1">
        <w:rPr>
          <w:lang w:val="fr-FR"/>
        </w:rPr>
        <w:t xml:space="preserve"> </w:t>
      </w:r>
      <w:r w:rsidRPr="00BD5E37">
        <w:rPr>
          <w:lang w:val="fr-FR"/>
        </w:rPr>
        <w:t>la GNSO avait lancé un “processus d</w:t>
      </w:r>
      <w:r w:rsidR="001B0195">
        <w:rPr>
          <w:lang w:val="fr-FR"/>
        </w:rPr>
        <w:t>’</w:t>
      </w:r>
      <w:r w:rsidRPr="00BD5E37">
        <w:rPr>
          <w:lang w:val="fr-FR"/>
        </w:rPr>
        <w:t>élaboration de politique” sur la protection des organisations intergouvernementales, auquel ont participé le Centre et des représentants d</w:t>
      </w:r>
      <w:r w:rsidR="001B0195">
        <w:rPr>
          <w:lang w:val="fr-FR"/>
        </w:rPr>
        <w:t>’</w:t>
      </w:r>
      <w:r w:rsidRPr="00BD5E37">
        <w:rPr>
          <w:lang w:val="fr-FR"/>
        </w:rPr>
        <w:t>autres organisations intergouvernemental</w:t>
      </w:r>
      <w:r w:rsidR="00FE15D5" w:rsidRPr="00BD5E37">
        <w:rPr>
          <w:lang w:val="fr-FR"/>
        </w:rPr>
        <w:t>es</w:t>
      </w:r>
      <w:r w:rsidR="00FE15D5">
        <w:rPr>
          <w:lang w:val="fr-FR"/>
        </w:rPr>
        <w:t xml:space="preserve">.  </w:t>
      </w:r>
      <w:r w:rsidR="00FE15D5" w:rsidRPr="00BD5E37">
        <w:rPr>
          <w:lang w:val="fr-FR"/>
        </w:rPr>
        <w:t>Pa</w:t>
      </w:r>
      <w:r w:rsidRPr="00BD5E37">
        <w:rPr>
          <w:lang w:val="fr-FR"/>
        </w:rPr>
        <w:t>ssant outre les objections des organisations intergouvernementales, ce processus a rejeté la protection de nature préventive des sigles d</w:t>
      </w:r>
      <w:r w:rsidR="001B0195">
        <w:rPr>
          <w:lang w:val="fr-FR"/>
        </w:rPr>
        <w:t>’</w:t>
      </w:r>
      <w:r w:rsidRPr="00BD5E37">
        <w:rPr>
          <w:lang w:val="fr-FR"/>
        </w:rPr>
        <w:t>organisations intergouvernementales au deuxième nive</w:t>
      </w:r>
      <w:r w:rsidR="00FE15D5" w:rsidRPr="00BD5E37">
        <w:rPr>
          <w:lang w:val="fr-FR"/>
        </w:rPr>
        <w:t>au</w:t>
      </w:r>
      <w:r w:rsidR="00FE15D5">
        <w:rPr>
          <w:lang w:val="fr-FR"/>
        </w:rPr>
        <w:t xml:space="preserve">.  </w:t>
      </w:r>
      <w:r w:rsidR="00FE15D5" w:rsidRPr="00BD5E37">
        <w:rPr>
          <w:lang w:val="fr-FR"/>
        </w:rPr>
        <w:t xml:space="preserve">À </w:t>
      </w:r>
      <w:r w:rsidRPr="00BD5E37">
        <w:rPr>
          <w:lang w:val="fr-FR"/>
        </w:rPr>
        <w:t>la place, il a préconisé la mise en œuvre de mécanismes de protection défensive pour les sigles des organisations intergouvernementales, conjuguée à la suppression des mesures de protection provisoires en place pour ces sigl</w:t>
      </w:r>
      <w:r w:rsidR="00FE15D5" w:rsidRPr="00BD5E37">
        <w:rPr>
          <w:lang w:val="fr-FR"/>
        </w:rPr>
        <w:t>es</w:t>
      </w:r>
      <w:r w:rsidR="00FE15D5">
        <w:rPr>
          <w:lang w:val="fr-FR"/>
        </w:rPr>
        <w:t xml:space="preserve">.  </w:t>
      </w:r>
      <w:r w:rsidR="00FE15D5" w:rsidRPr="00BD5E37">
        <w:rPr>
          <w:lang w:val="fr-FR"/>
        </w:rPr>
        <w:t>Ce</w:t>
      </w:r>
      <w:r w:rsidRPr="00BD5E37">
        <w:rPr>
          <w:lang w:val="fr-FR"/>
        </w:rPr>
        <w:t>s recommandations ont été adoptées à l</w:t>
      </w:r>
      <w:r w:rsidR="001B0195">
        <w:rPr>
          <w:lang w:val="fr-FR"/>
        </w:rPr>
        <w:t>’</w:t>
      </w:r>
      <w:r w:rsidRPr="00BD5E37">
        <w:rPr>
          <w:lang w:val="fr-FR"/>
        </w:rPr>
        <w:t>unanimité par le Conseil de la GNSO en novembre 2013.</w:t>
      </w:r>
      <w:r>
        <w:rPr>
          <w:lang w:val="fr-FR"/>
        </w:rPr>
        <w:t xml:space="preserve">  </w:t>
      </w:r>
      <w:r w:rsidR="00AC7A8F">
        <w:rPr>
          <w:lang w:val="fr-FR"/>
        </w:rPr>
        <w:t>En</w:t>
      </w:r>
      <w:r w:rsidRPr="00BD5E37">
        <w:rPr>
          <w:lang w:val="fr-FR"/>
        </w:rPr>
        <w:t xml:space="preserve"> avril 2014, le Conseil d</w:t>
      </w:r>
      <w:r w:rsidR="001B0195">
        <w:rPr>
          <w:lang w:val="fr-FR"/>
        </w:rPr>
        <w:t>’</w:t>
      </w:r>
      <w:r w:rsidRPr="00BD5E37">
        <w:rPr>
          <w:lang w:val="fr-FR"/>
        </w:rPr>
        <w:t>administration de l</w:t>
      </w:r>
      <w:r w:rsidR="001B0195">
        <w:rPr>
          <w:lang w:val="fr-FR"/>
        </w:rPr>
        <w:t>’</w:t>
      </w:r>
      <w:r w:rsidRPr="00BD5E37">
        <w:rPr>
          <w:lang w:val="fr-FR"/>
        </w:rPr>
        <w:t>ICANN a décidé d</w:t>
      </w:r>
      <w:r w:rsidR="001B0195">
        <w:rPr>
          <w:lang w:val="fr-FR"/>
        </w:rPr>
        <w:t>’</w:t>
      </w:r>
      <w:r w:rsidRPr="00BD5E37">
        <w:rPr>
          <w:lang w:val="fr-FR"/>
        </w:rPr>
        <w:t>adopter les recommandations du Conseil de la GNSO qui n</w:t>
      </w:r>
      <w:r w:rsidR="001B0195">
        <w:rPr>
          <w:lang w:val="fr-FR"/>
        </w:rPr>
        <w:t>’</w:t>
      </w:r>
      <w:r w:rsidRPr="00BD5E37">
        <w:rPr>
          <w:lang w:val="fr-FR"/>
        </w:rPr>
        <w:t>allaient pas à l</w:t>
      </w:r>
      <w:r w:rsidR="001B0195">
        <w:rPr>
          <w:lang w:val="fr-FR"/>
        </w:rPr>
        <w:t>’</w:t>
      </w:r>
      <w:r w:rsidRPr="00BD5E37">
        <w:rPr>
          <w:lang w:val="fr-FR"/>
        </w:rPr>
        <w:t>encontre des recommandations du GAC</w:t>
      </w:r>
      <w:r>
        <w:rPr>
          <w:lang w:val="fr-FR"/>
        </w:rPr>
        <w:t>, c</w:t>
      </w:r>
      <w:r w:rsidR="001B0195">
        <w:rPr>
          <w:lang w:val="fr-FR"/>
        </w:rPr>
        <w:t>’</w:t>
      </w:r>
      <w:r>
        <w:rPr>
          <w:lang w:val="fr-FR"/>
        </w:rPr>
        <w:t>est</w:t>
      </w:r>
      <w:r w:rsidR="001B0195">
        <w:rPr>
          <w:lang w:val="fr-FR"/>
        </w:rPr>
        <w:t>-</w:t>
      </w:r>
      <w:r>
        <w:rPr>
          <w:lang w:val="fr-FR"/>
        </w:rPr>
        <w:t>à</w:t>
      </w:r>
      <w:r w:rsidR="001B0195">
        <w:rPr>
          <w:lang w:val="fr-FR"/>
        </w:rPr>
        <w:t>-</w:t>
      </w:r>
      <w:r>
        <w:rPr>
          <w:lang w:val="fr-FR"/>
        </w:rPr>
        <w:t xml:space="preserve">dire </w:t>
      </w:r>
      <w:r w:rsidRPr="00BD5E37">
        <w:rPr>
          <w:lang w:val="fr-FR"/>
        </w:rPr>
        <w:t>protéger contre l</w:t>
      </w:r>
      <w:r w:rsidR="001B0195">
        <w:rPr>
          <w:lang w:val="fr-FR"/>
        </w:rPr>
        <w:t>’</w:t>
      </w:r>
      <w:r w:rsidRPr="00BD5E37">
        <w:rPr>
          <w:lang w:val="fr-FR"/>
        </w:rPr>
        <w:t>enregistrement les noms complets des organisations intergouvernementales aux premier et deuxième niveaux, dans deux langues</w:t>
      </w:r>
      <w:r w:rsidR="004848A7" w:rsidRPr="00265EA1">
        <w:rPr>
          <w:lang w:val="fr-FR"/>
        </w:rPr>
        <w:t>.</w:t>
      </w:r>
    </w:p>
    <w:p w:rsidR="00345811" w:rsidRDefault="00345811">
      <w:pPr>
        <w:rPr>
          <w:lang w:val="fr-FR"/>
        </w:rPr>
      </w:pPr>
      <w:r>
        <w:rPr>
          <w:lang w:val="fr-FR"/>
        </w:rPr>
        <w:br w:type="page"/>
      </w:r>
    </w:p>
    <w:p w:rsidR="004848A7" w:rsidRPr="00265EA1" w:rsidRDefault="00BD5E37" w:rsidP="00B36AF7">
      <w:pPr>
        <w:pStyle w:val="ONUMFS"/>
        <w:rPr>
          <w:lang w:val="fr-FR"/>
        </w:rPr>
      </w:pPr>
      <w:r w:rsidRPr="00BD5E37">
        <w:rPr>
          <w:lang w:val="fr-FR"/>
        </w:rPr>
        <w:lastRenderedPageBreak/>
        <w:t>Nonobstant cette recommandation du GAC et la position des organisations intergouvernementales, en juin 2014 le Conseil de la GNSO a voté en faveur du lancement d</w:t>
      </w:r>
      <w:r w:rsidR="001B0195">
        <w:rPr>
          <w:lang w:val="fr-FR"/>
        </w:rPr>
        <w:t>’</w:t>
      </w:r>
      <w:r w:rsidRPr="00BD5E37">
        <w:rPr>
          <w:lang w:val="fr-FR"/>
        </w:rPr>
        <w:t>un deuxième processus d</w:t>
      </w:r>
      <w:r w:rsidR="001B0195">
        <w:rPr>
          <w:lang w:val="fr-FR"/>
        </w:rPr>
        <w:t>’</w:t>
      </w:r>
      <w:r w:rsidRPr="00BD5E37">
        <w:rPr>
          <w:lang w:val="fr-FR"/>
        </w:rPr>
        <w:t>élaboration de politique sur l</w:t>
      </w:r>
      <w:r w:rsidR="001B0195">
        <w:rPr>
          <w:lang w:val="fr-FR"/>
        </w:rPr>
        <w:t>’</w:t>
      </w:r>
      <w:r w:rsidRPr="00BD5E37">
        <w:rPr>
          <w:lang w:val="fr-FR"/>
        </w:rPr>
        <w:t>opportunité de donner aux organisations intergouvernementales l</w:t>
      </w:r>
      <w:r w:rsidR="001B0195">
        <w:rPr>
          <w:lang w:val="fr-FR"/>
        </w:rPr>
        <w:t>’</w:t>
      </w:r>
      <w:r w:rsidRPr="00BD5E37">
        <w:rPr>
          <w:lang w:val="fr-FR"/>
        </w:rPr>
        <w:t>accès à des mécanismes défensifs de protection des droits (tels que les principes UDRP ou les mécanismes de suspension uniforme rapide)</w:t>
      </w:r>
      <w:r>
        <w:rPr>
          <w:lang w:val="fr-FR"/>
        </w:rPr>
        <w:t xml:space="preserve"> </w:t>
      </w:r>
      <w:r w:rsidR="00D531EC">
        <w:rPr>
          <w:lang w:val="fr-FR"/>
        </w:rPr>
        <w:t>pour lutter contre l</w:t>
      </w:r>
      <w:r w:rsidR="001B0195">
        <w:rPr>
          <w:lang w:val="fr-FR"/>
        </w:rPr>
        <w:t>’</w:t>
      </w:r>
      <w:r w:rsidR="00D531EC">
        <w:rPr>
          <w:lang w:val="fr-FR"/>
        </w:rPr>
        <w:t>enregistrement abusif de sigles d</w:t>
      </w:r>
      <w:r w:rsidR="001B0195">
        <w:rPr>
          <w:lang w:val="fr-FR"/>
        </w:rPr>
        <w:t>’</w:t>
      </w:r>
      <w:r w:rsidR="00D531EC">
        <w:rPr>
          <w:lang w:val="fr-FR"/>
        </w:rPr>
        <w:t>organisations intergouvernementales ou des noms complets des organisations intergouvernementales qui ne sont pas couverts par l</w:t>
      </w:r>
      <w:r w:rsidR="001B0195">
        <w:rPr>
          <w:lang w:val="fr-FR"/>
        </w:rPr>
        <w:t>’</w:t>
      </w:r>
      <w:r w:rsidR="00D531EC">
        <w:rPr>
          <w:lang w:val="fr-FR"/>
        </w:rPr>
        <w:t>exclusion susmentionn</w:t>
      </w:r>
      <w:r w:rsidR="00FE15D5">
        <w:rPr>
          <w:lang w:val="fr-FR"/>
        </w:rPr>
        <w:t xml:space="preserve">ée.  </w:t>
      </w:r>
      <w:r w:rsidR="00FE15D5" w:rsidRPr="00BD5E37">
        <w:rPr>
          <w:lang w:val="fr-FR"/>
        </w:rPr>
        <w:t>No</w:t>
      </w:r>
      <w:r w:rsidRPr="00BD5E37">
        <w:rPr>
          <w:lang w:val="fr-FR"/>
        </w:rPr>
        <w:t xml:space="preserve">nobstant la poursuite des discussions, </w:t>
      </w:r>
      <w:r w:rsidR="001B0195">
        <w:rPr>
          <w:lang w:val="fr-FR"/>
        </w:rPr>
        <w:t>y compris</w:t>
      </w:r>
      <w:r w:rsidRPr="00BD5E37">
        <w:rPr>
          <w:lang w:val="fr-FR"/>
        </w:rPr>
        <w:t xml:space="preserve"> lors </w:t>
      </w:r>
      <w:r>
        <w:rPr>
          <w:lang w:val="fr-FR"/>
        </w:rPr>
        <w:t xml:space="preserve">des </w:t>
      </w:r>
      <w:r w:rsidRPr="00BD5E37">
        <w:rPr>
          <w:lang w:val="fr-FR"/>
        </w:rPr>
        <w:t>réunion</w:t>
      </w:r>
      <w:r>
        <w:rPr>
          <w:lang w:val="fr-FR"/>
        </w:rPr>
        <w:t>s</w:t>
      </w:r>
      <w:r w:rsidRPr="00BD5E37">
        <w:rPr>
          <w:lang w:val="fr-FR"/>
        </w:rPr>
        <w:t xml:space="preserve"> de l</w:t>
      </w:r>
      <w:r w:rsidR="001B0195">
        <w:rPr>
          <w:lang w:val="fr-FR"/>
        </w:rPr>
        <w:t>’</w:t>
      </w:r>
      <w:r w:rsidRPr="00BD5E37">
        <w:rPr>
          <w:lang w:val="fr-FR"/>
        </w:rPr>
        <w:t>ICANN tenue</w:t>
      </w:r>
      <w:r>
        <w:rPr>
          <w:lang w:val="fr-FR"/>
        </w:rPr>
        <w:t>s</w:t>
      </w:r>
      <w:r w:rsidRPr="00BD5E37">
        <w:rPr>
          <w:lang w:val="fr-FR"/>
        </w:rPr>
        <w:t xml:space="preserve"> en juin</w:t>
      </w:r>
      <w:r>
        <w:rPr>
          <w:lang w:val="fr-FR"/>
        </w:rPr>
        <w:t xml:space="preserve"> et novembre</w:t>
      </w:r>
      <w:r w:rsidRPr="00BD5E37">
        <w:rPr>
          <w:lang w:val="fr-FR"/>
        </w:rPr>
        <w:t xml:space="preserve"> 2016, </w:t>
      </w:r>
      <w:r>
        <w:rPr>
          <w:lang w:val="fr-FR"/>
        </w:rPr>
        <w:t>des</w:t>
      </w:r>
      <w:r w:rsidRPr="00BD5E37">
        <w:rPr>
          <w:lang w:val="fr-FR"/>
        </w:rPr>
        <w:t xml:space="preserve"> questions subsistent quant aux modalités de tels mécanismes; </w:t>
      </w:r>
      <w:r>
        <w:rPr>
          <w:lang w:val="fr-FR"/>
        </w:rPr>
        <w:t xml:space="preserve"> </w:t>
      </w:r>
      <w:r w:rsidRPr="00BD5E37">
        <w:rPr>
          <w:lang w:val="fr-FR"/>
        </w:rPr>
        <w:t>il a toutefois été réaffirmé que tout mécanisme spécifiquement adapté aux organisations intergouvernementales ne devait pas modifier les principes UDRP actue</w:t>
      </w:r>
      <w:r w:rsidR="00FE15D5" w:rsidRPr="00BD5E37">
        <w:rPr>
          <w:lang w:val="fr-FR"/>
        </w:rPr>
        <w:t>ls</w:t>
      </w:r>
      <w:r w:rsidR="00FE15D5">
        <w:rPr>
          <w:lang w:val="fr-FR"/>
        </w:rPr>
        <w:t xml:space="preserve">.  </w:t>
      </w:r>
      <w:r w:rsidR="00FE15D5" w:rsidRPr="00BD5E37">
        <w:rPr>
          <w:lang w:val="fr-FR"/>
        </w:rPr>
        <w:t>Av</w:t>
      </w:r>
      <w:r w:rsidRPr="00BD5E37">
        <w:rPr>
          <w:lang w:val="fr-FR"/>
        </w:rPr>
        <w:t>ec les autres organisations intergouvernementales concernées, le Centre continue de suivre de près l</w:t>
      </w:r>
      <w:r w:rsidR="001B0195">
        <w:rPr>
          <w:lang w:val="fr-FR"/>
        </w:rPr>
        <w:t>’</w:t>
      </w:r>
      <w:r w:rsidRPr="00BD5E37">
        <w:rPr>
          <w:lang w:val="fr-FR"/>
        </w:rPr>
        <w:t>évolution de ce dossier de longue date de l</w:t>
      </w:r>
      <w:r w:rsidR="001B0195">
        <w:rPr>
          <w:lang w:val="fr-FR"/>
        </w:rPr>
        <w:t>’</w:t>
      </w:r>
      <w:r w:rsidRPr="00BD5E37">
        <w:rPr>
          <w:lang w:val="fr-FR"/>
        </w:rPr>
        <w:t>ICANN</w:t>
      </w:r>
      <w:r w:rsidR="004848A7" w:rsidRPr="00265EA1">
        <w:rPr>
          <w:lang w:val="fr-FR"/>
        </w:rPr>
        <w:t xml:space="preserve">, </w:t>
      </w:r>
      <w:r>
        <w:rPr>
          <w:lang w:val="fr-FR"/>
        </w:rPr>
        <w:t>qui s</w:t>
      </w:r>
      <w:r w:rsidR="001B0195">
        <w:rPr>
          <w:lang w:val="fr-FR"/>
        </w:rPr>
        <w:t>’</w:t>
      </w:r>
      <w:r>
        <w:rPr>
          <w:lang w:val="fr-FR"/>
        </w:rPr>
        <w:t>appuie désormais sur un dialogue facilité par le Conseil d</w:t>
      </w:r>
      <w:r w:rsidR="001B0195">
        <w:rPr>
          <w:lang w:val="fr-FR"/>
        </w:rPr>
        <w:t>’</w:t>
      </w:r>
      <w:r>
        <w:rPr>
          <w:lang w:val="fr-FR"/>
        </w:rPr>
        <w:t>administration de l</w:t>
      </w:r>
      <w:r w:rsidR="001B0195">
        <w:rPr>
          <w:lang w:val="fr-FR"/>
        </w:rPr>
        <w:t>’</w:t>
      </w:r>
      <w:r>
        <w:rPr>
          <w:lang w:val="fr-FR"/>
        </w:rPr>
        <w:t>ICANN concernant les différences entre les recommandations</w:t>
      </w:r>
      <w:r w:rsidR="001B0195" w:rsidRPr="001B0195">
        <w:rPr>
          <w:lang w:val="fr-FR"/>
        </w:rPr>
        <w:t xml:space="preserve"> du GAC</w:t>
      </w:r>
      <w:r>
        <w:rPr>
          <w:lang w:val="fr-FR"/>
        </w:rPr>
        <w:t xml:space="preserve"> et celles</w:t>
      </w:r>
      <w:r w:rsidR="001B0195" w:rsidRPr="001B0195">
        <w:rPr>
          <w:lang w:val="fr-FR"/>
        </w:rPr>
        <w:t xml:space="preserve"> du GNS</w:t>
      </w:r>
      <w:r>
        <w:rPr>
          <w:lang w:val="fr-FR"/>
        </w:rPr>
        <w:t xml:space="preserve">O </w:t>
      </w:r>
      <w:r w:rsidR="00D531EC">
        <w:rPr>
          <w:lang w:val="fr-FR"/>
        </w:rPr>
        <w:t>s</w:t>
      </w:r>
      <w:r w:rsidR="001B0195">
        <w:rPr>
          <w:lang w:val="fr-FR"/>
        </w:rPr>
        <w:t>’</w:t>
      </w:r>
      <w:r w:rsidR="00D531EC">
        <w:rPr>
          <w:lang w:val="fr-FR"/>
        </w:rPr>
        <w:t xml:space="preserve">agissant des </w:t>
      </w:r>
      <w:r>
        <w:rPr>
          <w:lang w:val="fr-FR"/>
        </w:rPr>
        <w:t xml:space="preserve">mécanisme de protection des droits </w:t>
      </w:r>
      <w:r w:rsidR="00D531EC">
        <w:rPr>
          <w:lang w:val="fr-FR"/>
        </w:rPr>
        <w:t>pour les organisations intergouvernementales</w:t>
      </w:r>
      <w:r w:rsidR="004848A7" w:rsidRPr="00265EA1">
        <w:rPr>
          <w:lang w:val="fr-FR"/>
        </w:rPr>
        <w:t>.</w:t>
      </w:r>
    </w:p>
    <w:p w:rsidR="004848A7" w:rsidRPr="00265EA1" w:rsidRDefault="001E3235" w:rsidP="00345811">
      <w:pPr>
        <w:pStyle w:val="Heading3"/>
      </w:pPr>
      <w:r>
        <w:t>Termes géographiques</w:t>
      </w:r>
    </w:p>
    <w:p w:rsidR="004848A7" w:rsidRPr="00265EA1" w:rsidRDefault="004848A7" w:rsidP="00B36AF7">
      <w:pPr>
        <w:ind w:right="-143"/>
        <w:rPr>
          <w:szCs w:val="22"/>
          <w:lang w:val="fr-FR"/>
        </w:rPr>
      </w:pPr>
    </w:p>
    <w:p w:rsidR="004848A7" w:rsidRPr="00265EA1" w:rsidRDefault="00694FCF" w:rsidP="00B36AF7">
      <w:pPr>
        <w:pStyle w:val="ONUMFS"/>
        <w:rPr>
          <w:iCs/>
          <w:lang w:val="fr-FR"/>
        </w:rPr>
      </w:pPr>
      <w:r w:rsidRPr="00694FCF">
        <w:rPr>
          <w:lang w:val="fr-FR"/>
        </w:rPr>
        <w:t>En ce qui concerne les termes géographiques, le GAC en particulier a exprimé des préoccupations quant à leur utilisation et leur protection dans les nouveaux gTLD</w:t>
      </w:r>
      <w:r w:rsidR="004848A7" w:rsidRPr="00265EA1">
        <w:rPr>
          <w:vertAlign w:val="superscript"/>
          <w:lang w:val="fr-FR"/>
        </w:rPr>
        <w:footnoteReference w:id="59"/>
      </w:r>
      <w:r>
        <w:rPr>
          <w:lang w:val="fr-FR"/>
        </w:rPr>
        <w:t>.</w:t>
      </w:r>
      <w:r w:rsidR="004848A7" w:rsidRPr="00265EA1">
        <w:rPr>
          <w:lang w:val="fr-FR"/>
        </w:rPr>
        <w:t xml:space="preserve">  </w:t>
      </w:r>
      <w:r w:rsidRPr="00694FCF">
        <w:rPr>
          <w:lang w:val="fr-FR"/>
        </w:rPr>
        <w:t>Pour le premier niveau</w:t>
      </w:r>
      <w:r w:rsidR="004848A7" w:rsidRPr="00265EA1">
        <w:rPr>
          <w:rStyle w:val="FootnoteReference"/>
          <w:szCs w:val="22"/>
          <w:lang w:val="fr-FR"/>
        </w:rPr>
        <w:footnoteReference w:id="60"/>
      </w:r>
      <w:r>
        <w:rPr>
          <w:lang w:val="fr-FR"/>
        </w:rPr>
        <w:t>,</w:t>
      </w:r>
      <w:r w:rsidR="004848A7" w:rsidRPr="00265EA1">
        <w:rPr>
          <w:lang w:val="fr-FR"/>
        </w:rPr>
        <w:t xml:space="preserve"> </w:t>
      </w:r>
      <w:r w:rsidRPr="00694FCF">
        <w:rPr>
          <w:lang w:val="fr-FR"/>
        </w:rPr>
        <w:t>le Guide de candidature de l</w:t>
      </w:r>
      <w:r w:rsidR="001B0195">
        <w:rPr>
          <w:lang w:val="fr-FR"/>
        </w:rPr>
        <w:t>’</w:t>
      </w:r>
      <w:r w:rsidRPr="00694FCF">
        <w:rPr>
          <w:lang w:val="fr-FR"/>
        </w:rPr>
        <w:t>ICANN stipule que “les demandes portant sur des chaînes de caractères qui sont des noms de pays ou de territoires ne seront pas approuvées car elles ne sont pas prévues dans le programme relatif aux nouveaux gTLD pour cette série de demandes”</w:t>
      </w:r>
      <w:r w:rsidR="004848A7" w:rsidRPr="00265EA1">
        <w:rPr>
          <w:rStyle w:val="FootnoteReference"/>
          <w:szCs w:val="22"/>
          <w:lang w:val="fr-FR"/>
        </w:rPr>
        <w:footnoteReference w:id="61"/>
      </w:r>
      <w:r>
        <w:rPr>
          <w:lang w:val="fr-FR"/>
        </w:rPr>
        <w:t>.</w:t>
      </w:r>
      <w:r w:rsidR="004848A7" w:rsidRPr="00265EA1">
        <w:rPr>
          <w:lang w:val="fr-FR"/>
        </w:rPr>
        <w:t xml:space="preserve">  </w:t>
      </w:r>
      <w:r w:rsidRPr="00694FCF">
        <w:rPr>
          <w:lang w:val="fr-FR"/>
        </w:rPr>
        <w:t>Les chaînes de caractères présentées à l</w:t>
      </w:r>
      <w:r w:rsidR="001B0195">
        <w:rPr>
          <w:lang w:val="fr-FR"/>
        </w:rPr>
        <w:t>’</w:t>
      </w:r>
      <w:r w:rsidRPr="00694FCF">
        <w:rPr>
          <w:lang w:val="fr-FR"/>
        </w:rPr>
        <w:t>enregistrement que l</w:t>
      </w:r>
      <w:r w:rsidR="001B0195">
        <w:rPr>
          <w:lang w:val="fr-FR"/>
        </w:rPr>
        <w:t>’</w:t>
      </w:r>
      <w:r w:rsidRPr="00694FCF">
        <w:rPr>
          <w:lang w:val="fr-FR"/>
        </w:rPr>
        <w:t xml:space="preserve">ICANN </w:t>
      </w:r>
      <w:proofErr w:type="gramStart"/>
      <w:r w:rsidRPr="00694FCF">
        <w:rPr>
          <w:lang w:val="fr-FR"/>
        </w:rPr>
        <w:t>considère</w:t>
      </w:r>
      <w:proofErr w:type="gramEnd"/>
      <w:r w:rsidRPr="00694FCF">
        <w:rPr>
          <w:lang w:val="fr-FR"/>
        </w:rPr>
        <w:t xml:space="preserve"> comme correspondant à d</w:t>
      </w:r>
      <w:r w:rsidR="001B0195">
        <w:rPr>
          <w:lang w:val="fr-FR"/>
        </w:rPr>
        <w:t>’</w:t>
      </w:r>
      <w:r w:rsidRPr="00694FCF">
        <w:rPr>
          <w:lang w:val="fr-FR"/>
        </w:rPr>
        <w:t xml:space="preserve">autres désignations géographiques, par exemple des noms de capitales, </w:t>
      </w:r>
      <w:r>
        <w:rPr>
          <w:lang w:val="fr-FR"/>
        </w:rPr>
        <w:t>devraient</w:t>
      </w:r>
      <w:r w:rsidRPr="00694FCF">
        <w:rPr>
          <w:lang w:val="fr-FR"/>
        </w:rPr>
        <w:t xml:space="preserve"> être accompagnées de pièces justificatives ou d</w:t>
      </w:r>
      <w:r w:rsidR="001B0195">
        <w:rPr>
          <w:lang w:val="fr-FR"/>
        </w:rPr>
        <w:t>’</w:t>
      </w:r>
      <w:r w:rsidRPr="00694FCF">
        <w:rPr>
          <w:lang w:val="fr-FR"/>
        </w:rPr>
        <w:t>une attestation de non objection des gouvernements ou autorités publiques concernés</w:t>
      </w:r>
      <w:r w:rsidR="004848A7" w:rsidRPr="00265EA1">
        <w:rPr>
          <w:rStyle w:val="FootnoteReference"/>
          <w:szCs w:val="22"/>
          <w:lang w:val="fr-FR"/>
        </w:rPr>
        <w:footnoteReference w:id="62"/>
      </w:r>
      <w:r>
        <w:rPr>
          <w:lang w:val="fr-FR"/>
        </w:rPr>
        <w:t>.</w:t>
      </w:r>
    </w:p>
    <w:p w:rsidR="00345811" w:rsidRDefault="00345811">
      <w:pPr>
        <w:rPr>
          <w:iCs/>
          <w:lang w:val="fr-FR"/>
        </w:rPr>
      </w:pPr>
      <w:r>
        <w:rPr>
          <w:iCs/>
          <w:lang w:val="fr-FR"/>
        </w:rPr>
        <w:br w:type="page"/>
      </w:r>
    </w:p>
    <w:p w:rsidR="004848A7" w:rsidRPr="00471ED8" w:rsidRDefault="00694FCF" w:rsidP="00B36AF7">
      <w:pPr>
        <w:pStyle w:val="ONUMFS"/>
        <w:rPr>
          <w:lang w:val="fr-FR"/>
        </w:rPr>
      </w:pPr>
      <w:r w:rsidRPr="00694FCF">
        <w:rPr>
          <w:iCs/>
          <w:lang w:val="fr-FR"/>
        </w:rPr>
        <w:lastRenderedPageBreak/>
        <w:t>Les membres du GAC ont exprimé d</w:t>
      </w:r>
      <w:r w:rsidR="001B0195">
        <w:rPr>
          <w:iCs/>
          <w:lang w:val="fr-FR"/>
        </w:rPr>
        <w:t>’</w:t>
      </w:r>
      <w:r w:rsidRPr="00694FCF">
        <w:rPr>
          <w:iCs/>
          <w:lang w:val="fr-FR"/>
        </w:rPr>
        <w:t>autres réserves concernant un certain nombre de demandes portant sur de nouveaux gTLD pour cause de correspondance avec des termes géographiques ou d</w:t>
      </w:r>
      <w:r w:rsidR="001B0195">
        <w:rPr>
          <w:iCs/>
          <w:lang w:val="fr-FR"/>
        </w:rPr>
        <w:t>’</w:t>
      </w:r>
      <w:r w:rsidRPr="00694FCF">
        <w:rPr>
          <w:iCs/>
          <w:lang w:val="fr-FR"/>
        </w:rPr>
        <w:t>autres termes “sensibles”, recommandant au Conseil d</w:t>
      </w:r>
      <w:r w:rsidR="001B0195">
        <w:rPr>
          <w:iCs/>
          <w:lang w:val="fr-FR"/>
        </w:rPr>
        <w:t>’</w:t>
      </w:r>
      <w:r w:rsidRPr="00694FCF">
        <w:rPr>
          <w:iCs/>
          <w:lang w:val="fr-FR"/>
        </w:rPr>
        <w:t>administration de l</w:t>
      </w:r>
      <w:r w:rsidR="001B0195">
        <w:rPr>
          <w:iCs/>
          <w:lang w:val="fr-FR"/>
        </w:rPr>
        <w:t>’</w:t>
      </w:r>
      <w:r w:rsidRPr="00694FCF">
        <w:rPr>
          <w:iCs/>
          <w:lang w:val="fr-FR"/>
        </w:rPr>
        <w:t>ICANN de ne pas aller au</w:t>
      </w:r>
      <w:r w:rsidR="001B0195">
        <w:rPr>
          <w:iCs/>
          <w:lang w:val="fr-FR"/>
        </w:rPr>
        <w:t>-</w:t>
      </w:r>
      <w:r w:rsidRPr="00694FCF">
        <w:rPr>
          <w:iCs/>
          <w:lang w:val="fr-FR"/>
        </w:rPr>
        <w:t>delà d</w:t>
      </w:r>
      <w:r w:rsidR="001B0195">
        <w:rPr>
          <w:iCs/>
          <w:lang w:val="fr-FR"/>
        </w:rPr>
        <w:t>’</w:t>
      </w:r>
      <w:r w:rsidRPr="00694FCF">
        <w:rPr>
          <w:iCs/>
          <w:lang w:val="fr-FR"/>
        </w:rPr>
        <w:t>une évaluation initiale et demandant des précisions au Conseil sur la possibilité pour les candidats de modifier les demandes portant sur de nouveaux gTLD afin de tenir compte des préoccupations particulières du GAC</w:t>
      </w:r>
      <w:r w:rsidR="004848A7" w:rsidRPr="00265EA1">
        <w:rPr>
          <w:rStyle w:val="FootnoteReference"/>
          <w:iCs/>
          <w:szCs w:val="22"/>
          <w:lang w:val="fr-FR"/>
        </w:rPr>
        <w:footnoteReference w:id="63"/>
      </w:r>
      <w:r>
        <w:rPr>
          <w:iCs/>
          <w:lang w:val="fr-FR"/>
        </w:rPr>
        <w:t>.</w:t>
      </w:r>
    </w:p>
    <w:p w:rsidR="001B0195" w:rsidRDefault="00471ED8" w:rsidP="00B36AF7">
      <w:pPr>
        <w:pStyle w:val="ONUMFS"/>
        <w:rPr>
          <w:lang w:val="fr-FR"/>
        </w:rPr>
      </w:pPr>
      <w:r w:rsidRPr="00471ED8">
        <w:rPr>
          <w:lang w:val="fr-FR"/>
        </w:rPr>
        <w:t>En décembre 2016, l</w:t>
      </w:r>
      <w:r w:rsidR="001B0195">
        <w:rPr>
          <w:lang w:val="fr-FR"/>
        </w:rPr>
        <w:t>’</w:t>
      </w:r>
      <w:r w:rsidRPr="00471ED8">
        <w:rPr>
          <w:lang w:val="fr-FR"/>
        </w:rPr>
        <w:t>ICANN a autorisé l</w:t>
      </w:r>
      <w:r w:rsidR="001B0195">
        <w:rPr>
          <w:lang w:val="fr-FR"/>
        </w:rPr>
        <w:t>’</w:t>
      </w:r>
      <w:r w:rsidRPr="00471ED8">
        <w:rPr>
          <w:lang w:val="fr-FR"/>
        </w:rPr>
        <w:t>ouverture à l</w:t>
      </w:r>
      <w:r w:rsidR="001B0195">
        <w:rPr>
          <w:lang w:val="fr-FR"/>
        </w:rPr>
        <w:t>’</w:t>
      </w:r>
      <w:r w:rsidRPr="00471ED8">
        <w:rPr>
          <w:lang w:val="fr-FR"/>
        </w:rPr>
        <w:t>enregistrement de tous les noms de domaine à deux caractères précédemment réservés au deuxième niveau des nouveaux gTLD sous réserve que les administrateurs des services d</w:t>
      </w:r>
      <w:r w:rsidR="001B0195">
        <w:rPr>
          <w:lang w:val="fr-FR"/>
        </w:rPr>
        <w:t>’</w:t>
      </w:r>
      <w:r w:rsidRPr="00471ED8">
        <w:rPr>
          <w:lang w:val="fr-FR"/>
        </w:rPr>
        <w:t>enregistrement accordent préalablement aux gouvernements respectifs un délai de 30 jours pour l</w:t>
      </w:r>
      <w:r w:rsidR="001B0195">
        <w:rPr>
          <w:lang w:val="fr-FR"/>
        </w:rPr>
        <w:t>’</w:t>
      </w:r>
      <w:r w:rsidRPr="00471ED8">
        <w:rPr>
          <w:lang w:val="fr-FR"/>
        </w:rPr>
        <w:t xml:space="preserve">acquisition de ces noms de domaine; </w:t>
      </w:r>
      <w:r w:rsidR="005C03F2">
        <w:rPr>
          <w:lang w:val="fr-FR"/>
        </w:rPr>
        <w:t xml:space="preserve"> </w:t>
      </w:r>
      <w:r w:rsidRPr="00471ED8">
        <w:rPr>
          <w:lang w:val="fr-FR"/>
        </w:rPr>
        <w:t>qu</w:t>
      </w:r>
      <w:r w:rsidR="001B0195">
        <w:rPr>
          <w:lang w:val="fr-FR"/>
        </w:rPr>
        <w:t>’</w:t>
      </w:r>
      <w:r w:rsidRPr="00471ED8">
        <w:rPr>
          <w:lang w:val="fr-FR"/>
        </w:rPr>
        <w:t>ils exigent des demandeurs une déclaration selon laquelle ces derniers ne laisseront pas entendre, à tort, qu</w:t>
      </w:r>
      <w:r w:rsidR="001B0195">
        <w:rPr>
          <w:lang w:val="fr-FR"/>
        </w:rPr>
        <w:t>’</w:t>
      </w:r>
      <w:r w:rsidRPr="00471ED8">
        <w:rPr>
          <w:lang w:val="fr-FR"/>
        </w:rPr>
        <w:t>il existe un lien quelconque avec le gouvernement en ce qui concerne l</w:t>
      </w:r>
      <w:r w:rsidR="001B0195">
        <w:rPr>
          <w:lang w:val="fr-FR"/>
        </w:rPr>
        <w:t>’</w:t>
      </w:r>
      <w:r w:rsidRPr="00471ED8">
        <w:rPr>
          <w:lang w:val="fr-FR"/>
        </w:rPr>
        <w:t>utilisation du nom de domaine à deux caractères;</w:t>
      </w:r>
      <w:r w:rsidR="005C03F2">
        <w:rPr>
          <w:lang w:val="fr-FR"/>
        </w:rPr>
        <w:t xml:space="preserve"> </w:t>
      </w:r>
      <w:r w:rsidRPr="00471ED8">
        <w:rPr>
          <w:lang w:val="fr-FR"/>
        </w:rPr>
        <w:t xml:space="preserve"> et qu</w:t>
      </w:r>
      <w:r w:rsidR="001B0195">
        <w:rPr>
          <w:lang w:val="fr-FR"/>
        </w:rPr>
        <w:t>’</w:t>
      </w:r>
      <w:r w:rsidRPr="00471ED8">
        <w:rPr>
          <w:lang w:val="fr-FR"/>
        </w:rPr>
        <w:t>ils prévoient une procédure de dépôt de plaintes postérieure à l</w:t>
      </w:r>
      <w:r w:rsidR="001B0195">
        <w:rPr>
          <w:lang w:val="fr-FR"/>
        </w:rPr>
        <w:t>’</w:t>
      </w:r>
      <w:r w:rsidRPr="00471ED8">
        <w:rPr>
          <w:lang w:val="fr-FR"/>
        </w:rPr>
        <w:t>enregistrement</w:t>
      </w:r>
      <w:r w:rsidR="004848A7" w:rsidRPr="00265EA1">
        <w:rPr>
          <w:rStyle w:val="FootnoteReference"/>
          <w:szCs w:val="22"/>
          <w:lang w:val="fr-FR"/>
        </w:rPr>
        <w:footnoteReference w:id="64"/>
      </w:r>
      <w:r w:rsidR="00302DE9">
        <w:rPr>
          <w:lang w:val="fr-FR"/>
        </w:rPr>
        <w:t>.</w:t>
      </w:r>
      <w:r w:rsidR="004848A7" w:rsidRPr="00265EA1">
        <w:rPr>
          <w:lang w:val="fr-FR"/>
        </w:rPr>
        <w:t xml:space="preserve">  </w:t>
      </w:r>
      <w:r w:rsidR="00302DE9">
        <w:rPr>
          <w:lang w:val="fr-FR"/>
        </w:rPr>
        <w:t>C</w:t>
      </w:r>
      <w:r w:rsidR="001B0195">
        <w:rPr>
          <w:lang w:val="fr-FR"/>
        </w:rPr>
        <w:t>’</w:t>
      </w:r>
      <w:r w:rsidR="00302DE9">
        <w:rPr>
          <w:lang w:val="fr-FR"/>
        </w:rPr>
        <w:t xml:space="preserve">est ainsi que le </w:t>
      </w:r>
      <w:r w:rsidR="00302DE9" w:rsidRPr="00302DE9">
        <w:rPr>
          <w:lang w:val="fr-FR"/>
        </w:rPr>
        <w:t>Centre a transmis des commentaires à l</w:t>
      </w:r>
      <w:r w:rsidR="001B0195">
        <w:rPr>
          <w:lang w:val="fr-FR"/>
        </w:rPr>
        <w:t>’</w:t>
      </w:r>
      <w:r w:rsidR="00302DE9" w:rsidRPr="00302DE9">
        <w:rPr>
          <w:lang w:val="fr-FR"/>
        </w:rPr>
        <w:t>ICANN, faisant observer que le deuxième processus de consultations de l</w:t>
      </w:r>
      <w:r w:rsidR="001B0195">
        <w:rPr>
          <w:lang w:val="fr-FR"/>
        </w:rPr>
        <w:t>’</w:t>
      </w:r>
      <w:r w:rsidR="00302DE9" w:rsidRPr="00302DE9">
        <w:rPr>
          <w:lang w:val="fr-FR"/>
        </w:rPr>
        <w:t>OMPI sur les noms de domaine de l</w:t>
      </w:r>
      <w:r w:rsidR="001B0195">
        <w:rPr>
          <w:lang w:val="fr-FR"/>
        </w:rPr>
        <w:t>’</w:t>
      </w:r>
      <w:r w:rsidR="00302DE9" w:rsidRPr="00302DE9">
        <w:rPr>
          <w:lang w:val="fr-FR"/>
        </w:rPr>
        <w:t>Internet prévoyait la possibilité d</w:t>
      </w:r>
      <w:r w:rsidR="001B0195">
        <w:rPr>
          <w:lang w:val="fr-FR"/>
        </w:rPr>
        <w:t>’</w:t>
      </w:r>
      <w:r w:rsidR="00302DE9" w:rsidRPr="00302DE9">
        <w:rPr>
          <w:lang w:val="fr-FR"/>
        </w:rPr>
        <w:t>examiner des mesures permettant d</w:t>
      </w:r>
      <w:r w:rsidR="001B0195">
        <w:rPr>
          <w:lang w:val="fr-FR"/>
        </w:rPr>
        <w:t>’</w:t>
      </w:r>
      <w:r w:rsidR="00302DE9" w:rsidRPr="00302DE9">
        <w:rPr>
          <w:lang w:val="fr-FR"/>
        </w:rPr>
        <w:t>appliquer les principes UDRP aux enregistrements de troisième niveau afin d</w:t>
      </w:r>
      <w:r w:rsidR="001B0195">
        <w:rPr>
          <w:lang w:val="fr-FR"/>
        </w:rPr>
        <w:t>’</w:t>
      </w:r>
      <w:r w:rsidR="00302DE9" w:rsidRPr="00302DE9">
        <w:rPr>
          <w:lang w:val="fr-FR"/>
        </w:rPr>
        <w:t>atténuer le risque d</w:t>
      </w:r>
      <w:r w:rsidR="001B0195">
        <w:rPr>
          <w:lang w:val="fr-FR"/>
        </w:rPr>
        <w:t>’</w:t>
      </w:r>
      <w:r w:rsidR="00302DE9" w:rsidRPr="00302DE9">
        <w:rPr>
          <w:lang w:val="fr-FR"/>
        </w:rPr>
        <w:t>atteinte aux marques</w:t>
      </w:r>
      <w:r w:rsidR="004848A7" w:rsidRPr="00265EA1">
        <w:rPr>
          <w:rStyle w:val="FootnoteReference"/>
          <w:szCs w:val="22"/>
          <w:lang w:val="fr-FR"/>
        </w:rPr>
        <w:footnoteReference w:id="65"/>
      </w:r>
      <w:r w:rsidR="00302DE9">
        <w:rPr>
          <w:lang w:val="fr-FR"/>
        </w:rPr>
        <w:t>.</w:t>
      </w:r>
    </w:p>
    <w:p w:rsidR="004848A7" w:rsidRPr="00265EA1" w:rsidRDefault="000106AE" w:rsidP="00B36AF7">
      <w:pPr>
        <w:pStyle w:val="ONUMFS"/>
        <w:rPr>
          <w:szCs w:val="24"/>
          <w:lang w:val="fr-FR"/>
        </w:rPr>
      </w:pPr>
      <w:r w:rsidRPr="000106AE">
        <w:rPr>
          <w:lang w:val="fr-FR"/>
        </w:rPr>
        <w:t>Sur ces questions et d</w:t>
      </w:r>
      <w:r w:rsidR="001B0195">
        <w:rPr>
          <w:lang w:val="fr-FR"/>
        </w:rPr>
        <w:t>’</w:t>
      </w:r>
      <w:r w:rsidRPr="000106AE">
        <w:rPr>
          <w:lang w:val="fr-FR"/>
        </w:rPr>
        <w:t>autres questions concernant le DNS, le Centre a tenté d</w:t>
      </w:r>
      <w:r w:rsidR="001B0195">
        <w:rPr>
          <w:lang w:val="fr-FR"/>
        </w:rPr>
        <w:t>’</w:t>
      </w:r>
      <w:r w:rsidRPr="000106AE">
        <w:rPr>
          <w:lang w:val="fr-FR"/>
        </w:rPr>
        <w:t>informer les secteurs concernés au sein du Secrétariat, notamment pour appuyer les travaux du Comité permanent du droit des marques, des dessins et modèles industriels et des indications géographiques (SCT)</w:t>
      </w:r>
      <w:r w:rsidR="004848A7" w:rsidRPr="00265EA1">
        <w:rPr>
          <w:rStyle w:val="FootnoteReference"/>
          <w:szCs w:val="22"/>
          <w:lang w:val="fr-FR"/>
        </w:rPr>
        <w:footnoteReference w:id="66"/>
      </w:r>
      <w:r w:rsidR="00B36AF7">
        <w:rPr>
          <w:lang w:val="fr-FR"/>
        </w:rPr>
        <w:t xml:space="preserve">.  </w:t>
      </w:r>
      <w:r w:rsidRPr="000106AE">
        <w:rPr>
          <w:lang w:val="fr-FR"/>
        </w:rPr>
        <w:t>Le Secrétariat continuera de suivre l</w:t>
      </w:r>
      <w:r w:rsidR="001B0195">
        <w:rPr>
          <w:lang w:val="fr-FR"/>
        </w:rPr>
        <w:t>’</w:t>
      </w:r>
      <w:r w:rsidRPr="000106AE">
        <w:rPr>
          <w:lang w:val="fr-FR"/>
        </w:rPr>
        <w:t>évolution de la situation et d</w:t>
      </w:r>
      <w:r w:rsidR="001B0195">
        <w:rPr>
          <w:lang w:val="fr-FR"/>
        </w:rPr>
        <w:t>’</w:t>
      </w:r>
      <w:r w:rsidRPr="000106AE">
        <w:rPr>
          <w:lang w:val="fr-FR"/>
        </w:rPr>
        <w:t>apporter sa contribution si cela s</w:t>
      </w:r>
      <w:r w:rsidR="001B0195">
        <w:rPr>
          <w:lang w:val="fr-FR"/>
        </w:rPr>
        <w:t>’</w:t>
      </w:r>
      <w:r w:rsidRPr="000106AE">
        <w:rPr>
          <w:lang w:val="fr-FR"/>
        </w:rPr>
        <w:t>avère possible.</w:t>
      </w:r>
    </w:p>
    <w:p w:rsidR="00612F56" w:rsidRPr="006D7EF4" w:rsidRDefault="003B220C" w:rsidP="00B36AF7">
      <w:pPr>
        <w:pStyle w:val="ONUMFS"/>
        <w:ind w:left="5533"/>
        <w:rPr>
          <w:i/>
          <w:lang w:val="fr-FR"/>
        </w:rPr>
      </w:pPr>
      <w:r w:rsidRPr="006D7EF4">
        <w:rPr>
          <w:i/>
          <w:lang w:val="fr-FR"/>
        </w:rPr>
        <w:t>L</w:t>
      </w:r>
      <w:r w:rsidR="001B0195" w:rsidRPr="006D7EF4">
        <w:rPr>
          <w:i/>
          <w:lang w:val="fr-FR"/>
        </w:rPr>
        <w:t>’</w:t>
      </w:r>
      <w:r w:rsidRPr="006D7EF4">
        <w:rPr>
          <w:i/>
          <w:lang w:val="fr-FR"/>
        </w:rPr>
        <w:t>Assemblée générale de l</w:t>
      </w:r>
      <w:r w:rsidR="001B0195" w:rsidRPr="006D7EF4">
        <w:rPr>
          <w:i/>
          <w:lang w:val="fr-FR"/>
        </w:rPr>
        <w:t>’</w:t>
      </w:r>
      <w:r w:rsidRPr="006D7EF4">
        <w:rPr>
          <w:i/>
          <w:lang w:val="fr-FR"/>
        </w:rPr>
        <w:t xml:space="preserve">OMPI est invitée à prendre note du contenu du document intitulé </w:t>
      </w:r>
      <w:r w:rsidRPr="006D7EF4">
        <w:rPr>
          <w:i/>
          <w:iCs/>
          <w:lang w:val="fr-FR"/>
        </w:rPr>
        <w:t>“Centre d</w:t>
      </w:r>
      <w:r w:rsidR="001B0195" w:rsidRPr="006D7EF4">
        <w:rPr>
          <w:i/>
          <w:iCs/>
          <w:lang w:val="fr-FR"/>
        </w:rPr>
        <w:t>’</w:t>
      </w:r>
      <w:r w:rsidRPr="006D7EF4">
        <w:rPr>
          <w:i/>
          <w:iCs/>
          <w:lang w:val="fr-FR"/>
        </w:rPr>
        <w:t>arbitrage et de médiation de l</w:t>
      </w:r>
      <w:r w:rsidR="001B0195" w:rsidRPr="006D7EF4">
        <w:rPr>
          <w:i/>
          <w:iCs/>
          <w:lang w:val="fr-FR"/>
        </w:rPr>
        <w:t>’</w:t>
      </w:r>
      <w:r w:rsidRPr="006D7EF4">
        <w:rPr>
          <w:i/>
          <w:iCs/>
          <w:lang w:val="fr-FR"/>
        </w:rPr>
        <w:t xml:space="preserve">OMPI, </w:t>
      </w:r>
      <w:r w:rsidR="001B0195" w:rsidRPr="006D7EF4">
        <w:rPr>
          <w:i/>
          <w:iCs/>
          <w:lang w:val="fr-FR"/>
        </w:rPr>
        <w:t>y compris</w:t>
      </w:r>
      <w:r w:rsidRPr="006D7EF4">
        <w:rPr>
          <w:i/>
          <w:iCs/>
          <w:lang w:val="fr-FR"/>
        </w:rPr>
        <w:t xml:space="preserve"> les noms de domaine”</w:t>
      </w:r>
      <w:r w:rsidRPr="006D7EF4">
        <w:rPr>
          <w:i/>
          <w:lang w:val="fr-FR"/>
        </w:rPr>
        <w:t xml:space="preserve"> </w:t>
      </w:r>
      <w:r w:rsidR="00663228" w:rsidRPr="006D7EF4">
        <w:rPr>
          <w:i/>
          <w:lang w:val="fr-FR"/>
        </w:rPr>
        <w:t>(document</w:t>
      </w:r>
      <w:r w:rsidR="00054A64" w:rsidRPr="006D7EF4">
        <w:rPr>
          <w:i/>
          <w:lang w:val="fr-FR"/>
        </w:rPr>
        <w:t> </w:t>
      </w:r>
      <w:r w:rsidR="00663228" w:rsidRPr="006D7EF4">
        <w:rPr>
          <w:i/>
          <w:lang w:val="fr-FR"/>
        </w:rPr>
        <w:t>WO/GA/49/14</w:t>
      </w:r>
      <w:r w:rsidR="00612F56" w:rsidRPr="006D7EF4">
        <w:rPr>
          <w:i/>
          <w:lang w:val="fr-FR"/>
        </w:rPr>
        <w:t>).</w:t>
      </w:r>
    </w:p>
    <w:p w:rsidR="00612F56" w:rsidRPr="00265EA1" w:rsidRDefault="00612F56" w:rsidP="00B36AF7">
      <w:pPr>
        <w:pStyle w:val="DecisionInvitingPara"/>
        <w:spacing w:after="0" w:line="240" w:lineRule="auto"/>
        <w:ind w:left="5533"/>
        <w:rPr>
          <w:i w:val="0"/>
          <w:sz w:val="22"/>
          <w:szCs w:val="22"/>
          <w:lang w:val="fr-FR"/>
        </w:rPr>
      </w:pPr>
    </w:p>
    <w:p w:rsidR="00612F56" w:rsidRPr="00265EA1" w:rsidRDefault="00612F56" w:rsidP="00B36AF7">
      <w:pPr>
        <w:pStyle w:val="DecisionInvitingPara"/>
        <w:spacing w:after="0" w:line="240" w:lineRule="auto"/>
        <w:ind w:left="5533"/>
        <w:rPr>
          <w:i w:val="0"/>
          <w:sz w:val="22"/>
          <w:szCs w:val="22"/>
          <w:lang w:val="fr-FR"/>
        </w:rPr>
      </w:pPr>
    </w:p>
    <w:p w:rsidR="00612F56" w:rsidRPr="00265EA1" w:rsidRDefault="00612F56" w:rsidP="00B36AF7">
      <w:pPr>
        <w:pStyle w:val="Endofdocument-Annex"/>
        <w:rPr>
          <w:lang w:val="fr-FR"/>
        </w:rPr>
      </w:pPr>
      <w:r w:rsidRPr="00265EA1">
        <w:rPr>
          <w:lang w:val="fr-FR"/>
        </w:rPr>
        <w:t>[</w:t>
      </w:r>
      <w:r w:rsidR="003B220C">
        <w:rPr>
          <w:lang w:val="fr-FR"/>
        </w:rPr>
        <w:t>Fin du</w:t>
      </w:r>
      <w:r w:rsidRPr="00265EA1">
        <w:rPr>
          <w:lang w:val="fr-FR"/>
        </w:rPr>
        <w:t xml:space="preserve"> document]</w:t>
      </w:r>
    </w:p>
    <w:sectPr w:rsidR="00612F56" w:rsidRPr="00265EA1" w:rsidSect="00335A9C">
      <w:headerReference w:type="default" r:id="rId9"/>
      <w:foot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24" w:rsidRDefault="00065824">
      <w:r>
        <w:separator/>
      </w:r>
    </w:p>
  </w:endnote>
  <w:endnote w:type="continuationSeparator" w:id="0">
    <w:p w:rsidR="00065824" w:rsidRDefault="00065824" w:rsidP="003B38C1">
      <w:r>
        <w:separator/>
      </w:r>
    </w:p>
    <w:p w:rsidR="00065824" w:rsidRPr="003B38C1" w:rsidRDefault="00065824" w:rsidP="003B38C1">
      <w:pPr>
        <w:spacing w:after="60"/>
        <w:rPr>
          <w:sz w:val="17"/>
        </w:rPr>
      </w:pPr>
      <w:r>
        <w:rPr>
          <w:sz w:val="17"/>
        </w:rPr>
        <w:t>[Endnote continued from previous page]</w:t>
      </w:r>
    </w:p>
  </w:endnote>
  <w:endnote w:type="continuationNotice" w:id="1">
    <w:p w:rsidR="00065824" w:rsidRPr="003B38C1" w:rsidRDefault="000658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95" w:rsidRPr="001B0195" w:rsidRDefault="001B0195" w:rsidP="001B0195">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24" w:rsidRDefault="00065824">
      <w:r>
        <w:separator/>
      </w:r>
    </w:p>
  </w:footnote>
  <w:footnote w:type="continuationSeparator" w:id="0">
    <w:p w:rsidR="00065824" w:rsidRDefault="00065824" w:rsidP="008B60B2">
      <w:r>
        <w:separator/>
      </w:r>
    </w:p>
    <w:p w:rsidR="00065824" w:rsidRPr="00ED77FB" w:rsidRDefault="00065824" w:rsidP="008B60B2">
      <w:pPr>
        <w:spacing w:after="60"/>
        <w:rPr>
          <w:sz w:val="17"/>
          <w:szCs w:val="17"/>
        </w:rPr>
      </w:pPr>
      <w:r w:rsidRPr="00ED77FB">
        <w:rPr>
          <w:sz w:val="17"/>
          <w:szCs w:val="17"/>
        </w:rPr>
        <w:t>[Footnote continued from previous page]</w:t>
      </w:r>
    </w:p>
  </w:footnote>
  <w:footnote w:type="continuationNotice" w:id="1">
    <w:p w:rsidR="00065824" w:rsidRPr="00ED77FB" w:rsidRDefault="00065824" w:rsidP="008B60B2">
      <w:pPr>
        <w:spacing w:before="60"/>
        <w:jc w:val="right"/>
        <w:rPr>
          <w:sz w:val="17"/>
          <w:szCs w:val="17"/>
        </w:rPr>
      </w:pPr>
      <w:r w:rsidRPr="00ED77FB">
        <w:rPr>
          <w:sz w:val="17"/>
          <w:szCs w:val="17"/>
        </w:rPr>
        <w:t>[Footnote continued on next page]</w:t>
      </w:r>
    </w:p>
  </w:footnote>
  <w:footnote w:id="2">
    <w:p w:rsidR="00065824" w:rsidRPr="00781FE6" w:rsidRDefault="00065824" w:rsidP="00B36AF7">
      <w:pPr>
        <w:pStyle w:val="FootnoteText"/>
        <w:tabs>
          <w:tab w:val="left" w:pos="567"/>
        </w:tabs>
        <w:rPr>
          <w:szCs w:val="18"/>
          <w:u w:val="single"/>
          <w:lang w:val="fr-FR"/>
        </w:rPr>
      </w:pPr>
      <w:r w:rsidRPr="00781FE6">
        <w:rPr>
          <w:rStyle w:val="FootnoteReference"/>
          <w:szCs w:val="18"/>
          <w:lang w:val="fr-FR"/>
        </w:rPr>
        <w:footnoteRef/>
      </w:r>
      <w:r w:rsidRPr="00781FE6">
        <w:rPr>
          <w:szCs w:val="18"/>
          <w:lang w:val="fr-FR"/>
        </w:rPr>
        <w:t xml:space="preserve"> </w:t>
      </w:r>
      <w:r w:rsidRPr="00781FE6">
        <w:rPr>
          <w:szCs w:val="18"/>
          <w:lang w:val="fr-FR"/>
        </w:rPr>
        <w:tab/>
        <w:t>Voir http://www.wipo.int/edocs/mdocs/govbody/en</w:t>
      </w:r>
      <w:r w:rsidR="00144D27">
        <w:rPr>
          <w:szCs w:val="18"/>
          <w:lang w:val="fr-FR"/>
        </w:rPr>
        <w:t>/wo_ga_48/wo_ga_48_12_rev.pdf.</w:t>
      </w:r>
    </w:p>
  </w:footnote>
  <w:footnote w:id="3">
    <w:p w:rsidR="00065824" w:rsidRPr="00781FE6" w:rsidRDefault="00065824" w:rsidP="00B36AF7">
      <w:pPr>
        <w:pStyle w:val="FootnoteText"/>
        <w:rPr>
          <w:szCs w:val="18"/>
          <w:lang w:val="fr-FR"/>
        </w:rPr>
      </w:pPr>
      <w:r w:rsidRPr="00781FE6">
        <w:rPr>
          <w:rStyle w:val="FootnoteReference"/>
          <w:lang w:val="fr-FR"/>
        </w:rPr>
        <w:footnoteRef/>
      </w:r>
      <w:r w:rsidRPr="00781FE6">
        <w:rPr>
          <w:lang w:val="fr-FR"/>
        </w:rPr>
        <w:t xml:space="preserve"> </w:t>
      </w:r>
      <w:r w:rsidRPr="00781FE6">
        <w:rPr>
          <w:lang w:val="fr-FR"/>
        </w:rPr>
        <w:tab/>
      </w:r>
      <w:r w:rsidRPr="00781FE6">
        <w:rPr>
          <w:szCs w:val="18"/>
          <w:lang w:val="fr-FR"/>
        </w:rPr>
        <w:t xml:space="preserve">La liste des ateliers et autres manifestations organisés par le Centre </w:t>
      </w:r>
      <w:r>
        <w:rPr>
          <w:szCs w:val="18"/>
          <w:lang w:val="fr-FR"/>
        </w:rPr>
        <w:t xml:space="preserve">peut être </w:t>
      </w:r>
      <w:proofErr w:type="gramStart"/>
      <w:r>
        <w:rPr>
          <w:szCs w:val="18"/>
          <w:lang w:val="fr-FR"/>
        </w:rPr>
        <w:t>consultée</w:t>
      </w:r>
      <w:proofErr w:type="gramEnd"/>
      <w:r w:rsidRPr="00781FE6">
        <w:rPr>
          <w:szCs w:val="18"/>
          <w:lang w:val="fr-FR"/>
        </w:rPr>
        <w:t xml:space="preserve"> à l</w:t>
      </w:r>
      <w:r w:rsidR="00E839AD">
        <w:rPr>
          <w:szCs w:val="18"/>
          <w:lang w:val="fr-FR"/>
        </w:rPr>
        <w:t>’</w:t>
      </w:r>
      <w:r w:rsidRPr="00781FE6">
        <w:rPr>
          <w:szCs w:val="18"/>
          <w:lang w:val="fr-FR"/>
        </w:rPr>
        <w:t>adresse http://www.wipo.int/amc/fr/events.</w:t>
      </w:r>
    </w:p>
  </w:footnote>
  <w:footnote w:id="4">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 xml:space="preserve"> </w:t>
      </w:r>
      <w:r w:rsidRPr="00781FE6">
        <w:rPr>
          <w:szCs w:val="18"/>
          <w:lang w:val="fr-FR"/>
        </w:rPr>
        <w:tab/>
        <w:t>Le système ECAF permet la communication et le stockage en ligne des documents, ce qui rend les</w:t>
      </w:r>
      <w:r>
        <w:rPr>
          <w:szCs w:val="18"/>
          <w:lang w:val="fr-FR"/>
        </w:rPr>
        <w:t xml:space="preserve"> </w:t>
      </w:r>
      <w:r w:rsidRPr="00781FE6">
        <w:rPr>
          <w:szCs w:val="18"/>
          <w:lang w:val="fr-FR"/>
        </w:rPr>
        <w:t>procédures d</w:t>
      </w:r>
      <w:r w:rsidR="00E839AD">
        <w:rPr>
          <w:szCs w:val="18"/>
          <w:lang w:val="fr-FR"/>
        </w:rPr>
        <w:t>’</w:t>
      </w:r>
      <w:r w:rsidRPr="00781FE6">
        <w:rPr>
          <w:szCs w:val="18"/>
          <w:lang w:val="fr-FR"/>
        </w:rPr>
        <w:t xml:space="preserve">arbitrage et de médiation plus rapides et plus économiques. </w:t>
      </w:r>
      <w:r>
        <w:rPr>
          <w:szCs w:val="18"/>
          <w:lang w:val="fr-FR"/>
        </w:rPr>
        <w:t xml:space="preserve"> </w:t>
      </w:r>
      <w:r w:rsidRPr="00781FE6">
        <w:rPr>
          <w:szCs w:val="18"/>
          <w:lang w:val="fr-FR"/>
        </w:rPr>
        <w:t>Voir</w:t>
      </w:r>
      <w:r w:rsidR="00144D27">
        <w:rPr>
          <w:szCs w:val="18"/>
          <w:lang w:val="fr-FR"/>
        </w:rPr>
        <w:t xml:space="preserve"> </w:t>
      </w:r>
      <w:r w:rsidRPr="00781FE6">
        <w:rPr>
          <w:szCs w:val="18"/>
          <w:lang w:val="fr-FR"/>
        </w:rPr>
        <w:t>http://www.wipo.int/amc/fr/ecaf/index.html.</w:t>
      </w:r>
    </w:p>
  </w:footnote>
  <w:footnote w:id="5">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w:t>
      </w:r>
      <w:r w:rsidR="00E839AD">
        <w:rPr>
          <w:lang w:val="fr-FR"/>
        </w:rPr>
        <w:t>-</w:t>
      </w:r>
      <w:r w:rsidRPr="00781FE6">
        <w:rPr>
          <w:lang w:val="fr-FR"/>
        </w:rPr>
        <w:t>apps/clause</w:t>
      </w:r>
      <w:r w:rsidR="00E839AD">
        <w:rPr>
          <w:lang w:val="fr-FR"/>
        </w:rPr>
        <w:t>-</w:t>
      </w:r>
      <w:r w:rsidRPr="00781FE6">
        <w:rPr>
          <w:lang w:val="fr-FR"/>
        </w:rPr>
        <w:t xml:space="preserve">generator/. </w:t>
      </w:r>
    </w:p>
  </w:footnote>
  <w:footnote w:id="6">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http://www.wipo.int/amc/en/calculator/adr.jsp.</w:t>
      </w:r>
    </w:p>
  </w:footnote>
  <w:footnote w:id="7">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http://www.wipo.int/amc/en/new/2016_qmsurvey.html.</w:t>
      </w:r>
    </w:p>
  </w:footnote>
  <w:footnote w:id="8">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http://www.wipo.int/amc/en/center/specific</w:t>
      </w:r>
      <w:r w:rsidR="00E839AD">
        <w:rPr>
          <w:lang w:val="fr-FR"/>
        </w:rPr>
        <w:t>-</w:t>
      </w:r>
      <w:r w:rsidRPr="00781FE6">
        <w:rPr>
          <w:lang w:val="fr-FR"/>
        </w:rPr>
        <w:t xml:space="preserve">sectors/ipos/. </w:t>
      </w:r>
    </w:p>
  </w:footnote>
  <w:footnote w:id="9">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La version actuelle du guide peut être consultée à l</w:t>
      </w:r>
      <w:r w:rsidR="00E839AD">
        <w:rPr>
          <w:lang w:val="fr-FR"/>
        </w:rPr>
        <w:t>’</w:t>
      </w:r>
      <w:r>
        <w:rPr>
          <w:lang w:val="fr-FR"/>
        </w:rPr>
        <w:t>adresse</w:t>
      </w:r>
      <w:r w:rsidR="00054A64">
        <w:rPr>
          <w:lang w:val="fr-FR"/>
        </w:rPr>
        <w:t> </w:t>
      </w:r>
      <w:r w:rsidRPr="00781FE6">
        <w:rPr>
          <w:lang w:val="fr-FR"/>
        </w:rPr>
        <w:t xml:space="preserve">http://www.wipo.int/export/sites/www/amc/en/docs/adrguidejuly2015.pdf. </w:t>
      </w:r>
    </w:p>
  </w:footnote>
  <w:footnote w:id="10">
    <w:p w:rsidR="00065824" w:rsidRPr="00781FE6" w:rsidRDefault="00065824" w:rsidP="00B36AF7">
      <w:pPr>
        <w:pStyle w:val="FootnoteText"/>
        <w:rPr>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7A6384">
        <w:rPr>
          <w:lang w:val="fr-FR"/>
        </w:rPr>
        <w:t>On peut citer notamment les collaborations multipartites financées par le programme de financement de la</w:t>
      </w:r>
      <w:r>
        <w:rPr>
          <w:lang w:val="fr-FR"/>
        </w:rPr>
        <w:t xml:space="preserve"> </w:t>
      </w:r>
      <w:r w:rsidRPr="007A6384">
        <w:rPr>
          <w:lang w:val="fr-FR"/>
        </w:rPr>
        <w:t>recherche de l</w:t>
      </w:r>
      <w:r w:rsidR="00E839AD">
        <w:rPr>
          <w:lang w:val="fr-FR"/>
        </w:rPr>
        <w:t>’</w:t>
      </w:r>
      <w:r w:rsidRPr="007A6384">
        <w:rPr>
          <w:lang w:val="fr-FR"/>
        </w:rPr>
        <w:t>Union européenne Horizon</w:t>
      </w:r>
      <w:r w:rsidR="00054A64">
        <w:rPr>
          <w:lang w:val="fr-FR"/>
        </w:rPr>
        <w:t> </w:t>
      </w:r>
      <w:r w:rsidRPr="007A6384">
        <w:rPr>
          <w:lang w:val="fr-FR"/>
        </w:rPr>
        <w:t>2020, dans le cadre desquelles les parties utilisent l</w:t>
      </w:r>
      <w:r w:rsidR="00E839AD">
        <w:rPr>
          <w:lang w:val="fr-FR"/>
        </w:rPr>
        <w:t>’</w:t>
      </w:r>
      <w:r w:rsidRPr="007A6384">
        <w:rPr>
          <w:lang w:val="fr-FR"/>
        </w:rPr>
        <w:t>accord type de</w:t>
      </w:r>
      <w:r>
        <w:rPr>
          <w:lang w:val="fr-FR"/>
        </w:rPr>
        <w:t xml:space="preserve"> </w:t>
      </w:r>
      <w:r w:rsidRPr="007A6384">
        <w:rPr>
          <w:lang w:val="fr-FR"/>
        </w:rPr>
        <w:t>consortium “DESCA 2020”, qui préconise le recours aux procédures de médiation de l</w:t>
      </w:r>
      <w:r w:rsidR="00E839AD">
        <w:rPr>
          <w:lang w:val="fr-FR"/>
        </w:rPr>
        <w:t>’</w:t>
      </w:r>
      <w:r w:rsidRPr="007A6384">
        <w:rPr>
          <w:lang w:val="fr-FR"/>
        </w:rPr>
        <w:t>OMPI suivies, en l</w:t>
      </w:r>
      <w:r w:rsidR="00E839AD">
        <w:rPr>
          <w:lang w:val="fr-FR"/>
        </w:rPr>
        <w:t>’</w:t>
      </w:r>
      <w:r w:rsidRPr="007A6384">
        <w:rPr>
          <w:lang w:val="fr-FR"/>
        </w:rPr>
        <w:t>absence de</w:t>
      </w:r>
      <w:r>
        <w:rPr>
          <w:lang w:val="fr-FR"/>
        </w:rPr>
        <w:t xml:space="preserve"> </w:t>
      </w:r>
      <w:r w:rsidRPr="007A6384">
        <w:rPr>
          <w:lang w:val="fr-FR"/>
        </w:rPr>
        <w:t>règlement, de l</w:t>
      </w:r>
      <w:r w:rsidR="00E839AD">
        <w:rPr>
          <w:lang w:val="fr-FR"/>
        </w:rPr>
        <w:t>’</w:t>
      </w:r>
      <w:r w:rsidRPr="007A6384">
        <w:rPr>
          <w:lang w:val="fr-FR"/>
        </w:rPr>
        <w:t>arbitrage accéléré de l</w:t>
      </w:r>
      <w:r w:rsidR="00E839AD">
        <w:rPr>
          <w:lang w:val="fr-FR"/>
        </w:rPr>
        <w:t>’</w:t>
      </w:r>
      <w:r w:rsidRPr="007A6384">
        <w:rPr>
          <w:lang w:val="fr-FR"/>
        </w:rPr>
        <w:t xml:space="preserve">OMPI. </w:t>
      </w:r>
      <w:r w:rsidR="005C03F2">
        <w:rPr>
          <w:lang w:val="fr-FR"/>
        </w:rPr>
        <w:t xml:space="preserve"> </w:t>
      </w:r>
      <w:r w:rsidRPr="007A6384">
        <w:rPr>
          <w:lang w:val="fr-FR"/>
        </w:rPr>
        <w:t>Voir http://www.desca</w:t>
      </w:r>
      <w:r w:rsidR="00E839AD">
        <w:rPr>
          <w:lang w:val="fr-FR"/>
        </w:rPr>
        <w:t>-</w:t>
      </w:r>
      <w:r w:rsidRPr="007A6384">
        <w:rPr>
          <w:lang w:val="fr-FR"/>
        </w:rPr>
        <w:t>2020.eu/.</w:t>
      </w:r>
    </w:p>
  </w:footnote>
  <w:footnote w:id="11">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http://www.bmwi.de/English/Redaktion/Pdf/sample</w:t>
      </w:r>
      <w:r w:rsidR="00E839AD">
        <w:rPr>
          <w:lang w:val="fr-FR"/>
        </w:rPr>
        <w:t>-</w:t>
      </w:r>
      <w:r w:rsidRPr="00781FE6">
        <w:rPr>
          <w:lang w:val="fr-FR"/>
        </w:rPr>
        <w:t>agreements</w:t>
      </w:r>
      <w:r w:rsidR="00E839AD">
        <w:rPr>
          <w:lang w:val="fr-FR"/>
        </w:rPr>
        <w:t>-</w:t>
      </w:r>
      <w:r w:rsidRPr="00781FE6">
        <w:rPr>
          <w:lang w:val="fr-FR"/>
        </w:rPr>
        <w:t>for</w:t>
      </w:r>
      <w:r w:rsidR="00E839AD">
        <w:rPr>
          <w:lang w:val="fr-FR"/>
        </w:rPr>
        <w:t>-</w:t>
      </w:r>
      <w:r w:rsidRPr="00781FE6">
        <w:rPr>
          <w:lang w:val="fr-FR"/>
        </w:rPr>
        <w:t>research</w:t>
      </w:r>
      <w:r w:rsidR="00E839AD">
        <w:rPr>
          <w:lang w:val="fr-FR"/>
        </w:rPr>
        <w:t>-</w:t>
      </w:r>
      <w:r w:rsidRPr="00781FE6">
        <w:rPr>
          <w:lang w:val="fr-FR"/>
        </w:rPr>
        <w:t>and</w:t>
      </w:r>
      <w:r w:rsidR="00E839AD">
        <w:rPr>
          <w:lang w:val="fr-FR"/>
        </w:rPr>
        <w:t>-</w:t>
      </w:r>
      <w:r w:rsidRPr="00781FE6">
        <w:rPr>
          <w:lang w:val="fr-FR"/>
        </w:rPr>
        <w:t>development</w:t>
      </w:r>
      <w:r w:rsidR="00E839AD">
        <w:rPr>
          <w:lang w:val="fr-FR"/>
        </w:rPr>
        <w:t>-</w:t>
      </w:r>
      <w:r w:rsidRPr="00781FE6">
        <w:rPr>
          <w:lang w:val="fr-FR"/>
        </w:rPr>
        <w:t>cooperation,property=pdf,bereich=bmwi,sprache=en,rwb=true.pdf.</w:t>
      </w:r>
    </w:p>
  </w:footnote>
  <w:footnote w:id="12">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http://www.wipo.int/amc/en/center/specific</w:t>
      </w:r>
      <w:r w:rsidR="00E839AD">
        <w:rPr>
          <w:lang w:val="fr-FR"/>
        </w:rPr>
        <w:t>-</w:t>
      </w:r>
      <w:r w:rsidRPr="00781FE6">
        <w:rPr>
          <w:lang w:val="fr-FR"/>
        </w:rPr>
        <w:t xml:space="preserve">sectors/rd/ipag/.  </w:t>
      </w:r>
    </w:p>
  </w:footnote>
  <w:footnote w:id="13">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Ces accords types peuvent être consultés à l</w:t>
      </w:r>
      <w:r w:rsidR="00E839AD">
        <w:rPr>
          <w:lang w:val="fr-FR"/>
        </w:rPr>
        <w:t>’</w:t>
      </w:r>
      <w:r>
        <w:rPr>
          <w:lang w:val="fr-FR"/>
        </w:rPr>
        <w:t>adresse</w:t>
      </w:r>
      <w:r w:rsidRPr="00781FE6">
        <w:rPr>
          <w:lang w:val="fr-FR"/>
        </w:rPr>
        <w:t xml:space="preserve"> http://www.oepm.es/es/propiedad_industrial/transferencia_de_tecnologia/Modelos_de_Contratos/index.html.</w:t>
      </w:r>
    </w:p>
  </w:footnote>
  <w:footnote w:id="14">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https://www.ifia.com/news/alternative</w:t>
      </w:r>
      <w:r w:rsidR="00E839AD">
        <w:rPr>
          <w:lang w:val="fr-FR"/>
        </w:rPr>
        <w:t>-</w:t>
      </w:r>
      <w:r w:rsidRPr="00781FE6">
        <w:rPr>
          <w:lang w:val="fr-FR"/>
        </w:rPr>
        <w:t>dispute</w:t>
      </w:r>
      <w:r w:rsidR="00E839AD">
        <w:rPr>
          <w:lang w:val="fr-FR"/>
        </w:rPr>
        <w:t>-</w:t>
      </w:r>
      <w:r w:rsidRPr="00781FE6">
        <w:rPr>
          <w:lang w:val="fr-FR"/>
        </w:rPr>
        <w:t>resolution/.</w:t>
      </w:r>
    </w:p>
  </w:footnote>
  <w:footnote w:id="15">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545F8B">
        <w:rPr>
          <w:szCs w:val="18"/>
          <w:lang w:val="fr-FR"/>
        </w:rPr>
        <w:t>La gestion des noms et adresses de l</w:t>
      </w:r>
      <w:r w:rsidR="00E839AD">
        <w:rPr>
          <w:szCs w:val="18"/>
          <w:lang w:val="fr-FR"/>
        </w:rPr>
        <w:t>’</w:t>
      </w:r>
      <w:r w:rsidRPr="00545F8B">
        <w:rPr>
          <w:szCs w:val="18"/>
          <w:lang w:val="fr-FR"/>
        </w:rPr>
        <w:t>Internet – questions de propriété intellectuelle – rapport final concernant</w:t>
      </w:r>
      <w:r>
        <w:rPr>
          <w:szCs w:val="18"/>
          <w:lang w:val="fr-FR"/>
        </w:rPr>
        <w:t xml:space="preserve"> </w:t>
      </w:r>
      <w:r w:rsidRPr="00545F8B">
        <w:rPr>
          <w:szCs w:val="18"/>
          <w:lang w:val="fr-FR"/>
        </w:rPr>
        <w:t>le premier processus de consultations de l</w:t>
      </w:r>
      <w:r w:rsidR="00E839AD">
        <w:rPr>
          <w:szCs w:val="18"/>
          <w:lang w:val="fr-FR"/>
        </w:rPr>
        <w:t>’</w:t>
      </w:r>
      <w:r w:rsidRPr="00545F8B">
        <w:rPr>
          <w:szCs w:val="18"/>
          <w:lang w:val="fr-FR"/>
        </w:rPr>
        <w:t>OMPI sur les noms de domaine, publication de l</w:t>
      </w:r>
      <w:r w:rsidR="00E839AD">
        <w:rPr>
          <w:szCs w:val="18"/>
          <w:lang w:val="fr-FR"/>
        </w:rPr>
        <w:t>’</w:t>
      </w:r>
      <w:r w:rsidRPr="00545F8B">
        <w:rPr>
          <w:szCs w:val="18"/>
          <w:lang w:val="fr-FR"/>
        </w:rPr>
        <w:t>OMPI n°</w:t>
      </w:r>
      <w:r w:rsidR="005C03F2">
        <w:rPr>
          <w:szCs w:val="18"/>
          <w:lang w:val="fr-FR"/>
        </w:rPr>
        <w:t> </w:t>
      </w:r>
      <w:r w:rsidRPr="00545F8B">
        <w:rPr>
          <w:szCs w:val="18"/>
          <w:lang w:val="fr-FR"/>
        </w:rPr>
        <w:t>439, également</w:t>
      </w:r>
      <w:r>
        <w:rPr>
          <w:szCs w:val="18"/>
          <w:lang w:val="fr-FR"/>
        </w:rPr>
        <w:t xml:space="preserve"> </w:t>
      </w:r>
      <w:r w:rsidRPr="00545F8B">
        <w:rPr>
          <w:szCs w:val="18"/>
          <w:lang w:val="fr-FR"/>
        </w:rPr>
        <w:t>disponible à l</w:t>
      </w:r>
      <w:r w:rsidR="00E839AD">
        <w:rPr>
          <w:szCs w:val="18"/>
          <w:lang w:val="fr-FR"/>
        </w:rPr>
        <w:t>’</w:t>
      </w:r>
      <w:r w:rsidRPr="00545F8B">
        <w:rPr>
          <w:szCs w:val="18"/>
          <w:lang w:val="fr-FR"/>
        </w:rPr>
        <w:t>adresse</w:t>
      </w:r>
      <w:r w:rsidR="00054A64">
        <w:rPr>
          <w:szCs w:val="18"/>
          <w:lang w:val="fr-FR"/>
        </w:rPr>
        <w:t> </w:t>
      </w:r>
      <w:r w:rsidRPr="00545F8B">
        <w:rPr>
          <w:szCs w:val="18"/>
          <w:lang w:val="fr-FR"/>
        </w:rPr>
        <w:t>http://www.wipo.int/amc/fr/processes/process1/report</w:t>
      </w:r>
      <w:r w:rsidRPr="00781FE6">
        <w:rPr>
          <w:szCs w:val="18"/>
          <w:lang w:val="fr-FR"/>
        </w:rPr>
        <w:t>.</w:t>
      </w:r>
    </w:p>
  </w:footnote>
  <w:footnote w:id="16">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545F8B">
        <w:rPr>
          <w:szCs w:val="18"/>
          <w:lang w:val="fr-FR"/>
        </w:rPr>
        <w:t>La reconnaissance des droits et l</w:t>
      </w:r>
      <w:r w:rsidR="00E839AD">
        <w:rPr>
          <w:szCs w:val="18"/>
          <w:lang w:val="fr-FR"/>
        </w:rPr>
        <w:t>’</w:t>
      </w:r>
      <w:r w:rsidRPr="00545F8B">
        <w:rPr>
          <w:szCs w:val="18"/>
          <w:lang w:val="fr-FR"/>
        </w:rPr>
        <w:t>utilisation des noms dans le système des noms de domaine de l</w:t>
      </w:r>
      <w:r w:rsidR="00E839AD">
        <w:rPr>
          <w:szCs w:val="18"/>
          <w:lang w:val="fr-FR"/>
        </w:rPr>
        <w:t>’</w:t>
      </w:r>
      <w:r w:rsidRPr="00545F8B">
        <w:rPr>
          <w:szCs w:val="18"/>
          <w:lang w:val="fr-FR"/>
        </w:rPr>
        <w:t>Internet –</w:t>
      </w:r>
      <w:r>
        <w:rPr>
          <w:szCs w:val="18"/>
          <w:lang w:val="fr-FR"/>
        </w:rPr>
        <w:t xml:space="preserve"> </w:t>
      </w:r>
      <w:r w:rsidRPr="00545F8B">
        <w:rPr>
          <w:szCs w:val="18"/>
          <w:lang w:val="fr-FR"/>
        </w:rPr>
        <w:t>rapport concernant le deuxième processus de consultations de l</w:t>
      </w:r>
      <w:r w:rsidR="00E839AD">
        <w:rPr>
          <w:szCs w:val="18"/>
          <w:lang w:val="fr-FR"/>
        </w:rPr>
        <w:t>’</w:t>
      </w:r>
      <w:r w:rsidRPr="00545F8B">
        <w:rPr>
          <w:szCs w:val="18"/>
          <w:lang w:val="fr-FR"/>
        </w:rPr>
        <w:t>OMPI sur les noms de domaine de l</w:t>
      </w:r>
      <w:r w:rsidR="00E839AD">
        <w:rPr>
          <w:szCs w:val="18"/>
          <w:lang w:val="fr-FR"/>
        </w:rPr>
        <w:t>’</w:t>
      </w:r>
      <w:r w:rsidRPr="00545F8B">
        <w:rPr>
          <w:szCs w:val="18"/>
          <w:lang w:val="fr-FR"/>
        </w:rPr>
        <w:t>Internet,</w:t>
      </w:r>
      <w:r>
        <w:rPr>
          <w:szCs w:val="18"/>
          <w:lang w:val="fr-FR"/>
        </w:rPr>
        <w:t xml:space="preserve"> </w:t>
      </w:r>
      <w:r w:rsidRPr="00545F8B">
        <w:rPr>
          <w:szCs w:val="18"/>
          <w:lang w:val="fr-FR"/>
        </w:rPr>
        <w:t>publication de l</w:t>
      </w:r>
      <w:r w:rsidR="00E839AD">
        <w:rPr>
          <w:szCs w:val="18"/>
          <w:lang w:val="fr-FR"/>
        </w:rPr>
        <w:t>’</w:t>
      </w:r>
      <w:r w:rsidRPr="00545F8B">
        <w:rPr>
          <w:szCs w:val="18"/>
          <w:lang w:val="fr-FR"/>
        </w:rPr>
        <w:t>OMPI n°</w:t>
      </w:r>
      <w:r w:rsidR="005C03F2">
        <w:rPr>
          <w:szCs w:val="18"/>
          <w:lang w:val="fr-FR"/>
        </w:rPr>
        <w:t> </w:t>
      </w:r>
      <w:r w:rsidRPr="00545F8B">
        <w:rPr>
          <w:szCs w:val="18"/>
          <w:lang w:val="fr-FR"/>
        </w:rPr>
        <w:t>843, également disponible à l</w:t>
      </w:r>
      <w:r w:rsidR="00E839AD">
        <w:rPr>
          <w:szCs w:val="18"/>
          <w:lang w:val="fr-FR"/>
        </w:rPr>
        <w:t>’</w:t>
      </w:r>
      <w:r w:rsidRPr="00545F8B">
        <w:rPr>
          <w:szCs w:val="18"/>
          <w:lang w:val="fr-FR"/>
        </w:rPr>
        <w:t>adresse</w:t>
      </w:r>
      <w:r w:rsidR="00054A64">
        <w:rPr>
          <w:szCs w:val="18"/>
          <w:lang w:val="fr-FR"/>
        </w:rPr>
        <w:t> </w:t>
      </w:r>
      <w:r w:rsidRPr="00545F8B">
        <w:rPr>
          <w:szCs w:val="18"/>
          <w:lang w:val="fr-FR"/>
        </w:rPr>
        <w:t>http://www.wipo.int/amc/fr/processes/process2/report</w:t>
      </w:r>
      <w:r w:rsidRPr="00781FE6">
        <w:rPr>
          <w:szCs w:val="18"/>
          <w:lang w:val="fr-FR"/>
        </w:rPr>
        <w:t>.</w:t>
      </w:r>
    </w:p>
  </w:footnote>
  <w:footnote w:id="17">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ab/>
      </w:r>
      <w:r w:rsidRPr="007A59B5">
        <w:rPr>
          <w:szCs w:val="24"/>
          <w:lang w:val="fr-FR"/>
        </w:rPr>
        <w:t>Les principes UDRP ne préjugent pas du droit des parties de saisir un tribunal compétent, mais rares sont les</w:t>
      </w:r>
      <w:r>
        <w:rPr>
          <w:szCs w:val="24"/>
          <w:lang w:val="fr-FR"/>
        </w:rPr>
        <w:t xml:space="preserve"> </w:t>
      </w:r>
      <w:r w:rsidRPr="007A59B5">
        <w:rPr>
          <w:szCs w:val="24"/>
          <w:lang w:val="fr-FR"/>
        </w:rPr>
        <w:t>litiges ayant fait l</w:t>
      </w:r>
      <w:r w:rsidR="00E839AD">
        <w:rPr>
          <w:szCs w:val="24"/>
          <w:lang w:val="fr-FR"/>
        </w:rPr>
        <w:t>’</w:t>
      </w:r>
      <w:r w:rsidRPr="007A59B5">
        <w:rPr>
          <w:szCs w:val="24"/>
          <w:lang w:val="fr-FR"/>
        </w:rPr>
        <w:t>objet d</w:t>
      </w:r>
      <w:r w:rsidR="00E839AD">
        <w:rPr>
          <w:szCs w:val="24"/>
          <w:lang w:val="fr-FR"/>
        </w:rPr>
        <w:t>’</w:t>
      </w:r>
      <w:r w:rsidRPr="007A59B5">
        <w:rPr>
          <w:szCs w:val="24"/>
          <w:lang w:val="fr-FR"/>
        </w:rPr>
        <w:t>un règlement au titre de ces principes qui ont également été portés devant un tribunal</w:t>
      </w:r>
      <w:r>
        <w:rPr>
          <w:szCs w:val="24"/>
          <w:lang w:val="fr-FR"/>
        </w:rPr>
        <w:t xml:space="preserve"> </w:t>
      </w:r>
      <w:r w:rsidRPr="007A59B5">
        <w:rPr>
          <w:szCs w:val="24"/>
          <w:lang w:val="fr-FR"/>
        </w:rPr>
        <w:t xml:space="preserve">national. </w:t>
      </w:r>
      <w:r>
        <w:rPr>
          <w:szCs w:val="24"/>
          <w:lang w:val="fr-FR"/>
        </w:rPr>
        <w:t xml:space="preserve"> </w:t>
      </w:r>
      <w:r w:rsidRPr="007A59B5">
        <w:rPr>
          <w:szCs w:val="24"/>
          <w:lang w:val="fr-FR"/>
        </w:rPr>
        <w:t>Voir le Recueil de jurisprudence en rapport avec les principes UDRP à l</w:t>
      </w:r>
      <w:r w:rsidR="00E839AD">
        <w:rPr>
          <w:szCs w:val="24"/>
          <w:lang w:val="fr-FR"/>
        </w:rPr>
        <w:t>’</w:t>
      </w:r>
      <w:r w:rsidRPr="007A59B5">
        <w:rPr>
          <w:szCs w:val="24"/>
          <w:lang w:val="fr-FR"/>
        </w:rPr>
        <w:t>adresse suivante</w:t>
      </w:r>
      <w:r w:rsidR="00E839AD">
        <w:rPr>
          <w:szCs w:val="24"/>
          <w:lang w:val="fr-FR"/>
        </w:rPr>
        <w:t> :</w:t>
      </w:r>
      <w:r>
        <w:rPr>
          <w:szCs w:val="24"/>
          <w:lang w:val="fr-FR"/>
        </w:rPr>
        <w:t xml:space="preserve"> </w:t>
      </w:r>
      <w:r w:rsidRPr="007A59B5">
        <w:rPr>
          <w:szCs w:val="24"/>
          <w:lang w:val="fr-FR"/>
        </w:rPr>
        <w:t>http://www.wipo.int/amc/fr/domains/challenged.</w:t>
      </w:r>
    </w:p>
  </w:footnote>
  <w:footnote w:id="18">
    <w:p w:rsidR="00065824" w:rsidRPr="00606034" w:rsidRDefault="00065824" w:rsidP="00B36AF7">
      <w:pPr>
        <w:pStyle w:val="FootnoteText"/>
        <w:rPr>
          <w:szCs w:val="24"/>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606034">
        <w:rPr>
          <w:szCs w:val="24"/>
          <w:lang w:val="fr-FR"/>
        </w:rPr>
        <w:t>Le Centre publie en ligne des statistiques actualisées pour aider les parties à un litige, les experts, les</w:t>
      </w:r>
    </w:p>
    <w:p w:rsidR="00065824" w:rsidRPr="00781FE6" w:rsidRDefault="00065824" w:rsidP="00B36AF7">
      <w:pPr>
        <w:pStyle w:val="FootnoteText"/>
        <w:rPr>
          <w:color w:val="000000"/>
          <w:szCs w:val="18"/>
          <w:lang w:val="fr-FR"/>
        </w:rPr>
      </w:pPr>
      <w:proofErr w:type="gramStart"/>
      <w:r w:rsidRPr="00606034">
        <w:rPr>
          <w:szCs w:val="24"/>
          <w:lang w:val="fr-FR"/>
        </w:rPr>
        <w:t>conseils</w:t>
      </w:r>
      <w:proofErr w:type="gramEnd"/>
      <w:r w:rsidRPr="00606034">
        <w:rPr>
          <w:szCs w:val="24"/>
          <w:lang w:val="fr-FR"/>
        </w:rPr>
        <w:t xml:space="preserve"> en marques, les détenteurs de noms de domaine enregistrés, les responsables des politiques applicables</w:t>
      </w:r>
      <w:r>
        <w:rPr>
          <w:szCs w:val="24"/>
          <w:lang w:val="fr-FR"/>
        </w:rPr>
        <w:t xml:space="preserve"> </w:t>
      </w:r>
      <w:r w:rsidRPr="00606034">
        <w:rPr>
          <w:szCs w:val="24"/>
          <w:lang w:val="fr-FR"/>
        </w:rPr>
        <w:t xml:space="preserve">aux noms de domaine, les journalistes et les chercheurs. </w:t>
      </w:r>
      <w:r w:rsidR="005C03F2">
        <w:rPr>
          <w:szCs w:val="24"/>
          <w:lang w:val="fr-FR"/>
        </w:rPr>
        <w:t xml:space="preserve"> </w:t>
      </w:r>
      <w:r w:rsidRPr="00606034">
        <w:rPr>
          <w:szCs w:val="24"/>
          <w:lang w:val="fr-FR"/>
        </w:rPr>
        <w:t>Les statistiques disponibles englobent de nombreuses</w:t>
      </w:r>
      <w:r>
        <w:rPr>
          <w:szCs w:val="24"/>
          <w:lang w:val="fr-FR"/>
        </w:rPr>
        <w:t xml:space="preserve"> </w:t>
      </w:r>
      <w:r w:rsidRPr="00606034">
        <w:rPr>
          <w:szCs w:val="24"/>
          <w:lang w:val="fr-FR"/>
        </w:rPr>
        <w:t>catégories, dont le domaine d</w:t>
      </w:r>
      <w:r w:rsidR="00E839AD">
        <w:rPr>
          <w:szCs w:val="24"/>
          <w:lang w:val="fr-FR"/>
        </w:rPr>
        <w:t>’</w:t>
      </w:r>
      <w:r w:rsidRPr="00606034">
        <w:rPr>
          <w:szCs w:val="24"/>
          <w:lang w:val="fr-FR"/>
        </w:rPr>
        <w:t>activité du requérant, les caractères de rédaction du nom de domaine et les</w:t>
      </w:r>
      <w:r>
        <w:rPr>
          <w:szCs w:val="24"/>
          <w:lang w:val="fr-FR"/>
        </w:rPr>
        <w:t xml:space="preserve"> </w:t>
      </w:r>
      <w:r w:rsidRPr="00606034">
        <w:rPr>
          <w:szCs w:val="24"/>
          <w:lang w:val="fr-FR"/>
        </w:rPr>
        <w:t>25</w:t>
      </w:r>
      <w:r w:rsidR="00054A64">
        <w:rPr>
          <w:szCs w:val="24"/>
          <w:lang w:val="fr-FR"/>
        </w:rPr>
        <w:t> </w:t>
      </w:r>
      <w:r w:rsidRPr="00606034">
        <w:rPr>
          <w:szCs w:val="24"/>
          <w:lang w:val="fr-FR"/>
        </w:rPr>
        <w:t>décisions les plus souvent citées dans les plaintes.</w:t>
      </w:r>
      <w:r>
        <w:rPr>
          <w:szCs w:val="24"/>
          <w:lang w:val="fr-FR"/>
        </w:rPr>
        <w:t xml:space="preserve"> </w:t>
      </w:r>
      <w:r w:rsidRPr="00606034">
        <w:rPr>
          <w:szCs w:val="24"/>
          <w:lang w:val="fr-FR"/>
        </w:rPr>
        <w:t xml:space="preserve"> Voir http://www.wipo.int/amc/en/domains/statistics.</w:t>
      </w:r>
    </w:p>
  </w:footnote>
  <w:footnote w:id="19">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606034">
        <w:rPr>
          <w:szCs w:val="18"/>
          <w:lang w:val="fr-FR"/>
        </w:rPr>
        <w:t>Par ordre alphabétique</w:t>
      </w:r>
      <w:r w:rsidR="00E839AD">
        <w:rPr>
          <w:szCs w:val="18"/>
          <w:lang w:val="fr-FR"/>
        </w:rPr>
        <w:t> :</w:t>
      </w:r>
      <w:r w:rsidRPr="00606034">
        <w:rPr>
          <w:szCs w:val="18"/>
          <w:lang w:val="fr-FR"/>
        </w:rPr>
        <w:t xml:space="preserve"> allemand, anglais, chinois, coréen, danois, espagnol, français, hébreu, italien,</w:t>
      </w:r>
      <w:r>
        <w:rPr>
          <w:szCs w:val="18"/>
          <w:lang w:val="fr-FR"/>
        </w:rPr>
        <w:t xml:space="preserve"> </w:t>
      </w:r>
      <w:r w:rsidRPr="00606034">
        <w:rPr>
          <w:szCs w:val="18"/>
          <w:lang w:val="fr-FR"/>
        </w:rPr>
        <w:t>japonais, néerlandais, norvégien, polonais, portugais, roumain, russe, slovaque, suédois, tchèque, turc et vietnamien.</w:t>
      </w:r>
    </w:p>
  </w:footnote>
  <w:footnote w:id="20">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http://www.wipo.int/amc/en/domains/search/overview3.0/. </w:t>
      </w:r>
      <w:r w:rsidR="005C03F2">
        <w:rPr>
          <w:lang w:val="fr-FR"/>
        </w:rPr>
        <w:t xml:space="preserve"> </w:t>
      </w:r>
    </w:p>
  </w:footnote>
  <w:footnote w:id="21">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ab/>
      </w:r>
      <w:r>
        <w:rPr>
          <w:szCs w:val="18"/>
          <w:lang w:val="fr-FR"/>
        </w:rPr>
        <w:t>Voir</w:t>
      </w:r>
      <w:r w:rsidRPr="00781FE6">
        <w:rPr>
          <w:szCs w:val="18"/>
          <w:lang w:val="fr-FR"/>
        </w:rPr>
        <w:t xml:space="preserve"> http://www.wipo.int/</w:t>
      </w:r>
      <w:r w:rsidR="006148C5">
        <w:rPr>
          <w:szCs w:val="18"/>
          <w:lang w:val="fr-FR"/>
        </w:rPr>
        <w:t>amc/fr</w:t>
      </w:r>
      <w:r w:rsidRPr="00781FE6">
        <w:rPr>
          <w:szCs w:val="18"/>
          <w:lang w:val="fr-FR"/>
        </w:rPr>
        <w:t>/domains/search/legalindex</w:t>
      </w:r>
      <w:r w:rsidR="006148C5">
        <w:rPr>
          <w:szCs w:val="18"/>
          <w:lang w:val="fr-FR"/>
        </w:rPr>
        <w:t>/index.html</w:t>
      </w:r>
      <w:r w:rsidRPr="00781FE6">
        <w:rPr>
          <w:szCs w:val="18"/>
          <w:lang w:val="fr-FR"/>
        </w:rPr>
        <w:t>.</w:t>
      </w:r>
    </w:p>
  </w:footnote>
  <w:footnote w:id="22">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CB75A3">
        <w:rPr>
          <w:lang w:val="fr-FR"/>
        </w:rPr>
        <w:t xml:space="preserve">Voir par exemple les </w:t>
      </w:r>
      <w:r w:rsidR="00E839AD" w:rsidRPr="00CB75A3">
        <w:rPr>
          <w:lang w:val="fr-FR"/>
        </w:rPr>
        <w:t>paragraphes</w:t>
      </w:r>
      <w:r w:rsidR="00E839AD">
        <w:rPr>
          <w:lang w:val="fr-FR"/>
        </w:rPr>
        <w:t> </w:t>
      </w:r>
      <w:r w:rsidR="00E839AD" w:rsidRPr="00CB75A3">
        <w:rPr>
          <w:lang w:val="fr-FR"/>
        </w:rPr>
        <w:t>1</w:t>
      </w:r>
      <w:r w:rsidRPr="00CB75A3">
        <w:rPr>
          <w:lang w:val="fr-FR"/>
        </w:rPr>
        <w:t>4 à 16 du document</w:t>
      </w:r>
      <w:r w:rsidR="00054A64">
        <w:rPr>
          <w:lang w:val="fr-FR"/>
        </w:rPr>
        <w:t> </w:t>
      </w:r>
      <w:r w:rsidRPr="00CB75A3">
        <w:rPr>
          <w:lang w:val="fr-FR"/>
        </w:rPr>
        <w:t>WO/GA/41/17</w:t>
      </w:r>
      <w:r w:rsidR="005C03F2">
        <w:rPr>
          <w:lang w:val="fr-FR"/>
        </w:rPr>
        <w:t> </w:t>
      </w:r>
      <w:r w:rsidRPr="00CB75A3">
        <w:rPr>
          <w:lang w:val="fr-FR"/>
        </w:rPr>
        <w:t>Rev.2.</w:t>
      </w:r>
      <w:r w:rsidRPr="00781FE6">
        <w:rPr>
          <w:lang w:val="fr-FR"/>
        </w:rPr>
        <w:t xml:space="preserve">  </w:t>
      </w:r>
      <w:r w:rsidR="00E839AD" w:rsidRPr="00CB75A3">
        <w:rPr>
          <w:lang w:val="fr-FR"/>
        </w:rPr>
        <w:t>En</w:t>
      </w:r>
      <w:r w:rsidR="00E839AD">
        <w:rPr>
          <w:lang w:val="fr-FR"/>
        </w:rPr>
        <w:t> </w:t>
      </w:r>
      <w:r w:rsidR="00E839AD" w:rsidRPr="00CB75A3">
        <w:rPr>
          <w:lang w:val="fr-FR"/>
        </w:rPr>
        <w:t>2015</w:t>
      </w:r>
      <w:r w:rsidRPr="00CB75A3">
        <w:rPr>
          <w:lang w:val="fr-FR"/>
        </w:rPr>
        <w:t>, Le Centre a mis en œuvre une</w:t>
      </w:r>
      <w:r>
        <w:rPr>
          <w:lang w:val="fr-FR"/>
        </w:rPr>
        <w:t xml:space="preserve"> </w:t>
      </w:r>
      <w:r w:rsidRPr="00CB75A3">
        <w:rPr>
          <w:lang w:val="fr-FR"/>
        </w:rPr>
        <w:t>nouvelle pratique consistant à “verrouiller” les noms de domaine pour prévenir leur transfert frauduleux pour se</w:t>
      </w:r>
      <w:r>
        <w:rPr>
          <w:lang w:val="fr-FR"/>
        </w:rPr>
        <w:t xml:space="preserve"> </w:t>
      </w:r>
      <w:r w:rsidRPr="00CB75A3">
        <w:rPr>
          <w:lang w:val="fr-FR"/>
        </w:rPr>
        <w:t>soustraire à une procédure UDRP.</w:t>
      </w:r>
    </w:p>
  </w:footnote>
  <w:footnote w:id="23">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354F54">
        <w:rPr>
          <w:lang w:val="fr-FR"/>
        </w:rPr>
        <w:t>Voir la note</w:t>
      </w:r>
      <w:r w:rsidR="00054A64">
        <w:rPr>
          <w:lang w:val="fr-FR"/>
        </w:rPr>
        <w:t> </w:t>
      </w:r>
      <w:r w:rsidRPr="00354F54">
        <w:rPr>
          <w:lang w:val="fr-FR"/>
        </w:rPr>
        <w:t>2 ci</w:t>
      </w:r>
      <w:r w:rsidR="00E839AD">
        <w:rPr>
          <w:lang w:val="fr-FR"/>
        </w:rPr>
        <w:t>-</w:t>
      </w:r>
      <w:r w:rsidRPr="00354F54">
        <w:rPr>
          <w:lang w:val="fr-FR"/>
        </w:rPr>
        <w:t>dessus.</w:t>
      </w:r>
    </w:p>
  </w:footnote>
  <w:footnote w:id="24">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http://www.wipo.int/amc/en/new/eu.html.</w:t>
      </w:r>
    </w:p>
  </w:footnote>
  <w:footnote w:id="25">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ab/>
      </w:r>
      <w:r w:rsidRPr="00907C05">
        <w:rPr>
          <w:szCs w:val="18"/>
          <w:lang w:val="fr-FR"/>
        </w:rPr>
        <w:t>La liste complète des ccTLD qui ont désigné le Centre comme prestataire de services de règlement des litiges</w:t>
      </w:r>
      <w:r>
        <w:rPr>
          <w:szCs w:val="18"/>
          <w:lang w:val="fr-FR"/>
        </w:rPr>
        <w:t xml:space="preserve"> </w:t>
      </w:r>
      <w:r w:rsidRPr="00907C05">
        <w:rPr>
          <w:szCs w:val="18"/>
          <w:lang w:val="fr-FR"/>
        </w:rPr>
        <w:t>relatifs aux noms de domaine est disponible à l</w:t>
      </w:r>
      <w:r w:rsidR="00E839AD">
        <w:rPr>
          <w:szCs w:val="18"/>
          <w:lang w:val="fr-FR"/>
        </w:rPr>
        <w:t>’</w:t>
      </w:r>
      <w:r w:rsidRPr="00907C05">
        <w:rPr>
          <w:szCs w:val="18"/>
          <w:lang w:val="fr-FR"/>
        </w:rPr>
        <w:t>adresse suivante</w:t>
      </w:r>
      <w:r w:rsidR="00E839AD">
        <w:rPr>
          <w:szCs w:val="18"/>
          <w:lang w:val="fr-FR"/>
        </w:rPr>
        <w:t> :</w:t>
      </w:r>
      <w:r w:rsidRPr="00907C05">
        <w:rPr>
          <w:szCs w:val="18"/>
          <w:lang w:val="fr-FR"/>
        </w:rPr>
        <w:t xml:space="preserve"> http://www.wipo.int/amc/fr/domains/cctld.</w:t>
      </w:r>
    </w:p>
  </w:footnote>
  <w:footnote w:id="26">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907C05">
        <w:rPr>
          <w:szCs w:val="18"/>
          <w:lang w:val="fr-FR"/>
        </w:rPr>
        <w:t>Voir http://www.icann.org/fr/minutes/resolutions</w:t>
      </w:r>
      <w:r w:rsidR="00E839AD">
        <w:rPr>
          <w:szCs w:val="18"/>
          <w:lang w:val="fr-FR"/>
        </w:rPr>
        <w:t>-</w:t>
      </w:r>
      <w:r w:rsidRPr="00907C05">
        <w:rPr>
          <w:szCs w:val="18"/>
          <w:lang w:val="fr-FR"/>
        </w:rPr>
        <w:t>20jun11</w:t>
      </w:r>
      <w:r w:rsidR="00E839AD">
        <w:rPr>
          <w:szCs w:val="18"/>
          <w:lang w:val="fr-FR"/>
        </w:rPr>
        <w:t>-</w:t>
      </w:r>
      <w:r w:rsidRPr="00907C05">
        <w:rPr>
          <w:szCs w:val="18"/>
          <w:lang w:val="fr-FR"/>
        </w:rPr>
        <w:t xml:space="preserve">fr.htm. </w:t>
      </w:r>
      <w:r>
        <w:rPr>
          <w:szCs w:val="18"/>
          <w:lang w:val="fr-FR"/>
        </w:rPr>
        <w:t xml:space="preserve"> </w:t>
      </w:r>
      <w:r w:rsidRPr="00907C05">
        <w:rPr>
          <w:szCs w:val="18"/>
          <w:lang w:val="fr-FR"/>
        </w:rPr>
        <w:t>Pour davantage d</w:t>
      </w:r>
      <w:r w:rsidR="00E839AD">
        <w:rPr>
          <w:szCs w:val="18"/>
          <w:lang w:val="fr-FR"/>
        </w:rPr>
        <w:t>’</w:t>
      </w:r>
      <w:r w:rsidRPr="00907C05">
        <w:rPr>
          <w:szCs w:val="18"/>
          <w:lang w:val="fr-FR"/>
        </w:rPr>
        <w:t xml:space="preserve">informations, </w:t>
      </w:r>
      <w:r w:rsidR="00E839AD">
        <w:rPr>
          <w:szCs w:val="18"/>
          <w:lang w:val="fr-FR"/>
        </w:rPr>
        <w:t>y compris</w:t>
      </w:r>
      <w:r w:rsidRPr="00907C05">
        <w:rPr>
          <w:szCs w:val="18"/>
          <w:lang w:val="fr-FR"/>
        </w:rPr>
        <w:t xml:space="preserve"> des</w:t>
      </w:r>
      <w:r>
        <w:rPr>
          <w:szCs w:val="18"/>
          <w:lang w:val="fr-FR"/>
        </w:rPr>
        <w:t xml:space="preserve"> </w:t>
      </w:r>
      <w:r w:rsidRPr="00907C05">
        <w:rPr>
          <w:szCs w:val="18"/>
          <w:lang w:val="fr-FR"/>
        </w:rPr>
        <w:t>références, voir le document</w:t>
      </w:r>
      <w:r w:rsidR="00054A64">
        <w:rPr>
          <w:szCs w:val="18"/>
          <w:lang w:val="fr-FR"/>
        </w:rPr>
        <w:t> </w:t>
      </w:r>
      <w:r w:rsidRPr="00907C05">
        <w:rPr>
          <w:szCs w:val="18"/>
          <w:lang w:val="fr-FR"/>
        </w:rPr>
        <w:t xml:space="preserve">WO/GA/39/10, en particulier le </w:t>
      </w:r>
      <w:r w:rsidR="00E839AD" w:rsidRPr="00907C05">
        <w:rPr>
          <w:szCs w:val="18"/>
          <w:lang w:val="fr-FR"/>
        </w:rPr>
        <w:t>paragraphe</w:t>
      </w:r>
      <w:r w:rsidR="00E839AD">
        <w:rPr>
          <w:szCs w:val="18"/>
          <w:lang w:val="fr-FR"/>
        </w:rPr>
        <w:t> </w:t>
      </w:r>
      <w:r w:rsidR="00E839AD" w:rsidRPr="00907C05">
        <w:rPr>
          <w:szCs w:val="18"/>
          <w:lang w:val="fr-FR"/>
        </w:rPr>
        <w:t>1</w:t>
      </w:r>
      <w:r w:rsidRPr="00907C05">
        <w:rPr>
          <w:szCs w:val="18"/>
          <w:lang w:val="fr-FR"/>
        </w:rPr>
        <w:t>4</w:t>
      </w:r>
    </w:p>
  </w:footnote>
  <w:footnote w:id="27">
    <w:p w:rsidR="00065824" w:rsidRPr="00781FE6" w:rsidRDefault="00065824" w:rsidP="00B36AF7">
      <w:pPr>
        <w:pStyle w:val="FootnoteText"/>
        <w:rPr>
          <w:szCs w:val="18"/>
          <w:lang w:val="fr-FR"/>
        </w:rPr>
      </w:pPr>
      <w:r w:rsidRPr="00781FE6">
        <w:rPr>
          <w:rStyle w:val="FootnoteReference"/>
          <w:szCs w:val="18"/>
          <w:lang w:val="fr-FR"/>
        </w:rPr>
        <w:footnoteRef/>
      </w:r>
      <w:r w:rsidRPr="00781FE6">
        <w:rPr>
          <w:szCs w:val="18"/>
          <w:lang w:val="fr-FR"/>
        </w:rPr>
        <w:t xml:space="preserve"> </w:t>
      </w:r>
      <w:r w:rsidRPr="00781FE6">
        <w:rPr>
          <w:szCs w:val="18"/>
          <w:lang w:val="fr-FR"/>
        </w:rPr>
        <w:tab/>
      </w:r>
      <w:r w:rsidRPr="00056DED">
        <w:rPr>
          <w:szCs w:val="18"/>
          <w:lang w:val="fr-FR"/>
        </w:rPr>
        <w:t>La version actuelle du “Guide de candidature” de l</w:t>
      </w:r>
      <w:r w:rsidR="00E839AD">
        <w:rPr>
          <w:szCs w:val="18"/>
          <w:lang w:val="fr-FR"/>
        </w:rPr>
        <w:t>’</w:t>
      </w:r>
      <w:r w:rsidRPr="00056DED">
        <w:rPr>
          <w:szCs w:val="18"/>
          <w:lang w:val="fr-FR"/>
        </w:rPr>
        <w:t>ICANN est publiée à l</w:t>
      </w:r>
      <w:r w:rsidR="00E839AD">
        <w:rPr>
          <w:szCs w:val="18"/>
          <w:lang w:val="fr-FR"/>
        </w:rPr>
        <w:t>’</w:t>
      </w:r>
      <w:r w:rsidRPr="00056DED">
        <w:rPr>
          <w:szCs w:val="18"/>
          <w:lang w:val="fr-FR"/>
        </w:rPr>
        <w:t>adresse</w:t>
      </w:r>
      <w:r>
        <w:rPr>
          <w:szCs w:val="18"/>
          <w:lang w:val="fr-FR"/>
        </w:rPr>
        <w:t xml:space="preserve"> </w:t>
      </w:r>
      <w:r w:rsidRPr="00056DED">
        <w:rPr>
          <w:szCs w:val="18"/>
          <w:lang w:val="fr-FR"/>
        </w:rPr>
        <w:t>http://newgtlds.icann.org/en/applicants/agb.</w:t>
      </w:r>
    </w:p>
  </w:footnote>
  <w:footnote w:id="28">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056DED">
        <w:rPr>
          <w:lang w:val="fr-FR"/>
        </w:rPr>
        <w:t>La liste des nouveaux gTLD attribués figure à l</w:t>
      </w:r>
      <w:r w:rsidR="00E839AD">
        <w:rPr>
          <w:lang w:val="fr-FR"/>
        </w:rPr>
        <w:t>’</w:t>
      </w:r>
      <w:r w:rsidRPr="00056DED">
        <w:rPr>
          <w:lang w:val="fr-FR"/>
        </w:rPr>
        <w:t>adresse http://newgtlds.icann.org/en/programstatus/delegated</w:t>
      </w:r>
      <w:r w:rsidR="00E839AD">
        <w:rPr>
          <w:lang w:val="fr-FR"/>
        </w:rPr>
        <w:t>-</w:t>
      </w:r>
      <w:r w:rsidRPr="00056DED">
        <w:rPr>
          <w:lang w:val="fr-FR"/>
        </w:rPr>
        <w:t>strings</w:t>
      </w:r>
      <w:r>
        <w:rPr>
          <w:lang w:val="fr-FR"/>
        </w:rPr>
        <w:t>.</w:t>
      </w:r>
    </w:p>
  </w:footnote>
  <w:footnote w:id="29">
    <w:p w:rsidR="00065824" w:rsidRPr="00781FE6" w:rsidRDefault="00065824" w:rsidP="00B36AF7">
      <w:pPr>
        <w:pStyle w:val="FootnoteText"/>
        <w:rPr>
          <w:szCs w:val="18"/>
          <w:lang w:val="fr-FR"/>
        </w:rPr>
      </w:pPr>
      <w:r w:rsidRPr="00781FE6">
        <w:rPr>
          <w:rStyle w:val="FootnoteReference"/>
          <w:szCs w:val="18"/>
          <w:lang w:val="fr-FR"/>
        </w:rPr>
        <w:footnoteRef/>
      </w:r>
      <w:r w:rsidRPr="00781FE6">
        <w:rPr>
          <w:rStyle w:val="FootnoteReference"/>
          <w:lang w:val="fr-FR"/>
        </w:rPr>
        <w:t xml:space="preserve"> </w:t>
      </w:r>
      <w:r w:rsidRPr="00781FE6">
        <w:rPr>
          <w:szCs w:val="18"/>
          <w:lang w:val="fr-FR"/>
        </w:rPr>
        <w:tab/>
      </w:r>
      <w:r w:rsidRPr="00056DED">
        <w:rPr>
          <w:szCs w:val="18"/>
          <w:lang w:val="fr-FR"/>
        </w:rPr>
        <w:t>Pour de plus amples informations générales, dont des références, voir le document</w:t>
      </w:r>
      <w:r w:rsidR="00054A64">
        <w:rPr>
          <w:szCs w:val="18"/>
          <w:lang w:val="fr-FR"/>
        </w:rPr>
        <w:t> </w:t>
      </w:r>
      <w:r w:rsidRPr="00056DED">
        <w:rPr>
          <w:szCs w:val="18"/>
          <w:lang w:val="fr-FR"/>
        </w:rPr>
        <w:t>WO/GA/39/10,</w:t>
      </w:r>
      <w:r>
        <w:rPr>
          <w:szCs w:val="18"/>
          <w:lang w:val="fr-FR"/>
        </w:rPr>
        <w:t xml:space="preserve"> </w:t>
      </w:r>
      <w:r w:rsidRPr="00056DED">
        <w:rPr>
          <w:szCs w:val="18"/>
          <w:lang w:val="fr-FR"/>
        </w:rPr>
        <w:t xml:space="preserve">en particulier les </w:t>
      </w:r>
      <w:r w:rsidR="00E839AD" w:rsidRPr="00056DED">
        <w:rPr>
          <w:szCs w:val="18"/>
          <w:lang w:val="fr-FR"/>
        </w:rPr>
        <w:t>paragraphes</w:t>
      </w:r>
      <w:r w:rsidR="00E839AD">
        <w:rPr>
          <w:szCs w:val="18"/>
          <w:lang w:val="fr-FR"/>
        </w:rPr>
        <w:t> </w:t>
      </w:r>
      <w:r w:rsidR="00E839AD" w:rsidRPr="00056DED">
        <w:rPr>
          <w:szCs w:val="18"/>
          <w:lang w:val="fr-FR"/>
        </w:rPr>
        <w:t>2</w:t>
      </w:r>
      <w:r w:rsidRPr="00056DED">
        <w:rPr>
          <w:szCs w:val="18"/>
          <w:lang w:val="fr-FR"/>
        </w:rPr>
        <w:t xml:space="preserve">3 à 30. </w:t>
      </w:r>
      <w:r>
        <w:rPr>
          <w:szCs w:val="18"/>
          <w:lang w:val="fr-FR"/>
        </w:rPr>
        <w:t xml:space="preserve"> </w:t>
      </w:r>
      <w:r w:rsidRPr="00056DED">
        <w:rPr>
          <w:szCs w:val="18"/>
          <w:lang w:val="fr-FR"/>
        </w:rPr>
        <w:t>Il est noté ici que l</w:t>
      </w:r>
      <w:r w:rsidR="00E839AD">
        <w:rPr>
          <w:szCs w:val="18"/>
          <w:lang w:val="fr-FR"/>
        </w:rPr>
        <w:t>’</w:t>
      </w:r>
      <w:r w:rsidRPr="00056DED">
        <w:rPr>
          <w:szCs w:val="18"/>
          <w:lang w:val="fr-FR"/>
        </w:rPr>
        <w:t>ICANN a rejeté une proposition portant création d</w:t>
      </w:r>
      <w:r w:rsidR="00E839AD">
        <w:rPr>
          <w:szCs w:val="18"/>
          <w:lang w:val="fr-FR"/>
        </w:rPr>
        <w:t>’</w:t>
      </w:r>
      <w:r w:rsidRPr="00056DED">
        <w:rPr>
          <w:szCs w:val="18"/>
          <w:lang w:val="fr-FR"/>
        </w:rPr>
        <w:t>une</w:t>
      </w:r>
      <w:r>
        <w:rPr>
          <w:szCs w:val="18"/>
          <w:lang w:val="fr-FR"/>
        </w:rPr>
        <w:t xml:space="preserve"> </w:t>
      </w:r>
      <w:r w:rsidRPr="00056DED">
        <w:rPr>
          <w:szCs w:val="18"/>
          <w:lang w:val="fr-FR"/>
        </w:rPr>
        <w:t>“Liste de marques mondialement protégées”.</w:t>
      </w:r>
    </w:p>
  </w:footnote>
  <w:footnote w:id="30">
    <w:p w:rsidR="00065824" w:rsidRPr="00781FE6" w:rsidRDefault="00065824" w:rsidP="00B36AF7">
      <w:pPr>
        <w:pStyle w:val="FootnoteText"/>
        <w:rPr>
          <w:szCs w:val="18"/>
          <w:lang w:val="fr-FR"/>
        </w:rPr>
      </w:pPr>
      <w:r w:rsidRPr="00781FE6">
        <w:rPr>
          <w:rStyle w:val="FootnoteReference"/>
          <w:szCs w:val="18"/>
          <w:lang w:val="fr-FR"/>
        </w:rPr>
        <w:footnoteRef/>
      </w:r>
      <w:r w:rsidRPr="00781FE6">
        <w:rPr>
          <w:rStyle w:val="FootnoteReference"/>
          <w:lang w:val="fr-FR"/>
        </w:rPr>
        <w:t xml:space="preserve"> </w:t>
      </w:r>
      <w:r w:rsidRPr="00781FE6">
        <w:rPr>
          <w:szCs w:val="18"/>
          <w:lang w:val="fr-FR"/>
        </w:rPr>
        <w:tab/>
      </w:r>
      <w:r w:rsidRPr="00056DED">
        <w:rPr>
          <w:szCs w:val="22"/>
          <w:lang w:val="fr-FR"/>
        </w:rPr>
        <w:t>Les autres motifs d</w:t>
      </w:r>
      <w:r w:rsidR="00E839AD">
        <w:rPr>
          <w:szCs w:val="22"/>
          <w:lang w:val="fr-FR"/>
        </w:rPr>
        <w:t>’</w:t>
      </w:r>
      <w:r w:rsidRPr="00056DED">
        <w:rPr>
          <w:szCs w:val="22"/>
          <w:lang w:val="fr-FR"/>
        </w:rPr>
        <w:t>objection reconnus par l</w:t>
      </w:r>
      <w:r w:rsidR="00E839AD">
        <w:rPr>
          <w:szCs w:val="22"/>
          <w:lang w:val="fr-FR"/>
        </w:rPr>
        <w:t>’</w:t>
      </w:r>
      <w:r w:rsidRPr="00056DED">
        <w:rPr>
          <w:szCs w:val="22"/>
          <w:lang w:val="fr-FR"/>
        </w:rPr>
        <w:t>ICANN étaient</w:t>
      </w:r>
      <w:r w:rsidR="00E839AD">
        <w:rPr>
          <w:szCs w:val="22"/>
          <w:lang w:val="fr-FR"/>
        </w:rPr>
        <w:t> :</w:t>
      </w:r>
      <w:r w:rsidRPr="00056DED">
        <w:rPr>
          <w:szCs w:val="22"/>
          <w:lang w:val="fr-FR"/>
        </w:rPr>
        <w:t xml:space="preserve"> “objections relatives aux chaînes de caractères</w:t>
      </w:r>
      <w:r>
        <w:rPr>
          <w:szCs w:val="22"/>
          <w:lang w:val="fr-FR"/>
        </w:rPr>
        <w:t xml:space="preserve"> </w:t>
      </w:r>
      <w:r w:rsidRPr="00056DED">
        <w:rPr>
          <w:szCs w:val="22"/>
          <w:lang w:val="fr-FR"/>
        </w:rPr>
        <w:t>prêtant à confusion”, “objections à titre communautaire” et “objections limitées à titre d</w:t>
      </w:r>
      <w:r w:rsidR="00E839AD">
        <w:rPr>
          <w:szCs w:val="22"/>
          <w:lang w:val="fr-FR"/>
        </w:rPr>
        <w:t>’</w:t>
      </w:r>
      <w:r w:rsidRPr="00056DED">
        <w:rPr>
          <w:szCs w:val="22"/>
          <w:lang w:val="fr-FR"/>
        </w:rPr>
        <w:t xml:space="preserve">intérêt public”. </w:t>
      </w:r>
      <w:r>
        <w:rPr>
          <w:szCs w:val="22"/>
          <w:lang w:val="fr-FR"/>
        </w:rPr>
        <w:t xml:space="preserve"> </w:t>
      </w:r>
      <w:r w:rsidRPr="00056DED">
        <w:rPr>
          <w:szCs w:val="22"/>
          <w:lang w:val="fr-FR"/>
        </w:rPr>
        <w:t>Le Guide de</w:t>
      </w:r>
      <w:r>
        <w:rPr>
          <w:szCs w:val="22"/>
          <w:lang w:val="fr-FR"/>
        </w:rPr>
        <w:t xml:space="preserve"> </w:t>
      </w:r>
      <w:r w:rsidRPr="00056DED">
        <w:rPr>
          <w:szCs w:val="22"/>
          <w:lang w:val="fr-FR"/>
        </w:rPr>
        <w:t>candidature prévoit par ailleurs plusieurs autres procédures dont peuvent se prévaloir les gouvernements suite à</w:t>
      </w:r>
      <w:r>
        <w:rPr>
          <w:szCs w:val="22"/>
          <w:lang w:val="fr-FR"/>
        </w:rPr>
        <w:t xml:space="preserve"> </w:t>
      </w:r>
      <w:r w:rsidRPr="00056DED">
        <w:rPr>
          <w:szCs w:val="22"/>
          <w:lang w:val="fr-FR"/>
        </w:rPr>
        <w:t>l</w:t>
      </w:r>
      <w:r w:rsidR="00E839AD">
        <w:rPr>
          <w:szCs w:val="22"/>
          <w:lang w:val="fr-FR"/>
        </w:rPr>
        <w:t>’</w:t>
      </w:r>
      <w:r w:rsidRPr="00056DED">
        <w:rPr>
          <w:szCs w:val="22"/>
          <w:lang w:val="fr-FR"/>
        </w:rPr>
        <w:t>annonce par l</w:t>
      </w:r>
      <w:r w:rsidR="00E839AD">
        <w:rPr>
          <w:szCs w:val="22"/>
          <w:lang w:val="fr-FR"/>
        </w:rPr>
        <w:t>’</w:t>
      </w:r>
      <w:r w:rsidRPr="00056DED">
        <w:rPr>
          <w:szCs w:val="22"/>
          <w:lang w:val="fr-FR"/>
        </w:rPr>
        <w:t xml:space="preserve">ICANN de nouvelles demandes de gTLD. </w:t>
      </w:r>
      <w:r>
        <w:rPr>
          <w:szCs w:val="22"/>
          <w:lang w:val="fr-FR"/>
        </w:rPr>
        <w:t xml:space="preserve"> </w:t>
      </w:r>
      <w:r w:rsidRPr="00056DED">
        <w:rPr>
          <w:szCs w:val="22"/>
          <w:lang w:val="fr-FR"/>
        </w:rPr>
        <w:t xml:space="preserve">À cet égard, la </w:t>
      </w:r>
      <w:r w:rsidR="00E839AD" w:rsidRPr="00056DED">
        <w:rPr>
          <w:szCs w:val="22"/>
          <w:lang w:val="fr-FR"/>
        </w:rPr>
        <w:t>section</w:t>
      </w:r>
      <w:r w:rsidR="00E839AD">
        <w:rPr>
          <w:szCs w:val="22"/>
          <w:lang w:val="fr-FR"/>
        </w:rPr>
        <w:t> </w:t>
      </w:r>
      <w:r w:rsidR="00E839AD" w:rsidRPr="00056DED">
        <w:rPr>
          <w:szCs w:val="22"/>
          <w:lang w:val="fr-FR"/>
        </w:rPr>
        <w:t>1</w:t>
      </w:r>
      <w:r w:rsidRPr="00056DED">
        <w:rPr>
          <w:szCs w:val="22"/>
          <w:lang w:val="fr-FR"/>
        </w:rPr>
        <w:t>.1.2.4 prévoit l</w:t>
      </w:r>
      <w:r w:rsidR="00E839AD">
        <w:rPr>
          <w:szCs w:val="22"/>
          <w:lang w:val="fr-FR"/>
        </w:rPr>
        <w:t>’</w:t>
      </w:r>
      <w:r w:rsidRPr="00056DED">
        <w:rPr>
          <w:szCs w:val="22"/>
          <w:lang w:val="fr-FR"/>
        </w:rPr>
        <w:t>“Avertissement</w:t>
      </w:r>
      <w:r>
        <w:rPr>
          <w:szCs w:val="22"/>
          <w:lang w:val="fr-FR"/>
        </w:rPr>
        <w:t xml:space="preserve"> </w:t>
      </w:r>
      <w:r w:rsidRPr="00056DED">
        <w:rPr>
          <w:szCs w:val="22"/>
          <w:lang w:val="fr-FR"/>
        </w:rPr>
        <w:t>anticipé</w:t>
      </w:r>
      <w:r w:rsidR="00E839AD" w:rsidRPr="00E839AD">
        <w:rPr>
          <w:szCs w:val="22"/>
          <w:lang w:val="fr-FR"/>
        </w:rPr>
        <w:t xml:space="preserve"> du GAC</w:t>
      </w:r>
      <w:r w:rsidRPr="00056DED">
        <w:rPr>
          <w:szCs w:val="22"/>
          <w:lang w:val="fr-FR"/>
        </w:rPr>
        <w:t xml:space="preserve">” et la </w:t>
      </w:r>
      <w:r w:rsidR="00E839AD" w:rsidRPr="00056DED">
        <w:rPr>
          <w:szCs w:val="22"/>
          <w:lang w:val="fr-FR"/>
        </w:rPr>
        <w:t>section</w:t>
      </w:r>
      <w:r w:rsidR="00E839AD">
        <w:rPr>
          <w:szCs w:val="22"/>
          <w:lang w:val="fr-FR"/>
        </w:rPr>
        <w:t> </w:t>
      </w:r>
      <w:r w:rsidR="00E839AD" w:rsidRPr="00056DED">
        <w:rPr>
          <w:szCs w:val="22"/>
          <w:lang w:val="fr-FR"/>
        </w:rPr>
        <w:t>1</w:t>
      </w:r>
      <w:r w:rsidRPr="00056DED">
        <w:rPr>
          <w:szCs w:val="22"/>
          <w:lang w:val="fr-FR"/>
        </w:rPr>
        <w:t>.1.2.7 la “Réception d</w:t>
      </w:r>
      <w:r w:rsidR="00E839AD">
        <w:rPr>
          <w:szCs w:val="22"/>
          <w:lang w:val="fr-FR"/>
        </w:rPr>
        <w:t>’</w:t>
      </w:r>
      <w:r w:rsidRPr="00056DED">
        <w:rPr>
          <w:szCs w:val="22"/>
          <w:lang w:val="fr-FR"/>
        </w:rPr>
        <w:t>avis</w:t>
      </w:r>
      <w:r w:rsidR="00E839AD" w:rsidRPr="00E839AD">
        <w:rPr>
          <w:szCs w:val="22"/>
          <w:lang w:val="fr-FR"/>
        </w:rPr>
        <w:t xml:space="preserve"> du GAC</w:t>
      </w:r>
      <w:r w:rsidRPr="00056DED">
        <w:rPr>
          <w:szCs w:val="22"/>
          <w:lang w:val="fr-FR"/>
        </w:rPr>
        <w:t xml:space="preserve"> sur les nouveaux gTLD” pour examen du Conseil</w:t>
      </w:r>
      <w:r>
        <w:rPr>
          <w:szCs w:val="22"/>
          <w:lang w:val="fr-FR"/>
        </w:rPr>
        <w:t xml:space="preserve"> </w:t>
      </w:r>
      <w:r w:rsidRPr="00056DED">
        <w:rPr>
          <w:szCs w:val="22"/>
          <w:lang w:val="fr-FR"/>
        </w:rPr>
        <w:t>d</w:t>
      </w:r>
      <w:r w:rsidR="00E839AD">
        <w:rPr>
          <w:szCs w:val="22"/>
          <w:lang w:val="fr-FR"/>
        </w:rPr>
        <w:t>’</w:t>
      </w:r>
      <w:r w:rsidRPr="00056DED">
        <w:rPr>
          <w:szCs w:val="22"/>
          <w:lang w:val="fr-FR"/>
        </w:rPr>
        <w:t>administration de l</w:t>
      </w:r>
      <w:r w:rsidR="00E839AD">
        <w:rPr>
          <w:szCs w:val="22"/>
          <w:lang w:val="fr-FR"/>
        </w:rPr>
        <w:t>’</w:t>
      </w:r>
      <w:r w:rsidRPr="00056DED">
        <w:rPr>
          <w:szCs w:val="22"/>
          <w:lang w:val="fr-FR"/>
        </w:rPr>
        <w:t>ICANN.</w:t>
      </w:r>
    </w:p>
  </w:footnote>
  <w:footnote w:id="31">
    <w:p w:rsidR="00065824" w:rsidRPr="00781FE6" w:rsidRDefault="00065824" w:rsidP="00B36AF7">
      <w:pPr>
        <w:pStyle w:val="FootnoteText"/>
        <w:rPr>
          <w:szCs w:val="18"/>
          <w:lang w:val="fr-FR"/>
        </w:rPr>
      </w:pPr>
      <w:r w:rsidRPr="00781FE6">
        <w:rPr>
          <w:rStyle w:val="FootnoteReference"/>
          <w:szCs w:val="18"/>
          <w:lang w:val="fr-FR"/>
        </w:rPr>
        <w:footnoteRef/>
      </w:r>
      <w:r w:rsidRPr="00781FE6">
        <w:rPr>
          <w:rStyle w:val="FootnoteReference"/>
          <w:lang w:val="fr-FR"/>
        </w:rPr>
        <w:t xml:space="preserve"> </w:t>
      </w:r>
      <w:r w:rsidRPr="00781FE6">
        <w:rPr>
          <w:szCs w:val="18"/>
          <w:lang w:val="fr-FR"/>
        </w:rPr>
        <w:tab/>
      </w:r>
      <w:r w:rsidRPr="00056DED">
        <w:rPr>
          <w:szCs w:val="18"/>
          <w:lang w:val="fr-FR"/>
        </w:rPr>
        <w:t>Adoptée par l</w:t>
      </w:r>
      <w:r w:rsidR="00E839AD">
        <w:rPr>
          <w:szCs w:val="18"/>
          <w:lang w:val="fr-FR"/>
        </w:rPr>
        <w:t>’</w:t>
      </w:r>
      <w:r w:rsidRPr="00056DED">
        <w:rPr>
          <w:szCs w:val="18"/>
          <w:lang w:val="fr-FR"/>
        </w:rPr>
        <w:t>Assemblée générale de l</w:t>
      </w:r>
      <w:r w:rsidR="00E839AD">
        <w:rPr>
          <w:szCs w:val="18"/>
          <w:lang w:val="fr-FR"/>
        </w:rPr>
        <w:t>’</w:t>
      </w:r>
      <w:r w:rsidRPr="00056DED">
        <w:rPr>
          <w:szCs w:val="18"/>
          <w:lang w:val="fr-FR"/>
        </w:rPr>
        <w:t xml:space="preserve">OMPI en </w:t>
      </w:r>
      <w:r w:rsidR="00E839AD" w:rsidRPr="00056DED">
        <w:rPr>
          <w:szCs w:val="18"/>
          <w:lang w:val="fr-FR"/>
        </w:rPr>
        <w:t>septembre</w:t>
      </w:r>
      <w:r w:rsidR="00E839AD">
        <w:rPr>
          <w:szCs w:val="18"/>
          <w:lang w:val="fr-FR"/>
        </w:rPr>
        <w:t> </w:t>
      </w:r>
      <w:r w:rsidR="00E839AD" w:rsidRPr="00056DED">
        <w:rPr>
          <w:szCs w:val="18"/>
          <w:lang w:val="fr-FR"/>
        </w:rPr>
        <w:t>20</w:t>
      </w:r>
      <w:r w:rsidRPr="00056DED">
        <w:rPr>
          <w:szCs w:val="18"/>
          <w:lang w:val="fr-FR"/>
        </w:rPr>
        <w:t xml:space="preserve">01; </w:t>
      </w:r>
      <w:r>
        <w:rPr>
          <w:szCs w:val="18"/>
          <w:lang w:val="fr-FR"/>
        </w:rPr>
        <w:t xml:space="preserve"> </w:t>
      </w:r>
      <w:r w:rsidRPr="00056DED">
        <w:rPr>
          <w:szCs w:val="18"/>
          <w:lang w:val="fr-FR"/>
        </w:rPr>
        <w:t>voir</w:t>
      </w:r>
      <w:r>
        <w:rPr>
          <w:szCs w:val="18"/>
          <w:lang w:val="fr-FR"/>
        </w:rPr>
        <w:t xml:space="preserve"> </w:t>
      </w:r>
      <w:r w:rsidRPr="00056DED">
        <w:rPr>
          <w:szCs w:val="18"/>
          <w:lang w:val="fr-FR"/>
        </w:rPr>
        <w:t>http://www.wipo.int/</w:t>
      </w:r>
      <w:r w:rsidR="002F0E60">
        <w:rPr>
          <w:szCs w:val="18"/>
          <w:lang w:val="fr-FR"/>
        </w:rPr>
        <w:t>edocs/pubdocs/fr/marks/</w:t>
      </w:r>
      <w:r w:rsidRPr="00056DED">
        <w:rPr>
          <w:szCs w:val="18"/>
          <w:lang w:val="fr-FR"/>
        </w:rPr>
        <w:t>845</w:t>
      </w:r>
      <w:r w:rsidR="002F0E60">
        <w:rPr>
          <w:szCs w:val="18"/>
          <w:lang w:val="fr-FR"/>
        </w:rPr>
        <w:t>/pub845</w:t>
      </w:r>
      <w:r w:rsidRPr="00056DED">
        <w:rPr>
          <w:szCs w:val="18"/>
          <w:lang w:val="fr-FR"/>
        </w:rPr>
        <w:t>.</w:t>
      </w:r>
      <w:r w:rsidR="002F0E60">
        <w:rPr>
          <w:szCs w:val="18"/>
          <w:lang w:val="fr-FR"/>
        </w:rPr>
        <w:t>pdf</w:t>
      </w:r>
      <w:r w:rsidRPr="00781FE6">
        <w:rPr>
          <w:szCs w:val="18"/>
          <w:lang w:val="fr-FR"/>
        </w:rPr>
        <w:t>.</w:t>
      </w:r>
    </w:p>
  </w:footnote>
  <w:footnote w:id="32">
    <w:p w:rsidR="00065824" w:rsidRPr="00781FE6" w:rsidRDefault="00065824" w:rsidP="00B36AF7">
      <w:pPr>
        <w:pStyle w:val="FootnoteText"/>
        <w:rPr>
          <w:szCs w:val="18"/>
          <w:lang w:val="fr-FR"/>
        </w:rPr>
      </w:pPr>
      <w:r w:rsidRPr="00781FE6">
        <w:rPr>
          <w:rStyle w:val="FootnoteReference"/>
          <w:lang w:val="fr-FR"/>
        </w:rPr>
        <w:footnoteRef/>
      </w:r>
      <w:r w:rsidRPr="00781FE6">
        <w:rPr>
          <w:lang w:val="fr-FR"/>
        </w:rPr>
        <w:t xml:space="preserve"> </w:t>
      </w:r>
      <w:r w:rsidRPr="00781FE6">
        <w:rPr>
          <w:lang w:val="fr-FR"/>
        </w:rPr>
        <w:tab/>
      </w:r>
      <w:r w:rsidRPr="00ED2760">
        <w:rPr>
          <w:szCs w:val="18"/>
          <w:lang w:val="fr-FR"/>
        </w:rPr>
        <w:t xml:space="preserve">Voir la </w:t>
      </w:r>
      <w:r w:rsidR="00E839AD" w:rsidRPr="00ED2760">
        <w:rPr>
          <w:szCs w:val="18"/>
          <w:lang w:val="fr-FR"/>
        </w:rPr>
        <w:t>section</w:t>
      </w:r>
      <w:r w:rsidR="00E839AD">
        <w:rPr>
          <w:szCs w:val="18"/>
          <w:lang w:val="fr-FR"/>
        </w:rPr>
        <w:t> </w:t>
      </w:r>
      <w:r w:rsidR="00E839AD" w:rsidRPr="00ED2760">
        <w:rPr>
          <w:szCs w:val="18"/>
          <w:lang w:val="fr-FR"/>
        </w:rPr>
        <w:t>3</w:t>
      </w:r>
      <w:r w:rsidRPr="00ED2760">
        <w:rPr>
          <w:szCs w:val="18"/>
          <w:lang w:val="fr-FR"/>
        </w:rPr>
        <w:t>.2 du Guide de candidature gTLD de l</w:t>
      </w:r>
      <w:r w:rsidR="00E839AD">
        <w:rPr>
          <w:szCs w:val="18"/>
          <w:lang w:val="fr-FR"/>
        </w:rPr>
        <w:t>’</w:t>
      </w:r>
      <w:r w:rsidRPr="00ED2760">
        <w:rPr>
          <w:szCs w:val="18"/>
          <w:lang w:val="fr-FR"/>
        </w:rPr>
        <w:t>ICANN à l</w:t>
      </w:r>
      <w:r w:rsidR="00E839AD">
        <w:rPr>
          <w:szCs w:val="18"/>
          <w:lang w:val="fr-FR"/>
        </w:rPr>
        <w:t>’</w:t>
      </w:r>
      <w:r w:rsidRPr="00ED2760">
        <w:rPr>
          <w:szCs w:val="18"/>
          <w:lang w:val="fr-FR"/>
        </w:rPr>
        <w:t>adresse suivante</w:t>
      </w:r>
      <w:r w:rsidR="00E839AD">
        <w:rPr>
          <w:szCs w:val="18"/>
          <w:lang w:val="fr-FR"/>
        </w:rPr>
        <w:t> :</w:t>
      </w:r>
      <w:r>
        <w:rPr>
          <w:szCs w:val="18"/>
          <w:lang w:val="fr-FR"/>
        </w:rPr>
        <w:t xml:space="preserve"> </w:t>
      </w:r>
      <w:r w:rsidRPr="00ED2760">
        <w:rPr>
          <w:szCs w:val="18"/>
          <w:lang w:val="fr-FR"/>
        </w:rPr>
        <w:t>http://newgtlds.icann.org/en/applicants/agb/objection</w:t>
      </w:r>
      <w:r w:rsidR="00E839AD">
        <w:rPr>
          <w:szCs w:val="18"/>
          <w:lang w:val="fr-FR"/>
        </w:rPr>
        <w:t>-</w:t>
      </w:r>
      <w:r w:rsidRPr="00ED2760">
        <w:rPr>
          <w:szCs w:val="18"/>
          <w:lang w:val="fr-FR"/>
        </w:rPr>
        <w:t>procedures</w:t>
      </w:r>
      <w:r w:rsidR="00E839AD">
        <w:rPr>
          <w:szCs w:val="18"/>
          <w:lang w:val="fr-FR"/>
        </w:rPr>
        <w:t>-</w:t>
      </w:r>
      <w:r w:rsidRPr="00ED2760">
        <w:rPr>
          <w:szCs w:val="18"/>
          <w:lang w:val="fr-FR"/>
        </w:rPr>
        <w:t>04jun12</w:t>
      </w:r>
      <w:r w:rsidR="00E839AD">
        <w:rPr>
          <w:szCs w:val="18"/>
          <w:lang w:val="fr-FR"/>
        </w:rPr>
        <w:t>-</w:t>
      </w:r>
      <w:r w:rsidRPr="00ED2760">
        <w:rPr>
          <w:szCs w:val="18"/>
          <w:lang w:val="fr-FR"/>
        </w:rPr>
        <w:t>en.pdf</w:t>
      </w:r>
      <w:r>
        <w:rPr>
          <w:szCs w:val="18"/>
          <w:lang w:val="fr-FR"/>
        </w:rPr>
        <w:t>.</w:t>
      </w:r>
    </w:p>
  </w:footnote>
  <w:footnote w:id="33">
    <w:p w:rsidR="00065824" w:rsidRPr="00781FE6" w:rsidRDefault="00065824" w:rsidP="00B36AF7">
      <w:pPr>
        <w:pStyle w:val="FootnoteText"/>
        <w:rPr>
          <w:szCs w:val="18"/>
          <w:lang w:val="fr-FR"/>
        </w:rPr>
      </w:pPr>
      <w:r w:rsidRPr="00781FE6">
        <w:rPr>
          <w:rStyle w:val="FootnoteReference"/>
          <w:lang w:val="fr-FR"/>
        </w:rPr>
        <w:footnoteRef/>
      </w:r>
      <w:r w:rsidRPr="00781FE6">
        <w:rPr>
          <w:lang w:val="fr-FR"/>
        </w:rPr>
        <w:t xml:space="preserve"> </w:t>
      </w:r>
      <w:r w:rsidRPr="00781FE6">
        <w:rPr>
          <w:lang w:val="fr-FR"/>
        </w:rPr>
        <w:tab/>
      </w:r>
      <w:r w:rsidRPr="00ED2760">
        <w:rPr>
          <w:szCs w:val="18"/>
          <w:lang w:val="fr-FR"/>
        </w:rPr>
        <w:t>Voir les règles de l</w:t>
      </w:r>
      <w:r w:rsidR="00E839AD">
        <w:rPr>
          <w:szCs w:val="18"/>
          <w:lang w:val="fr-FR"/>
        </w:rPr>
        <w:t>’</w:t>
      </w:r>
      <w:r w:rsidRPr="00ED2760">
        <w:rPr>
          <w:szCs w:val="18"/>
          <w:lang w:val="fr-FR"/>
        </w:rPr>
        <w:t>OMPI concernant le règlement des litiges relatifs aux nouveaux gTLD et le barème des</w:t>
      </w:r>
      <w:r>
        <w:rPr>
          <w:szCs w:val="18"/>
          <w:lang w:val="fr-FR"/>
        </w:rPr>
        <w:t xml:space="preserve"> </w:t>
      </w:r>
      <w:r w:rsidRPr="00ED2760">
        <w:rPr>
          <w:szCs w:val="18"/>
          <w:lang w:val="fr-FR"/>
        </w:rPr>
        <w:t>taxes, honoraires et frais, respectivement aux adresses suivantes</w:t>
      </w:r>
      <w:r w:rsidR="00E839AD">
        <w:rPr>
          <w:szCs w:val="18"/>
          <w:lang w:val="fr-FR"/>
        </w:rPr>
        <w:t> :</w:t>
      </w:r>
      <w:r w:rsidRPr="00ED2760">
        <w:rPr>
          <w:szCs w:val="18"/>
          <w:lang w:val="fr-FR"/>
        </w:rPr>
        <w:t xml:space="preserve"> </w:t>
      </w:r>
      <w:r w:rsidRPr="00345811">
        <w:rPr>
          <w:szCs w:val="18"/>
          <w:lang w:val="fr-FR"/>
        </w:rPr>
        <w:t>http://www.wipo.int/amc/en/docs/wipolrorules.pdf</w:t>
      </w:r>
      <w:r>
        <w:rPr>
          <w:szCs w:val="18"/>
          <w:lang w:val="fr-FR"/>
        </w:rPr>
        <w:t xml:space="preserve"> </w:t>
      </w:r>
      <w:r w:rsidRPr="00ED2760">
        <w:rPr>
          <w:szCs w:val="18"/>
          <w:lang w:val="fr-FR"/>
        </w:rPr>
        <w:t xml:space="preserve">et </w:t>
      </w:r>
      <w:r w:rsidRPr="00345811">
        <w:rPr>
          <w:szCs w:val="18"/>
          <w:lang w:val="fr-FR"/>
        </w:rPr>
        <w:t>http://www.wipo.int/amc/en/domains/lro/fees/</w:t>
      </w:r>
      <w:r w:rsidRPr="00ED2760">
        <w:rPr>
          <w:szCs w:val="18"/>
          <w:lang w:val="fr-FR"/>
        </w:rPr>
        <w:t>;</w:t>
      </w:r>
      <w:r>
        <w:rPr>
          <w:szCs w:val="18"/>
          <w:lang w:val="fr-FR"/>
        </w:rPr>
        <w:t xml:space="preserve"> </w:t>
      </w:r>
      <w:r w:rsidRPr="00ED2760">
        <w:rPr>
          <w:szCs w:val="18"/>
          <w:lang w:val="fr-FR"/>
        </w:rPr>
        <w:t xml:space="preserve"> voir les cas d</w:t>
      </w:r>
      <w:r w:rsidR="00E839AD">
        <w:rPr>
          <w:szCs w:val="18"/>
          <w:lang w:val="fr-FR"/>
        </w:rPr>
        <w:t>’</w:t>
      </w:r>
      <w:r w:rsidRPr="00ED2760">
        <w:rPr>
          <w:szCs w:val="18"/>
          <w:lang w:val="fr-FR"/>
        </w:rPr>
        <w:t>objections déposés à l</w:t>
      </w:r>
      <w:r w:rsidR="00E839AD">
        <w:rPr>
          <w:szCs w:val="18"/>
          <w:lang w:val="fr-FR"/>
        </w:rPr>
        <w:t>’</w:t>
      </w:r>
      <w:r w:rsidRPr="00ED2760">
        <w:rPr>
          <w:szCs w:val="18"/>
          <w:lang w:val="fr-FR"/>
        </w:rPr>
        <w:t>OMPI à l</w:t>
      </w:r>
      <w:r w:rsidR="00E839AD">
        <w:rPr>
          <w:szCs w:val="18"/>
          <w:lang w:val="fr-FR"/>
        </w:rPr>
        <w:t>’</w:t>
      </w:r>
      <w:r w:rsidRPr="00ED2760">
        <w:rPr>
          <w:szCs w:val="18"/>
          <w:lang w:val="fr-FR"/>
        </w:rPr>
        <w:t>adresse suivante</w:t>
      </w:r>
      <w:r w:rsidR="00E839AD">
        <w:rPr>
          <w:szCs w:val="18"/>
          <w:lang w:val="fr-FR"/>
        </w:rPr>
        <w:t> :</w:t>
      </w:r>
      <w:r>
        <w:rPr>
          <w:szCs w:val="18"/>
          <w:lang w:val="fr-FR"/>
        </w:rPr>
        <w:t xml:space="preserve"> </w:t>
      </w:r>
      <w:r w:rsidRPr="00ED2760">
        <w:rPr>
          <w:szCs w:val="18"/>
          <w:lang w:val="fr-FR"/>
        </w:rPr>
        <w:t>http://www.wipo.int/amc/en/domains/lro/cases/</w:t>
      </w:r>
      <w:r>
        <w:rPr>
          <w:szCs w:val="18"/>
          <w:lang w:val="fr-FR"/>
        </w:rPr>
        <w:t>.</w:t>
      </w:r>
    </w:p>
  </w:footnote>
  <w:footnote w:id="34">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http://www.wipo.int/amc/en/domains/lro/cases/. </w:t>
      </w:r>
    </w:p>
  </w:footnote>
  <w:footnote w:id="35">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A2499C">
        <w:rPr>
          <w:szCs w:val="22"/>
          <w:lang w:val="fr-FR"/>
        </w:rPr>
        <w:t>Le rapport de l</w:t>
      </w:r>
      <w:r w:rsidR="00E839AD">
        <w:rPr>
          <w:szCs w:val="22"/>
          <w:lang w:val="fr-FR"/>
        </w:rPr>
        <w:t>’</w:t>
      </w:r>
      <w:r w:rsidRPr="00A2499C">
        <w:rPr>
          <w:szCs w:val="22"/>
          <w:lang w:val="fr-FR"/>
        </w:rPr>
        <w:t>OMPI sur les objections pour atteinte aux droits note qu</w:t>
      </w:r>
      <w:r w:rsidR="00E839AD">
        <w:rPr>
          <w:szCs w:val="22"/>
          <w:lang w:val="fr-FR"/>
        </w:rPr>
        <w:t>’</w:t>
      </w:r>
      <w:r w:rsidRPr="00A2499C">
        <w:rPr>
          <w:szCs w:val="22"/>
          <w:lang w:val="fr-FR"/>
        </w:rPr>
        <w:t>une forte majorité des objections ont</w:t>
      </w:r>
      <w:r>
        <w:rPr>
          <w:szCs w:val="22"/>
          <w:lang w:val="fr-FR"/>
        </w:rPr>
        <w:t xml:space="preserve"> </w:t>
      </w:r>
      <w:r w:rsidRPr="00A2499C">
        <w:rPr>
          <w:szCs w:val="22"/>
          <w:lang w:val="fr-FR"/>
        </w:rPr>
        <w:t>été déposées contre des demandes de gTLD portant sur des extensions ayant un sens descriptif ou donné par le</w:t>
      </w:r>
      <w:r>
        <w:rPr>
          <w:szCs w:val="22"/>
          <w:lang w:val="fr-FR"/>
        </w:rPr>
        <w:t xml:space="preserve"> </w:t>
      </w:r>
      <w:r w:rsidRPr="00A2499C">
        <w:rPr>
          <w:szCs w:val="22"/>
          <w:lang w:val="fr-FR"/>
        </w:rPr>
        <w:t xml:space="preserve">dictionnaire. </w:t>
      </w:r>
      <w:r>
        <w:rPr>
          <w:szCs w:val="22"/>
          <w:lang w:val="fr-FR"/>
        </w:rPr>
        <w:t xml:space="preserve"> </w:t>
      </w:r>
      <w:r w:rsidRPr="00A2499C">
        <w:rPr>
          <w:szCs w:val="22"/>
          <w:lang w:val="fr-FR"/>
        </w:rPr>
        <w:t>De nombreux groupes d</w:t>
      </w:r>
      <w:r w:rsidR="00E839AD">
        <w:rPr>
          <w:szCs w:val="22"/>
          <w:lang w:val="fr-FR"/>
        </w:rPr>
        <w:t>’</w:t>
      </w:r>
      <w:r w:rsidRPr="00A2499C">
        <w:rPr>
          <w:szCs w:val="22"/>
          <w:lang w:val="fr-FR"/>
        </w:rPr>
        <w:t>experts sont parvenus à la conclusion que, lorsque le propriétaire d</w:t>
      </w:r>
      <w:r w:rsidR="00E839AD">
        <w:rPr>
          <w:szCs w:val="22"/>
          <w:lang w:val="fr-FR"/>
        </w:rPr>
        <w:t>’</w:t>
      </w:r>
      <w:r w:rsidRPr="00A2499C">
        <w:rPr>
          <w:szCs w:val="22"/>
          <w:lang w:val="fr-FR"/>
        </w:rPr>
        <w:t>une</w:t>
      </w:r>
      <w:r>
        <w:rPr>
          <w:szCs w:val="22"/>
          <w:lang w:val="fr-FR"/>
        </w:rPr>
        <w:t xml:space="preserve"> </w:t>
      </w:r>
      <w:r w:rsidRPr="00A2499C">
        <w:rPr>
          <w:szCs w:val="22"/>
          <w:lang w:val="fr-FR"/>
        </w:rPr>
        <w:t>marque a adopté un terme commun du dictionnaire comme nom de marque, une demande de gTLD visant</w:t>
      </w:r>
      <w:r>
        <w:rPr>
          <w:szCs w:val="22"/>
          <w:lang w:val="fr-FR"/>
        </w:rPr>
        <w:t xml:space="preserve"> </w:t>
      </w:r>
      <w:r w:rsidRPr="00A2499C">
        <w:rPr>
          <w:szCs w:val="22"/>
          <w:lang w:val="fr-FR"/>
        </w:rPr>
        <w:t>uniquement à tirer avantage de ce sens commun ne violerait pas en soi les normes en matière de décisions</w:t>
      </w:r>
      <w:r>
        <w:rPr>
          <w:szCs w:val="22"/>
          <w:lang w:val="fr-FR"/>
        </w:rPr>
        <w:t xml:space="preserve"> </w:t>
      </w:r>
      <w:r w:rsidRPr="00A2499C">
        <w:rPr>
          <w:szCs w:val="22"/>
          <w:lang w:val="fr-FR"/>
        </w:rPr>
        <w:t xml:space="preserve">applicables aux objections pour atteinte aux droits. </w:t>
      </w:r>
      <w:r>
        <w:rPr>
          <w:szCs w:val="22"/>
          <w:lang w:val="fr-FR"/>
        </w:rPr>
        <w:t xml:space="preserve"> </w:t>
      </w:r>
      <w:r w:rsidRPr="00A2499C">
        <w:rPr>
          <w:szCs w:val="22"/>
          <w:lang w:val="fr-FR"/>
        </w:rPr>
        <w:t>Dans certains cas, les groupes d</w:t>
      </w:r>
      <w:r w:rsidR="00E839AD">
        <w:rPr>
          <w:szCs w:val="22"/>
          <w:lang w:val="fr-FR"/>
        </w:rPr>
        <w:t>’</w:t>
      </w:r>
      <w:r w:rsidRPr="00A2499C">
        <w:rPr>
          <w:szCs w:val="22"/>
          <w:lang w:val="fr-FR"/>
        </w:rPr>
        <w:t>experts se sont intéressés aux</w:t>
      </w:r>
      <w:r>
        <w:rPr>
          <w:szCs w:val="22"/>
          <w:lang w:val="fr-FR"/>
        </w:rPr>
        <w:t xml:space="preserve"> </w:t>
      </w:r>
      <w:r w:rsidRPr="00A2499C">
        <w:rPr>
          <w:szCs w:val="22"/>
          <w:lang w:val="fr-FR"/>
        </w:rPr>
        <w:t>enregistrements de marques obtenus en premier lieu dans le but d</w:t>
      </w:r>
      <w:r w:rsidR="00E839AD">
        <w:rPr>
          <w:szCs w:val="22"/>
          <w:lang w:val="fr-FR"/>
        </w:rPr>
        <w:t>’</w:t>
      </w:r>
      <w:r w:rsidRPr="00A2499C">
        <w:rPr>
          <w:szCs w:val="22"/>
          <w:lang w:val="fr-FR"/>
        </w:rPr>
        <w:t>appuyer une demande de nouveau gTLD ou une</w:t>
      </w:r>
      <w:r>
        <w:rPr>
          <w:szCs w:val="22"/>
          <w:lang w:val="fr-FR"/>
        </w:rPr>
        <w:t xml:space="preserve"> </w:t>
      </w:r>
      <w:r w:rsidRPr="00A2499C">
        <w:rPr>
          <w:szCs w:val="22"/>
          <w:lang w:val="fr-FR"/>
        </w:rPr>
        <w:t>objection pour atteinte aux droits, avec peu ou pas d</w:t>
      </w:r>
      <w:r w:rsidR="00E839AD">
        <w:rPr>
          <w:szCs w:val="22"/>
          <w:lang w:val="fr-FR"/>
        </w:rPr>
        <w:t>’</w:t>
      </w:r>
      <w:r w:rsidRPr="00A2499C">
        <w:rPr>
          <w:szCs w:val="22"/>
          <w:lang w:val="fr-FR"/>
        </w:rPr>
        <w:t xml:space="preserve">usage antérieur avéré. </w:t>
      </w:r>
      <w:r>
        <w:rPr>
          <w:szCs w:val="22"/>
          <w:lang w:val="fr-FR"/>
        </w:rPr>
        <w:t xml:space="preserve"> </w:t>
      </w:r>
      <w:r w:rsidRPr="00A2499C">
        <w:rPr>
          <w:szCs w:val="22"/>
          <w:lang w:val="fr-FR"/>
        </w:rPr>
        <w:t>Voir</w:t>
      </w:r>
      <w:r>
        <w:rPr>
          <w:szCs w:val="22"/>
          <w:lang w:val="fr-FR"/>
        </w:rPr>
        <w:t xml:space="preserve"> </w:t>
      </w:r>
      <w:r w:rsidRPr="00A2499C">
        <w:rPr>
          <w:szCs w:val="22"/>
          <w:lang w:val="fr-FR"/>
        </w:rPr>
        <w:t>http://www.wipo.int/amc/en/docs/lroreport.pdf</w:t>
      </w:r>
    </w:p>
  </w:footnote>
  <w:footnote w:id="36">
    <w:p w:rsidR="00065824" w:rsidRPr="00781FE6" w:rsidRDefault="00065824" w:rsidP="00B36AF7">
      <w:pPr>
        <w:pStyle w:val="FootnoteText"/>
        <w:rPr>
          <w:szCs w:val="18"/>
          <w:lang w:val="fr-FR"/>
        </w:rPr>
      </w:pPr>
      <w:r w:rsidRPr="00781FE6">
        <w:rPr>
          <w:rStyle w:val="FootnoteReference"/>
          <w:lang w:val="fr-FR"/>
        </w:rPr>
        <w:footnoteRef/>
      </w:r>
      <w:r w:rsidRPr="00781FE6">
        <w:rPr>
          <w:szCs w:val="18"/>
          <w:lang w:val="fr-FR"/>
        </w:rPr>
        <w:t xml:space="preserve"> </w:t>
      </w:r>
      <w:r w:rsidRPr="00781FE6">
        <w:rPr>
          <w:szCs w:val="18"/>
          <w:lang w:val="fr-FR"/>
        </w:rPr>
        <w:tab/>
      </w:r>
      <w:r>
        <w:rPr>
          <w:szCs w:val="18"/>
          <w:lang w:val="fr-FR"/>
        </w:rPr>
        <w:t>Voir</w:t>
      </w:r>
      <w:r w:rsidRPr="00781FE6">
        <w:rPr>
          <w:szCs w:val="18"/>
          <w:lang w:val="fr-FR"/>
        </w:rPr>
        <w:t xml:space="preserve"> http://www.wipo.int/amc/en/docs/icann130309.pdf.</w:t>
      </w:r>
    </w:p>
  </w:footnote>
  <w:footnote w:id="37">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Pr="00581387">
        <w:rPr>
          <w:szCs w:val="18"/>
          <w:lang w:val="fr-FR"/>
        </w:rPr>
        <w:t>Étant donné la convergence que l</w:t>
      </w:r>
      <w:r w:rsidR="00E839AD">
        <w:rPr>
          <w:szCs w:val="18"/>
          <w:lang w:val="fr-FR"/>
        </w:rPr>
        <w:t>’</w:t>
      </w:r>
      <w:r w:rsidRPr="00581387">
        <w:rPr>
          <w:szCs w:val="18"/>
          <w:lang w:val="fr-FR"/>
        </w:rPr>
        <w:t>on perçoit entre les rôles du service d</w:t>
      </w:r>
      <w:r w:rsidR="00E839AD">
        <w:rPr>
          <w:szCs w:val="18"/>
          <w:lang w:val="fr-FR"/>
        </w:rPr>
        <w:t>’</w:t>
      </w:r>
      <w:r w:rsidRPr="00581387">
        <w:rPr>
          <w:szCs w:val="18"/>
          <w:lang w:val="fr-FR"/>
        </w:rPr>
        <w:t>enregistrement, de l</w:t>
      </w:r>
      <w:r w:rsidR="00E839AD">
        <w:rPr>
          <w:szCs w:val="18"/>
          <w:lang w:val="fr-FR"/>
        </w:rPr>
        <w:t>’</w:t>
      </w:r>
      <w:r w:rsidRPr="00581387">
        <w:rPr>
          <w:szCs w:val="18"/>
          <w:lang w:val="fr-FR"/>
        </w:rPr>
        <w:t>unité</w:t>
      </w:r>
      <w:r>
        <w:rPr>
          <w:szCs w:val="18"/>
          <w:lang w:val="fr-FR"/>
        </w:rPr>
        <w:t xml:space="preserve"> </w:t>
      </w:r>
      <w:r w:rsidRPr="00581387">
        <w:rPr>
          <w:szCs w:val="18"/>
          <w:lang w:val="fr-FR"/>
        </w:rPr>
        <w:t>d</w:t>
      </w:r>
      <w:r w:rsidR="00E839AD">
        <w:rPr>
          <w:szCs w:val="18"/>
          <w:lang w:val="fr-FR"/>
        </w:rPr>
        <w:t>’</w:t>
      </w:r>
      <w:r w:rsidRPr="00581387">
        <w:rPr>
          <w:szCs w:val="18"/>
          <w:lang w:val="fr-FR"/>
        </w:rPr>
        <w:t>enregistrement et du détenteur de l</w:t>
      </w:r>
      <w:r w:rsidR="00E839AD">
        <w:rPr>
          <w:szCs w:val="18"/>
          <w:lang w:val="fr-FR"/>
        </w:rPr>
        <w:t>’</w:t>
      </w:r>
      <w:r w:rsidRPr="00581387">
        <w:rPr>
          <w:szCs w:val="18"/>
          <w:lang w:val="fr-FR"/>
        </w:rPr>
        <w:t>enregistrement au sein</w:t>
      </w:r>
      <w:r w:rsidR="00E839AD" w:rsidRPr="00E839AD">
        <w:rPr>
          <w:szCs w:val="18"/>
          <w:lang w:val="fr-FR"/>
        </w:rPr>
        <w:t xml:space="preserve"> du DNS</w:t>
      </w:r>
      <w:r w:rsidRPr="00581387">
        <w:rPr>
          <w:szCs w:val="18"/>
          <w:lang w:val="fr-FR"/>
        </w:rPr>
        <w:t>, le Centre a également recommandé à l</w:t>
      </w:r>
      <w:r w:rsidR="00E839AD">
        <w:rPr>
          <w:szCs w:val="18"/>
          <w:lang w:val="fr-FR"/>
        </w:rPr>
        <w:t>’</w:t>
      </w:r>
      <w:r w:rsidRPr="00581387">
        <w:rPr>
          <w:szCs w:val="18"/>
          <w:lang w:val="fr-FR"/>
        </w:rPr>
        <w:t>ICANN,</w:t>
      </w:r>
      <w:r>
        <w:rPr>
          <w:szCs w:val="18"/>
          <w:lang w:val="fr-FR"/>
        </w:rPr>
        <w:t xml:space="preserve"> </w:t>
      </w:r>
      <w:r w:rsidRPr="00581387">
        <w:rPr>
          <w:szCs w:val="18"/>
          <w:lang w:val="fr-FR"/>
        </w:rPr>
        <w:t>compte tenu notamment de son expérience des principes UDRP et de la décision de l</w:t>
      </w:r>
      <w:r w:rsidR="00E839AD">
        <w:rPr>
          <w:szCs w:val="18"/>
          <w:lang w:val="fr-FR"/>
        </w:rPr>
        <w:t>’</w:t>
      </w:r>
      <w:r w:rsidRPr="00581387">
        <w:rPr>
          <w:szCs w:val="18"/>
          <w:lang w:val="fr-FR"/>
        </w:rPr>
        <w:t>ICANN d</w:t>
      </w:r>
      <w:r w:rsidR="00E839AD">
        <w:rPr>
          <w:szCs w:val="18"/>
          <w:lang w:val="fr-FR"/>
        </w:rPr>
        <w:t>’</w:t>
      </w:r>
      <w:r w:rsidRPr="00581387">
        <w:rPr>
          <w:szCs w:val="18"/>
          <w:lang w:val="fr-FR"/>
        </w:rPr>
        <w:t>autoriser la propriété</w:t>
      </w:r>
      <w:r>
        <w:rPr>
          <w:szCs w:val="18"/>
          <w:lang w:val="fr-FR"/>
        </w:rPr>
        <w:t xml:space="preserve"> </w:t>
      </w:r>
      <w:r w:rsidRPr="00581387">
        <w:rPr>
          <w:szCs w:val="18"/>
          <w:lang w:val="fr-FR"/>
        </w:rPr>
        <w:t>croisée entre unités d</w:t>
      </w:r>
      <w:r w:rsidR="00E839AD">
        <w:rPr>
          <w:szCs w:val="18"/>
          <w:lang w:val="fr-FR"/>
        </w:rPr>
        <w:t>’</w:t>
      </w:r>
      <w:r w:rsidRPr="00581387">
        <w:rPr>
          <w:szCs w:val="18"/>
          <w:lang w:val="fr-FR"/>
        </w:rPr>
        <w:t>enregistrement et services d</w:t>
      </w:r>
      <w:r w:rsidR="00E839AD">
        <w:rPr>
          <w:szCs w:val="18"/>
          <w:lang w:val="fr-FR"/>
        </w:rPr>
        <w:t>’</w:t>
      </w:r>
      <w:r w:rsidRPr="00581387">
        <w:rPr>
          <w:szCs w:val="18"/>
          <w:lang w:val="fr-FR"/>
        </w:rPr>
        <w:t>enregistrement (voir http://www.icann.org/en/minutes/resolutions</w:t>
      </w:r>
      <w:r w:rsidR="00E839AD">
        <w:rPr>
          <w:szCs w:val="18"/>
          <w:lang w:val="fr-FR"/>
        </w:rPr>
        <w:t>-</w:t>
      </w:r>
      <w:r w:rsidRPr="00581387">
        <w:rPr>
          <w:szCs w:val="18"/>
          <w:lang w:val="fr-FR"/>
        </w:rPr>
        <w:t>05nov10</w:t>
      </w:r>
      <w:r w:rsidR="00E839AD">
        <w:rPr>
          <w:szCs w:val="18"/>
          <w:lang w:val="fr-FR"/>
        </w:rPr>
        <w:t>-</w:t>
      </w:r>
      <w:r w:rsidRPr="00581387">
        <w:rPr>
          <w:szCs w:val="18"/>
          <w:lang w:val="fr-FR"/>
        </w:rPr>
        <w:t>en.htm), d</w:t>
      </w:r>
      <w:r w:rsidR="00E839AD">
        <w:rPr>
          <w:szCs w:val="18"/>
          <w:lang w:val="fr-FR"/>
        </w:rPr>
        <w:t>’</w:t>
      </w:r>
      <w:r w:rsidRPr="00581387">
        <w:rPr>
          <w:szCs w:val="18"/>
          <w:lang w:val="fr-FR"/>
        </w:rPr>
        <w:t>étudier la possibilité d</w:t>
      </w:r>
      <w:r w:rsidR="00E839AD">
        <w:rPr>
          <w:szCs w:val="18"/>
          <w:lang w:val="fr-FR"/>
        </w:rPr>
        <w:t>’</w:t>
      </w:r>
      <w:r w:rsidRPr="00581387">
        <w:rPr>
          <w:szCs w:val="18"/>
          <w:lang w:val="fr-FR"/>
        </w:rPr>
        <w:t>étendre aux unités d</w:t>
      </w:r>
      <w:r w:rsidR="00E839AD">
        <w:rPr>
          <w:szCs w:val="18"/>
          <w:lang w:val="fr-FR"/>
        </w:rPr>
        <w:t>’</w:t>
      </w:r>
      <w:r w:rsidRPr="00581387">
        <w:rPr>
          <w:szCs w:val="18"/>
          <w:lang w:val="fr-FR"/>
        </w:rPr>
        <w:t>enregistrement la procédure postérieure à l</w:t>
      </w:r>
      <w:r w:rsidR="00E839AD">
        <w:rPr>
          <w:szCs w:val="18"/>
          <w:lang w:val="fr-FR"/>
        </w:rPr>
        <w:t>’</w:t>
      </w:r>
      <w:r w:rsidRPr="00581387">
        <w:rPr>
          <w:szCs w:val="18"/>
          <w:lang w:val="fr-FR"/>
        </w:rPr>
        <w:t>attribution</w:t>
      </w:r>
      <w:r>
        <w:rPr>
          <w:szCs w:val="18"/>
          <w:lang w:val="fr-FR"/>
        </w:rPr>
        <w:t xml:space="preserve"> </w:t>
      </w:r>
      <w:r w:rsidRPr="00581387">
        <w:rPr>
          <w:szCs w:val="18"/>
          <w:lang w:val="fr-FR"/>
        </w:rPr>
        <w:t>à l</w:t>
      </w:r>
      <w:r w:rsidR="00E839AD">
        <w:rPr>
          <w:szCs w:val="18"/>
          <w:lang w:val="fr-FR"/>
        </w:rPr>
        <w:t>’</w:t>
      </w:r>
      <w:r w:rsidRPr="00581387">
        <w:rPr>
          <w:szCs w:val="18"/>
          <w:lang w:val="fr-FR"/>
        </w:rPr>
        <w:t>intention des services d</w:t>
      </w:r>
      <w:r w:rsidR="00E839AD">
        <w:rPr>
          <w:szCs w:val="18"/>
          <w:lang w:val="fr-FR"/>
        </w:rPr>
        <w:t>’</w:t>
      </w:r>
      <w:r w:rsidRPr="00581387">
        <w:rPr>
          <w:szCs w:val="18"/>
          <w:lang w:val="fr-FR"/>
        </w:rPr>
        <w:t>enregistrement (voir, notamment, http://www.wipo.int/amc/en/docs/icann260310rap.pdf)</w:t>
      </w:r>
      <w:r w:rsidRPr="00781FE6">
        <w:rPr>
          <w:szCs w:val="18"/>
          <w:lang w:val="fr-FR"/>
        </w:rPr>
        <w:t>.</w:t>
      </w:r>
    </w:p>
  </w:footnote>
  <w:footnote w:id="38">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9C1D7E">
        <w:rPr>
          <w:lang w:val="fr-FR"/>
        </w:rPr>
        <w:t>La base de données permet l</w:t>
      </w:r>
      <w:r w:rsidR="00E839AD">
        <w:rPr>
          <w:lang w:val="fr-FR"/>
        </w:rPr>
        <w:t>’</w:t>
      </w:r>
      <w:r w:rsidRPr="009C1D7E">
        <w:rPr>
          <w:lang w:val="fr-FR"/>
        </w:rPr>
        <w:t>inclusion de toutes les marques textuelles enregistrées, de toutes marques</w:t>
      </w:r>
      <w:r>
        <w:rPr>
          <w:lang w:val="fr-FR"/>
        </w:rPr>
        <w:t xml:space="preserve"> </w:t>
      </w:r>
      <w:r w:rsidRPr="009C1D7E">
        <w:rPr>
          <w:lang w:val="fr-FR"/>
        </w:rPr>
        <w:t>textuelles protégées par un règlement ou un traité ou validées par un tribunal, ainsi que les “[a]</w:t>
      </w:r>
      <w:proofErr w:type="spellStart"/>
      <w:r w:rsidRPr="009C1D7E">
        <w:rPr>
          <w:lang w:val="fr-FR"/>
        </w:rPr>
        <w:t>utres</w:t>
      </w:r>
      <w:proofErr w:type="spellEnd"/>
      <w:r w:rsidRPr="009C1D7E">
        <w:rPr>
          <w:lang w:val="fr-FR"/>
        </w:rPr>
        <w:t xml:space="preserve"> marques</w:t>
      </w:r>
      <w:r>
        <w:rPr>
          <w:lang w:val="fr-FR"/>
        </w:rPr>
        <w:t xml:space="preserve"> </w:t>
      </w:r>
      <w:r w:rsidRPr="009C1D7E">
        <w:rPr>
          <w:lang w:val="fr-FR"/>
        </w:rPr>
        <w:t>constituant un objet de propriété intellectuelle” (cette dernière catégorie n</w:t>
      </w:r>
      <w:r w:rsidR="00E839AD">
        <w:rPr>
          <w:lang w:val="fr-FR"/>
        </w:rPr>
        <w:t>’</w:t>
      </w:r>
      <w:r w:rsidRPr="009C1D7E">
        <w:rPr>
          <w:lang w:val="fr-FR"/>
        </w:rPr>
        <w:t xml:space="preserve">étant pas définie). </w:t>
      </w:r>
      <w:r>
        <w:rPr>
          <w:lang w:val="fr-FR"/>
        </w:rPr>
        <w:t xml:space="preserve"> </w:t>
      </w:r>
      <w:r w:rsidRPr="009C1D7E">
        <w:rPr>
          <w:lang w:val="fr-FR"/>
        </w:rPr>
        <w:t>En ce qui concerne les</w:t>
      </w:r>
      <w:r>
        <w:rPr>
          <w:lang w:val="fr-FR"/>
        </w:rPr>
        <w:t xml:space="preserve"> </w:t>
      </w:r>
      <w:r w:rsidRPr="009C1D7E">
        <w:rPr>
          <w:lang w:val="fr-FR"/>
        </w:rPr>
        <w:t>mécanismes de protection des droits fondés sur la base de données, l</w:t>
      </w:r>
      <w:r w:rsidR="00E839AD">
        <w:rPr>
          <w:lang w:val="fr-FR"/>
        </w:rPr>
        <w:t>’</w:t>
      </w:r>
      <w:r w:rsidRPr="009C1D7E">
        <w:rPr>
          <w:lang w:val="fr-FR"/>
        </w:rPr>
        <w:t>ICANN propose actuellement de limiter</w:t>
      </w:r>
      <w:r>
        <w:rPr>
          <w:lang w:val="fr-FR"/>
        </w:rPr>
        <w:t xml:space="preserve"> </w:t>
      </w:r>
      <w:r w:rsidRPr="009C1D7E">
        <w:rPr>
          <w:lang w:val="fr-FR"/>
        </w:rPr>
        <w:t>l</w:t>
      </w:r>
      <w:r w:rsidR="00E839AD">
        <w:rPr>
          <w:lang w:val="fr-FR"/>
        </w:rPr>
        <w:t>’</w:t>
      </w:r>
      <w:r w:rsidRPr="009C1D7E">
        <w:rPr>
          <w:lang w:val="fr-FR"/>
        </w:rPr>
        <w:t>application des services “préliminaires” (c</w:t>
      </w:r>
      <w:r w:rsidR="00E839AD">
        <w:rPr>
          <w:lang w:val="fr-FR"/>
        </w:rPr>
        <w:t>’</w:t>
      </w:r>
      <w:r w:rsidRPr="009C1D7E">
        <w:rPr>
          <w:lang w:val="fr-FR"/>
        </w:rPr>
        <w:t>est</w:t>
      </w:r>
      <w:r w:rsidR="00E839AD">
        <w:rPr>
          <w:lang w:val="fr-FR"/>
        </w:rPr>
        <w:t>-</w:t>
      </w:r>
      <w:r w:rsidRPr="009C1D7E">
        <w:rPr>
          <w:lang w:val="fr-FR"/>
        </w:rPr>
        <w:t>à</w:t>
      </w:r>
      <w:r w:rsidR="00E839AD">
        <w:rPr>
          <w:lang w:val="fr-FR"/>
        </w:rPr>
        <w:t>-</w:t>
      </w:r>
      <w:r w:rsidRPr="009C1D7E">
        <w:rPr>
          <w:lang w:val="fr-FR"/>
        </w:rPr>
        <w:t>dire, la possibilité pour un propriétaire de marque d</w:t>
      </w:r>
      <w:r w:rsidR="00E839AD">
        <w:rPr>
          <w:lang w:val="fr-FR"/>
        </w:rPr>
        <w:t>’</w:t>
      </w:r>
      <w:r w:rsidRPr="009C1D7E">
        <w:rPr>
          <w:lang w:val="fr-FR"/>
        </w:rPr>
        <w:t>enregistrer de</w:t>
      </w:r>
      <w:r>
        <w:rPr>
          <w:lang w:val="fr-FR"/>
        </w:rPr>
        <w:t xml:space="preserve"> </w:t>
      </w:r>
      <w:r w:rsidRPr="009C1D7E">
        <w:rPr>
          <w:lang w:val="fr-FR"/>
        </w:rPr>
        <w:t>manière préventive en tant que nom de domaine, contre paiement d</w:t>
      </w:r>
      <w:r w:rsidR="00E839AD">
        <w:rPr>
          <w:lang w:val="fr-FR"/>
        </w:rPr>
        <w:t>’</w:t>
      </w:r>
      <w:r w:rsidRPr="009C1D7E">
        <w:rPr>
          <w:lang w:val="fr-FR"/>
        </w:rPr>
        <w:t>une taxe, une chaîne de caractères</w:t>
      </w:r>
      <w:r>
        <w:rPr>
          <w:lang w:val="fr-FR"/>
        </w:rPr>
        <w:t xml:space="preserve"> </w:t>
      </w:r>
      <w:r w:rsidRPr="009C1D7E">
        <w:rPr>
          <w:lang w:val="fr-FR"/>
        </w:rPr>
        <w:t>correspondant exactement à sa marque) aux marques dont l</w:t>
      </w:r>
      <w:r w:rsidR="00E839AD">
        <w:rPr>
          <w:lang w:val="fr-FR"/>
        </w:rPr>
        <w:t>’</w:t>
      </w:r>
      <w:r w:rsidRPr="009C1D7E">
        <w:rPr>
          <w:lang w:val="fr-FR"/>
        </w:rPr>
        <w:t xml:space="preserve">usage actuel peut être prouvé. </w:t>
      </w:r>
      <w:r>
        <w:rPr>
          <w:lang w:val="fr-FR"/>
        </w:rPr>
        <w:t xml:space="preserve"> </w:t>
      </w:r>
      <w:r w:rsidRPr="009C1D7E">
        <w:rPr>
          <w:lang w:val="fr-FR"/>
        </w:rPr>
        <w:t>Que l</w:t>
      </w:r>
      <w:r w:rsidR="00E839AD">
        <w:rPr>
          <w:lang w:val="fr-FR"/>
        </w:rPr>
        <w:t>’</w:t>
      </w:r>
      <w:r w:rsidRPr="009C1D7E">
        <w:rPr>
          <w:lang w:val="fr-FR"/>
        </w:rPr>
        <w:t>usage actuel soit</w:t>
      </w:r>
      <w:r>
        <w:rPr>
          <w:lang w:val="fr-FR"/>
        </w:rPr>
        <w:t xml:space="preserve"> </w:t>
      </w:r>
      <w:r w:rsidRPr="009C1D7E">
        <w:rPr>
          <w:lang w:val="fr-FR"/>
        </w:rPr>
        <w:t>ou non prouvé, les propriétaires de marques pourraient participer à un système de “contentieux” d</w:t>
      </w:r>
      <w:r w:rsidR="00E839AD">
        <w:rPr>
          <w:lang w:val="fr-FR"/>
        </w:rPr>
        <w:t>’</w:t>
      </w:r>
      <w:r w:rsidRPr="009C1D7E">
        <w:rPr>
          <w:lang w:val="fr-FR"/>
        </w:rPr>
        <w:t>une durée limitée</w:t>
      </w:r>
      <w:r>
        <w:rPr>
          <w:lang w:val="fr-FR"/>
        </w:rPr>
        <w:t xml:space="preserve"> </w:t>
      </w:r>
      <w:r w:rsidRPr="009C1D7E">
        <w:rPr>
          <w:lang w:val="fr-FR"/>
        </w:rPr>
        <w:t>(permettant de notifier au demandeur d</w:t>
      </w:r>
      <w:r w:rsidR="00E839AD">
        <w:rPr>
          <w:lang w:val="fr-FR"/>
        </w:rPr>
        <w:t>’</w:t>
      </w:r>
      <w:r w:rsidRPr="009C1D7E">
        <w:rPr>
          <w:lang w:val="fr-FR"/>
        </w:rPr>
        <w:t>un nom de domaine l</w:t>
      </w:r>
      <w:r w:rsidR="00E839AD">
        <w:rPr>
          <w:lang w:val="fr-FR"/>
        </w:rPr>
        <w:t>’</w:t>
      </w:r>
      <w:r w:rsidRPr="009C1D7E">
        <w:rPr>
          <w:lang w:val="fr-FR"/>
        </w:rPr>
        <w:t>existence d</w:t>
      </w:r>
      <w:r w:rsidR="00E839AD">
        <w:rPr>
          <w:lang w:val="fr-FR"/>
        </w:rPr>
        <w:t>’</w:t>
      </w:r>
      <w:r w:rsidRPr="009C1D7E">
        <w:rPr>
          <w:lang w:val="fr-FR"/>
        </w:rPr>
        <w:t>un conflit potentiel avec un droit attaché à</w:t>
      </w:r>
      <w:r>
        <w:rPr>
          <w:lang w:val="fr-FR"/>
        </w:rPr>
        <w:t xml:space="preserve"> </w:t>
      </w:r>
      <w:r w:rsidRPr="009C1D7E">
        <w:rPr>
          <w:lang w:val="fr-FR"/>
        </w:rPr>
        <w:t>une marque, et d</w:t>
      </w:r>
      <w:r w:rsidR="00E839AD">
        <w:rPr>
          <w:lang w:val="fr-FR"/>
        </w:rPr>
        <w:t>’</w:t>
      </w:r>
      <w:r w:rsidRPr="009C1D7E">
        <w:rPr>
          <w:lang w:val="fr-FR"/>
        </w:rPr>
        <w:t>informer les propriétaires de marques concernés dans le cas où le demandeur procéderait tout de</w:t>
      </w:r>
      <w:r>
        <w:rPr>
          <w:lang w:val="fr-FR"/>
        </w:rPr>
        <w:t xml:space="preserve"> </w:t>
      </w:r>
      <w:r w:rsidRPr="009C1D7E">
        <w:rPr>
          <w:lang w:val="fr-FR"/>
        </w:rPr>
        <w:t>même à l</w:t>
      </w:r>
      <w:r w:rsidR="00E839AD">
        <w:rPr>
          <w:lang w:val="fr-FR"/>
        </w:rPr>
        <w:t>’</w:t>
      </w:r>
      <w:r w:rsidRPr="009C1D7E">
        <w:rPr>
          <w:lang w:val="fr-FR"/>
        </w:rPr>
        <w:t xml:space="preserve">enregistrement du nom de domaine). </w:t>
      </w:r>
      <w:r>
        <w:rPr>
          <w:lang w:val="fr-FR"/>
        </w:rPr>
        <w:t xml:space="preserve"> </w:t>
      </w:r>
      <w:r w:rsidRPr="009C1D7E">
        <w:rPr>
          <w:lang w:val="fr-FR"/>
        </w:rPr>
        <w:t>Comme le prescrit l</w:t>
      </w:r>
      <w:r w:rsidR="00E839AD">
        <w:rPr>
          <w:lang w:val="fr-FR"/>
        </w:rPr>
        <w:t>’</w:t>
      </w:r>
      <w:r w:rsidRPr="009C1D7E">
        <w:rPr>
          <w:lang w:val="fr-FR"/>
        </w:rPr>
        <w:t>ICANN, le système de “contentieux” est limité à</w:t>
      </w:r>
      <w:r>
        <w:rPr>
          <w:lang w:val="fr-FR"/>
        </w:rPr>
        <w:t xml:space="preserve"> </w:t>
      </w:r>
      <w:r w:rsidRPr="009C1D7E">
        <w:rPr>
          <w:lang w:val="fr-FR"/>
        </w:rPr>
        <w:t>une durée de 90</w:t>
      </w:r>
      <w:r w:rsidR="00054A64">
        <w:rPr>
          <w:lang w:val="fr-FR"/>
        </w:rPr>
        <w:t> </w:t>
      </w:r>
      <w:r w:rsidRPr="009C1D7E">
        <w:rPr>
          <w:lang w:val="fr-FR"/>
        </w:rPr>
        <w:t>jours à compter de la date d</w:t>
      </w:r>
      <w:r w:rsidR="00E839AD">
        <w:rPr>
          <w:lang w:val="fr-FR"/>
        </w:rPr>
        <w:t>’</w:t>
      </w:r>
      <w:r w:rsidRPr="009C1D7E">
        <w:rPr>
          <w:lang w:val="fr-FR"/>
        </w:rPr>
        <w:t>ouverture au public de l</w:t>
      </w:r>
      <w:r w:rsidR="00E839AD">
        <w:rPr>
          <w:lang w:val="fr-FR"/>
        </w:rPr>
        <w:t>’</w:t>
      </w:r>
      <w:r w:rsidRPr="009C1D7E">
        <w:rPr>
          <w:lang w:val="fr-FR"/>
        </w:rPr>
        <w:t>enregistrement d</w:t>
      </w:r>
      <w:r w:rsidR="00E839AD">
        <w:rPr>
          <w:lang w:val="fr-FR"/>
        </w:rPr>
        <w:t>’</w:t>
      </w:r>
      <w:r w:rsidRPr="009C1D7E">
        <w:rPr>
          <w:lang w:val="fr-FR"/>
        </w:rPr>
        <w:t>un nouveau gTLD, mais les</w:t>
      </w:r>
      <w:r>
        <w:rPr>
          <w:lang w:val="fr-FR"/>
        </w:rPr>
        <w:t xml:space="preserve"> </w:t>
      </w:r>
      <w:r w:rsidRPr="009C1D7E">
        <w:rPr>
          <w:lang w:val="fr-FR"/>
        </w:rPr>
        <w:t xml:space="preserve">utilisateurs de la base de données peuvent choisir de recevoir des notifications indéfiniment. </w:t>
      </w:r>
      <w:r>
        <w:rPr>
          <w:lang w:val="fr-FR"/>
        </w:rPr>
        <w:t xml:space="preserve"> </w:t>
      </w:r>
      <w:r w:rsidRPr="009C1D7E">
        <w:rPr>
          <w:lang w:val="fr-FR"/>
        </w:rPr>
        <w:t>La preuve de l</w:t>
      </w:r>
      <w:r w:rsidR="00E839AD">
        <w:rPr>
          <w:lang w:val="fr-FR"/>
        </w:rPr>
        <w:t>’</w:t>
      </w:r>
      <w:r w:rsidRPr="009C1D7E">
        <w:rPr>
          <w:lang w:val="fr-FR"/>
        </w:rPr>
        <w:t>usage</w:t>
      </w:r>
      <w:r>
        <w:rPr>
          <w:lang w:val="fr-FR"/>
        </w:rPr>
        <w:t xml:space="preserve"> </w:t>
      </w:r>
      <w:r w:rsidRPr="009C1D7E">
        <w:rPr>
          <w:lang w:val="fr-FR"/>
        </w:rPr>
        <w:t>requise pour les services préliminaires s</w:t>
      </w:r>
      <w:r w:rsidR="00E839AD">
        <w:rPr>
          <w:lang w:val="fr-FR"/>
        </w:rPr>
        <w:t>’</w:t>
      </w:r>
      <w:r w:rsidRPr="009C1D7E">
        <w:rPr>
          <w:lang w:val="fr-FR"/>
        </w:rPr>
        <w:t>applique de la même manière à l</w:t>
      </w:r>
      <w:r w:rsidR="00E839AD">
        <w:rPr>
          <w:lang w:val="fr-FR"/>
        </w:rPr>
        <w:t>’</w:t>
      </w:r>
      <w:r w:rsidRPr="009C1D7E">
        <w:rPr>
          <w:lang w:val="fr-FR"/>
        </w:rPr>
        <w:t>invocation de marques comme motif de</w:t>
      </w:r>
      <w:r>
        <w:rPr>
          <w:lang w:val="fr-FR"/>
        </w:rPr>
        <w:t xml:space="preserve"> </w:t>
      </w:r>
      <w:r w:rsidRPr="009C1D7E">
        <w:rPr>
          <w:lang w:val="fr-FR"/>
        </w:rPr>
        <w:t>dépôt de plaintes en vertu du mécanisme de suspension uniforme rapide décrit dans le présent paragraphe.</w:t>
      </w:r>
    </w:p>
  </w:footnote>
  <w:footnote w:id="39">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Pr>
          <w:szCs w:val="18"/>
          <w:lang w:val="fr-FR"/>
        </w:rPr>
        <w:t>Voir</w:t>
      </w:r>
      <w:r w:rsidRPr="00781FE6">
        <w:rPr>
          <w:szCs w:val="18"/>
          <w:lang w:val="fr-FR"/>
        </w:rPr>
        <w:t xml:space="preserve"> http://trademark</w:t>
      </w:r>
      <w:r w:rsidR="00E839AD">
        <w:rPr>
          <w:szCs w:val="18"/>
          <w:lang w:val="fr-FR"/>
        </w:rPr>
        <w:t>-</w:t>
      </w:r>
      <w:r w:rsidRPr="00781FE6">
        <w:rPr>
          <w:szCs w:val="18"/>
          <w:lang w:val="fr-FR"/>
        </w:rPr>
        <w:t>clearinghouse.com/content/tmch</w:t>
      </w:r>
      <w:r w:rsidR="00E839AD">
        <w:rPr>
          <w:szCs w:val="18"/>
          <w:lang w:val="fr-FR"/>
        </w:rPr>
        <w:t>-</w:t>
      </w:r>
      <w:r w:rsidRPr="00781FE6">
        <w:rPr>
          <w:szCs w:val="18"/>
          <w:lang w:val="fr-FR"/>
        </w:rPr>
        <w:t>stats.</w:t>
      </w:r>
    </w:p>
  </w:footnote>
  <w:footnote w:id="40">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40274B">
        <w:rPr>
          <w:lang w:val="fr-FR"/>
        </w:rPr>
        <w:t>Le Centre a pour sa part transmis à l</w:t>
      </w:r>
      <w:r w:rsidR="00E839AD">
        <w:rPr>
          <w:lang w:val="fr-FR"/>
        </w:rPr>
        <w:t>’</w:t>
      </w:r>
      <w:r w:rsidRPr="0040274B">
        <w:rPr>
          <w:lang w:val="fr-FR"/>
        </w:rPr>
        <w:t xml:space="preserve">ICANN, en </w:t>
      </w:r>
      <w:r w:rsidR="00E839AD" w:rsidRPr="0040274B">
        <w:rPr>
          <w:lang w:val="fr-FR"/>
        </w:rPr>
        <w:t>avril</w:t>
      </w:r>
      <w:r w:rsidR="00E839AD">
        <w:rPr>
          <w:lang w:val="fr-FR"/>
        </w:rPr>
        <w:t> </w:t>
      </w:r>
      <w:r w:rsidR="00E839AD" w:rsidRPr="0040274B">
        <w:rPr>
          <w:lang w:val="fr-FR"/>
        </w:rPr>
        <w:t>20</w:t>
      </w:r>
      <w:r w:rsidRPr="0040274B">
        <w:rPr>
          <w:lang w:val="fr-FR"/>
        </w:rPr>
        <w:t>09, un projet concernant un “mécanisme de</w:t>
      </w:r>
      <w:r>
        <w:rPr>
          <w:lang w:val="fr-FR"/>
        </w:rPr>
        <w:t xml:space="preserve"> </w:t>
      </w:r>
      <w:r w:rsidRPr="0040274B">
        <w:rPr>
          <w:lang w:val="fr-FR"/>
        </w:rPr>
        <w:t>suspension accéléré (des noms de domaine)”, (voir http://www.wipo.int/amc/en/docs/icann030409.pdf) et a ensuite</w:t>
      </w:r>
      <w:r>
        <w:rPr>
          <w:lang w:val="fr-FR"/>
        </w:rPr>
        <w:t xml:space="preserve"> </w:t>
      </w:r>
      <w:r w:rsidRPr="0040274B">
        <w:rPr>
          <w:lang w:val="fr-FR"/>
        </w:rPr>
        <w:t>fait des propositions en faveur d</w:t>
      </w:r>
      <w:r w:rsidR="00E839AD">
        <w:rPr>
          <w:lang w:val="fr-FR"/>
        </w:rPr>
        <w:t>’</w:t>
      </w:r>
      <w:r w:rsidRPr="0040274B">
        <w:rPr>
          <w:lang w:val="fr-FR"/>
        </w:rPr>
        <w:t>un mécanisme simplifié reposant sur ce modèle lors des réunions de l</w:t>
      </w:r>
      <w:r w:rsidR="00E839AD">
        <w:rPr>
          <w:lang w:val="fr-FR"/>
        </w:rPr>
        <w:t>’</w:t>
      </w:r>
      <w:r w:rsidRPr="0040274B">
        <w:rPr>
          <w:lang w:val="fr-FR"/>
        </w:rPr>
        <w:t>ICANN (voir</w:t>
      </w:r>
      <w:r>
        <w:rPr>
          <w:lang w:val="fr-FR"/>
        </w:rPr>
        <w:t xml:space="preserve"> </w:t>
      </w:r>
      <w:r w:rsidRPr="0040274B">
        <w:rPr>
          <w:lang w:val="fr-FR"/>
        </w:rPr>
        <w:t xml:space="preserve">http://prague44.icann.org/node/31773 et http://toronto45.icann.org/node/34325). </w:t>
      </w:r>
      <w:r>
        <w:rPr>
          <w:lang w:val="fr-FR"/>
        </w:rPr>
        <w:t xml:space="preserve"> </w:t>
      </w:r>
      <w:r w:rsidRPr="0040274B">
        <w:rPr>
          <w:lang w:val="fr-FR"/>
        </w:rPr>
        <w:t>Ces propositions tenaient compte</w:t>
      </w:r>
      <w:r>
        <w:rPr>
          <w:lang w:val="fr-FR"/>
        </w:rPr>
        <w:t xml:space="preserve"> </w:t>
      </w:r>
      <w:r w:rsidRPr="0040274B">
        <w:rPr>
          <w:lang w:val="fr-FR"/>
        </w:rPr>
        <w:t>de la nécessité d</w:t>
      </w:r>
      <w:r w:rsidR="00E839AD">
        <w:rPr>
          <w:lang w:val="fr-FR"/>
        </w:rPr>
        <w:t>’</w:t>
      </w:r>
      <w:r w:rsidRPr="0040274B">
        <w:rPr>
          <w:lang w:val="fr-FR"/>
        </w:rPr>
        <w:t>établir un équilibre entre la protection des droits sur les marques reconnus par la loi, les intérêts</w:t>
      </w:r>
      <w:r>
        <w:rPr>
          <w:lang w:val="fr-FR"/>
        </w:rPr>
        <w:t xml:space="preserve"> </w:t>
      </w:r>
      <w:r w:rsidRPr="0040274B">
        <w:rPr>
          <w:lang w:val="fr-FR"/>
        </w:rPr>
        <w:t>concrets des opérateurs de services d</w:t>
      </w:r>
      <w:r w:rsidR="00E839AD">
        <w:rPr>
          <w:lang w:val="fr-FR"/>
        </w:rPr>
        <w:t>’</w:t>
      </w:r>
      <w:r w:rsidRPr="0040274B">
        <w:rPr>
          <w:lang w:val="fr-FR"/>
        </w:rPr>
        <w:t>enregistrement respectueux des règles qui veulent réduire autant que possible</w:t>
      </w:r>
      <w:r>
        <w:rPr>
          <w:lang w:val="fr-FR"/>
        </w:rPr>
        <w:t xml:space="preserve"> </w:t>
      </w:r>
      <w:r w:rsidRPr="0040274B">
        <w:rPr>
          <w:lang w:val="fr-FR"/>
        </w:rPr>
        <w:t>leurs frais de fonctionnement, et les attentes légitimes des détenteurs de noms de domaine enregistrés de bonne foi.</w:t>
      </w:r>
    </w:p>
  </w:footnote>
  <w:footnote w:id="41">
    <w:p w:rsidR="00065824" w:rsidRPr="00781FE6" w:rsidRDefault="00065824" w:rsidP="00B36AF7">
      <w:pPr>
        <w:pStyle w:val="FootnoteText"/>
        <w:rPr>
          <w:szCs w:val="18"/>
          <w:lang w:val="fr-FR"/>
        </w:rPr>
      </w:pPr>
      <w:r w:rsidRPr="00781FE6">
        <w:rPr>
          <w:rStyle w:val="FootnoteReference"/>
          <w:lang w:val="fr-FR"/>
        </w:rPr>
        <w:footnoteRef/>
      </w:r>
      <w:r w:rsidRPr="00781FE6">
        <w:rPr>
          <w:szCs w:val="18"/>
          <w:lang w:val="fr-FR"/>
        </w:rPr>
        <w:t xml:space="preserve"> </w:t>
      </w:r>
      <w:r w:rsidRPr="00781FE6">
        <w:rPr>
          <w:szCs w:val="18"/>
          <w:lang w:val="fr-FR"/>
        </w:rPr>
        <w:tab/>
      </w:r>
      <w:r w:rsidRPr="004C6F6E">
        <w:rPr>
          <w:szCs w:val="18"/>
          <w:lang w:val="fr-FR"/>
        </w:rPr>
        <w:t>Une liste extensive de ces questions figure notamment dans la lettre du Centre adressée à l</w:t>
      </w:r>
      <w:r w:rsidR="00E839AD">
        <w:rPr>
          <w:szCs w:val="18"/>
          <w:lang w:val="fr-FR"/>
        </w:rPr>
        <w:t>’</w:t>
      </w:r>
      <w:r w:rsidRPr="004C6F6E">
        <w:rPr>
          <w:szCs w:val="18"/>
          <w:lang w:val="fr-FR"/>
        </w:rPr>
        <w:t>ICANN le</w:t>
      </w:r>
      <w:r>
        <w:rPr>
          <w:szCs w:val="18"/>
          <w:lang w:val="fr-FR"/>
        </w:rPr>
        <w:t xml:space="preserve"> </w:t>
      </w:r>
      <w:r w:rsidR="00E839AD" w:rsidRPr="004C6F6E">
        <w:rPr>
          <w:szCs w:val="18"/>
          <w:lang w:val="fr-FR"/>
        </w:rPr>
        <w:t>2</w:t>
      </w:r>
      <w:r w:rsidR="00E839AD">
        <w:rPr>
          <w:szCs w:val="18"/>
          <w:lang w:val="fr-FR"/>
        </w:rPr>
        <w:t> </w:t>
      </w:r>
      <w:r w:rsidR="00E839AD" w:rsidRPr="004C6F6E">
        <w:rPr>
          <w:szCs w:val="18"/>
          <w:lang w:val="fr-FR"/>
        </w:rPr>
        <w:t>décembre</w:t>
      </w:r>
      <w:r w:rsidR="00E839AD">
        <w:rPr>
          <w:szCs w:val="18"/>
          <w:lang w:val="fr-FR"/>
        </w:rPr>
        <w:t> </w:t>
      </w:r>
      <w:r w:rsidR="00E839AD" w:rsidRPr="004C6F6E">
        <w:rPr>
          <w:szCs w:val="18"/>
          <w:lang w:val="fr-FR"/>
        </w:rPr>
        <w:t>20</w:t>
      </w:r>
      <w:r w:rsidRPr="004C6F6E">
        <w:rPr>
          <w:szCs w:val="18"/>
          <w:lang w:val="fr-FR"/>
        </w:rPr>
        <w:t>10, publiée à l</w:t>
      </w:r>
      <w:r w:rsidR="00E839AD">
        <w:rPr>
          <w:szCs w:val="18"/>
          <w:lang w:val="fr-FR"/>
        </w:rPr>
        <w:t>’</w:t>
      </w:r>
      <w:r w:rsidRPr="004C6F6E">
        <w:rPr>
          <w:szCs w:val="18"/>
          <w:lang w:val="fr-FR"/>
        </w:rPr>
        <w:t>adresse</w:t>
      </w:r>
      <w:r w:rsidR="00054A64">
        <w:rPr>
          <w:szCs w:val="18"/>
          <w:lang w:val="fr-FR"/>
        </w:rPr>
        <w:t> </w:t>
      </w:r>
      <w:r w:rsidRPr="004C6F6E">
        <w:rPr>
          <w:szCs w:val="18"/>
          <w:lang w:val="fr-FR"/>
        </w:rPr>
        <w:t>http://www.wipo.int/amc/en/docs/icann021210.pdf.</w:t>
      </w:r>
      <w:r w:rsidRPr="00781FE6">
        <w:rPr>
          <w:szCs w:val="18"/>
          <w:lang w:val="fr-FR"/>
        </w:rPr>
        <w:t xml:space="preserve"> </w:t>
      </w:r>
    </w:p>
  </w:footnote>
  <w:footnote w:id="42">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Pr="001D09A7">
        <w:rPr>
          <w:szCs w:val="18"/>
          <w:lang w:val="fr-FR"/>
        </w:rPr>
        <w:t>La question de l</w:t>
      </w:r>
      <w:r w:rsidR="00E839AD">
        <w:rPr>
          <w:szCs w:val="18"/>
          <w:lang w:val="fr-FR"/>
        </w:rPr>
        <w:t>’</w:t>
      </w:r>
      <w:r w:rsidRPr="001D09A7">
        <w:rPr>
          <w:szCs w:val="18"/>
          <w:lang w:val="fr-FR"/>
        </w:rPr>
        <w:t>accréditation des prestataires suscite des craintes quant à la stabilité des mécanismes de</w:t>
      </w:r>
      <w:r>
        <w:rPr>
          <w:szCs w:val="18"/>
          <w:lang w:val="fr-FR"/>
        </w:rPr>
        <w:t xml:space="preserve"> </w:t>
      </w:r>
      <w:r w:rsidRPr="001D09A7">
        <w:rPr>
          <w:szCs w:val="18"/>
          <w:lang w:val="fr-FR"/>
        </w:rPr>
        <w:t xml:space="preserve">protection des droits; </w:t>
      </w:r>
      <w:r w:rsidR="005C03F2">
        <w:rPr>
          <w:szCs w:val="18"/>
          <w:lang w:val="fr-FR"/>
        </w:rPr>
        <w:t xml:space="preserve"> </w:t>
      </w:r>
      <w:r w:rsidRPr="001D09A7">
        <w:rPr>
          <w:szCs w:val="18"/>
          <w:lang w:val="fr-FR"/>
        </w:rPr>
        <w:t>l</w:t>
      </w:r>
      <w:r w:rsidR="00E839AD">
        <w:rPr>
          <w:szCs w:val="18"/>
          <w:lang w:val="fr-FR"/>
        </w:rPr>
        <w:t>’</w:t>
      </w:r>
      <w:r w:rsidRPr="001D09A7">
        <w:rPr>
          <w:szCs w:val="18"/>
          <w:lang w:val="fr-FR"/>
        </w:rPr>
        <w:t>OMPI s</w:t>
      </w:r>
      <w:r w:rsidR="00E839AD">
        <w:rPr>
          <w:szCs w:val="18"/>
          <w:lang w:val="fr-FR"/>
        </w:rPr>
        <w:t>’</w:t>
      </w:r>
      <w:r w:rsidRPr="001D09A7">
        <w:rPr>
          <w:szCs w:val="18"/>
          <w:lang w:val="fr-FR"/>
        </w:rPr>
        <w:t>était inquiétée de cette question dès 2007, dans le cadre des principes UDRP (voir</w:t>
      </w:r>
      <w:r>
        <w:rPr>
          <w:szCs w:val="18"/>
          <w:lang w:val="fr-FR"/>
        </w:rPr>
        <w:t xml:space="preserve"> </w:t>
      </w:r>
      <w:r w:rsidRPr="001D09A7">
        <w:rPr>
          <w:szCs w:val="18"/>
          <w:lang w:val="fr-FR"/>
        </w:rPr>
        <w:t>http://www.wipo.int/amc/en/docs/icann040707.pdf).</w:t>
      </w:r>
    </w:p>
  </w:footnote>
  <w:footnote w:id="43">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Pr="00805765">
        <w:rPr>
          <w:szCs w:val="18"/>
          <w:lang w:val="fr-FR"/>
        </w:rPr>
        <w:t xml:space="preserve">Voir https://community.icann.org/display/gnsoudrpdt/Webinar+on+the+Current+State+of+the+UDRP; </w:t>
      </w:r>
      <w:r>
        <w:rPr>
          <w:szCs w:val="18"/>
          <w:lang w:val="fr-FR"/>
        </w:rPr>
        <w:t xml:space="preserve"> </w:t>
      </w:r>
      <w:proofErr w:type="spellStart"/>
      <w:r w:rsidRPr="00805765">
        <w:rPr>
          <w:szCs w:val="18"/>
          <w:lang w:val="fr-FR"/>
        </w:rPr>
        <w:t>voir</w:t>
      </w:r>
      <w:proofErr w:type="spellEnd"/>
      <w:r>
        <w:rPr>
          <w:szCs w:val="18"/>
          <w:lang w:val="fr-FR"/>
        </w:rPr>
        <w:t xml:space="preserve"> </w:t>
      </w:r>
      <w:r w:rsidRPr="00805765">
        <w:rPr>
          <w:szCs w:val="18"/>
          <w:lang w:val="fr-FR"/>
        </w:rPr>
        <w:t xml:space="preserve">également de manière plus générale le </w:t>
      </w:r>
      <w:r w:rsidR="00E839AD" w:rsidRPr="00805765">
        <w:rPr>
          <w:szCs w:val="18"/>
          <w:lang w:val="fr-FR"/>
        </w:rPr>
        <w:t>paragraphe</w:t>
      </w:r>
      <w:r w:rsidR="00E839AD">
        <w:rPr>
          <w:szCs w:val="18"/>
          <w:lang w:val="fr-FR"/>
        </w:rPr>
        <w:t> </w:t>
      </w:r>
      <w:r w:rsidR="00E839AD" w:rsidRPr="00805765">
        <w:rPr>
          <w:szCs w:val="18"/>
          <w:lang w:val="fr-FR"/>
        </w:rPr>
        <w:t>3</w:t>
      </w:r>
      <w:r w:rsidRPr="00805765">
        <w:rPr>
          <w:szCs w:val="18"/>
          <w:lang w:val="fr-FR"/>
        </w:rPr>
        <w:t>1 du document</w:t>
      </w:r>
      <w:r w:rsidR="00054A64">
        <w:rPr>
          <w:szCs w:val="18"/>
          <w:lang w:val="fr-FR"/>
        </w:rPr>
        <w:t> </w:t>
      </w:r>
      <w:r w:rsidRPr="00805765">
        <w:rPr>
          <w:szCs w:val="18"/>
          <w:lang w:val="fr-FR"/>
        </w:rPr>
        <w:t>WO/GA/39/10.</w:t>
      </w:r>
    </w:p>
  </w:footnote>
  <w:footnote w:id="44">
    <w:p w:rsidR="00065824" w:rsidRPr="00781FE6" w:rsidRDefault="00065824" w:rsidP="00B36AF7">
      <w:pPr>
        <w:pStyle w:val="FootnoteText"/>
        <w:tabs>
          <w:tab w:val="left" w:pos="567"/>
        </w:tabs>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http://gnso.icann.org/en/issues/new</w:t>
      </w:r>
      <w:r w:rsidR="00E839AD">
        <w:rPr>
          <w:lang w:val="fr-FR"/>
        </w:rPr>
        <w:t>-</w:t>
      </w:r>
      <w:r w:rsidRPr="00781FE6">
        <w:rPr>
          <w:lang w:val="fr-FR"/>
        </w:rPr>
        <w:t>gtlds/rpm</w:t>
      </w:r>
      <w:r w:rsidR="00E839AD">
        <w:rPr>
          <w:lang w:val="fr-FR"/>
        </w:rPr>
        <w:t>-</w:t>
      </w:r>
      <w:r w:rsidRPr="00781FE6">
        <w:rPr>
          <w:lang w:val="fr-FR"/>
        </w:rPr>
        <w:t>prelim</w:t>
      </w:r>
      <w:r w:rsidR="00E839AD">
        <w:rPr>
          <w:lang w:val="fr-FR"/>
        </w:rPr>
        <w:t>-</w:t>
      </w:r>
      <w:r w:rsidRPr="00781FE6">
        <w:rPr>
          <w:lang w:val="fr-FR"/>
        </w:rPr>
        <w:t>issue</w:t>
      </w:r>
      <w:r w:rsidR="00E839AD">
        <w:rPr>
          <w:lang w:val="fr-FR"/>
        </w:rPr>
        <w:t>-</w:t>
      </w:r>
      <w:r w:rsidRPr="00781FE6">
        <w:rPr>
          <w:lang w:val="fr-FR"/>
        </w:rPr>
        <w:t>09oct15</w:t>
      </w:r>
      <w:r w:rsidR="00E839AD">
        <w:rPr>
          <w:lang w:val="fr-FR"/>
        </w:rPr>
        <w:t>-</w:t>
      </w:r>
      <w:r w:rsidRPr="00781FE6">
        <w:rPr>
          <w:lang w:val="fr-FR"/>
        </w:rPr>
        <w:t>en.pdf.</w:t>
      </w:r>
    </w:p>
  </w:footnote>
  <w:footnote w:id="45">
    <w:p w:rsidR="00065824" w:rsidRPr="00781FE6" w:rsidRDefault="00065824" w:rsidP="00B36AF7">
      <w:pPr>
        <w:pStyle w:val="FootnoteText"/>
        <w:tabs>
          <w:tab w:val="left" w:pos="567"/>
        </w:tabs>
        <w:rPr>
          <w:lang w:val="fr-FR"/>
        </w:rPr>
      </w:pPr>
      <w:r w:rsidRPr="00781FE6">
        <w:rPr>
          <w:rStyle w:val="FootnoteReference"/>
          <w:lang w:val="fr-FR"/>
        </w:rPr>
        <w:footnoteRef/>
      </w:r>
      <w:r w:rsidRPr="00781FE6">
        <w:rPr>
          <w:lang w:val="fr-FR"/>
        </w:rPr>
        <w:t xml:space="preserve"> </w:t>
      </w:r>
      <w:r w:rsidRPr="00781FE6">
        <w:rPr>
          <w:lang w:val="fr-FR"/>
        </w:rPr>
        <w:tab/>
      </w:r>
      <w:r>
        <w:rPr>
          <w:lang w:val="fr-FR"/>
        </w:rPr>
        <w:t>Voir</w:t>
      </w:r>
      <w:r w:rsidRPr="00781FE6">
        <w:rPr>
          <w:lang w:val="fr-FR"/>
        </w:rPr>
        <w:t xml:space="preserve"> https://gnso.icann.org/en/issues/new</w:t>
      </w:r>
      <w:r w:rsidR="00E839AD">
        <w:rPr>
          <w:lang w:val="fr-FR"/>
        </w:rPr>
        <w:t>-</w:t>
      </w:r>
      <w:r w:rsidRPr="00781FE6">
        <w:rPr>
          <w:lang w:val="fr-FR"/>
        </w:rPr>
        <w:t>gtlds/rpm</w:t>
      </w:r>
      <w:r w:rsidR="00E839AD">
        <w:rPr>
          <w:lang w:val="fr-FR"/>
        </w:rPr>
        <w:t>-</w:t>
      </w:r>
      <w:r w:rsidRPr="00781FE6">
        <w:rPr>
          <w:lang w:val="fr-FR"/>
        </w:rPr>
        <w:t>final</w:t>
      </w:r>
      <w:r w:rsidR="00E839AD">
        <w:rPr>
          <w:lang w:val="fr-FR"/>
        </w:rPr>
        <w:t>-</w:t>
      </w:r>
      <w:r w:rsidRPr="00781FE6">
        <w:rPr>
          <w:lang w:val="fr-FR"/>
        </w:rPr>
        <w:t>issue</w:t>
      </w:r>
      <w:r w:rsidR="00E839AD">
        <w:rPr>
          <w:lang w:val="fr-FR"/>
        </w:rPr>
        <w:t>-</w:t>
      </w:r>
      <w:r w:rsidRPr="00781FE6">
        <w:rPr>
          <w:lang w:val="fr-FR"/>
        </w:rPr>
        <w:t>11jan16</w:t>
      </w:r>
      <w:r w:rsidR="00E839AD">
        <w:rPr>
          <w:lang w:val="fr-FR"/>
        </w:rPr>
        <w:t>-</w:t>
      </w:r>
      <w:r w:rsidRPr="00781FE6">
        <w:rPr>
          <w:lang w:val="fr-FR"/>
        </w:rPr>
        <w:t>en.pdf.</w:t>
      </w:r>
    </w:p>
  </w:footnote>
  <w:footnote w:id="46">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Pr="00805765">
        <w:rPr>
          <w:lang w:val="fr-FR"/>
        </w:rPr>
        <w:t>Voir également le plan final de l</w:t>
      </w:r>
      <w:r w:rsidR="00E839AD">
        <w:rPr>
          <w:lang w:val="fr-FR"/>
        </w:rPr>
        <w:t>’</w:t>
      </w:r>
      <w:r w:rsidRPr="00805765">
        <w:rPr>
          <w:lang w:val="fr-FR"/>
        </w:rPr>
        <w:t>ICANN pour la mise en œuvre d</w:t>
      </w:r>
      <w:r w:rsidR="00E839AD">
        <w:rPr>
          <w:lang w:val="fr-FR"/>
        </w:rPr>
        <w:t>’</w:t>
      </w:r>
      <w:r w:rsidRPr="00805765">
        <w:rPr>
          <w:lang w:val="fr-FR"/>
        </w:rPr>
        <w:t>un processus accéléré d</w:t>
      </w:r>
      <w:r w:rsidR="00E839AD">
        <w:rPr>
          <w:lang w:val="fr-FR"/>
        </w:rPr>
        <w:t>’</w:t>
      </w:r>
      <w:r w:rsidRPr="00805765">
        <w:rPr>
          <w:lang w:val="fr-FR"/>
        </w:rPr>
        <w:t>établissement de</w:t>
      </w:r>
      <w:r>
        <w:rPr>
          <w:lang w:val="fr-FR"/>
        </w:rPr>
        <w:t xml:space="preserve"> </w:t>
      </w:r>
      <w:r w:rsidRPr="00805765">
        <w:rPr>
          <w:lang w:val="fr-FR"/>
        </w:rPr>
        <w:t xml:space="preserve">noms de ccTLD internationalisés publié en </w:t>
      </w:r>
      <w:r w:rsidR="00E839AD" w:rsidRPr="00805765">
        <w:rPr>
          <w:lang w:val="fr-FR"/>
        </w:rPr>
        <w:t>novembre</w:t>
      </w:r>
      <w:r w:rsidR="00E839AD">
        <w:rPr>
          <w:lang w:val="fr-FR"/>
        </w:rPr>
        <w:t> </w:t>
      </w:r>
      <w:r w:rsidR="00E839AD" w:rsidRPr="00805765">
        <w:rPr>
          <w:lang w:val="fr-FR"/>
        </w:rPr>
        <w:t>20</w:t>
      </w:r>
      <w:r w:rsidRPr="00805765">
        <w:rPr>
          <w:lang w:val="fr-FR"/>
        </w:rPr>
        <w:t xml:space="preserve">09 (voir </w:t>
      </w:r>
      <w:r w:rsidRPr="00345811">
        <w:rPr>
          <w:lang w:val="fr-FR"/>
        </w:rPr>
        <w:t>http://www.icann.org/en/topics/idn/fast</w:t>
      </w:r>
      <w:r w:rsidR="00E839AD" w:rsidRPr="00345811">
        <w:rPr>
          <w:lang w:val="fr-FR"/>
        </w:rPr>
        <w:t>-</w:t>
      </w:r>
      <w:r w:rsidRPr="00345811">
        <w:rPr>
          <w:lang w:val="fr-FR"/>
        </w:rPr>
        <w:t>track/idncctld</w:t>
      </w:r>
      <w:r w:rsidR="00E839AD" w:rsidRPr="00345811">
        <w:rPr>
          <w:lang w:val="fr-FR"/>
        </w:rPr>
        <w:t>-</w:t>
      </w:r>
      <w:r w:rsidRPr="00345811">
        <w:rPr>
          <w:lang w:val="fr-FR"/>
        </w:rPr>
        <w:t>implementation</w:t>
      </w:r>
      <w:r w:rsidR="00E839AD" w:rsidRPr="00345811">
        <w:rPr>
          <w:lang w:val="fr-FR"/>
        </w:rPr>
        <w:t>-</w:t>
      </w:r>
      <w:r w:rsidRPr="00345811">
        <w:rPr>
          <w:lang w:val="fr-FR"/>
        </w:rPr>
        <w:t>plan</w:t>
      </w:r>
      <w:r w:rsidR="00E839AD" w:rsidRPr="00345811">
        <w:rPr>
          <w:lang w:val="fr-FR"/>
        </w:rPr>
        <w:t>-</w:t>
      </w:r>
      <w:r w:rsidRPr="00345811">
        <w:rPr>
          <w:lang w:val="fr-FR"/>
        </w:rPr>
        <w:t>16nov09</w:t>
      </w:r>
      <w:r w:rsidR="00E839AD" w:rsidRPr="00345811">
        <w:rPr>
          <w:lang w:val="fr-FR"/>
        </w:rPr>
        <w:t>-</w:t>
      </w:r>
      <w:r w:rsidRPr="00345811">
        <w:rPr>
          <w:lang w:val="fr-FR"/>
        </w:rPr>
        <w:t>en.pdf</w:t>
      </w:r>
      <w:r w:rsidRPr="00805765">
        <w:rPr>
          <w:lang w:val="fr-FR"/>
        </w:rPr>
        <w:t>).</w:t>
      </w:r>
      <w:r>
        <w:rPr>
          <w:lang w:val="fr-FR"/>
        </w:rPr>
        <w:t xml:space="preserve">  </w:t>
      </w:r>
      <w:r w:rsidRPr="00805765">
        <w:rPr>
          <w:lang w:val="fr-FR"/>
        </w:rPr>
        <w:t>Depuis lors, cette procédure a permis d</w:t>
      </w:r>
      <w:r w:rsidR="00E839AD">
        <w:rPr>
          <w:lang w:val="fr-FR"/>
        </w:rPr>
        <w:t>’</w:t>
      </w:r>
      <w:r w:rsidRPr="00805765">
        <w:rPr>
          <w:lang w:val="fr-FR"/>
        </w:rPr>
        <w:t>introduire plusieurs ccTLD</w:t>
      </w:r>
      <w:r>
        <w:rPr>
          <w:lang w:val="fr-FR"/>
        </w:rPr>
        <w:t xml:space="preserve"> </w:t>
      </w:r>
      <w:r w:rsidRPr="00805765">
        <w:rPr>
          <w:lang w:val="fr-FR"/>
        </w:rPr>
        <w:t>internationalisés associés aux codes à deux</w:t>
      </w:r>
      <w:r w:rsidR="005C03F2">
        <w:rPr>
          <w:lang w:val="fr-FR"/>
        </w:rPr>
        <w:t> </w:t>
      </w:r>
      <w:r w:rsidRPr="00805765">
        <w:rPr>
          <w:lang w:val="fr-FR"/>
        </w:rPr>
        <w:t>lettres figurant dans la norme</w:t>
      </w:r>
      <w:r w:rsidR="005C03F2">
        <w:rPr>
          <w:lang w:val="fr-FR"/>
        </w:rPr>
        <w:t> </w:t>
      </w:r>
      <w:r w:rsidRPr="00805765">
        <w:rPr>
          <w:lang w:val="fr-FR"/>
        </w:rPr>
        <w:t>ISO</w:t>
      </w:r>
      <w:r w:rsidR="00054A64">
        <w:rPr>
          <w:lang w:val="fr-FR"/>
        </w:rPr>
        <w:t> </w:t>
      </w:r>
      <w:r w:rsidRPr="00805765">
        <w:rPr>
          <w:lang w:val="fr-FR"/>
        </w:rPr>
        <w:t>3166</w:t>
      </w:r>
      <w:r w:rsidR="00E839AD">
        <w:rPr>
          <w:lang w:val="fr-FR"/>
        </w:rPr>
        <w:t>-</w:t>
      </w:r>
      <w:r w:rsidRPr="00805765">
        <w:rPr>
          <w:lang w:val="fr-FR"/>
        </w:rPr>
        <w:t>1 (voir</w:t>
      </w:r>
      <w:r>
        <w:rPr>
          <w:lang w:val="fr-FR"/>
        </w:rPr>
        <w:t xml:space="preserve"> </w:t>
      </w:r>
      <w:r w:rsidRPr="00805765">
        <w:rPr>
          <w:lang w:val="fr-FR"/>
        </w:rPr>
        <w:t>http://www.iso.org/iso/english_country_names_and_code_elements).</w:t>
      </w:r>
    </w:p>
  </w:footnote>
  <w:footnote w:id="47">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007D0558" w:rsidRPr="007D0558">
        <w:rPr>
          <w:szCs w:val="18"/>
          <w:lang w:val="fr-FR"/>
        </w:rPr>
        <w:t xml:space="preserve">Voir http://www.wipo.int/edocs/mdocs/govbody/fr/wo_ga_28/wo_ga_28_3.pdf; </w:t>
      </w:r>
      <w:r w:rsidR="007D0558">
        <w:rPr>
          <w:szCs w:val="18"/>
          <w:lang w:val="fr-FR"/>
        </w:rPr>
        <w:t xml:space="preserve"> </w:t>
      </w:r>
      <w:proofErr w:type="spellStart"/>
      <w:r w:rsidR="007D0558" w:rsidRPr="007D0558">
        <w:rPr>
          <w:szCs w:val="18"/>
          <w:lang w:val="fr-FR"/>
        </w:rPr>
        <w:t>voir</w:t>
      </w:r>
      <w:proofErr w:type="spellEnd"/>
      <w:r w:rsidR="007D0558" w:rsidRPr="007D0558">
        <w:rPr>
          <w:szCs w:val="18"/>
          <w:lang w:val="fr-FR"/>
        </w:rPr>
        <w:t xml:space="preserve"> également les</w:t>
      </w:r>
      <w:r w:rsidR="007D0558">
        <w:rPr>
          <w:szCs w:val="18"/>
          <w:lang w:val="fr-FR"/>
        </w:rPr>
        <w:t xml:space="preserve"> </w:t>
      </w:r>
      <w:r w:rsidR="00E839AD" w:rsidRPr="007D0558">
        <w:rPr>
          <w:szCs w:val="18"/>
          <w:lang w:val="fr-FR"/>
        </w:rPr>
        <w:t>paragraphes</w:t>
      </w:r>
      <w:r w:rsidR="00E839AD">
        <w:rPr>
          <w:szCs w:val="18"/>
          <w:lang w:val="fr-FR"/>
        </w:rPr>
        <w:t> </w:t>
      </w:r>
      <w:r w:rsidR="00E839AD" w:rsidRPr="007D0558">
        <w:rPr>
          <w:szCs w:val="18"/>
          <w:lang w:val="fr-FR"/>
        </w:rPr>
        <w:t>6</w:t>
      </w:r>
      <w:r w:rsidR="007D0558" w:rsidRPr="007D0558">
        <w:rPr>
          <w:szCs w:val="18"/>
          <w:lang w:val="fr-FR"/>
        </w:rPr>
        <w:t xml:space="preserve"> à 11 du document</w:t>
      </w:r>
      <w:r w:rsidR="00054A64">
        <w:rPr>
          <w:szCs w:val="18"/>
          <w:lang w:val="fr-FR"/>
        </w:rPr>
        <w:t> </w:t>
      </w:r>
      <w:r w:rsidR="007D0558" w:rsidRPr="007D0558">
        <w:rPr>
          <w:szCs w:val="18"/>
          <w:lang w:val="fr-FR"/>
        </w:rPr>
        <w:t xml:space="preserve">SCT/9/8, et le </w:t>
      </w:r>
      <w:r w:rsidR="00E839AD" w:rsidRPr="007D0558">
        <w:rPr>
          <w:szCs w:val="18"/>
          <w:lang w:val="fr-FR"/>
        </w:rPr>
        <w:t>paragraphe</w:t>
      </w:r>
      <w:r w:rsidR="00E839AD">
        <w:rPr>
          <w:szCs w:val="18"/>
          <w:lang w:val="fr-FR"/>
        </w:rPr>
        <w:t> </w:t>
      </w:r>
      <w:r w:rsidR="00E839AD" w:rsidRPr="007D0558">
        <w:rPr>
          <w:szCs w:val="18"/>
          <w:lang w:val="fr-FR"/>
        </w:rPr>
        <w:t>1</w:t>
      </w:r>
      <w:r w:rsidR="007D0558" w:rsidRPr="007D0558">
        <w:rPr>
          <w:szCs w:val="18"/>
          <w:lang w:val="fr-FR"/>
        </w:rPr>
        <w:t>49 du document</w:t>
      </w:r>
      <w:r w:rsidR="00054A64">
        <w:rPr>
          <w:szCs w:val="18"/>
          <w:lang w:val="fr-FR"/>
        </w:rPr>
        <w:t> </w:t>
      </w:r>
      <w:r w:rsidR="007D0558" w:rsidRPr="007D0558">
        <w:rPr>
          <w:szCs w:val="18"/>
          <w:lang w:val="fr-FR"/>
        </w:rPr>
        <w:t>SCT/9/9.</w:t>
      </w:r>
    </w:p>
  </w:footnote>
  <w:footnote w:id="48">
    <w:p w:rsidR="00065824" w:rsidRPr="00781FE6" w:rsidRDefault="00065824" w:rsidP="00B36AF7">
      <w:pPr>
        <w:pStyle w:val="FootnoteText"/>
        <w:rPr>
          <w:szCs w:val="18"/>
          <w:lang w:val="fr-FR"/>
        </w:rPr>
      </w:pPr>
      <w:r w:rsidRPr="00781FE6">
        <w:rPr>
          <w:rStyle w:val="FootnoteReference"/>
          <w:lang w:val="fr-FR"/>
        </w:rPr>
        <w:footnoteRef/>
      </w:r>
      <w:r w:rsidRPr="00781FE6">
        <w:rPr>
          <w:szCs w:val="18"/>
          <w:lang w:val="fr-FR"/>
        </w:rPr>
        <w:t xml:space="preserve"> </w:t>
      </w:r>
      <w:r w:rsidRPr="00781FE6">
        <w:rPr>
          <w:szCs w:val="18"/>
          <w:lang w:val="fr-FR"/>
        </w:rPr>
        <w:tab/>
      </w:r>
      <w:r w:rsidR="00415044" w:rsidRPr="00415044">
        <w:rPr>
          <w:szCs w:val="18"/>
          <w:lang w:val="fr-FR"/>
        </w:rPr>
        <w:t>Voir http://www.wipo.int/amc/fr/docs/wipo.doc.</w:t>
      </w:r>
    </w:p>
  </w:footnote>
  <w:footnote w:id="49">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00415044" w:rsidRPr="00415044">
        <w:rPr>
          <w:lang w:val="fr-FR"/>
        </w:rPr>
        <w:t>À titre d</w:t>
      </w:r>
      <w:r w:rsidR="00E839AD">
        <w:rPr>
          <w:lang w:val="fr-FR"/>
        </w:rPr>
        <w:t>’</w:t>
      </w:r>
      <w:r w:rsidR="00415044" w:rsidRPr="00415044">
        <w:rPr>
          <w:lang w:val="fr-FR"/>
        </w:rPr>
        <w:t>information, voir le document</w:t>
      </w:r>
      <w:r w:rsidR="00054A64">
        <w:rPr>
          <w:lang w:val="fr-FR"/>
        </w:rPr>
        <w:t> </w:t>
      </w:r>
      <w:r w:rsidR="00415044" w:rsidRPr="00415044">
        <w:rPr>
          <w:lang w:val="fr-FR"/>
        </w:rPr>
        <w:t>WO/GA/41/17</w:t>
      </w:r>
      <w:r w:rsidR="005C03F2">
        <w:rPr>
          <w:lang w:val="fr-FR"/>
        </w:rPr>
        <w:t> </w:t>
      </w:r>
      <w:r w:rsidR="00415044" w:rsidRPr="00415044">
        <w:rPr>
          <w:lang w:val="fr-FR"/>
        </w:rPr>
        <w:t xml:space="preserve">Rev.2, notamment les </w:t>
      </w:r>
      <w:r w:rsidR="00E839AD" w:rsidRPr="00415044">
        <w:rPr>
          <w:lang w:val="fr-FR"/>
        </w:rPr>
        <w:t>paragraphes</w:t>
      </w:r>
      <w:r w:rsidR="00E839AD">
        <w:rPr>
          <w:lang w:val="fr-FR"/>
        </w:rPr>
        <w:t> </w:t>
      </w:r>
      <w:r w:rsidR="00E839AD" w:rsidRPr="00415044">
        <w:rPr>
          <w:lang w:val="fr-FR"/>
        </w:rPr>
        <w:t>4</w:t>
      </w:r>
      <w:r w:rsidR="00415044" w:rsidRPr="00415044">
        <w:rPr>
          <w:lang w:val="fr-FR"/>
        </w:rPr>
        <w:t>0 et 41.</w:t>
      </w:r>
    </w:p>
  </w:footnote>
  <w:footnote w:id="50">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00415044">
        <w:rPr>
          <w:szCs w:val="18"/>
          <w:lang w:val="fr-FR"/>
        </w:rPr>
        <w:t>Voir</w:t>
      </w:r>
      <w:r w:rsidRPr="00781FE6">
        <w:rPr>
          <w:szCs w:val="18"/>
          <w:lang w:val="fr-FR"/>
        </w:rPr>
        <w:t xml:space="preserve"> </w:t>
      </w:r>
      <w:hyperlink r:id="rId1" w:history="1">
        <w:r w:rsidRPr="00781FE6">
          <w:rPr>
            <w:szCs w:val="18"/>
            <w:lang w:val="fr-FR"/>
          </w:rPr>
          <w:t>https://gacweb.icann.org/download/attachments/27132070/FINAL_Toronto_Communique_20121017.pdf?version=1&amp;modificationDate=1354149148000&amp;api=v2</w:t>
        </w:r>
      </w:hyperlink>
      <w:r w:rsidRPr="00781FE6">
        <w:rPr>
          <w:szCs w:val="18"/>
          <w:lang w:val="fr-FR"/>
        </w:rPr>
        <w:t xml:space="preserve">. </w:t>
      </w:r>
    </w:p>
  </w:footnote>
  <w:footnote w:id="51">
    <w:p w:rsidR="00065824" w:rsidRPr="00781FE6" w:rsidRDefault="00065824" w:rsidP="00B36AF7">
      <w:pPr>
        <w:pStyle w:val="FootnoteText"/>
        <w:rPr>
          <w:szCs w:val="18"/>
          <w:lang w:val="fr-FR"/>
        </w:rPr>
      </w:pPr>
      <w:r w:rsidRPr="00781FE6">
        <w:rPr>
          <w:rStyle w:val="FootnoteReference"/>
          <w:lang w:val="fr-FR"/>
        </w:rPr>
        <w:footnoteRef/>
      </w:r>
      <w:r w:rsidRPr="00781FE6">
        <w:rPr>
          <w:szCs w:val="18"/>
          <w:lang w:val="fr-FR"/>
        </w:rPr>
        <w:t xml:space="preserve"> </w:t>
      </w:r>
      <w:r w:rsidRPr="00781FE6">
        <w:rPr>
          <w:szCs w:val="18"/>
          <w:lang w:val="fr-FR"/>
        </w:rPr>
        <w:tab/>
      </w:r>
      <w:r w:rsidR="00415044">
        <w:rPr>
          <w:szCs w:val="18"/>
          <w:lang w:val="fr-FR"/>
        </w:rPr>
        <w:t>Voir</w:t>
      </w:r>
      <w:r w:rsidRPr="00781FE6">
        <w:rPr>
          <w:szCs w:val="18"/>
          <w:lang w:val="fr-FR"/>
        </w:rPr>
        <w:t xml:space="preserve"> https://www.icann.org/en/system/files/correspondence/crocker</w:t>
      </w:r>
      <w:r w:rsidR="00E839AD">
        <w:rPr>
          <w:szCs w:val="18"/>
          <w:lang w:val="fr-FR"/>
        </w:rPr>
        <w:t>-</w:t>
      </w:r>
      <w:r w:rsidRPr="00781FE6">
        <w:rPr>
          <w:szCs w:val="18"/>
          <w:lang w:val="fr-FR"/>
        </w:rPr>
        <w:t>to</w:t>
      </w:r>
      <w:r w:rsidR="00E839AD">
        <w:rPr>
          <w:szCs w:val="18"/>
          <w:lang w:val="fr-FR"/>
        </w:rPr>
        <w:t>-</w:t>
      </w:r>
      <w:r w:rsidRPr="00781FE6">
        <w:rPr>
          <w:szCs w:val="18"/>
          <w:lang w:val="fr-FR"/>
        </w:rPr>
        <w:t>dryden</w:t>
      </w:r>
      <w:r w:rsidR="00E839AD">
        <w:rPr>
          <w:szCs w:val="18"/>
          <w:lang w:val="fr-FR"/>
        </w:rPr>
        <w:t>-</w:t>
      </w:r>
      <w:r w:rsidRPr="00781FE6">
        <w:rPr>
          <w:szCs w:val="18"/>
          <w:lang w:val="fr-FR"/>
        </w:rPr>
        <w:t>16jan13</w:t>
      </w:r>
      <w:r w:rsidR="00E839AD">
        <w:rPr>
          <w:szCs w:val="18"/>
          <w:lang w:val="fr-FR"/>
        </w:rPr>
        <w:t>-</w:t>
      </w:r>
      <w:r w:rsidRPr="00781FE6">
        <w:rPr>
          <w:szCs w:val="18"/>
          <w:lang w:val="fr-FR"/>
        </w:rPr>
        <w:t xml:space="preserve">en.pdf. </w:t>
      </w:r>
    </w:p>
  </w:footnote>
  <w:footnote w:id="52">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00415044" w:rsidRPr="00415044">
        <w:rPr>
          <w:szCs w:val="22"/>
          <w:lang w:val="fr-FR"/>
        </w:rPr>
        <w:t>Ces critères comprennent le statut d</w:t>
      </w:r>
      <w:r w:rsidR="00E839AD">
        <w:rPr>
          <w:szCs w:val="22"/>
          <w:lang w:val="fr-FR"/>
        </w:rPr>
        <w:t>’</w:t>
      </w:r>
      <w:r w:rsidR="00415044" w:rsidRPr="00415044">
        <w:rPr>
          <w:szCs w:val="22"/>
          <w:lang w:val="fr-FR"/>
        </w:rPr>
        <w:t>organisation intergouvernementale établie par un traité et dotée d</w:t>
      </w:r>
      <w:r w:rsidR="00E839AD">
        <w:rPr>
          <w:szCs w:val="22"/>
          <w:lang w:val="fr-FR"/>
        </w:rPr>
        <w:t>’</w:t>
      </w:r>
      <w:r w:rsidR="00415044" w:rsidRPr="00415044">
        <w:rPr>
          <w:szCs w:val="22"/>
          <w:lang w:val="fr-FR"/>
        </w:rPr>
        <w:t>une</w:t>
      </w:r>
      <w:r w:rsidR="00415044">
        <w:rPr>
          <w:szCs w:val="22"/>
          <w:lang w:val="fr-FR"/>
        </w:rPr>
        <w:t xml:space="preserve"> </w:t>
      </w:r>
      <w:r w:rsidR="00415044" w:rsidRPr="00415044">
        <w:rPr>
          <w:szCs w:val="22"/>
          <w:lang w:val="fr-FR"/>
        </w:rPr>
        <w:t>personnalité juridique internationale, le statut d</w:t>
      </w:r>
      <w:r w:rsidR="00E839AD">
        <w:rPr>
          <w:szCs w:val="22"/>
          <w:lang w:val="fr-FR"/>
        </w:rPr>
        <w:t>’</w:t>
      </w:r>
      <w:r w:rsidR="00415044" w:rsidRPr="00415044">
        <w:rPr>
          <w:szCs w:val="22"/>
          <w:lang w:val="fr-FR"/>
        </w:rPr>
        <w:t>observateur auprès de l</w:t>
      </w:r>
      <w:r w:rsidR="00E839AD">
        <w:rPr>
          <w:szCs w:val="22"/>
          <w:lang w:val="fr-FR"/>
        </w:rPr>
        <w:t>’</w:t>
      </w:r>
      <w:r w:rsidR="00415044" w:rsidRPr="00415044">
        <w:rPr>
          <w:szCs w:val="22"/>
          <w:lang w:val="fr-FR"/>
        </w:rPr>
        <w:t>ONU ou le statut de fonds ou de programme</w:t>
      </w:r>
      <w:r w:rsidR="00415044">
        <w:rPr>
          <w:szCs w:val="22"/>
          <w:lang w:val="fr-FR"/>
        </w:rPr>
        <w:t xml:space="preserve"> </w:t>
      </w:r>
      <w:r w:rsidR="00415044" w:rsidRPr="00415044">
        <w:rPr>
          <w:szCs w:val="22"/>
          <w:lang w:val="fr-FR"/>
        </w:rPr>
        <w:t>de l</w:t>
      </w:r>
      <w:r w:rsidR="00E839AD">
        <w:rPr>
          <w:szCs w:val="22"/>
          <w:lang w:val="fr-FR"/>
        </w:rPr>
        <w:t>’</w:t>
      </w:r>
      <w:r w:rsidR="00415044" w:rsidRPr="00415044">
        <w:rPr>
          <w:szCs w:val="22"/>
          <w:lang w:val="fr-FR"/>
        </w:rPr>
        <w:t>ONU.</w:t>
      </w:r>
    </w:p>
  </w:footnote>
  <w:footnote w:id="53">
    <w:p w:rsidR="00065824" w:rsidRPr="00781FE6" w:rsidRDefault="00065824" w:rsidP="00B36AF7">
      <w:pPr>
        <w:pStyle w:val="FootnoteText"/>
        <w:rPr>
          <w:szCs w:val="18"/>
          <w:lang w:val="fr-FR"/>
        </w:rPr>
      </w:pPr>
      <w:r w:rsidRPr="00781FE6">
        <w:rPr>
          <w:rStyle w:val="FootnoteReference"/>
          <w:lang w:val="fr-FR"/>
        </w:rPr>
        <w:footnoteRef/>
      </w:r>
      <w:r w:rsidRPr="00781FE6">
        <w:rPr>
          <w:szCs w:val="18"/>
          <w:lang w:val="fr-FR"/>
        </w:rPr>
        <w:t xml:space="preserve"> </w:t>
      </w:r>
      <w:r w:rsidRPr="00781FE6">
        <w:rPr>
          <w:szCs w:val="18"/>
          <w:lang w:val="fr-FR"/>
        </w:rPr>
        <w:tab/>
      </w:r>
      <w:r w:rsidR="00415044">
        <w:rPr>
          <w:szCs w:val="18"/>
          <w:lang w:val="fr-FR"/>
        </w:rPr>
        <w:t>Voir</w:t>
      </w:r>
      <w:r w:rsidRPr="00781FE6">
        <w:rPr>
          <w:szCs w:val="18"/>
          <w:lang w:val="fr-FR"/>
        </w:rPr>
        <w:t xml:space="preserve"> </w:t>
      </w:r>
      <w:hyperlink r:id="rId2" w:history="1">
        <w:r w:rsidRPr="00781FE6">
          <w:rPr>
            <w:szCs w:val="18"/>
            <w:lang w:val="fr-FR"/>
          </w:rPr>
          <w:t>http://www.icann.org/en/news/correspondence/dryden</w:t>
        </w:r>
        <w:r w:rsidR="00E839AD">
          <w:rPr>
            <w:szCs w:val="18"/>
            <w:lang w:val="fr-FR"/>
          </w:rPr>
          <w:t>-</w:t>
        </w:r>
        <w:r w:rsidRPr="00781FE6">
          <w:rPr>
            <w:szCs w:val="18"/>
            <w:lang w:val="fr-FR"/>
          </w:rPr>
          <w:t>to</w:t>
        </w:r>
        <w:r w:rsidR="00E839AD">
          <w:rPr>
            <w:szCs w:val="18"/>
            <w:lang w:val="fr-FR"/>
          </w:rPr>
          <w:t>-</w:t>
        </w:r>
        <w:r w:rsidRPr="00781FE6">
          <w:rPr>
            <w:szCs w:val="18"/>
            <w:lang w:val="fr-FR"/>
          </w:rPr>
          <w:t>crocker</w:t>
        </w:r>
        <w:r w:rsidR="00E839AD">
          <w:rPr>
            <w:szCs w:val="18"/>
            <w:lang w:val="fr-FR"/>
          </w:rPr>
          <w:t>-</w:t>
        </w:r>
        <w:r w:rsidRPr="00781FE6">
          <w:rPr>
            <w:szCs w:val="18"/>
            <w:lang w:val="fr-FR"/>
          </w:rPr>
          <w:t>chalaby</w:t>
        </w:r>
        <w:r w:rsidR="00E839AD">
          <w:rPr>
            <w:szCs w:val="18"/>
            <w:lang w:val="fr-FR"/>
          </w:rPr>
          <w:t>-</w:t>
        </w:r>
        <w:r w:rsidRPr="00781FE6">
          <w:rPr>
            <w:szCs w:val="18"/>
            <w:lang w:val="fr-FR"/>
          </w:rPr>
          <w:t>22mar13</w:t>
        </w:r>
        <w:r w:rsidR="00E839AD">
          <w:rPr>
            <w:szCs w:val="18"/>
            <w:lang w:val="fr-FR"/>
          </w:rPr>
          <w:t>-</w:t>
        </w:r>
        <w:r w:rsidRPr="00781FE6">
          <w:rPr>
            <w:szCs w:val="18"/>
            <w:lang w:val="fr-FR"/>
          </w:rPr>
          <w:t>en</w:t>
        </w:r>
      </w:hyperlink>
      <w:r w:rsidRPr="00781FE6">
        <w:rPr>
          <w:szCs w:val="18"/>
          <w:lang w:val="fr-FR"/>
        </w:rPr>
        <w:t xml:space="preserve">. </w:t>
      </w:r>
    </w:p>
  </w:footnote>
  <w:footnote w:id="54">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00415044" w:rsidRPr="00415044">
        <w:rPr>
          <w:szCs w:val="18"/>
          <w:lang w:val="fr-FR"/>
        </w:rPr>
        <w:t>Le Conseil d</w:t>
      </w:r>
      <w:r w:rsidR="00E839AD">
        <w:rPr>
          <w:szCs w:val="18"/>
          <w:lang w:val="fr-FR"/>
        </w:rPr>
        <w:t>’</w:t>
      </w:r>
      <w:r w:rsidR="00415044" w:rsidRPr="00415044">
        <w:rPr>
          <w:szCs w:val="18"/>
          <w:lang w:val="fr-FR"/>
        </w:rPr>
        <w:t>administration a également demandé des éclaircissements sur les moyens de réviser</w:t>
      </w:r>
      <w:r w:rsidR="00415044">
        <w:rPr>
          <w:szCs w:val="18"/>
          <w:lang w:val="fr-FR"/>
        </w:rPr>
        <w:t xml:space="preserve"> </w:t>
      </w:r>
      <w:r w:rsidR="00415044" w:rsidRPr="00415044">
        <w:rPr>
          <w:szCs w:val="18"/>
          <w:lang w:val="fr-FR"/>
        </w:rPr>
        <w:t>périodiquement la liste et sur les langues additionnelles éventuelles dans lesquelles la protection des noms et sigles</w:t>
      </w:r>
      <w:r w:rsidR="00415044">
        <w:rPr>
          <w:szCs w:val="18"/>
          <w:lang w:val="fr-FR"/>
        </w:rPr>
        <w:t xml:space="preserve"> </w:t>
      </w:r>
      <w:r w:rsidR="00415044" w:rsidRPr="00415044">
        <w:rPr>
          <w:szCs w:val="18"/>
          <w:lang w:val="fr-FR"/>
        </w:rPr>
        <w:t>d</w:t>
      </w:r>
      <w:r w:rsidR="00E839AD">
        <w:rPr>
          <w:szCs w:val="18"/>
          <w:lang w:val="fr-FR"/>
        </w:rPr>
        <w:t>’</w:t>
      </w:r>
      <w:r w:rsidR="00415044" w:rsidRPr="00415044">
        <w:rPr>
          <w:szCs w:val="18"/>
          <w:lang w:val="fr-FR"/>
        </w:rPr>
        <w:t xml:space="preserve">organisations intergouvernementales pourrait être demandée. </w:t>
      </w:r>
      <w:r w:rsidR="00415044">
        <w:rPr>
          <w:szCs w:val="18"/>
          <w:lang w:val="fr-FR"/>
        </w:rPr>
        <w:t xml:space="preserve"> </w:t>
      </w:r>
      <w:r w:rsidR="00415044" w:rsidRPr="00415044">
        <w:rPr>
          <w:szCs w:val="18"/>
          <w:lang w:val="fr-FR"/>
        </w:rPr>
        <w:t>Voir</w:t>
      </w:r>
      <w:r w:rsidR="00415044">
        <w:rPr>
          <w:szCs w:val="18"/>
          <w:lang w:val="fr-FR"/>
        </w:rPr>
        <w:t xml:space="preserve"> </w:t>
      </w:r>
      <w:r w:rsidR="00415044" w:rsidRPr="00415044">
        <w:rPr>
          <w:szCs w:val="18"/>
          <w:lang w:val="fr-FR"/>
        </w:rPr>
        <w:t>http://www.icann.org/en/news/correspondence/crocker</w:t>
      </w:r>
      <w:r w:rsidR="00E839AD">
        <w:rPr>
          <w:szCs w:val="18"/>
          <w:lang w:val="fr-FR"/>
        </w:rPr>
        <w:t>-</w:t>
      </w:r>
      <w:r w:rsidR="00415044" w:rsidRPr="00415044">
        <w:rPr>
          <w:szCs w:val="18"/>
          <w:lang w:val="fr-FR"/>
        </w:rPr>
        <w:t>to</w:t>
      </w:r>
      <w:r w:rsidR="00E839AD">
        <w:rPr>
          <w:szCs w:val="18"/>
          <w:lang w:val="fr-FR"/>
        </w:rPr>
        <w:t>-</w:t>
      </w:r>
      <w:r w:rsidR="00415044" w:rsidRPr="00415044">
        <w:rPr>
          <w:szCs w:val="18"/>
          <w:lang w:val="fr-FR"/>
        </w:rPr>
        <w:t>dryden</w:t>
      </w:r>
      <w:r w:rsidR="00E839AD">
        <w:rPr>
          <w:szCs w:val="18"/>
          <w:lang w:val="fr-FR"/>
        </w:rPr>
        <w:t>-</w:t>
      </w:r>
      <w:r w:rsidR="00415044" w:rsidRPr="00415044">
        <w:rPr>
          <w:szCs w:val="18"/>
          <w:lang w:val="fr-FR"/>
        </w:rPr>
        <w:t>01apr13</w:t>
      </w:r>
      <w:r w:rsidR="00E839AD">
        <w:rPr>
          <w:szCs w:val="18"/>
          <w:lang w:val="fr-FR"/>
        </w:rPr>
        <w:t>-</w:t>
      </w:r>
      <w:r w:rsidR="00415044" w:rsidRPr="00415044">
        <w:rPr>
          <w:szCs w:val="18"/>
          <w:lang w:val="fr-FR"/>
        </w:rPr>
        <w:t>en</w:t>
      </w:r>
      <w:r w:rsidRPr="00781FE6">
        <w:rPr>
          <w:szCs w:val="18"/>
          <w:lang w:val="fr-FR"/>
        </w:rPr>
        <w:t xml:space="preserve">. </w:t>
      </w:r>
    </w:p>
  </w:footnote>
  <w:footnote w:id="55">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00415044" w:rsidRPr="00415044">
        <w:rPr>
          <w:szCs w:val="22"/>
          <w:lang w:val="fr-FR"/>
        </w:rPr>
        <w:t>Le GAC a en outre indiqué qu</w:t>
      </w:r>
      <w:r w:rsidR="00E839AD">
        <w:rPr>
          <w:szCs w:val="22"/>
          <w:lang w:val="fr-FR"/>
        </w:rPr>
        <w:t>’</w:t>
      </w:r>
      <w:r w:rsidR="00415044" w:rsidRPr="00415044">
        <w:rPr>
          <w:szCs w:val="22"/>
          <w:lang w:val="fr-FR"/>
        </w:rPr>
        <w:t>il supposait expressément que le Conseil d</w:t>
      </w:r>
      <w:r w:rsidR="00E839AD">
        <w:rPr>
          <w:szCs w:val="22"/>
          <w:lang w:val="fr-FR"/>
        </w:rPr>
        <w:t>’</w:t>
      </w:r>
      <w:r w:rsidR="00415044" w:rsidRPr="00415044">
        <w:rPr>
          <w:szCs w:val="22"/>
          <w:lang w:val="fr-FR"/>
        </w:rPr>
        <w:t>administration de l</w:t>
      </w:r>
      <w:r w:rsidR="00E839AD">
        <w:rPr>
          <w:szCs w:val="22"/>
          <w:lang w:val="fr-FR"/>
        </w:rPr>
        <w:t>’</w:t>
      </w:r>
      <w:r w:rsidR="00415044" w:rsidRPr="00415044">
        <w:rPr>
          <w:szCs w:val="22"/>
          <w:lang w:val="fr-FR"/>
        </w:rPr>
        <w:t>ICANN était prêt</w:t>
      </w:r>
      <w:r w:rsidR="00415044">
        <w:rPr>
          <w:szCs w:val="22"/>
          <w:lang w:val="fr-FR"/>
        </w:rPr>
        <w:t xml:space="preserve"> </w:t>
      </w:r>
      <w:r w:rsidR="00415044" w:rsidRPr="00415044">
        <w:rPr>
          <w:szCs w:val="22"/>
          <w:lang w:val="fr-FR"/>
        </w:rPr>
        <w:t>à appliquer pleinement les recommandations</w:t>
      </w:r>
      <w:r w:rsidR="00E839AD" w:rsidRPr="00E839AD">
        <w:rPr>
          <w:szCs w:val="22"/>
          <w:lang w:val="fr-FR"/>
        </w:rPr>
        <w:t xml:space="preserve"> du GAC</w:t>
      </w:r>
      <w:r w:rsidR="00415044" w:rsidRPr="00415044">
        <w:rPr>
          <w:szCs w:val="22"/>
          <w:lang w:val="fr-FR"/>
        </w:rPr>
        <w:t xml:space="preserve"> en vue d</w:t>
      </w:r>
      <w:r w:rsidR="00E839AD">
        <w:rPr>
          <w:szCs w:val="22"/>
          <w:lang w:val="fr-FR"/>
        </w:rPr>
        <w:t>’</w:t>
      </w:r>
      <w:r w:rsidR="00415044" w:rsidRPr="00415044">
        <w:rPr>
          <w:szCs w:val="22"/>
          <w:lang w:val="fr-FR"/>
        </w:rPr>
        <w:t>une mise en œuvre pratique et efficace de la</w:t>
      </w:r>
      <w:r w:rsidR="00415044">
        <w:rPr>
          <w:szCs w:val="22"/>
          <w:lang w:val="fr-FR"/>
        </w:rPr>
        <w:t xml:space="preserve"> </w:t>
      </w:r>
      <w:r w:rsidR="00415044" w:rsidRPr="00415044">
        <w:rPr>
          <w:szCs w:val="22"/>
          <w:lang w:val="fr-FR"/>
        </w:rPr>
        <w:t>protection de nature préventive au deuxième niveau dans les nouveaux gTLD, et a précisé que les mesures de</w:t>
      </w:r>
      <w:r w:rsidR="00415044">
        <w:rPr>
          <w:szCs w:val="22"/>
          <w:lang w:val="fr-FR"/>
        </w:rPr>
        <w:t xml:space="preserve"> </w:t>
      </w:r>
      <w:r w:rsidR="00415044" w:rsidRPr="00415044">
        <w:rPr>
          <w:szCs w:val="22"/>
          <w:lang w:val="fr-FR"/>
        </w:rPr>
        <w:t>protection provisoires pour les noms et sigles d</w:t>
      </w:r>
      <w:r w:rsidR="00E839AD">
        <w:rPr>
          <w:szCs w:val="22"/>
          <w:lang w:val="fr-FR"/>
        </w:rPr>
        <w:t>’</w:t>
      </w:r>
      <w:r w:rsidR="00415044" w:rsidRPr="00415044">
        <w:rPr>
          <w:szCs w:val="22"/>
          <w:lang w:val="fr-FR"/>
        </w:rPr>
        <w:t>organisations intergouvernementales devraient rester en place</w:t>
      </w:r>
      <w:r w:rsidR="00415044">
        <w:rPr>
          <w:szCs w:val="22"/>
          <w:lang w:val="fr-FR"/>
        </w:rPr>
        <w:t xml:space="preserve"> </w:t>
      </w:r>
      <w:r w:rsidR="00415044" w:rsidRPr="00415044">
        <w:rPr>
          <w:szCs w:val="22"/>
          <w:lang w:val="fr-FR"/>
        </w:rPr>
        <w:t>jusqu</w:t>
      </w:r>
      <w:r w:rsidR="00E839AD">
        <w:rPr>
          <w:szCs w:val="22"/>
          <w:lang w:val="fr-FR"/>
        </w:rPr>
        <w:t>’</w:t>
      </w:r>
      <w:r w:rsidR="00415044" w:rsidRPr="00415044">
        <w:rPr>
          <w:szCs w:val="22"/>
          <w:lang w:val="fr-FR"/>
        </w:rPr>
        <w:t>à la fin des échanges entre</w:t>
      </w:r>
      <w:r w:rsidR="00E839AD" w:rsidRPr="00E839AD">
        <w:rPr>
          <w:szCs w:val="22"/>
          <w:lang w:val="fr-FR"/>
        </w:rPr>
        <w:t xml:space="preserve"> le GAC</w:t>
      </w:r>
      <w:r w:rsidR="00415044" w:rsidRPr="00415044">
        <w:rPr>
          <w:szCs w:val="22"/>
          <w:lang w:val="fr-FR"/>
        </w:rPr>
        <w:t>, l</w:t>
      </w:r>
      <w:r w:rsidR="00E839AD">
        <w:rPr>
          <w:szCs w:val="22"/>
          <w:lang w:val="fr-FR"/>
        </w:rPr>
        <w:t>’</w:t>
      </w:r>
      <w:r w:rsidR="00415044" w:rsidRPr="00415044">
        <w:rPr>
          <w:szCs w:val="22"/>
          <w:lang w:val="fr-FR"/>
        </w:rPr>
        <w:t xml:space="preserve">ICANN et les organisations intergouvernementales. </w:t>
      </w:r>
      <w:r w:rsidR="005C03F2">
        <w:rPr>
          <w:szCs w:val="22"/>
          <w:lang w:val="fr-FR"/>
        </w:rPr>
        <w:t xml:space="preserve"> </w:t>
      </w:r>
      <w:r w:rsidR="00415044" w:rsidRPr="00415044">
        <w:rPr>
          <w:szCs w:val="22"/>
          <w:lang w:val="fr-FR"/>
        </w:rPr>
        <w:t>Voir</w:t>
      </w:r>
      <w:r w:rsidR="00415044">
        <w:rPr>
          <w:szCs w:val="22"/>
          <w:lang w:val="fr-FR"/>
        </w:rPr>
        <w:t xml:space="preserve"> </w:t>
      </w:r>
      <w:r w:rsidR="00415044" w:rsidRPr="00415044">
        <w:rPr>
          <w:szCs w:val="22"/>
          <w:lang w:val="fr-FR"/>
        </w:rPr>
        <w:t>http://durban47.icann.org/meetings/durban2013/presentation</w:t>
      </w:r>
      <w:r w:rsidR="00E839AD">
        <w:rPr>
          <w:szCs w:val="22"/>
          <w:lang w:val="fr-FR"/>
        </w:rPr>
        <w:t>-</w:t>
      </w:r>
      <w:r w:rsidR="00415044" w:rsidRPr="00415044">
        <w:rPr>
          <w:szCs w:val="22"/>
          <w:lang w:val="fr-FR"/>
        </w:rPr>
        <w:t>gac</w:t>
      </w:r>
      <w:r w:rsidR="00E839AD">
        <w:rPr>
          <w:szCs w:val="22"/>
          <w:lang w:val="fr-FR"/>
        </w:rPr>
        <w:t>-</w:t>
      </w:r>
      <w:r w:rsidR="00415044" w:rsidRPr="00415044">
        <w:rPr>
          <w:szCs w:val="22"/>
          <w:lang w:val="fr-FR"/>
        </w:rPr>
        <w:t>communique</w:t>
      </w:r>
      <w:r w:rsidR="00E839AD">
        <w:rPr>
          <w:szCs w:val="22"/>
          <w:lang w:val="fr-FR"/>
        </w:rPr>
        <w:t>-</w:t>
      </w:r>
      <w:r w:rsidR="00415044" w:rsidRPr="00415044">
        <w:rPr>
          <w:szCs w:val="22"/>
          <w:lang w:val="fr-FR"/>
        </w:rPr>
        <w:t>18jul13</w:t>
      </w:r>
      <w:r w:rsidR="00E839AD">
        <w:rPr>
          <w:szCs w:val="22"/>
          <w:lang w:val="fr-FR"/>
        </w:rPr>
        <w:t>-</w:t>
      </w:r>
      <w:r w:rsidR="00415044" w:rsidRPr="00415044">
        <w:rPr>
          <w:szCs w:val="22"/>
          <w:lang w:val="fr-FR"/>
        </w:rPr>
        <w:t>en.pdf</w:t>
      </w:r>
      <w:r w:rsidRPr="00781FE6">
        <w:rPr>
          <w:lang w:val="fr-FR"/>
        </w:rPr>
        <w:t xml:space="preserve">. </w:t>
      </w:r>
      <w:r w:rsidR="005C03F2">
        <w:rPr>
          <w:lang w:val="fr-FR"/>
        </w:rPr>
        <w:t xml:space="preserve"> </w:t>
      </w:r>
    </w:p>
  </w:footnote>
  <w:footnote w:id="56">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00415044">
        <w:rPr>
          <w:lang w:val="fr-FR"/>
        </w:rPr>
        <w:t>Voir</w:t>
      </w:r>
      <w:r w:rsidRPr="00781FE6">
        <w:rPr>
          <w:lang w:val="fr-FR"/>
        </w:rPr>
        <w:t xml:space="preserve"> </w:t>
      </w:r>
      <w:r w:rsidRPr="00781FE6">
        <w:rPr>
          <w:szCs w:val="18"/>
          <w:lang w:val="fr-FR"/>
        </w:rPr>
        <w:t>https://www.icann.org/resources/board</w:t>
      </w:r>
      <w:r w:rsidR="00E839AD">
        <w:rPr>
          <w:szCs w:val="18"/>
          <w:lang w:val="fr-FR"/>
        </w:rPr>
        <w:t>-</w:t>
      </w:r>
      <w:r w:rsidRPr="00781FE6">
        <w:rPr>
          <w:szCs w:val="18"/>
          <w:lang w:val="fr-FR"/>
        </w:rPr>
        <w:t>material/resolutions</w:t>
      </w:r>
      <w:r w:rsidR="00E839AD">
        <w:rPr>
          <w:szCs w:val="18"/>
          <w:lang w:val="fr-FR"/>
        </w:rPr>
        <w:t>-</w:t>
      </w:r>
      <w:r w:rsidRPr="00781FE6">
        <w:rPr>
          <w:szCs w:val="18"/>
          <w:lang w:val="fr-FR"/>
        </w:rPr>
        <w:t>new</w:t>
      </w:r>
      <w:r w:rsidR="00E839AD">
        <w:rPr>
          <w:szCs w:val="18"/>
          <w:lang w:val="fr-FR"/>
        </w:rPr>
        <w:t>-</w:t>
      </w:r>
      <w:r w:rsidRPr="00781FE6">
        <w:rPr>
          <w:szCs w:val="18"/>
          <w:lang w:val="fr-FR"/>
        </w:rPr>
        <w:t>gtld</w:t>
      </w:r>
      <w:r w:rsidR="00E839AD">
        <w:rPr>
          <w:szCs w:val="18"/>
          <w:lang w:val="fr-FR"/>
        </w:rPr>
        <w:t>-</w:t>
      </w:r>
      <w:r w:rsidRPr="00781FE6">
        <w:rPr>
          <w:szCs w:val="18"/>
          <w:lang w:val="fr-FR"/>
        </w:rPr>
        <w:t>2013</w:t>
      </w:r>
      <w:r w:rsidR="00E839AD">
        <w:rPr>
          <w:szCs w:val="18"/>
          <w:lang w:val="fr-FR"/>
        </w:rPr>
        <w:t>-</w:t>
      </w:r>
      <w:r w:rsidRPr="00781FE6">
        <w:rPr>
          <w:szCs w:val="18"/>
          <w:lang w:val="fr-FR"/>
        </w:rPr>
        <w:t>07</w:t>
      </w:r>
      <w:r w:rsidR="00E839AD">
        <w:rPr>
          <w:szCs w:val="18"/>
          <w:lang w:val="fr-FR"/>
        </w:rPr>
        <w:t>-</w:t>
      </w:r>
      <w:r w:rsidRPr="00781FE6">
        <w:rPr>
          <w:szCs w:val="18"/>
          <w:lang w:val="fr-FR"/>
        </w:rPr>
        <w:t>17</w:t>
      </w:r>
      <w:r w:rsidR="00E839AD">
        <w:rPr>
          <w:szCs w:val="18"/>
          <w:lang w:val="fr-FR"/>
        </w:rPr>
        <w:t>-</w:t>
      </w:r>
      <w:r w:rsidRPr="00781FE6">
        <w:rPr>
          <w:szCs w:val="18"/>
          <w:lang w:val="fr-FR"/>
        </w:rPr>
        <w:t>en#1.a.</w:t>
      </w:r>
    </w:p>
  </w:footnote>
  <w:footnote w:id="57">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00415044" w:rsidRPr="00415044">
        <w:rPr>
          <w:lang w:val="fr-FR"/>
        </w:rPr>
        <w:t>Le GAC et</w:t>
      </w:r>
      <w:r w:rsidR="00E839AD" w:rsidRPr="00E839AD">
        <w:rPr>
          <w:lang w:val="fr-FR"/>
        </w:rPr>
        <w:t xml:space="preserve"> le NGP</w:t>
      </w:r>
      <w:r w:rsidR="00415044" w:rsidRPr="00415044">
        <w:rPr>
          <w:lang w:val="fr-FR"/>
        </w:rPr>
        <w:t>C avaient annulé leur participation à une réunion proposée par les organisations</w:t>
      </w:r>
      <w:r w:rsidR="00415044">
        <w:rPr>
          <w:lang w:val="fr-FR"/>
        </w:rPr>
        <w:t xml:space="preserve"> </w:t>
      </w:r>
      <w:r w:rsidR="00415044" w:rsidRPr="00415044">
        <w:rPr>
          <w:lang w:val="fr-FR"/>
        </w:rPr>
        <w:t>intergouvernementales le 3</w:t>
      </w:r>
      <w:r w:rsidR="00E839AD" w:rsidRPr="00415044">
        <w:rPr>
          <w:lang w:val="fr-FR"/>
        </w:rPr>
        <w:t>0</w:t>
      </w:r>
      <w:r w:rsidR="00E839AD">
        <w:rPr>
          <w:lang w:val="fr-FR"/>
        </w:rPr>
        <w:t> </w:t>
      </w:r>
      <w:r w:rsidR="00E839AD" w:rsidRPr="00415044">
        <w:rPr>
          <w:lang w:val="fr-FR"/>
        </w:rPr>
        <w:t>septembre</w:t>
      </w:r>
      <w:r w:rsidRPr="00781FE6">
        <w:rPr>
          <w:szCs w:val="22"/>
          <w:lang w:val="fr-FR"/>
        </w:rPr>
        <w:t xml:space="preserve">.  </w:t>
      </w:r>
    </w:p>
  </w:footnote>
  <w:footnote w:id="58">
    <w:p w:rsidR="00065824" w:rsidRPr="00781FE6" w:rsidRDefault="00065824" w:rsidP="00B36AF7">
      <w:pPr>
        <w:pStyle w:val="FootnoteText"/>
        <w:rPr>
          <w:lang w:val="fr-FR"/>
        </w:rPr>
      </w:pPr>
      <w:r w:rsidRPr="00781FE6">
        <w:rPr>
          <w:rStyle w:val="FootnoteReference"/>
          <w:lang w:val="fr-FR"/>
        </w:rPr>
        <w:footnoteRef/>
      </w:r>
      <w:r w:rsidRPr="00781FE6">
        <w:rPr>
          <w:lang w:val="fr-FR"/>
        </w:rPr>
        <w:t xml:space="preserve"> </w:t>
      </w:r>
      <w:r w:rsidRPr="00781FE6">
        <w:rPr>
          <w:lang w:val="fr-FR"/>
        </w:rPr>
        <w:tab/>
      </w:r>
      <w:r w:rsidR="00DD1EDA">
        <w:rPr>
          <w:lang w:val="fr-FR"/>
        </w:rPr>
        <w:t xml:space="preserve">Pour un résumé plus complet, voir les </w:t>
      </w:r>
      <w:r w:rsidR="00E839AD">
        <w:rPr>
          <w:lang w:val="fr-FR"/>
        </w:rPr>
        <w:t>paragraphes 4</w:t>
      </w:r>
      <w:r w:rsidR="00DD1EDA">
        <w:rPr>
          <w:lang w:val="fr-FR"/>
        </w:rPr>
        <w:t xml:space="preserve">2 à 45 du </w:t>
      </w:r>
      <w:r w:rsidRPr="00781FE6">
        <w:rPr>
          <w:lang w:val="fr-FR"/>
        </w:rPr>
        <w:t>document</w:t>
      </w:r>
      <w:r w:rsidR="00054A64">
        <w:rPr>
          <w:lang w:val="fr-FR"/>
        </w:rPr>
        <w:t> </w:t>
      </w:r>
      <w:r w:rsidRPr="00781FE6">
        <w:rPr>
          <w:lang w:val="fr-FR"/>
        </w:rPr>
        <w:t>WO/GA/48/12</w:t>
      </w:r>
      <w:r w:rsidR="005C03F2">
        <w:rPr>
          <w:lang w:val="fr-FR"/>
        </w:rPr>
        <w:t> </w:t>
      </w:r>
      <w:r w:rsidRPr="00781FE6">
        <w:rPr>
          <w:lang w:val="fr-FR"/>
        </w:rPr>
        <w:t>Rev</w:t>
      </w:r>
      <w:r w:rsidR="005C03F2">
        <w:rPr>
          <w:lang w:val="fr-FR"/>
        </w:rPr>
        <w:t>.</w:t>
      </w:r>
    </w:p>
  </w:footnote>
  <w:footnote w:id="59">
    <w:p w:rsidR="00065824" w:rsidRPr="00781FE6" w:rsidRDefault="00065824" w:rsidP="00B36AF7">
      <w:pPr>
        <w:pStyle w:val="FootnoteText"/>
        <w:tabs>
          <w:tab w:val="left" w:pos="567"/>
        </w:tabs>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00E839AD" w:rsidRPr="00415044">
        <w:rPr>
          <w:szCs w:val="22"/>
          <w:lang w:val="fr-FR"/>
        </w:rPr>
        <w:t>En</w:t>
      </w:r>
      <w:r w:rsidR="00E839AD">
        <w:rPr>
          <w:szCs w:val="22"/>
          <w:lang w:val="fr-FR"/>
        </w:rPr>
        <w:t> </w:t>
      </w:r>
      <w:r w:rsidR="00E839AD" w:rsidRPr="00415044">
        <w:rPr>
          <w:szCs w:val="22"/>
          <w:lang w:val="fr-FR"/>
        </w:rPr>
        <w:t>2007</w:t>
      </w:r>
      <w:r w:rsidR="00415044" w:rsidRPr="00415044">
        <w:rPr>
          <w:szCs w:val="22"/>
          <w:lang w:val="fr-FR"/>
        </w:rPr>
        <w:t>,</w:t>
      </w:r>
      <w:r w:rsidR="00E839AD" w:rsidRPr="00E839AD">
        <w:rPr>
          <w:szCs w:val="22"/>
          <w:lang w:val="fr-FR"/>
        </w:rPr>
        <w:t xml:space="preserve"> le GAC</w:t>
      </w:r>
      <w:r w:rsidR="00415044" w:rsidRPr="00415044">
        <w:rPr>
          <w:szCs w:val="22"/>
          <w:lang w:val="fr-FR"/>
        </w:rPr>
        <w:t xml:space="preserve"> a publié les “Principes</w:t>
      </w:r>
      <w:r w:rsidR="00E839AD" w:rsidRPr="00E839AD">
        <w:rPr>
          <w:szCs w:val="22"/>
          <w:lang w:val="fr-FR"/>
        </w:rPr>
        <w:t xml:space="preserve"> du GAC</w:t>
      </w:r>
      <w:r w:rsidR="00415044" w:rsidRPr="00415044">
        <w:rPr>
          <w:szCs w:val="22"/>
          <w:lang w:val="fr-FR"/>
        </w:rPr>
        <w:t xml:space="preserve"> concernant les nouveaux gTLD”, qui prévoient notamment</w:t>
      </w:r>
      <w:r w:rsidR="00415044">
        <w:rPr>
          <w:szCs w:val="22"/>
          <w:lang w:val="fr-FR"/>
        </w:rPr>
        <w:t xml:space="preserve"> </w:t>
      </w:r>
      <w:r w:rsidR="00415044" w:rsidRPr="00415044">
        <w:rPr>
          <w:szCs w:val="22"/>
          <w:lang w:val="fr-FR"/>
        </w:rPr>
        <w:t>que l</w:t>
      </w:r>
      <w:r w:rsidR="00E839AD">
        <w:rPr>
          <w:szCs w:val="22"/>
          <w:lang w:val="fr-FR"/>
        </w:rPr>
        <w:t>’</w:t>
      </w:r>
      <w:r w:rsidR="00415044" w:rsidRPr="00415044">
        <w:rPr>
          <w:szCs w:val="22"/>
          <w:lang w:val="fr-FR"/>
        </w:rPr>
        <w:t>ICANN devrait éviter d</w:t>
      </w:r>
      <w:r w:rsidR="00E839AD">
        <w:rPr>
          <w:szCs w:val="22"/>
          <w:lang w:val="fr-FR"/>
        </w:rPr>
        <w:t>’</w:t>
      </w:r>
      <w:r w:rsidR="00415044" w:rsidRPr="00415044">
        <w:rPr>
          <w:szCs w:val="22"/>
          <w:lang w:val="fr-FR"/>
        </w:rPr>
        <w:t>attribuer tout nouveau gTLD contenant le nom d</w:t>
      </w:r>
      <w:r w:rsidR="00E839AD">
        <w:rPr>
          <w:szCs w:val="22"/>
          <w:lang w:val="fr-FR"/>
        </w:rPr>
        <w:t>’</w:t>
      </w:r>
      <w:r w:rsidR="00415044" w:rsidRPr="00415044">
        <w:rPr>
          <w:szCs w:val="22"/>
          <w:lang w:val="fr-FR"/>
        </w:rPr>
        <w:t>un pays, d</w:t>
      </w:r>
      <w:r w:rsidR="00E839AD">
        <w:rPr>
          <w:szCs w:val="22"/>
          <w:lang w:val="fr-FR"/>
        </w:rPr>
        <w:t>’</w:t>
      </w:r>
      <w:r w:rsidR="00415044" w:rsidRPr="00415044">
        <w:rPr>
          <w:szCs w:val="22"/>
          <w:lang w:val="fr-FR"/>
        </w:rPr>
        <w:t>un territoire ou d</w:t>
      </w:r>
      <w:r w:rsidR="00E839AD">
        <w:rPr>
          <w:szCs w:val="22"/>
          <w:lang w:val="fr-FR"/>
        </w:rPr>
        <w:t>’</w:t>
      </w:r>
      <w:r w:rsidR="00415044" w:rsidRPr="00415044">
        <w:rPr>
          <w:szCs w:val="22"/>
          <w:lang w:val="fr-FR"/>
        </w:rPr>
        <w:t xml:space="preserve">un lieu </w:t>
      </w:r>
      <w:proofErr w:type="spellStart"/>
      <w:r w:rsidR="00415044" w:rsidRPr="00415044">
        <w:rPr>
          <w:szCs w:val="22"/>
          <w:lang w:val="fr-FR"/>
        </w:rPr>
        <w:t>ou</w:t>
      </w:r>
      <w:proofErr w:type="spellEnd"/>
      <w:r w:rsidR="00415044" w:rsidRPr="00415044">
        <w:rPr>
          <w:szCs w:val="22"/>
          <w:lang w:val="fr-FR"/>
        </w:rPr>
        <w:t xml:space="preserve"> la</w:t>
      </w:r>
      <w:r w:rsidR="00415044">
        <w:rPr>
          <w:szCs w:val="22"/>
          <w:lang w:val="fr-FR"/>
        </w:rPr>
        <w:t xml:space="preserve"> </w:t>
      </w:r>
      <w:r w:rsidR="00415044" w:rsidRPr="00415044">
        <w:rPr>
          <w:szCs w:val="22"/>
          <w:lang w:val="fr-FR"/>
        </w:rPr>
        <w:t>désignation d</w:t>
      </w:r>
      <w:r w:rsidR="00E839AD">
        <w:rPr>
          <w:szCs w:val="22"/>
          <w:lang w:val="fr-FR"/>
        </w:rPr>
        <w:t>’</w:t>
      </w:r>
      <w:r w:rsidR="00415044" w:rsidRPr="00415044">
        <w:rPr>
          <w:szCs w:val="22"/>
          <w:lang w:val="fr-FR"/>
        </w:rPr>
        <w:t>une langue régionale ou d</w:t>
      </w:r>
      <w:r w:rsidR="00E839AD">
        <w:rPr>
          <w:szCs w:val="22"/>
          <w:lang w:val="fr-FR"/>
        </w:rPr>
        <w:t>’</w:t>
      </w:r>
      <w:r w:rsidR="00415044" w:rsidRPr="00415044">
        <w:rPr>
          <w:szCs w:val="22"/>
          <w:lang w:val="fr-FR"/>
        </w:rPr>
        <w:t>une population, sauf accord des gouvernements ou autorités publiques</w:t>
      </w:r>
      <w:r w:rsidR="00415044">
        <w:rPr>
          <w:szCs w:val="22"/>
          <w:lang w:val="fr-FR"/>
        </w:rPr>
        <w:t xml:space="preserve"> </w:t>
      </w:r>
      <w:r w:rsidR="00415044" w:rsidRPr="00415044">
        <w:rPr>
          <w:szCs w:val="22"/>
          <w:lang w:val="fr-FR"/>
        </w:rPr>
        <w:t xml:space="preserve">concernés. </w:t>
      </w:r>
      <w:r w:rsidR="00415044">
        <w:rPr>
          <w:szCs w:val="22"/>
          <w:lang w:val="fr-FR"/>
        </w:rPr>
        <w:t xml:space="preserve"> </w:t>
      </w:r>
      <w:r w:rsidR="00415044" w:rsidRPr="00415044">
        <w:rPr>
          <w:szCs w:val="22"/>
          <w:lang w:val="fr-FR"/>
        </w:rPr>
        <w:t>Ces principes</w:t>
      </w:r>
      <w:r w:rsidR="00E839AD" w:rsidRPr="00E839AD">
        <w:rPr>
          <w:szCs w:val="22"/>
          <w:lang w:val="fr-FR"/>
        </w:rPr>
        <w:t xml:space="preserve"> du GAC</w:t>
      </w:r>
      <w:r w:rsidR="00415044" w:rsidRPr="00415044">
        <w:rPr>
          <w:szCs w:val="22"/>
          <w:lang w:val="fr-FR"/>
        </w:rPr>
        <w:t xml:space="preserve"> indiquent en outre que les nouveaux services d</w:t>
      </w:r>
      <w:r w:rsidR="00E839AD">
        <w:rPr>
          <w:szCs w:val="22"/>
          <w:lang w:val="fr-FR"/>
        </w:rPr>
        <w:t>’</w:t>
      </w:r>
      <w:r w:rsidR="00415044" w:rsidRPr="00415044">
        <w:rPr>
          <w:szCs w:val="22"/>
          <w:lang w:val="fr-FR"/>
        </w:rPr>
        <w:t>enregistrement devraient adopter</w:t>
      </w:r>
      <w:r w:rsidR="00415044">
        <w:rPr>
          <w:szCs w:val="22"/>
          <w:lang w:val="fr-FR"/>
        </w:rPr>
        <w:t xml:space="preserve"> </w:t>
      </w:r>
      <w:r w:rsidR="00415044" w:rsidRPr="00415044">
        <w:rPr>
          <w:szCs w:val="22"/>
          <w:lang w:val="fr-FR"/>
        </w:rPr>
        <w:t>des procédures pour bloquer/contester les noms ayant une signification nationale ou géographique au deuxième</w:t>
      </w:r>
      <w:r w:rsidR="00415044">
        <w:rPr>
          <w:szCs w:val="22"/>
          <w:lang w:val="fr-FR"/>
        </w:rPr>
        <w:t xml:space="preserve"> </w:t>
      </w:r>
      <w:r w:rsidR="00415044" w:rsidRPr="00415044">
        <w:rPr>
          <w:szCs w:val="22"/>
          <w:lang w:val="fr-FR"/>
        </w:rPr>
        <w:t xml:space="preserve">niveau sur demande des gouvernements. </w:t>
      </w:r>
      <w:r w:rsidR="00415044">
        <w:rPr>
          <w:szCs w:val="22"/>
          <w:lang w:val="fr-FR"/>
        </w:rPr>
        <w:t xml:space="preserve"> </w:t>
      </w:r>
      <w:r w:rsidR="00415044" w:rsidRPr="00415044">
        <w:rPr>
          <w:szCs w:val="22"/>
          <w:lang w:val="fr-FR"/>
        </w:rPr>
        <w:t xml:space="preserve">Voir </w:t>
      </w:r>
      <w:r w:rsidRPr="00781FE6">
        <w:rPr>
          <w:szCs w:val="18"/>
          <w:lang w:val="fr-FR"/>
        </w:rPr>
        <w:t>https://archive.icann.org/en/topics/new</w:t>
      </w:r>
      <w:r w:rsidR="00E839AD">
        <w:rPr>
          <w:szCs w:val="18"/>
          <w:lang w:val="fr-FR"/>
        </w:rPr>
        <w:t>-</w:t>
      </w:r>
      <w:r w:rsidRPr="00781FE6">
        <w:rPr>
          <w:szCs w:val="18"/>
          <w:lang w:val="fr-FR"/>
        </w:rPr>
        <w:t>gtlds/gac</w:t>
      </w:r>
      <w:r w:rsidR="00E839AD">
        <w:rPr>
          <w:szCs w:val="18"/>
          <w:lang w:val="fr-FR"/>
        </w:rPr>
        <w:t>-</w:t>
      </w:r>
      <w:r w:rsidRPr="00781FE6">
        <w:rPr>
          <w:szCs w:val="18"/>
          <w:lang w:val="fr-FR"/>
        </w:rPr>
        <w:t>principles</w:t>
      </w:r>
      <w:r w:rsidR="00E839AD">
        <w:rPr>
          <w:szCs w:val="18"/>
          <w:lang w:val="fr-FR"/>
        </w:rPr>
        <w:t>-</w:t>
      </w:r>
      <w:r w:rsidRPr="00781FE6">
        <w:rPr>
          <w:szCs w:val="18"/>
          <w:lang w:val="fr-FR"/>
        </w:rPr>
        <w:t>regarding</w:t>
      </w:r>
      <w:r w:rsidR="00E839AD">
        <w:rPr>
          <w:szCs w:val="18"/>
          <w:lang w:val="fr-FR"/>
        </w:rPr>
        <w:t>-</w:t>
      </w:r>
      <w:r w:rsidRPr="00781FE6">
        <w:rPr>
          <w:szCs w:val="18"/>
          <w:lang w:val="fr-FR"/>
        </w:rPr>
        <w:t>new</w:t>
      </w:r>
      <w:r w:rsidR="00E839AD">
        <w:rPr>
          <w:szCs w:val="18"/>
          <w:lang w:val="fr-FR"/>
        </w:rPr>
        <w:t>-</w:t>
      </w:r>
      <w:r w:rsidRPr="00781FE6">
        <w:rPr>
          <w:szCs w:val="18"/>
          <w:lang w:val="fr-FR"/>
        </w:rPr>
        <w:t>gtlds</w:t>
      </w:r>
      <w:r w:rsidR="00E839AD">
        <w:rPr>
          <w:szCs w:val="18"/>
          <w:lang w:val="fr-FR"/>
        </w:rPr>
        <w:t>-</w:t>
      </w:r>
      <w:r w:rsidRPr="00781FE6">
        <w:rPr>
          <w:szCs w:val="18"/>
          <w:lang w:val="fr-FR"/>
        </w:rPr>
        <w:t>28mar07</w:t>
      </w:r>
      <w:r w:rsidR="00E839AD">
        <w:rPr>
          <w:szCs w:val="18"/>
          <w:lang w:val="fr-FR"/>
        </w:rPr>
        <w:t>-</w:t>
      </w:r>
      <w:r w:rsidRPr="00781FE6">
        <w:rPr>
          <w:szCs w:val="18"/>
          <w:lang w:val="fr-FR"/>
        </w:rPr>
        <w:t>en.pdf.</w:t>
      </w:r>
    </w:p>
  </w:footnote>
  <w:footnote w:id="60">
    <w:p w:rsidR="00065824" w:rsidRPr="00781FE6" w:rsidRDefault="00065824" w:rsidP="00B36AF7">
      <w:pPr>
        <w:pStyle w:val="FootnoteText"/>
        <w:tabs>
          <w:tab w:val="left" w:pos="567"/>
        </w:tabs>
        <w:rPr>
          <w:szCs w:val="18"/>
          <w:lang w:val="fr-FR"/>
        </w:rPr>
      </w:pPr>
      <w:r w:rsidRPr="00781FE6">
        <w:rPr>
          <w:rStyle w:val="FootnoteReference"/>
          <w:lang w:val="fr-FR"/>
        </w:rPr>
        <w:footnoteRef/>
      </w:r>
      <w:r w:rsidRPr="00781FE6">
        <w:rPr>
          <w:lang w:val="fr-FR"/>
        </w:rPr>
        <w:t xml:space="preserve"> </w:t>
      </w:r>
      <w:r w:rsidRPr="00781FE6">
        <w:rPr>
          <w:lang w:val="fr-FR"/>
        </w:rPr>
        <w:tab/>
      </w:r>
      <w:r w:rsidR="00D706A5" w:rsidRPr="00D706A5">
        <w:rPr>
          <w:szCs w:val="22"/>
          <w:lang w:val="fr-FR"/>
        </w:rPr>
        <w:t>En ce qui concerne les enregistrements au deuxième niveau, le contrat de base de l</w:t>
      </w:r>
      <w:r w:rsidR="00E839AD">
        <w:rPr>
          <w:szCs w:val="22"/>
          <w:lang w:val="fr-FR"/>
        </w:rPr>
        <w:t>’</w:t>
      </w:r>
      <w:r w:rsidR="00D706A5" w:rsidRPr="00D706A5">
        <w:rPr>
          <w:szCs w:val="22"/>
          <w:lang w:val="fr-FR"/>
        </w:rPr>
        <w:t>ICANN avec les services</w:t>
      </w:r>
      <w:r w:rsidR="00D706A5">
        <w:rPr>
          <w:szCs w:val="22"/>
          <w:lang w:val="fr-FR"/>
        </w:rPr>
        <w:t xml:space="preserve"> </w:t>
      </w:r>
      <w:r w:rsidR="00D706A5" w:rsidRPr="00D706A5">
        <w:rPr>
          <w:szCs w:val="22"/>
          <w:lang w:val="fr-FR"/>
        </w:rPr>
        <w:t>d</w:t>
      </w:r>
      <w:r w:rsidR="00E839AD">
        <w:rPr>
          <w:szCs w:val="22"/>
          <w:lang w:val="fr-FR"/>
        </w:rPr>
        <w:t>’</w:t>
      </w:r>
      <w:r w:rsidR="00D706A5" w:rsidRPr="00D706A5">
        <w:rPr>
          <w:szCs w:val="22"/>
          <w:lang w:val="fr-FR"/>
        </w:rPr>
        <w:t>enregistrement contient un “Inventaire des noms réservés au deuxième niveau dans les services d</w:t>
      </w:r>
      <w:r w:rsidR="00E839AD">
        <w:rPr>
          <w:szCs w:val="22"/>
          <w:lang w:val="fr-FR"/>
        </w:rPr>
        <w:t>’</w:t>
      </w:r>
      <w:r w:rsidR="00D706A5" w:rsidRPr="00D706A5">
        <w:rPr>
          <w:szCs w:val="22"/>
          <w:lang w:val="fr-FR"/>
        </w:rPr>
        <w:t>enregistrement</w:t>
      </w:r>
      <w:r w:rsidR="00D706A5">
        <w:rPr>
          <w:szCs w:val="22"/>
          <w:lang w:val="fr-FR"/>
        </w:rPr>
        <w:t xml:space="preserve"> </w:t>
      </w:r>
      <w:r w:rsidR="00D706A5" w:rsidRPr="00D706A5">
        <w:rPr>
          <w:szCs w:val="22"/>
          <w:lang w:val="fr-FR"/>
        </w:rPr>
        <w:t xml:space="preserve">pour les gTLD” où figurent certains noms de pays et de territoires. </w:t>
      </w:r>
      <w:r w:rsidR="00D706A5">
        <w:rPr>
          <w:szCs w:val="22"/>
          <w:lang w:val="fr-FR"/>
        </w:rPr>
        <w:t xml:space="preserve"> </w:t>
      </w:r>
      <w:r w:rsidR="00D706A5" w:rsidRPr="00D706A5">
        <w:rPr>
          <w:szCs w:val="22"/>
          <w:lang w:val="fr-FR"/>
        </w:rPr>
        <w:t>Voir</w:t>
      </w:r>
      <w:r w:rsidR="00D706A5">
        <w:rPr>
          <w:szCs w:val="22"/>
          <w:lang w:val="fr-FR"/>
        </w:rPr>
        <w:t xml:space="preserve"> </w:t>
      </w:r>
      <w:r w:rsidR="00D706A5" w:rsidRPr="00D706A5">
        <w:rPr>
          <w:szCs w:val="22"/>
          <w:lang w:val="fr-FR"/>
        </w:rPr>
        <w:t>http://newgtlds.icann.org/en/applicants/agb/base</w:t>
      </w:r>
      <w:r w:rsidR="00E839AD">
        <w:rPr>
          <w:szCs w:val="22"/>
          <w:lang w:val="fr-FR"/>
        </w:rPr>
        <w:t>-</w:t>
      </w:r>
      <w:r w:rsidR="00D706A5" w:rsidRPr="00D706A5">
        <w:rPr>
          <w:szCs w:val="22"/>
          <w:lang w:val="fr-FR"/>
        </w:rPr>
        <w:t>arrangement</w:t>
      </w:r>
      <w:r w:rsidR="00E839AD">
        <w:rPr>
          <w:szCs w:val="22"/>
          <w:lang w:val="fr-FR"/>
        </w:rPr>
        <w:t>-</w:t>
      </w:r>
      <w:r w:rsidR="00D706A5" w:rsidRPr="00D706A5">
        <w:rPr>
          <w:szCs w:val="22"/>
          <w:lang w:val="fr-FR"/>
        </w:rPr>
        <w:t>specs</w:t>
      </w:r>
      <w:r w:rsidR="00E839AD">
        <w:rPr>
          <w:szCs w:val="22"/>
          <w:lang w:val="fr-FR"/>
        </w:rPr>
        <w:t>-</w:t>
      </w:r>
      <w:r w:rsidR="00D706A5" w:rsidRPr="00D706A5">
        <w:rPr>
          <w:szCs w:val="22"/>
          <w:lang w:val="fr-FR"/>
        </w:rPr>
        <w:t>04jun12</w:t>
      </w:r>
      <w:r w:rsidR="00E839AD">
        <w:rPr>
          <w:szCs w:val="22"/>
          <w:lang w:val="fr-FR"/>
        </w:rPr>
        <w:t>-</w:t>
      </w:r>
      <w:r w:rsidR="00D706A5" w:rsidRPr="00D706A5">
        <w:rPr>
          <w:szCs w:val="22"/>
          <w:lang w:val="fr-FR"/>
        </w:rPr>
        <w:t>en.pdf, spécification</w:t>
      </w:r>
      <w:r w:rsidR="00AC7A8F">
        <w:rPr>
          <w:szCs w:val="22"/>
          <w:lang w:val="fr-FR"/>
        </w:rPr>
        <w:t> </w:t>
      </w:r>
      <w:r w:rsidR="00D706A5" w:rsidRPr="00D706A5">
        <w:rPr>
          <w:szCs w:val="22"/>
          <w:lang w:val="fr-FR"/>
        </w:rPr>
        <w:t>5</w:t>
      </w:r>
      <w:r w:rsidRPr="00781FE6">
        <w:rPr>
          <w:szCs w:val="18"/>
          <w:lang w:val="fr-FR"/>
        </w:rPr>
        <w:t>.</w:t>
      </w:r>
    </w:p>
  </w:footnote>
  <w:footnote w:id="61">
    <w:p w:rsidR="00065824" w:rsidRPr="00781FE6" w:rsidRDefault="00065824" w:rsidP="00B36AF7">
      <w:pPr>
        <w:pStyle w:val="FootnoteText"/>
        <w:tabs>
          <w:tab w:val="left" w:pos="567"/>
        </w:tabs>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00D706A5" w:rsidRPr="00D706A5">
        <w:rPr>
          <w:szCs w:val="18"/>
          <w:lang w:val="fr-FR"/>
        </w:rPr>
        <w:t>Voir http://newgtlds.icann.org/en/applicants/agb/evaluation</w:t>
      </w:r>
      <w:r w:rsidR="00E839AD">
        <w:rPr>
          <w:szCs w:val="18"/>
          <w:lang w:val="fr-FR"/>
        </w:rPr>
        <w:t>-</w:t>
      </w:r>
      <w:r w:rsidR="00D706A5" w:rsidRPr="00D706A5">
        <w:rPr>
          <w:szCs w:val="18"/>
          <w:lang w:val="fr-FR"/>
        </w:rPr>
        <w:t>procedures</w:t>
      </w:r>
      <w:r w:rsidR="00E839AD">
        <w:rPr>
          <w:szCs w:val="18"/>
          <w:lang w:val="fr-FR"/>
        </w:rPr>
        <w:t>-</w:t>
      </w:r>
      <w:r w:rsidR="00D706A5" w:rsidRPr="00D706A5">
        <w:rPr>
          <w:szCs w:val="18"/>
          <w:lang w:val="fr-FR"/>
        </w:rPr>
        <w:t>04jun12</w:t>
      </w:r>
      <w:r w:rsidR="00E839AD">
        <w:rPr>
          <w:szCs w:val="18"/>
          <w:lang w:val="fr-FR"/>
        </w:rPr>
        <w:t>-</w:t>
      </w:r>
      <w:r w:rsidR="00D706A5" w:rsidRPr="00D706A5">
        <w:rPr>
          <w:szCs w:val="18"/>
          <w:lang w:val="fr-FR"/>
        </w:rPr>
        <w:t>en.pdf, à partir de la</w:t>
      </w:r>
      <w:r w:rsidR="00D706A5">
        <w:rPr>
          <w:szCs w:val="18"/>
          <w:lang w:val="fr-FR"/>
        </w:rPr>
        <w:t xml:space="preserve"> </w:t>
      </w:r>
      <w:r w:rsidR="00E839AD" w:rsidRPr="00D706A5">
        <w:rPr>
          <w:szCs w:val="18"/>
          <w:lang w:val="fr-FR"/>
        </w:rPr>
        <w:t>section</w:t>
      </w:r>
      <w:r w:rsidR="00E839AD">
        <w:rPr>
          <w:szCs w:val="18"/>
          <w:lang w:val="fr-FR"/>
        </w:rPr>
        <w:t> </w:t>
      </w:r>
      <w:r w:rsidR="00E839AD" w:rsidRPr="00D706A5">
        <w:rPr>
          <w:szCs w:val="18"/>
          <w:lang w:val="fr-FR"/>
        </w:rPr>
        <w:t>2</w:t>
      </w:r>
      <w:r w:rsidR="00D706A5" w:rsidRPr="00D706A5">
        <w:rPr>
          <w:szCs w:val="18"/>
          <w:lang w:val="fr-FR"/>
        </w:rPr>
        <w:t>.2.1.4.1 “</w:t>
      </w:r>
      <w:proofErr w:type="spellStart"/>
      <w:r w:rsidR="00D706A5" w:rsidRPr="00D706A5">
        <w:rPr>
          <w:szCs w:val="18"/>
          <w:lang w:val="fr-FR"/>
        </w:rPr>
        <w:t>Treatment</w:t>
      </w:r>
      <w:proofErr w:type="spellEnd"/>
      <w:r w:rsidR="00D706A5" w:rsidRPr="00D706A5">
        <w:rPr>
          <w:szCs w:val="18"/>
          <w:lang w:val="fr-FR"/>
        </w:rPr>
        <w:t xml:space="preserve"> of Country or </w:t>
      </w:r>
      <w:proofErr w:type="spellStart"/>
      <w:r w:rsidR="00D706A5" w:rsidRPr="00D706A5">
        <w:rPr>
          <w:szCs w:val="18"/>
          <w:lang w:val="fr-FR"/>
        </w:rPr>
        <w:t>Territory</w:t>
      </w:r>
      <w:proofErr w:type="spellEnd"/>
      <w:r w:rsidR="00D706A5" w:rsidRPr="00D706A5">
        <w:rPr>
          <w:szCs w:val="18"/>
          <w:lang w:val="fr-FR"/>
        </w:rPr>
        <w:t xml:space="preserve"> </w:t>
      </w:r>
      <w:proofErr w:type="spellStart"/>
      <w:r w:rsidR="00D706A5" w:rsidRPr="00D706A5">
        <w:rPr>
          <w:szCs w:val="18"/>
          <w:lang w:val="fr-FR"/>
        </w:rPr>
        <w:t>Names</w:t>
      </w:r>
      <w:proofErr w:type="spellEnd"/>
      <w:r w:rsidR="00D706A5" w:rsidRPr="00D706A5">
        <w:rPr>
          <w:szCs w:val="18"/>
          <w:lang w:val="fr-FR"/>
        </w:rPr>
        <w:t>”.</w:t>
      </w:r>
    </w:p>
  </w:footnote>
  <w:footnote w:id="62">
    <w:p w:rsidR="00065824" w:rsidRPr="00781FE6" w:rsidRDefault="00065824" w:rsidP="00B36AF7">
      <w:pPr>
        <w:pStyle w:val="FootnoteText"/>
        <w:tabs>
          <w:tab w:val="left" w:pos="567"/>
        </w:tabs>
        <w:rPr>
          <w:szCs w:val="18"/>
          <w:lang w:val="fr-FR"/>
        </w:rPr>
      </w:pPr>
      <w:r w:rsidRPr="00781FE6">
        <w:rPr>
          <w:rStyle w:val="FootnoteReference"/>
          <w:lang w:val="fr-FR"/>
        </w:rPr>
        <w:footnoteRef/>
      </w:r>
      <w:r w:rsidRPr="00781FE6">
        <w:rPr>
          <w:szCs w:val="18"/>
          <w:lang w:val="fr-FR"/>
        </w:rPr>
        <w:t xml:space="preserve"> </w:t>
      </w:r>
      <w:r w:rsidRPr="00781FE6">
        <w:rPr>
          <w:szCs w:val="18"/>
          <w:lang w:val="fr-FR"/>
        </w:rPr>
        <w:tab/>
      </w:r>
      <w:r w:rsidR="00D706A5" w:rsidRPr="00D706A5">
        <w:rPr>
          <w:szCs w:val="18"/>
          <w:lang w:val="fr-FR"/>
        </w:rPr>
        <w:t>Voir http://newgtlds.icann.org/en/applicants/agb/evaluation</w:t>
      </w:r>
      <w:r w:rsidR="00E839AD">
        <w:rPr>
          <w:szCs w:val="18"/>
          <w:lang w:val="fr-FR"/>
        </w:rPr>
        <w:t>-</w:t>
      </w:r>
      <w:r w:rsidR="00D706A5" w:rsidRPr="00D706A5">
        <w:rPr>
          <w:szCs w:val="18"/>
          <w:lang w:val="fr-FR"/>
        </w:rPr>
        <w:t>procedures</w:t>
      </w:r>
      <w:r w:rsidR="00E839AD">
        <w:rPr>
          <w:szCs w:val="18"/>
          <w:lang w:val="fr-FR"/>
        </w:rPr>
        <w:t>-</w:t>
      </w:r>
      <w:r w:rsidR="00D706A5" w:rsidRPr="00D706A5">
        <w:rPr>
          <w:szCs w:val="18"/>
          <w:lang w:val="fr-FR"/>
        </w:rPr>
        <w:t>04jun12</w:t>
      </w:r>
      <w:r w:rsidR="00E839AD">
        <w:rPr>
          <w:szCs w:val="18"/>
          <w:lang w:val="fr-FR"/>
        </w:rPr>
        <w:t>-</w:t>
      </w:r>
      <w:r w:rsidR="00D706A5" w:rsidRPr="00D706A5">
        <w:rPr>
          <w:szCs w:val="18"/>
          <w:lang w:val="fr-FR"/>
        </w:rPr>
        <w:t>en.pdf, à partir de la</w:t>
      </w:r>
      <w:r w:rsidR="00D706A5">
        <w:rPr>
          <w:szCs w:val="18"/>
          <w:lang w:val="fr-FR"/>
        </w:rPr>
        <w:t xml:space="preserve"> </w:t>
      </w:r>
      <w:r w:rsidR="00E839AD" w:rsidRPr="00D706A5">
        <w:rPr>
          <w:szCs w:val="18"/>
          <w:lang w:val="fr-FR"/>
        </w:rPr>
        <w:t>section</w:t>
      </w:r>
      <w:r w:rsidR="00E839AD">
        <w:rPr>
          <w:szCs w:val="18"/>
          <w:lang w:val="fr-FR"/>
        </w:rPr>
        <w:t> </w:t>
      </w:r>
      <w:r w:rsidR="00E839AD" w:rsidRPr="00D706A5">
        <w:rPr>
          <w:szCs w:val="18"/>
          <w:lang w:val="fr-FR"/>
        </w:rPr>
        <w:t>2</w:t>
      </w:r>
      <w:r w:rsidR="00D706A5" w:rsidRPr="00D706A5">
        <w:rPr>
          <w:szCs w:val="18"/>
          <w:lang w:val="fr-FR"/>
        </w:rPr>
        <w:t xml:space="preserve">.2.1.4.2 “Geographic </w:t>
      </w:r>
      <w:proofErr w:type="spellStart"/>
      <w:r w:rsidR="00D706A5" w:rsidRPr="00D706A5">
        <w:rPr>
          <w:szCs w:val="18"/>
          <w:lang w:val="fr-FR"/>
        </w:rPr>
        <w:t>Names</w:t>
      </w:r>
      <w:proofErr w:type="spellEnd"/>
      <w:r w:rsidR="00D706A5" w:rsidRPr="00D706A5">
        <w:rPr>
          <w:szCs w:val="18"/>
          <w:lang w:val="fr-FR"/>
        </w:rPr>
        <w:t xml:space="preserve"> </w:t>
      </w:r>
      <w:proofErr w:type="spellStart"/>
      <w:r w:rsidR="00D706A5" w:rsidRPr="00D706A5">
        <w:rPr>
          <w:szCs w:val="18"/>
          <w:lang w:val="fr-FR"/>
        </w:rPr>
        <w:t>Requiring</w:t>
      </w:r>
      <w:proofErr w:type="spellEnd"/>
      <w:r w:rsidR="00D706A5" w:rsidRPr="00D706A5">
        <w:rPr>
          <w:szCs w:val="18"/>
          <w:lang w:val="fr-FR"/>
        </w:rPr>
        <w:t xml:space="preserve"> </w:t>
      </w:r>
      <w:proofErr w:type="spellStart"/>
      <w:r w:rsidR="00D706A5" w:rsidRPr="00D706A5">
        <w:rPr>
          <w:szCs w:val="18"/>
          <w:lang w:val="fr-FR"/>
        </w:rPr>
        <w:t>Government</w:t>
      </w:r>
      <w:proofErr w:type="spellEnd"/>
      <w:r w:rsidR="00D706A5" w:rsidRPr="00D706A5">
        <w:rPr>
          <w:szCs w:val="18"/>
          <w:lang w:val="fr-FR"/>
        </w:rPr>
        <w:t xml:space="preserve"> Support”.</w:t>
      </w:r>
    </w:p>
  </w:footnote>
  <w:footnote w:id="63">
    <w:p w:rsidR="00065824" w:rsidRPr="00781FE6" w:rsidRDefault="00065824" w:rsidP="00B36AF7">
      <w:pPr>
        <w:pStyle w:val="FootnoteText"/>
        <w:tabs>
          <w:tab w:val="left" w:pos="567"/>
        </w:tabs>
        <w:rPr>
          <w:color w:val="000000" w:themeColor="text1"/>
          <w:szCs w:val="22"/>
          <w:lang w:val="fr-FR"/>
        </w:rPr>
      </w:pPr>
      <w:r w:rsidRPr="00781FE6">
        <w:rPr>
          <w:rStyle w:val="FootnoteReference"/>
          <w:lang w:val="fr-FR"/>
        </w:rPr>
        <w:footnoteRef/>
      </w:r>
      <w:r w:rsidRPr="00781FE6">
        <w:rPr>
          <w:lang w:val="fr-FR"/>
        </w:rPr>
        <w:t xml:space="preserve"> </w:t>
      </w:r>
      <w:r w:rsidRPr="00781FE6">
        <w:rPr>
          <w:lang w:val="fr-FR"/>
        </w:rPr>
        <w:tab/>
      </w:r>
      <w:r w:rsidR="00D706A5" w:rsidRPr="00345811">
        <w:rPr>
          <w:spacing w:val="-2"/>
          <w:lang w:val="fr-FR"/>
        </w:rPr>
        <w:t>Voir https://www.icann.org/en/system/files/correspondence/gac</w:t>
      </w:r>
      <w:r w:rsidR="00E839AD" w:rsidRPr="00345811">
        <w:rPr>
          <w:spacing w:val="-2"/>
          <w:lang w:val="fr-FR"/>
        </w:rPr>
        <w:t>-</w:t>
      </w:r>
      <w:r w:rsidR="00D706A5" w:rsidRPr="00345811">
        <w:rPr>
          <w:spacing w:val="-2"/>
          <w:lang w:val="fr-FR"/>
        </w:rPr>
        <w:t>to</w:t>
      </w:r>
      <w:r w:rsidR="00E839AD" w:rsidRPr="00345811">
        <w:rPr>
          <w:spacing w:val="-2"/>
          <w:lang w:val="fr-FR"/>
        </w:rPr>
        <w:t>-</w:t>
      </w:r>
      <w:r w:rsidR="00D706A5" w:rsidRPr="00345811">
        <w:rPr>
          <w:spacing w:val="-2"/>
          <w:lang w:val="fr-FR"/>
        </w:rPr>
        <w:t>board</w:t>
      </w:r>
      <w:r w:rsidR="00E839AD" w:rsidRPr="00345811">
        <w:rPr>
          <w:spacing w:val="-2"/>
          <w:lang w:val="fr-FR"/>
        </w:rPr>
        <w:t>-</w:t>
      </w:r>
      <w:r w:rsidR="00D706A5" w:rsidRPr="00345811">
        <w:rPr>
          <w:spacing w:val="-2"/>
          <w:lang w:val="fr-FR"/>
        </w:rPr>
        <w:t>27mar14</w:t>
      </w:r>
      <w:r w:rsidR="00E839AD" w:rsidRPr="00345811">
        <w:rPr>
          <w:spacing w:val="-2"/>
          <w:lang w:val="fr-FR"/>
        </w:rPr>
        <w:t>-</w:t>
      </w:r>
      <w:r w:rsidR="00FE15D5" w:rsidRPr="00345811">
        <w:rPr>
          <w:spacing w:val="-2"/>
          <w:lang w:val="fr-FR"/>
        </w:rPr>
        <w:t>en.pdf, rubrique </w:t>
      </w:r>
      <w:r w:rsidR="00D706A5" w:rsidRPr="00345811">
        <w:rPr>
          <w:spacing w:val="-2"/>
          <w:lang w:val="fr-FR"/>
        </w:rPr>
        <w:t>“4.</w:t>
      </w:r>
      <w:r w:rsidR="00FE15D5" w:rsidRPr="00345811">
        <w:rPr>
          <w:spacing w:val="-2"/>
          <w:lang w:val="fr-FR"/>
        </w:rPr>
        <w:t> </w:t>
      </w:r>
      <w:proofErr w:type="spellStart"/>
      <w:r w:rsidR="00D706A5" w:rsidRPr="00345811">
        <w:rPr>
          <w:spacing w:val="-2"/>
          <w:lang w:val="fr-FR"/>
        </w:rPr>
        <w:t>Specific</w:t>
      </w:r>
      <w:proofErr w:type="spellEnd"/>
      <w:r w:rsidR="00FE15D5" w:rsidRPr="00345811">
        <w:rPr>
          <w:spacing w:val="-2"/>
          <w:lang w:val="fr-FR"/>
        </w:rPr>
        <w:t> </w:t>
      </w:r>
      <w:r w:rsidR="00D706A5" w:rsidRPr="00345811">
        <w:rPr>
          <w:spacing w:val="-2"/>
          <w:lang w:val="fr-FR"/>
        </w:rPr>
        <w:t>Strings”.  Bien que le Conseil ait accepté la recommandation</w:t>
      </w:r>
      <w:r w:rsidR="00E839AD" w:rsidRPr="00345811">
        <w:rPr>
          <w:spacing w:val="-2"/>
          <w:lang w:val="fr-FR"/>
        </w:rPr>
        <w:t xml:space="preserve"> du GAC</w:t>
      </w:r>
      <w:r w:rsidR="00D706A5" w:rsidRPr="00345811">
        <w:rPr>
          <w:spacing w:val="-2"/>
          <w:lang w:val="fr-FR"/>
        </w:rPr>
        <w:t xml:space="preserve"> tendant à ne pas donner suite à certaines demandes, il a sollicité des informations supplémentaires</w:t>
      </w:r>
      <w:r w:rsidR="00E839AD" w:rsidRPr="00345811">
        <w:rPr>
          <w:spacing w:val="-2"/>
          <w:lang w:val="fr-FR"/>
        </w:rPr>
        <w:t xml:space="preserve"> du GAC</w:t>
      </w:r>
      <w:r w:rsidR="00D706A5" w:rsidRPr="00345811">
        <w:rPr>
          <w:spacing w:val="-2"/>
          <w:lang w:val="fr-FR"/>
        </w:rPr>
        <w:t>, ainsi que des commentaires du public, sur une série de garanties complémentaires demandées par</w:t>
      </w:r>
      <w:r w:rsidR="00E839AD" w:rsidRPr="00345811">
        <w:rPr>
          <w:spacing w:val="-2"/>
          <w:lang w:val="fr-FR"/>
        </w:rPr>
        <w:t xml:space="preserve"> le GAC</w:t>
      </w:r>
      <w:r w:rsidR="00D706A5" w:rsidRPr="00345811">
        <w:rPr>
          <w:spacing w:val="-2"/>
          <w:lang w:val="fr-FR"/>
        </w:rPr>
        <w:t xml:space="preserve"> au sujet de plusieurs catégories de demandes portant sur de nouveaux gTLD correspondant à des secteurs réglementés ou à des termes du dictionnaire.  Voir https://gacweb.icann.org/download/attachments/27132037/Beijing%20Communique%20april2013_Final.pdf.  Un sous</w:t>
      </w:r>
      <w:r w:rsidR="00E839AD" w:rsidRPr="00345811">
        <w:rPr>
          <w:spacing w:val="-2"/>
          <w:lang w:val="fr-FR"/>
        </w:rPr>
        <w:t>-</w:t>
      </w:r>
      <w:r w:rsidR="00D706A5" w:rsidRPr="00345811">
        <w:rPr>
          <w:spacing w:val="-2"/>
          <w:lang w:val="fr-FR"/>
        </w:rPr>
        <w:t>groupe</w:t>
      </w:r>
      <w:r w:rsidR="00E839AD" w:rsidRPr="00345811">
        <w:rPr>
          <w:spacing w:val="-2"/>
          <w:lang w:val="fr-FR"/>
        </w:rPr>
        <w:t xml:space="preserve"> du GAC</w:t>
      </w:r>
      <w:r w:rsidR="00D706A5" w:rsidRPr="00345811">
        <w:rPr>
          <w:spacing w:val="-2"/>
          <w:lang w:val="fr-FR"/>
        </w:rPr>
        <w:t xml:space="preserve"> sur les noms géographiques (relevant du Groupe de travail</w:t>
      </w:r>
      <w:r w:rsidR="00E839AD" w:rsidRPr="00345811">
        <w:rPr>
          <w:spacing w:val="-2"/>
          <w:lang w:val="fr-FR"/>
        </w:rPr>
        <w:t xml:space="preserve"> du GAC</w:t>
      </w:r>
      <w:r w:rsidR="00D706A5" w:rsidRPr="00345811">
        <w:rPr>
          <w:spacing w:val="-2"/>
          <w:lang w:val="fr-FR"/>
        </w:rPr>
        <w:t xml:space="preserve"> sur les futurs gTLD) a établi un projet de document pour la prochaine série de gTLD mettant en évidence plusieurs questions d</w:t>
      </w:r>
      <w:r w:rsidR="00E839AD" w:rsidRPr="00345811">
        <w:rPr>
          <w:spacing w:val="-2"/>
          <w:lang w:val="fr-FR"/>
        </w:rPr>
        <w:t>’</w:t>
      </w:r>
      <w:r w:rsidR="00D706A5" w:rsidRPr="00345811">
        <w:rPr>
          <w:spacing w:val="-2"/>
          <w:lang w:val="fr-FR"/>
        </w:rPr>
        <w:t>intérêt général en rapport avec les noms géographiques, qui fait actuellement l</w:t>
      </w:r>
      <w:r w:rsidR="00E839AD" w:rsidRPr="00345811">
        <w:rPr>
          <w:spacing w:val="-2"/>
          <w:lang w:val="fr-FR"/>
        </w:rPr>
        <w:t>’</w:t>
      </w:r>
      <w:r w:rsidR="00D706A5" w:rsidRPr="00345811">
        <w:rPr>
          <w:spacing w:val="-2"/>
          <w:lang w:val="fr-FR"/>
        </w:rPr>
        <w:t>objet de discussions supplémentaires au sein de l</w:t>
      </w:r>
      <w:r w:rsidR="00E839AD" w:rsidRPr="00345811">
        <w:rPr>
          <w:spacing w:val="-2"/>
          <w:lang w:val="fr-FR"/>
        </w:rPr>
        <w:t>’</w:t>
      </w:r>
      <w:r w:rsidR="00D706A5" w:rsidRPr="00345811">
        <w:rPr>
          <w:spacing w:val="-2"/>
          <w:lang w:val="fr-FR"/>
        </w:rPr>
        <w:t>ICANN.  Voir</w:t>
      </w:r>
      <w:r w:rsidR="00195D72">
        <w:rPr>
          <w:spacing w:val="-2"/>
          <w:lang w:val="fr-FR"/>
        </w:rPr>
        <w:t> </w:t>
      </w:r>
      <w:r w:rsidR="00D706A5" w:rsidRPr="00345811">
        <w:rPr>
          <w:spacing w:val="-2"/>
          <w:lang w:val="fr-FR"/>
        </w:rPr>
        <w:t>https://gacweb.icann.org/download/attachments/27132037/Geo%20names%20in%20new%20gTLDs%20Updated%20%20V3%20%2029%20august%202014%5B4%5D.pdf?version=1&amp;modificationDate=1411549935000&amp;api=v2.</w:t>
      </w:r>
    </w:p>
  </w:footnote>
  <w:footnote w:id="64">
    <w:p w:rsidR="00065824" w:rsidRPr="00781FE6" w:rsidRDefault="00065824" w:rsidP="00B36AF7">
      <w:pPr>
        <w:pStyle w:val="FootnoteText"/>
        <w:tabs>
          <w:tab w:val="left" w:pos="567"/>
        </w:tabs>
        <w:rPr>
          <w:lang w:val="fr-FR"/>
        </w:rPr>
      </w:pPr>
      <w:r w:rsidRPr="00781FE6">
        <w:rPr>
          <w:rStyle w:val="FootnoteReference"/>
          <w:lang w:val="fr-FR"/>
        </w:rPr>
        <w:footnoteRef/>
      </w:r>
      <w:r w:rsidRPr="00781FE6">
        <w:rPr>
          <w:lang w:val="fr-FR"/>
        </w:rPr>
        <w:t xml:space="preserve"> </w:t>
      </w:r>
      <w:r w:rsidRPr="00781FE6">
        <w:rPr>
          <w:lang w:val="fr-FR"/>
        </w:rPr>
        <w:tab/>
      </w:r>
      <w:r w:rsidR="00694FCF">
        <w:rPr>
          <w:lang w:val="fr-FR"/>
        </w:rPr>
        <w:t xml:space="preserve">Sont notamment compris les plans </w:t>
      </w:r>
      <w:r w:rsidRPr="00781FE6">
        <w:rPr>
          <w:lang w:val="fr-FR"/>
        </w:rPr>
        <w:t>“</w:t>
      </w:r>
      <w:r w:rsidR="00694FCF">
        <w:rPr>
          <w:lang w:val="fr-FR"/>
        </w:rPr>
        <w:t>visant à minimiser les risques de confusion</w:t>
      </w:r>
      <w:r w:rsidRPr="00781FE6">
        <w:rPr>
          <w:lang w:val="fr-FR"/>
        </w:rPr>
        <w:t xml:space="preserve">”.  </w:t>
      </w:r>
      <w:r w:rsidR="00694FCF">
        <w:rPr>
          <w:lang w:val="fr-FR"/>
        </w:rPr>
        <w:t>Voir</w:t>
      </w:r>
      <w:r w:rsidRPr="00781FE6">
        <w:rPr>
          <w:lang w:val="fr-FR"/>
        </w:rPr>
        <w:t xml:space="preserve"> https://www.icann.org/en/system/files/files/two</w:t>
      </w:r>
      <w:r w:rsidR="00E839AD">
        <w:rPr>
          <w:lang w:val="fr-FR"/>
        </w:rPr>
        <w:t>-</w:t>
      </w:r>
      <w:r w:rsidRPr="00781FE6">
        <w:rPr>
          <w:lang w:val="fr-FR"/>
        </w:rPr>
        <w:t>character</w:t>
      </w:r>
      <w:r w:rsidR="00E839AD">
        <w:rPr>
          <w:lang w:val="fr-FR"/>
        </w:rPr>
        <w:t>-</w:t>
      </w:r>
      <w:r w:rsidRPr="00781FE6">
        <w:rPr>
          <w:lang w:val="fr-FR"/>
        </w:rPr>
        <w:t>ltr</w:t>
      </w:r>
      <w:r w:rsidR="00E839AD">
        <w:rPr>
          <w:lang w:val="fr-FR"/>
        </w:rPr>
        <w:t>-</w:t>
      </w:r>
      <w:r w:rsidRPr="00781FE6">
        <w:rPr>
          <w:lang w:val="fr-FR"/>
        </w:rPr>
        <w:t>ltr</w:t>
      </w:r>
      <w:r w:rsidR="00E839AD">
        <w:rPr>
          <w:lang w:val="fr-FR"/>
        </w:rPr>
        <w:t>-</w:t>
      </w:r>
      <w:r w:rsidRPr="00781FE6">
        <w:rPr>
          <w:lang w:val="fr-FR"/>
        </w:rPr>
        <w:t>authorization</w:t>
      </w:r>
      <w:r w:rsidR="00E839AD">
        <w:rPr>
          <w:lang w:val="fr-FR"/>
        </w:rPr>
        <w:t>-</w:t>
      </w:r>
      <w:r w:rsidRPr="00781FE6">
        <w:rPr>
          <w:lang w:val="fr-FR"/>
        </w:rPr>
        <w:t>release</w:t>
      </w:r>
      <w:r w:rsidR="00E839AD">
        <w:rPr>
          <w:lang w:val="fr-FR"/>
        </w:rPr>
        <w:t>-</w:t>
      </w:r>
      <w:r w:rsidRPr="00781FE6">
        <w:rPr>
          <w:lang w:val="fr-FR"/>
        </w:rPr>
        <w:t>13dec16</w:t>
      </w:r>
      <w:r w:rsidR="00E839AD">
        <w:rPr>
          <w:lang w:val="fr-FR"/>
        </w:rPr>
        <w:t>-</w:t>
      </w:r>
      <w:r w:rsidRPr="00781FE6">
        <w:rPr>
          <w:lang w:val="fr-FR"/>
        </w:rPr>
        <w:t>en.pdf.</w:t>
      </w:r>
    </w:p>
  </w:footnote>
  <w:footnote w:id="65">
    <w:p w:rsidR="00065824" w:rsidRPr="00781FE6" w:rsidRDefault="00065824" w:rsidP="00B36AF7">
      <w:pPr>
        <w:pStyle w:val="FootnoteText"/>
        <w:tabs>
          <w:tab w:val="left" w:pos="567"/>
        </w:tabs>
        <w:rPr>
          <w:lang w:val="fr-FR"/>
        </w:rPr>
      </w:pPr>
      <w:r w:rsidRPr="00781FE6">
        <w:rPr>
          <w:rStyle w:val="FootnoteReference"/>
          <w:lang w:val="fr-FR"/>
        </w:rPr>
        <w:footnoteRef/>
      </w:r>
      <w:r w:rsidRPr="00781FE6">
        <w:rPr>
          <w:lang w:val="fr-FR"/>
        </w:rPr>
        <w:t xml:space="preserve"> </w:t>
      </w:r>
      <w:r w:rsidRPr="00781FE6">
        <w:rPr>
          <w:lang w:val="fr-FR"/>
        </w:rPr>
        <w:tab/>
      </w:r>
      <w:r w:rsidR="00D706A5">
        <w:rPr>
          <w:lang w:val="fr-FR"/>
        </w:rPr>
        <w:t>Voir</w:t>
      </w:r>
      <w:r w:rsidRPr="00781FE6">
        <w:rPr>
          <w:lang w:val="fr-FR"/>
        </w:rPr>
        <w:t xml:space="preserve"> https://forum.icann.org/lists/comments</w:t>
      </w:r>
      <w:r w:rsidR="00E839AD">
        <w:rPr>
          <w:lang w:val="fr-FR"/>
        </w:rPr>
        <w:t>-</w:t>
      </w:r>
      <w:r w:rsidRPr="00781FE6">
        <w:rPr>
          <w:lang w:val="fr-FR"/>
        </w:rPr>
        <w:t>proposed</w:t>
      </w:r>
      <w:r w:rsidR="00E839AD">
        <w:rPr>
          <w:lang w:val="fr-FR"/>
        </w:rPr>
        <w:t>-</w:t>
      </w:r>
      <w:r w:rsidRPr="00781FE6">
        <w:rPr>
          <w:lang w:val="fr-FR"/>
        </w:rPr>
        <w:t>measures</w:t>
      </w:r>
      <w:r w:rsidR="00E839AD">
        <w:rPr>
          <w:lang w:val="fr-FR"/>
        </w:rPr>
        <w:t>-</w:t>
      </w:r>
      <w:r w:rsidRPr="00781FE6">
        <w:rPr>
          <w:lang w:val="fr-FR"/>
        </w:rPr>
        <w:t>two</w:t>
      </w:r>
      <w:r w:rsidR="00E839AD">
        <w:rPr>
          <w:lang w:val="fr-FR"/>
        </w:rPr>
        <w:t>-</w:t>
      </w:r>
      <w:r w:rsidRPr="00781FE6">
        <w:rPr>
          <w:lang w:val="fr-FR"/>
        </w:rPr>
        <w:t>char</w:t>
      </w:r>
      <w:r w:rsidR="00E839AD">
        <w:rPr>
          <w:lang w:val="fr-FR"/>
        </w:rPr>
        <w:t>-</w:t>
      </w:r>
      <w:r w:rsidRPr="00781FE6">
        <w:rPr>
          <w:lang w:val="fr-FR"/>
        </w:rPr>
        <w:t xml:space="preserve">08jul16/pdfECmcS9knuk.pdf. </w:t>
      </w:r>
    </w:p>
  </w:footnote>
  <w:footnote w:id="66">
    <w:p w:rsidR="00065824" w:rsidRPr="00781FE6" w:rsidRDefault="00065824" w:rsidP="00B36AF7">
      <w:pPr>
        <w:pStyle w:val="FootnoteText"/>
        <w:rPr>
          <w:szCs w:val="18"/>
          <w:lang w:val="fr-FR"/>
        </w:rPr>
      </w:pPr>
      <w:r w:rsidRPr="00781FE6">
        <w:rPr>
          <w:rStyle w:val="FootnoteReference"/>
          <w:lang w:val="fr-FR"/>
        </w:rPr>
        <w:footnoteRef/>
      </w:r>
      <w:r w:rsidRPr="00781FE6">
        <w:rPr>
          <w:rStyle w:val="FootnoteReference"/>
          <w:lang w:val="fr-FR"/>
        </w:rPr>
        <w:t xml:space="preserve"> </w:t>
      </w:r>
      <w:r w:rsidRPr="00781FE6">
        <w:rPr>
          <w:szCs w:val="18"/>
          <w:lang w:val="fr-FR"/>
        </w:rPr>
        <w:tab/>
      </w:r>
      <w:r w:rsidR="00D706A5" w:rsidRPr="00D706A5">
        <w:rPr>
          <w:szCs w:val="18"/>
          <w:lang w:val="fr-FR"/>
        </w:rPr>
        <w:t>Voir par exemple les documents</w:t>
      </w:r>
      <w:r w:rsidR="00054A64">
        <w:rPr>
          <w:szCs w:val="18"/>
          <w:lang w:val="fr-FR"/>
        </w:rPr>
        <w:t> </w:t>
      </w:r>
      <w:r w:rsidR="00D706A5" w:rsidRPr="00D706A5">
        <w:rPr>
          <w:szCs w:val="18"/>
          <w:lang w:val="fr-FR"/>
        </w:rPr>
        <w:t>SCT/24/4, SCT/25/3, SCT/26/6 et SCT/27/8</w:t>
      </w:r>
      <w:r w:rsidRPr="00781FE6">
        <w:rPr>
          <w:szCs w:val="18"/>
          <w:lang w:val="fr-FR"/>
        </w:rPr>
        <w:t xml:space="preserve">.  </w:t>
      </w:r>
      <w:r w:rsidR="00D706A5">
        <w:rPr>
          <w:szCs w:val="18"/>
          <w:lang w:val="fr-FR"/>
        </w:rPr>
        <w:t>Voir également la réunion</w:t>
      </w:r>
      <w:r w:rsidR="00054A64">
        <w:rPr>
          <w:szCs w:val="18"/>
          <w:lang w:val="fr-FR"/>
        </w:rPr>
        <w:t> </w:t>
      </w:r>
      <w:r w:rsidRPr="00781FE6">
        <w:rPr>
          <w:szCs w:val="18"/>
          <w:lang w:val="fr-FR"/>
        </w:rPr>
        <w:t>SCT/IS/GEO/GE/17.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811" w:rsidRDefault="00345811" w:rsidP="000D2CAB">
    <w:pPr>
      <w:pStyle w:val="Header"/>
      <w:jc w:val="right"/>
    </w:pPr>
    <w:r>
      <w:t>WO/GA/49/14</w:t>
    </w:r>
  </w:p>
  <w:p w:rsidR="00345811" w:rsidRDefault="00345811" w:rsidP="000D2CAB">
    <w:pPr>
      <w:pStyle w:val="Header"/>
      <w:jc w:val="right"/>
    </w:pPr>
    <w:proofErr w:type="gramStart"/>
    <w:r>
      <w:t>p</w:t>
    </w:r>
    <w:r w:rsidRPr="000D2CAB">
      <w:t>age</w:t>
    </w:r>
    <w:proofErr w:type="gramEnd"/>
    <w:r w:rsidRPr="000D2CAB">
      <w:t> </w:t>
    </w:r>
    <w:r w:rsidRPr="000D2CAB">
      <w:fldChar w:fldCharType="begin"/>
    </w:r>
    <w:r w:rsidRPr="000D2CAB">
      <w:instrText>PAGE   \* MERGEFORMAT</w:instrText>
    </w:r>
    <w:r w:rsidRPr="000D2CAB">
      <w:fldChar w:fldCharType="separate"/>
    </w:r>
    <w:r w:rsidR="00575294">
      <w:rPr>
        <w:noProof/>
      </w:rPr>
      <w:t>13</w:t>
    </w:r>
    <w:r w:rsidRPr="000D2CAB">
      <w:fldChar w:fldCharType="end"/>
    </w:r>
  </w:p>
  <w:p w:rsidR="00345811" w:rsidRPr="000D2CAB" w:rsidRDefault="00345811" w:rsidP="000D2C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47E6B91"/>
    <w:multiLevelType w:val="multilevel"/>
    <w:tmpl w:val="DBCCA0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Heading3"/>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0C2B69"/>
    <w:multiLevelType w:val="hybridMultilevel"/>
    <w:tmpl w:val="E55231EC"/>
    <w:lvl w:ilvl="0" w:tplc="8ADCB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82149B6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4B12FE"/>
    <w:multiLevelType w:val="hybridMultilevel"/>
    <w:tmpl w:val="F9F829BC"/>
    <w:lvl w:ilvl="0" w:tplc="B7664988">
      <w:start w:val="1"/>
      <w:numFmt w:val="decimal"/>
      <w:lvlText w:val="%1."/>
      <w:lvlJc w:val="left"/>
      <w:pPr>
        <w:ind w:left="720" w:hanging="360"/>
      </w:pPr>
      <w:rPr>
        <w:rFonts w:hint="default"/>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E2461"/>
    <w:multiLevelType w:val="hybridMultilevel"/>
    <w:tmpl w:val="BAAABCF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7F00E1"/>
    <w:multiLevelType w:val="hybridMultilevel"/>
    <w:tmpl w:val="EB9A247A"/>
    <w:lvl w:ilvl="0" w:tplc="BED4569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EA20E6"/>
    <w:multiLevelType w:val="hybridMultilevel"/>
    <w:tmpl w:val="63DC8B58"/>
    <w:lvl w:ilvl="0" w:tplc="43AC91D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6EEC14B3"/>
    <w:multiLevelType w:val="hybridMultilevel"/>
    <w:tmpl w:val="40D21C30"/>
    <w:lvl w:ilvl="0" w:tplc="43AC91D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74454990"/>
    <w:multiLevelType w:val="hybridMultilevel"/>
    <w:tmpl w:val="F79247E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8"/>
  </w:num>
  <w:num w:numId="3">
    <w:abstractNumId w:val="0"/>
  </w:num>
  <w:num w:numId="4">
    <w:abstractNumId w:val="10"/>
  </w:num>
  <w:num w:numId="5">
    <w:abstractNumId w:val="1"/>
  </w:num>
  <w:num w:numId="6">
    <w:abstractNumId w:val="5"/>
  </w:num>
  <w:num w:numId="7">
    <w:abstractNumId w:val="6"/>
  </w:num>
  <w:num w:numId="8">
    <w:abstractNumId w:val="2"/>
  </w:num>
  <w:num w:numId="9">
    <w:abstractNumId w:val="13"/>
  </w:num>
  <w:num w:numId="10">
    <w:abstractNumId w:val="12"/>
  </w:num>
  <w:num w:numId="11">
    <w:abstractNumId w:val="11"/>
  </w:num>
  <w:num w:numId="12">
    <w:abstractNumId w:val="7"/>
  </w:num>
  <w:num w:numId="13">
    <w:abstractNumId w:val="9"/>
  </w:num>
  <w:num w:numId="14">
    <w:abstractNumId w:val="3"/>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7B"/>
    <w:rsid w:val="000106AE"/>
    <w:rsid w:val="00021238"/>
    <w:rsid w:val="000322A2"/>
    <w:rsid w:val="00043CAA"/>
    <w:rsid w:val="00054A64"/>
    <w:rsid w:val="00056DED"/>
    <w:rsid w:val="00061C09"/>
    <w:rsid w:val="00065824"/>
    <w:rsid w:val="00075432"/>
    <w:rsid w:val="000876BC"/>
    <w:rsid w:val="000968ED"/>
    <w:rsid w:val="000B5FFF"/>
    <w:rsid w:val="000D2A47"/>
    <w:rsid w:val="000F0F62"/>
    <w:rsid w:val="000F5E56"/>
    <w:rsid w:val="00100B4D"/>
    <w:rsid w:val="00110383"/>
    <w:rsid w:val="0011551B"/>
    <w:rsid w:val="001362EE"/>
    <w:rsid w:val="00144D27"/>
    <w:rsid w:val="001647D5"/>
    <w:rsid w:val="00177A92"/>
    <w:rsid w:val="001828EE"/>
    <w:rsid w:val="001832A6"/>
    <w:rsid w:val="00195D72"/>
    <w:rsid w:val="001B0195"/>
    <w:rsid w:val="001D09A7"/>
    <w:rsid w:val="001D49DA"/>
    <w:rsid w:val="001E3235"/>
    <w:rsid w:val="001F3942"/>
    <w:rsid w:val="001F45ED"/>
    <w:rsid w:val="001F4736"/>
    <w:rsid w:val="0020610D"/>
    <w:rsid w:val="0021217E"/>
    <w:rsid w:val="00226D21"/>
    <w:rsid w:val="002634C4"/>
    <w:rsid w:val="00265EA1"/>
    <w:rsid w:val="002928D3"/>
    <w:rsid w:val="002F0E60"/>
    <w:rsid w:val="002F1FE6"/>
    <w:rsid w:val="002F4E68"/>
    <w:rsid w:val="002F5F9F"/>
    <w:rsid w:val="00302DE9"/>
    <w:rsid w:val="00312F7F"/>
    <w:rsid w:val="003157FF"/>
    <w:rsid w:val="003226C2"/>
    <w:rsid w:val="00326B6B"/>
    <w:rsid w:val="00332C20"/>
    <w:rsid w:val="00333FE5"/>
    <w:rsid w:val="00335A9C"/>
    <w:rsid w:val="00337A2B"/>
    <w:rsid w:val="00345811"/>
    <w:rsid w:val="00354F54"/>
    <w:rsid w:val="00361450"/>
    <w:rsid w:val="003673CF"/>
    <w:rsid w:val="00371F4E"/>
    <w:rsid w:val="00381542"/>
    <w:rsid w:val="003845C1"/>
    <w:rsid w:val="003878C3"/>
    <w:rsid w:val="003A2A92"/>
    <w:rsid w:val="003A6F89"/>
    <w:rsid w:val="003B220C"/>
    <w:rsid w:val="003B38C1"/>
    <w:rsid w:val="0040274B"/>
    <w:rsid w:val="0040743E"/>
    <w:rsid w:val="00415044"/>
    <w:rsid w:val="00423E3E"/>
    <w:rsid w:val="00427AF4"/>
    <w:rsid w:val="00434DD0"/>
    <w:rsid w:val="0043724E"/>
    <w:rsid w:val="004647DA"/>
    <w:rsid w:val="00471ED8"/>
    <w:rsid w:val="00474062"/>
    <w:rsid w:val="00477D6B"/>
    <w:rsid w:val="004848A7"/>
    <w:rsid w:val="004C6F6E"/>
    <w:rsid w:val="004D0056"/>
    <w:rsid w:val="004E181F"/>
    <w:rsid w:val="005019FF"/>
    <w:rsid w:val="00512E47"/>
    <w:rsid w:val="0051771D"/>
    <w:rsid w:val="0053057A"/>
    <w:rsid w:val="00534A4A"/>
    <w:rsid w:val="00545F8B"/>
    <w:rsid w:val="00560A29"/>
    <w:rsid w:val="00565A61"/>
    <w:rsid w:val="00575294"/>
    <w:rsid w:val="0057732B"/>
    <w:rsid w:val="00581387"/>
    <w:rsid w:val="005961F7"/>
    <w:rsid w:val="005A1140"/>
    <w:rsid w:val="005A47CC"/>
    <w:rsid w:val="005B12DD"/>
    <w:rsid w:val="005B1FA1"/>
    <w:rsid w:val="005B5972"/>
    <w:rsid w:val="005C03F2"/>
    <w:rsid w:val="005C6649"/>
    <w:rsid w:val="005C7F2D"/>
    <w:rsid w:val="005E4764"/>
    <w:rsid w:val="005F3ACA"/>
    <w:rsid w:val="005F6E62"/>
    <w:rsid w:val="00604029"/>
    <w:rsid w:val="00605827"/>
    <w:rsid w:val="00606034"/>
    <w:rsid w:val="00612F56"/>
    <w:rsid w:val="006148C5"/>
    <w:rsid w:val="006330A4"/>
    <w:rsid w:val="00634B86"/>
    <w:rsid w:val="006350EF"/>
    <w:rsid w:val="00646050"/>
    <w:rsid w:val="00651F8D"/>
    <w:rsid w:val="00661DB4"/>
    <w:rsid w:val="00663228"/>
    <w:rsid w:val="006638D9"/>
    <w:rsid w:val="006713CA"/>
    <w:rsid w:val="006721A0"/>
    <w:rsid w:val="00676C5C"/>
    <w:rsid w:val="006934B7"/>
    <w:rsid w:val="00694FCF"/>
    <w:rsid w:val="006A0C6C"/>
    <w:rsid w:val="006D52A4"/>
    <w:rsid w:val="006D66E7"/>
    <w:rsid w:val="006D7EF4"/>
    <w:rsid w:val="006F6C3F"/>
    <w:rsid w:val="0071160B"/>
    <w:rsid w:val="00727850"/>
    <w:rsid w:val="0075054B"/>
    <w:rsid w:val="00751E43"/>
    <w:rsid w:val="00760BBA"/>
    <w:rsid w:val="00781FE6"/>
    <w:rsid w:val="007A59B5"/>
    <w:rsid w:val="007A6384"/>
    <w:rsid w:val="007B3909"/>
    <w:rsid w:val="007C2311"/>
    <w:rsid w:val="007C4077"/>
    <w:rsid w:val="007D0558"/>
    <w:rsid w:val="007D1613"/>
    <w:rsid w:val="007E4C0E"/>
    <w:rsid w:val="007F17F7"/>
    <w:rsid w:val="008005D2"/>
    <w:rsid w:val="00805765"/>
    <w:rsid w:val="00817329"/>
    <w:rsid w:val="008700E1"/>
    <w:rsid w:val="008A134B"/>
    <w:rsid w:val="008B2CC1"/>
    <w:rsid w:val="008B60B2"/>
    <w:rsid w:val="008C7347"/>
    <w:rsid w:val="008D59AB"/>
    <w:rsid w:val="0090731E"/>
    <w:rsid w:val="00907C05"/>
    <w:rsid w:val="00916EE2"/>
    <w:rsid w:val="00921698"/>
    <w:rsid w:val="00930AAF"/>
    <w:rsid w:val="00935A96"/>
    <w:rsid w:val="00953B6A"/>
    <w:rsid w:val="00954357"/>
    <w:rsid w:val="00964123"/>
    <w:rsid w:val="00966A22"/>
    <w:rsid w:val="0096722F"/>
    <w:rsid w:val="00980843"/>
    <w:rsid w:val="00996ECC"/>
    <w:rsid w:val="009C1D7E"/>
    <w:rsid w:val="009E2791"/>
    <w:rsid w:val="009E3F6F"/>
    <w:rsid w:val="009F499F"/>
    <w:rsid w:val="00A2499C"/>
    <w:rsid w:val="00A31B2A"/>
    <w:rsid w:val="00A34514"/>
    <w:rsid w:val="00A37AC3"/>
    <w:rsid w:val="00A42DAF"/>
    <w:rsid w:val="00A45BD8"/>
    <w:rsid w:val="00A5484D"/>
    <w:rsid w:val="00A61C9D"/>
    <w:rsid w:val="00A869B7"/>
    <w:rsid w:val="00AA09BE"/>
    <w:rsid w:val="00AA5FDA"/>
    <w:rsid w:val="00AB41AC"/>
    <w:rsid w:val="00AB7790"/>
    <w:rsid w:val="00AC205C"/>
    <w:rsid w:val="00AC7A8F"/>
    <w:rsid w:val="00AD2D6F"/>
    <w:rsid w:val="00AF0A6B"/>
    <w:rsid w:val="00B0164D"/>
    <w:rsid w:val="00B05A69"/>
    <w:rsid w:val="00B064ED"/>
    <w:rsid w:val="00B13BD6"/>
    <w:rsid w:val="00B36AF7"/>
    <w:rsid w:val="00B955B2"/>
    <w:rsid w:val="00B9734B"/>
    <w:rsid w:val="00BA10B8"/>
    <w:rsid w:val="00BA30E2"/>
    <w:rsid w:val="00BB2713"/>
    <w:rsid w:val="00BB48A1"/>
    <w:rsid w:val="00BD030B"/>
    <w:rsid w:val="00BD5E37"/>
    <w:rsid w:val="00BE5F82"/>
    <w:rsid w:val="00BE7BBD"/>
    <w:rsid w:val="00C014E1"/>
    <w:rsid w:val="00C07F05"/>
    <w:rsid w:val="00C11BFE"/>
    <w:rsid w:val="00C12A9F"/>
    <w:rsid w:val="00C12CAA"/>
    <w:rsid w:val="00C40512"/>
    <w:rsid w:val="00C5068F"/>
    <w:rsid w:val="00C86D74"/>
    <w:rsid w:val="00C87EE9"/>
    <w:rsid w:val="00C905F4"/>
    <w:rsid w:val="00C93C4E"/>
    <w:rsid w:val="00CA5A37"/>
    <w:rsid w:val="00CA5DC5"/>
    <w:rsid w:val="00CB5EF3"/>
    <w:rsid w:val="00CB74B2"/>
    <w:rsid w:val="00CB75A3"/>
    <w:rsid w:val="00CC29FF"/>
    <w:rsid w:val="00CC643B"/>
    <w:rsid w:val="00CD04F1"/>
    <w:rsid w:val="00D107A5"/>
    <w:rsid w:val="00D25E54"/>
    <w:rsid w:val="00D40611"/>
    <w:rsid w:val="00D40CB1"/>
    <w:rsid w:val="00D45252"/>
    <w:rsid w:val="00D529AB"/>
    <w:rsid w:val="00D531EC"/>
    <w:rsid w:val="00D552AF"/>
    <w:rsid w:val="00D706A5"/>
    <w:rsid w:val="00D71B4D"/>
    <w:rsid w:val="00D90A2B"/>
    <w:rsid w:val="00D93D55"/>
    <w:rsid w:val="00DA6373"/>
    <w:rsid w:val="00DA69A1"/>
    <w:rsid w:val="00DB74EF"/>
    <w:rsid w:val="00DD06D0"/>
    <w:rsid w:val="00DD1EDA"/>
    <w:rsid w:val="00DD42FA"/>
    <w:rsid w:val="00DE4093"/>
    <w:rsid w:val="00E15015"/>
    <w:rsid w:val="00E24FA5"/>
    <w:rsid w:val="00E319C3"/>
    <w:rsid w:val="00E335FE"/>
    <w:rsid w:val="00E3677B"/>
    <w:rsid w:val="00E528DB"/>
    <w:rsid w:val="00E61AEC"/>
    <w:rsid w:val="00E7065F"/>
    <w:rsid w:val="00E71CD7"/>
    <w:rsid w:val="00E839AD"/>
    <w:rsid w:val="00EA7D6E"/>
    <w:rsid w:val="00EB352A"/>
    <w:rsid w:val="00EC4E49"/>
    <w:rsid w:val="00ED2760"/>
    <w:rsid w:val="00ED77FB"/>
    <w:rsid w:val="00EE45FA"/>
    <w:rsid w:val="00EF559C"/>
    <w:rsid w:val="00F07B27"/>
    <w:rsid w:val="00F542FA"/>
    <w:rsid w:val="00F54C9F"/>
    <w:rsid w:val="00F66152"/>
    <w:rsid w:val="00F83F98"/>
    <w:rsid w:val="00FC2E56"/>
    <w:rsid w:val="00FE15D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345811"/>
    <w:pPr>
      <w:keepNext/>
      <w:numPr>
        <w:numId w:val="13"/>
      </w:numPr>
      <w:spacing w:before="240" w:after="60"/>
      <w:ind w:left="0" w:firstLine="0"/>
      <w:outlineLvl w:val="0"/>
    </w:pPr>
    <w:rPr>
      <w:b/>
      <w:bCs/>
      <w:caps/>
      <w:kern w:val="32"/>
      <w:szCs w:val="32"/>
      <w:lang w:val="fr-FR"/>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345811"/>
    <w:pPr>
      <w:keepNext/>
      <w:numPr>
        <w:ilvl w:val="4"/>
        <w:numId w:val="8"/>
      </w:numPr>
      <w:tabs>
        <w:tab w:val="left" w:pos="567"/>
      </w:tabs>
      <w:spacing w:before="120"/>
      <w:ind w:left="567" w:firstLine="45"/>
      <w:outlineLvl w:val="2"/>
    </w:pPr>
    <w:rPr>
      <w:bCs/>
      <w:szCs w:val="22"/>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345811"/>
    <w:rPr>
      <w:rFonts w:ascii="Arial" w:eastAsia="SimSun" w:hAnsi="Arial" w:cs="Arial"/>
      <w:b/>
      <w:bCs/>
      <w:caps/>
      <w:kern w:val="32"/>
      <w:sz w:val="22"/>
      <w:szCs w:val="32"/>
      <w:lang w:val="fr-FR"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345811"/>
    <w:rPr>
      <w:rFonts w:ascii="Arial" w:eastAsia="SimSun" w:hAnsi="Arial" w:cs="Arial"/>
      <w:bCs/>
      <w:sz w:val="22"/>
      <w:szCs w:val="22"/>
      <w:u w:val="single"/>
      <w:lang w:val="fr-FR" w:eastAsia="zh-CN"/>
    </w:rPr>
  </w:style>
  <w:style w:type="character" w:customStyle="1" w:styleId="FootnoteTextChar">
    <w:name w:val="Footnote Text Char"/>
    <w:basedOn w:val="DefaultParagraphFont"/>
    <w:link w:val="FootnoteText"/>
    <w:uiPriority w:val="99"/>
    <w:semiHidden/>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eastAsiaTheme="minorHAnsi"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Theme="minorHAnsi"/>
      <w:sz w:val="25"/>
      <w:szCs w:val="25"/>
      <w:lang w:val="en-US" w:eastAsia="ko-KR"/>
    </w:rPr>
  </w:style>
  <w:style w:type="character" w:customStyle="1" w:styleId="HeaderChar">
    <w:name w:val="Header Char"/>
    <w:basedOn w:val="DefaultParagraphFont"/>
    <w:link w:val="Header"/>
    <w:uiPriority w:val="99"/>
    <w:rsid w:val="00345811"/>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Default Paragraph Font" w:uiPriority="1"/>
    <w:lsdException w:name="Subtitle" w:qFormat="1"/>
    <w:lsdException w:name="Body Text 2"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345811"/>
    <w:pPr>
      <w:keepNext/>
      <w:numPr>
        <w:numId w:val="13"/>
      </w:numPr>
      <w:spacing w:before="240" w:after="60"/>
      <w:ind w:left="0" w:firstLine="0"/>
      <w:outlineLvl w:val="0"/>
    </w:pPr>
    <w:rPr>
      <w:b/>
      <w:bCs/>
      <w:caps/>
      <w:kern w:val="32"/>
      <w:szCs w:val="32"/>
      <w:lang w:val="fr-FR"/>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345811"/>
    <w:pPr>
      <w:keepNext/>
      <w:numPr>
        <w:ilvl w:val="4"/>
        <w:numId w:val="8"/>
      </w:numPr>
      <w:tabs>
        <w:tab w:val="left" w:pos="567"/>
      </w:tabs>
      <w:spacing w:before="120"/>
      <w:ind w:left="567" w:firstLine="45"/>
      <w:outlineLvl w:val="2"/>
    </w:pPr>
    <w:rPr>
      <w:bCs/>
      <w:szCs w:val="22"/>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345811"/>
    <w:rPr>
      <w:rFonts w:ascii="Arial" w:eastAsia="SimSun" w:hAnsi="Arial" w:cs="Arial"/>
      <w:b/>
      <w:bCs/>
      <w:caps/>
      <w:kern w:val="32"/>
      <w:sz w:val="22"/>
      <w:szCs w:val="32"/>
      <w:lang w:val="fr-FR"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345811"/>
    <w:rPr>
      <w:rFonts w:ascii="Arial" w:eastAsia="SimSun" w:hAnsi="Arial" w:cs="Arial"/>
      <w:bCs/>
      <w:sz w:val="22"/>
      <w:szCs w:val="22"/>
      <w:u w:val="single"/>
      <w:lang w:val="fr-FR" w:eastAsia="zh-CN"/>
    </w:rPr>
  </w:style>
  <w:style w:type="character" w:customStyle="1" w:styleId="FootnoteTextChar">
    <w:name w:val="Footnote Text Char"/>
    <w:basedOn w:val="DefaultParagraphFont"/>
    <w:link w:val="FootnoteText"/>
    <w:uiPriority w:val="99"/>
    <w:semiHidden/>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eastAsiaTheme="minorHAnsi"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Theme="minorHAnsi"/>
      <w:sz w:val="25"/>
      <w:szCs w:val="25"/>
      <w:lang w:val="en-US" w:eastAsia="ko-KR"/>
    </w:rPr>
  </w:style>
  <w:style w:type="character" w:customStyle="1" w:styleId="HeaderChar">
    <w:name w:val="Header Char"/>
    <w:basedOn w:val="DefaultParagraphFont"/>
    <w:link w:val="Header"/>
    <w:uiPriority w:val="99"/>
    <w:rsid w:val="0034581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725">
      <w:bodyDiv w:val="1"/>
      <w:marLeft w:val="0"/>
      <w:marRight w:val="0"/>
      <w:marTop w:val="0"/>
      <w:marBottom w:val="0"/>
      <w:divBdr>
        <w:top w:val="none" w:sz="0" w:space="0" w:color="auto"/>
        <w:left w:val="none" w:sz="0" w:space="0" w:color="auto"/>
        <w:bottom w:val="none" w:sz="0" w:space="0" w:color="auto"/>
        <w:right w:val="none" w:sz="0" w:space="0" w:color="auto"/>
      </w:divBdr>
    </w:div>
    <w:div w:id="9674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cann.org/en/news/correspondence/dryden-to-crocker-chalaby-22mar13-en" TargetMode="External"/><Relationship Id="rId1" Type="http://schemas.openxmlformats.org/officeDocument/2006/relationships/hyperlink" Target="https://gacweb.icann.org/download/attachments/27132070/FINAL_Toronto_Communique_20121017.pdf?version=1&amp;modificationDate=1354149148000&amp;ap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5366</Words>
  <Characters>30589</Characters>
  <Application>Microsoft Office Word</Application>
  <DocSecurity>4</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MP/cc</cp:keywords>
  <cp:lastModifiedBy/>
  <cp:revision>1</cp:revision>
  <dcterms:created xsi:type="dcterms:W3CDTF">2017-07-18T07:37:00Z</dcterms:created>
  <dcterms:modified xsi:type="dcterms:W3CDTF">2017-07-18T07:37:00Z</dcterms:modified>
</cp:coreProperties>
</file>