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9647F" w:rsidRPr="00C85E7E" w:rsidTr="00DC1D4B">
        <w:tc>
          <w:tcPr>
            <w:tcW w:w="4513" w:type="dxa"/>
            <w:tcBorders>
              <w:bottom w:val="single" w:sz="4" w:space="0" w:color="auto"/>
            </w:tcBorders>
            <w:tcMar>
              <w:bottom w:w="170" w:type="dxa"/>
            </w:tcMar>
          </w:tcPr>
          <w:p w:rsidR="00A9647F" w:rsidRPr="00C85E7E" w:rsidRDefault="00A9647F" w:rsidP="00003358">
            <w:pPr>
              <w:rPr>
                <w:lang w:val="fr-FR"/>
              </w:rPr>
            </w:pPr>
          </w:p>
        </w:tc>
        <w:tc>
          <w:tcPr>
            <w:tcW w:w="4337" w:type="dxa"/>
            <w:tcBorders>
              <w:bottom w:val="single" w:sz="4" w:space="0" w:color="auto"/>
            </w:tcBorders>
            <w:tcMar>
              <w:left w:w="0" w:type="dxa"/>
              <w:right w:w="0" w:type="dxa"/>
            </w:tcMar>
          </w:tcPr>
          <w:p w:rsidR="00A9647F" w:rsidRPr="00C85E7E" w:rsidRDefault="00A9647F" w:rsidP="00003358">
            <w:pPr>
              <w:rPr>
                <w:lang w:val="fr-FR"/>
              </w:rPr>
            </w:pPr>
            <w:r w:rsidRPr="00C85E7E">
              <w:rPr>
                <w:noProof/>
                <w:lang w:eastAsia="en-US"/>
              </w:rPr>
              <w:drawing>
                <wp:inline distT="0" distB="0" distL="0" distR="0" wp14:anchorId="40867073" wp14:editId="0094BA75">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A9647F" w:rsidRPr="00C85E7E" w:rsidRDefault="00A9647F" w:rsidP="00003358">
            <w:pPr>
              <w:jc w:val="right"/>
              <w:rPr>
                <w:lang w:val="fr-FR"/>
              </w:rPr>
            </w:pPr>
            <w:r w:rsidRPr="00C85E7E">
              <w:rPr>
                <w:b/>
                <w:sz w:val="40"/>
                <w:szCs w:val="40"/>
                <w:lang w:val="fr-FR"/>
              </w:rPr>
              <w:t>F</w:t>
            </w:r>
          </w:p>
        </w:tc>
      </w:tr>
      <w:tr w:rsidR="00A9647F" w:rsidRPr="00C85E7E" w:rsidTr="00003358">
        <w:trPr>
          <w:trHeight w:hRule="exact" w:val="340"/>
        </w:trPr>
        <w:tc>
          <w:tcPr>
            <w:tcW w:w="9356" w:type="dxa"/>
            <w:gridSpan w:val="3"/>
            <w:tcBorders>
              <w:top w:val="single" w:sz="4" w:space="0" w:color="auto"/>
            </w:tcBorders>
            <w:tcMar>
              <w:top w:w="170" w:type="dxa"/>
              <w:left w:w="0" w:type="dxa"/>
              <w:right w:w="0" w:type="dxa"/>
            </w:tcMar>
            <w:vAlign w:val="bottom"/>
          </w:tcPr>
          <w:p w:rsidR="00A9647F" w:rsidRPr="00C85E7E" w:rsidRDefault="00A9647F" w:rsidP="00003358">
            <w:pPr>
              <w:jc w:val="right"/>
              <w:rPr>
                <w:rFonts w:ascii="Arial Black" w:hAnsi="Arial Black"/>
                <w:caps/>
                <w:sz w:val="15"/>
                <w:lang w:val="fr-FR"/>
              </w:rPr>
            </w:pPr>
            <w:r w:rsidRPr="00C85E7E">
              <w:rPr>
                <w:rFonts w:ascii="Arial Black" w:hAnsi="Arial Black"/>
                <w:caps/>
                <w:sz w:val="15"/>
                <w:lang w:val="fr-FR"/>
              </w:rPr>
              <w:t>LI/A/32/</w:t>
            </w:r>
            <w:bookmarkStart w:id="0" w:name="Code"/>
            <w:bookmarkEnd w:id="0"/>
            <w:r w:rsidRPr="00C85E7E">
              <w:rPr>
                <w:rFonts w:ascii="Arial Black" w:hAnsi="Arial Black"/>
                <w:caps/>
                <w:sz w:val="15"/>
                <w:lang w:val="fr-FR"/>
              </w:rPr>
              <w:t>3</w:t>
            </w:r>
          </w:p>
        </w:tc>
      </w:tr>
      <w:tr w:rsidR="00A9647F" w:rsidRPr="00C85E7E" w:rsidTr="00003358">
        <w:trPr>
          <w:trHeight w:hRule="exact" w:val="170"/>
        </w:trPr>
        <w:tc>
          <w:tcPr>
            <w:tcW w:w="9356" w:type="dxa"/>
            <w:gridSpan w:val="3"/>
            <w:noWrap/>
            <w:tcMar>
              <w:left w:w="0" w:type="dxa"/>
              <w:right w:w="0" w:type="dxa"/>
            </w:tcMar>
            <w:vAlign w:val="bottom"/>
          </w:tcPr>
          <w:p w:rsidR="00A9647F" w:rsidRPr="00C85E7E" w:rsidRDefault="00A9647F" w:rsidP="00003358">
            <w:pPr>
              <w:jc w:val="right"/>
              <w:rPr>
                <w:rFonts w:ascii="Arial Black" w:hAnsi="Arial Black"/>
                <w:caps/>
                <w:sz w:val="15"/>
                <w:lang w:val="fr-FR"/>
              </w:rPr>
            </w:pPr>
            <w:r w:rsidRPr="00C85E7E">
              <w:rPr>
                <w:rFonts w:ascii="Arial Black" w:hAnsi="Arial Black"/>
                <w:caps/>
                <w:sz w:val="15"/>
                <w:lang w:val="fr-FR"/>
              </w:rPr>
              <w:t xml:space="preserve">ORIGINAL : </w:t>
            </w:r>
            <w:bookmarkStart w:id="1" w:name="Original"/>
            <w:bookmarkEnd w:id="1"/>
            <w:r w:rsidRPr="00C85E7E">
              <w:rPr>
                <w:rFonts w:ascii="Arial Black" w:hAnsi="Arial Black"/>
                <w:caps/>
                <w:sz w:val="15"/>
                <w:lang w:val="fr-FR"/>
              </w:rPr>
              <w:t>ANGLAIS</w:t>
            </w:r>
          </w:p>
        </w:tc>
      </w:tr>
      <w:tr w:rsidR="00A9647F" w:rsidRPr="00C85E7E" w:rsidTr="00003358">
        <w:trPr>
          <w:trHeight w:hRule="exact" w:val="198"/>
        </w:trPr>
        <w:tc>
          <w:tcPr>
            <w:tcW w:w="9356" w:type="dxa"/>
            <w:gridSpan w:val="3"/>
            <w:tcMar>
              <w:left w:w="0" w:type="dxa"/>
              <w:right w:w="0" w:type="dxa"/>
            </w:tcMar>
            <w:vAlign w:val="bottom"/>
          </w:tcPr>
          <w:p w:rsidR="00A9647F" w:rsidRPr="00C85E7E" w:rsidRDefault="00A9647F" w:rsidP="00003358">
            <w:pPr>
              <w:jc w:val="right"/>
              <w:rPr>
                <w:rFonts w:ascii="Arial Black" w:hAnsi="Arial Black"/>
                <w:caps/>
                <w:sz w:val="15"/>
                <w:lang w:val="fr-FR"/>
              </w:rPr>
            </w:pPr>
            <w:r w:rsidRPr="00C85E7E">
              <w:rPr>
                <w:rFonts w:ascii="Arial Black" w:hAnsi="Arial Black"/>
                <w:caps/>
                <w:sz w:val="15"/>
                <w:lang w:val="fr-FR"/>
              </w:rPr>
              <w:t xml:space="preserve">DATE : 29 SEPTEMBRE 2015  </w:t>
            </w:r>
            <w:bookmarkStart w:id="2" w:name="Date"/>
            <w:bookmarkEnd w:id="2"/>
          </w:p>
        </w:tc>
      </w:tr>
    </w:tbl>
    <w:p w:rsidR="00A9647F" w:rsidRPr="00C85E7E" w:rsidRDefault="00A9647F" w:rsidP="00A9647F">
      <w:pPr>
        <w:rPr>
          <w:lang w:val="fr-FR"/>
        </w:rPr>
      </w:pPr>
    </w:p>
    <w:p w:rsidR="00A9647F" w:rsidRPr="00C85E7E" w:rsidRDefault="00A9647F" w:rsidP="00A9647F">
      <w:pPr>
        <w:rPr>
          <w:lang w:val="fr-FR"/>
        </w:rPr>
      </w:pPr>
    </w:p>
    <w:p w:rsidR="00A9647F" w:rsidRPr="00C85E7E" w:rsidRDefault="00A9647F" w:rsidP="00A9647F">
      <w:pPr>
        <w:rPr>
          <w:lang w:val="fr-FR"/>
        </w:rPr>
      </w:pPr>
    </w:p>
    <w:p w:rsidR="00A9647F" w:rsidRPr="00C85E7E" w:rsidRDefault="00A9647F" w:rsidP="00A9647F">
      <w:pPr>
        <w:rPr>
          <w:lang w:val="fr-FR"/>
        </w:rPr>
      </w:pPr>
    </w:p>
    <w:p w:rsidR="00A9647F" w:rsidRPr="00C85E7E" w:rsidRDefault="00A9647F" w:rsidP="00A9647F">
      <w:pPr>
        <w:rPr>
          <w:lang w:val="fr-FR"/>
        </w:rPr>
      </w:pPr>
    </w:p>
    <w:p w:rsidR="00A9647F" w:rsidRPr="00C85E7E" w:rsidRDefault="00A9647F" w:rsidP="00A9647F">
      <w:pPr>
        <w:rPr>
          <w:b/>
          <w:sz w:val="28"/>
          <w:szCs w:val="28"/>
          <w:lang w:val="fr-FR"/>
        </w:rPr>
      </w:pPr>
      <w:r w:rsidRPr="00C85E7E">
        <w:rPr>
          <w:b/>
          <w:sz w:val="28"/>
          <w:szCs w:val="28"/>
          <w:lang w:val="fr-FR"/>
        </w:rPr>
        <w:t>Union particulière pour la protection des appellations d</w:t>
      </w:r>
      <w:r w:rsidR="00C85E7E">
        <w:rPr>
          <w:b/>
          <w:sz w:val="28"/>
          <w:szCs w:val="28"/>
          <w:lang w:val="fr-FR"/>
        </w:rPr>
        <w:t>’</w:t>
      </w:r>
      <w:r w:rsidRPr="00C85E7E">
        <w:rPr>
          <w:b/>
          <w:sz w:val="28"/>
          <w:szCs w:val="28"/>
          <w:lang w:val="fr-FR"/>
        </w:rPr>
        <w:t>origine et leur enregistrement international (Union de Lisbonne)</w:t>
      </w:r>
    </w:p>
    <w:p w:rsidR="00A9647F" w:rsidRPr="00C85E7E" w:rsidRDefault="00A9647F" w:rsidP="00A9647F">
      <w:pPr>
        <w:rPr>
          <w:lang w:val="fr-FR"/>
        </w:rPr>
      </w:pPr>
    </w:p>
    <w:p w:rsidR="00A9647F" w:rsidRPr="00C85E7E" w:rsidRDefault="00A9647F" w:rsidP="00A9647F">
      <w:pPr>
        <w:rPr>
          <w:lang w:val="fr-FR"/>
        </w:rPr>
      </w:pPr>
    </w:p>
    <w:p w:rsidR="00A9647F" w:rsidRPr="00C85E7E" w:rsidRDefault="00A9647F" w:rsidP="00A9647F">
      <w:pPr>
        <w:rPr>
          <w:b/>
          <w:sz w:val="28"/>
          <w:szCs w:val="28"/>
          <w:lang w:val="fr-FR"/>
        </w:rPr>
      </w:pPr>
      <w:r w:rsidRPr="00C85E7E">
        <w:rPr>
          <w:b/>
          <w:sz w:val="28"/>
          <w:szCs w:val="28"/>
          <w:lang w:val="fr-FR"/>
        </w:rPr>
        <w:t>Assemblée</w:t>
      </w:r>
    </w:p>
    <w:p w:rsidR="00A9647F" w:rsidRPr="00C85E7E" w:rsidRDefault="00A9647F" w:rsidP="00A9647F">
      <w:pPr>
        <w:rPr>
          <w:lang w:val="fr-FR"/>
        </w:rPr>
      </w:pPr>
    </w:p>
    <w:p w:rsidR="00A9647F" w:rsidRPr="00C85E7E" w:rsidRDefault="00A9647F" w:rsidP="00A9647F">
      <w:pPr>
        <w:rPr>
          <w:lang w:val="fr-FR"/>
        </w:rPr>
      </w:pPr>
    </w:p>
    <w:p w:rsidR="00A9647F" w:rsidRPr="00C85E7E" w:rsidRDefault="00A9647F" w:rsidP="00A9647F">
      <w:pPr>
        <w:rPr>
          <w:b/>
          <w:sz w:val="24"/>
          <w:szCs w:val="24"/>
          <w:lang w:val="fr-FR"/>
        </w:rPr>
      </w:pPr>
      <w:r w:rsidRPr="00C85E7E">
        <w:rPr>
          <w:b/>
          <w:sz w:val="24"/>
          <w:szCs w:val="24"/>
          <w:lang w:val="fr-FR"/>
        </w:rPr>
        <w:t>Trente</w:t>
      </w:r>
      <w:r w:rsidR="00FA0CD2">
        <w:rPr>
          <w:b/>
          <w:sz w:val="24"/>
          <w:szCs w:val="24"/>
          <w:lang w:val="fr-FR"/>
        </w:rPr>
        <w:noBreakHyphen/>
      </w:r>
      <w:r w:rsidRPr="00C85E7E">
        <w:rPr>
          <w:b/>
          <w:sz w:val="24"/>
          <w:szCs w:val="24"/>
          <w:lang w:val="fr-FR"/>
        </w:rPr>
        <w:t>deuxième</w:t>
      </w:r>
      <w:r w:rsidR="004C5791">
        <w:rPr>
          <w:b/>
          <w:sz w:val="24"/>
          <w:szCs w:val="24"/>
          <w:lang w:val="fr-FR"/>
        </w:rPr>
        <w:t> </w:t>
      </w:r>
      <w:r w:rsidRPr="00C85E7E">
        <w:rPr>
          <w:b/>
          <w:sz w:val="24"/>
          <w:szCs w:val="24"/>
          <w:lang w:val="fr-FR"/>
        </w:rPr>
        <w:t>session (21</w:t>
      </w:r>
      <w:r w:rsidRPr="00C85E7E">
        <w:rPr>
          <w:b/>
          <w:sz w:val="24"/>
          <w:szCs w:val="24"/>
          <w:vertAlign w:val="superscript"/>
          <w:lang w:val="fr-FR"/>
        </w:rPr>
        <w:t>e</w:t>
      </w:r>
      <w:r w:rsidRPr="00C85E7E">
        <w:rPr>
          <w:b/>
          <w:sz w:val="24"/>
          <w:szCs w:val="24"/>
          <w:lang w:val="fr-FR"/>
        </w:rPr>
        <w:t xml:space="preserve"> session ordinaire)</w:t>
      </w:r>
    </w:p>
    <w:p w:rsidR="00A9647F" w:rsidRPr="00C85E7E" w:rsidRDefault="00A9647F" w:rsidP="00A9647F">
      <w:pPr>
        <w:rPr>
          <w:b/>
          <w:sz w:val="24"/>
          <w:szCs w:val="24"/>
          <w:lang w:val="fr-FR"/>
        </w:rPr>
      </w:pPr>
      <w:r w:rsidRPr="00C85E7E">
        <w:rPr>
          <w:b/>
          <w:sz w:val="24"/>
          <w:szCs w:val="24"/>
          <w:lang w:val="fr-FR"/>
        </w:rPr>
        <w:t>Genève, 5 – 14 octobre 2015</w:t>
      </w:r>
    </w:p>
    <w:p w:rsidR="008B2CC1" w:rsidRPr="00C85E7E" w:rsidRDefault="008B2CC1" w:rsidP="008B2CC1">
      <w:pPr>
        <w:rPr>
          <w:lang w:val="fr-FR"/>
        </w:rPr>
      </w:pPr>
    </w:p>
    <w:p w:rsidR="008B2CC1" w:rsidRPr="00C85E7E" w:rsidRDefault="008B2CC1" w:rsidP="008B2CC1">
      <w:pPr>
        <w:rPr>
          <w:lang w:val="fr-FR"/>
        </w:rPr>
      </w:pPr>
    </w:p>
    <w:p w:rsidR="008B2CC1" w:rsidRPr="00C85E7E" w:rsidRDefault="008B2CC1" w:rsidP="008B2CC1">
      <w:pPr>
        <w:rPr>
          <w:lang w:val="fr-FR"/>
        </w:rPr>
      </w:pPr>
    </w:p>
    <w:p w:rsidR="008B2CC1" w:rsidRPr="00C85E7E" w:rsidRDefault="00F52E8E" w:rsidP="008B2CC1">
      <w:pPr>
        <w:rPr>
          <w:caps/>
          <w:sz w:val="24"/>
          <w:lang w:val="fr-FR"/>
        </w:rPr>
      </w:pPr>
      <w:bookmarkStart w:id="3" w:name="TitleOfDoc"/>
      <w:bookmarkEnd w:id="3"/>
      <w:r w:rsidRPr="00C85E7E">
        <w:rPr>
          <w:caps/>
          <w:sz w:val="24"/>
          <w:lang w:val="fr-FR"/>
        </w:rPr>
        <w:t xml:space="preserve">options </w:t>
      </w:r>
      <w:r w:rsidR="00D04DB4" w:rsidRPr="00C85E7E">
        <w:rPr>
          <w:caps/>
          <w:sz w:val="24"/>
          <w:lang w:val="fr-FR"/>
        </w:rPr>
        <w:t>pour assurer la viabilité financière de l</w:t>
      </w:r>
      <w:r w:rsidR="00C85E7E">
        <w:rPr>
          <w:caps/>
          <w:sz w:val="24"/>
          <w:lang w:val="fr-FR"/>
        </w:rPr>
        <w:t>’</w:t>
      </w:r>
      <w:r w:rsidR="00D04DB4" w:rsidRPr="00C85E7E">
        <w:rPr>
          <w:caps/>
          <w:sz w:val="24"/>
          <w:lang w:val="fr-FR"/>
        </w:rPr>
        <w:t>union de lisbonne</w:t>
      </w:r>
    </w:p>
    <w:p w:rsidR="008B2CC1" w:rsidRPr="00C85E7E" w:rsidRDefault="008B2CC1" w:rsidP="008B2CC1">
      <w:pPr>
        <w:rPr>
          <w:lang w:val="fr-FR"/>
        </w:rPr>
      </w:pPr>
    </w:p>
    <w:p w:rsidR="008B2CC1" w:rsidRPr="00C85E7E" w:rsidRDefault="00712EDA" w:rsidP="008B2CC1">
      <w:pPr>
        <w:rPr>
          <w:i/>
          <w:lang w:val="fr-FR"/>
        </w:rPr>
      </w:pPr>
      <w:bookmarkStart w:id="4" w:name="Prepared"/>
      <w:bookmarkEnd w:id="4"/>
      <w:r w:rsidRPr="00C85E7E">
        <w:rPr>
          <w:i/>
          <w:lang w:val="fr-FR"/>
        </w:rPr>
        <w:t xml:space="preserve">Document </w:t>
      </w:r>
      <w:r w:rsidR="00D04DB4" w:rsidRPr="00C85E7E">
        <w:rPr>
          <w:i/>
          <w:lang w:val="fr-FR"/>
        </w:rPr>
        <w:t>établi par le Bureau i</w:t>
      </w:r>
      <w:r w:rsidRPr="00C85E7E">
        <w:rPr>
          <w:i/>
          <w:lang w:val="fr-FR"/>
        </w:rPr>
        <w:t>nternational</w:t>
      </w:r>
    </w:p>
    <w:p w:rsidR="00AC205C" w:rsidRPr="00C85E7E" w:rsidRDefault="00AC205C">
      <w:pPr>
        <w:rPr>
          <w:lang w:val="fr-FR"/>
        </w:rPr>
      </w:pPr>
    </w:p>
    <w:p w:rsidR="000F5E56" w:rsidRPr="00C85E7E" w:rsidRDefault="000F5E56">
      <w:pPr>
        <w:rPr>
          <w:lang w:val="fr-FR"/>
        </w:rPr>
      </w:pPr>
    </w:p>
    <w:p w:rsidR="000A5636" w:rsidRPr="00C85E7E" w:rsidRDefault="000A5636">
      <w:pPr>
        <w:rPr>
          <w:lang w:val="fr-FR"/>
        </w:rPr>
      </w:pPr>
    </w:p>
    <w:p w:rsidR="002928D3" w:rsidRPr="00C85E7E" w:rsidRDefault="002928D3">
      <w:pPr>
        <w:rPr>
          <w:lang w:val="fr-FR"/>
        </w:rPr>
      </w:pPr>
    </w:p>
    <w:p w:rsidR="002928D3" w:rsidRPr="00C85E7E" w:rsidRDefault="002928D3" w:rsidP="0053057A">
      <w:pPr>
        <w:rPr>
          <w:lang w:val="fr-FR"/>
        </w:rPr>
      </w:pPr>
    </w:p>
    <w:p w:rsidR="00712EDA" w:rsidRPr="00C85E7E" w:rsidRDefault="00D04DB4" w:rsidP="00FA0CD2">
      <w:pPr>
        <w:pStyle w:val="ONUMFS"/>
        <w:rPr>
          <w:szCs w:val="22"/>
          <w:lang w:val="fr-FR"/>
        </w:rPr>
      </w:pPr>
      <w:r w:rsidRPr="00C85E7E">
        <w:rPr>
          <w:lang w:val="fr-FR"/>
        </w:rPr>
        <w:t xml:space="preserve">À </w:t>
      </w:r>
      <w:r w:rsidR="00F078AB" w:rsidRPr="00C85E7E">
        <w:rPr>
          <w:lang w:val="fr-FR"/>
        </w:rPr>
        <w:t>s</w:t>
      </w:r>
      <w:r w:rsidR="00C85E7E">
        <w:rPr>
          <w:lang w:val="fr-FR"/>
        </w:rPr>
        <w:t>a</w:t>
      </w:r>
      <w:r w:rsidR="00F078AB" w:rsidRPr="00C85E7E">
        <w:rPr>
          <w:lang w:val="fr-FR"/>
        </w:rPr>
        <w:t xml:space="preserve"> vingt</w:t>
      </w:r>
      <w:r w:rsidR="00FA0CD2">
        <w:rPr>
          <w:lang w:val="fr-FR"/>
        </w:rPr>
        <w:noBreakHyphen/>
      </w:r>
      <w:r w:rsidR="00F078AB" w:rsidRPr="00C85E7E">
        <w:rPr>
          <w:lang w:val="fr-FR"/>
        </w:rPr>
        <w:t>quatrième </w:t>
      </w:r>
      <w:r w:rsidR="00712EDA" w:rsidRPr="00C85E7E">
        <w:rPr>
          <w:lang w:val="fr-FR"/>
        </w:rPr>
        <w:t xml:space="preserve">session (14 </w:t>
      </w:r>
      <w:r w:rsidR="00F078AB" w:rsidRPr="00C85E7E">
        <w:rPr>
          <w:lang w:val="fr-FR"/>
        </w:rPr>
        <w:t xml:space="preserve">– </w:t>
      </w:r>
      <w:r w:rsidR="00712EDA" w:rsidRPr="00C85E7E">
        <w:rPr>
          <w:lang w:val="fr-FR"/>
        </w:rPr>
        <w:t>18</w:t>
      </w:r>
      <w:r w:rsidR="00F078AB" w:rsidRPr="00C85E7E">
        <w:rPr>
          <w:lang w:val="fr-FR"/>
        </w:rPr>
        <w:t> septembre </w:t>
      </w:r>
      <w:r w:rsidR="00712EDA" w:rsidRPr="00C85E7E">
        <w:rPr>
          <w:lang w:val="fr-FR"/>
        </w:rPr>
        <w:t xml:space="preserve">2015), </w:t>
      </w:r>
      <w:r w:rsidR="00F078AB" w:rsidRPr="00C85E7E">
        <w:rPr>
          <w:lang w:val="fr-FR"/>
        </w:rPr>
        <w:t xml:space="preserve">le Comité du programme et budget </w:t>
      </w:r>
      <w:r w:rsidR="00712EDA" w:rsidRPr="00C85E7E">
        <w:rPr>
          <w:lang w:val="fr-FR"/>
        </w:rPr>
        <w:t xml:space="preserve">(PBC) </w:t>
      </w:r>
      <w:r w:rsidR="00F078AB" w:rsidRPr="00C85E7E">
        <w:rPr>
          <w:lang w:val="fr-FR"/>
        </w:rPr>
        <w:t>est convenu de la recommandation suivante à l</w:t>
      </w:r>
      <w:r w:rsidR="00C85E7E">
        <w:rPr>
          <w:lang w:val="fr-FR"/>
        </w:rPr>
        <w:t>’</w:t>
      </w:r>
      <w:r w:rsidR="00F078AB" w:rsidRPr="00C85E7E">
        <w:rPr>
          <w:lang w:val="fr-FR"/>
        </w:rPr>
        <w:t>intention de l</w:t>
      </w:r>
      <w:r w:rsidR="00C85E7E">
        <w:rPr>
          <w:lang w:val="fr-FR"/>
        </w:rPr>
        <w:t>’</w:t>
      </w:r>
      <w:r w:rsidR="00F078AB" w:rsidRPr="00C85E7E">
        <w:rPr>
          <w:lang w:val="fr-FR"/>
        </w:rPr>
        <w:t xml:space="preserve">Union de Lisbonne </w:t>
      </w:r>
      <w:r w:rsidR="00712EDA" w:rsidRPr="00C85E7E">
        <w:rPr>
          <w:szCs w:val="22"/>
          <w:lang w:val="fr-FR"/>
        </w:rPr>
        <w:t>(</w:t>
      </w:r>
      <w:r w:rsidR="00F078AB" w:rsidRPr="00C85E7E">
        <w:rPr>
          <w:szCs w:val="22"/>
          <w:lang w:val="fr-FR"/>
        </w:rPr>
        <w:t xml:space="preserve">voir le </w:t>
      </w:r>
      <w:r w:rsidR="00C85E7E" w:rsidRPr="00C85E7E">
        <w:rPr>
          <w:szCs w:val="22"/>
          <w:lang w:val="fr-FR"/>
        </w:rPr>
        <w:t>document</w:t>
      </w:r>
      <w:r w:rsidR="00C85E7E">
        <w:rPr>
          <w:szCs w:val="22"/>
          <w:lang w:val="fr-FR"/>
        </w:rPr>
        <w:t xml:space="preserve"> </w:t>
      </w:r>
      <w:r w:rsidR="00C85E7E" w:rsidRPr="00C85E7E">
        <w:rPr>
          <w:szCs w:val="22"/>
          <w:lang w:val="fr-FR"/>
        </w:rPr>
        <w:t>WO</w:t>
      </w:r>
      <w:r w:rsidR="00712EDA" w:rsidRPr="00C85E7E">
        <w:rPr>
          <w:szCs w:val="22"/>
          <w:lang w:val="fr-FR"/>
        </w:rPr>
        <w:t xml:space="preserve">/PBC/24/17, </w:t>
      </w:r>
      <w:r w:rsidR="00F078AB" w:rsidRPr="00C85E7E">
        <w:rPr>
          <w:szCs w:val="22"/>
          <w:lang w:val="fr-FR"/>
        </w:rPr>
        <w:t>au point 10 de l</w:t>
      </w:r>
      <w:r w:rsidR="00C85E7E">
        <w:rPr>
          <w:szCs w:val="22"/>
          <w:lang w:val="fr-FR"/>
        </w:rPr>
        <w:t>’</w:t>
      </w:r>
      <w:r w:rsidR="00F078AB" w:rsidRPr="00C85E7E">
        <w:rPr>
          <w:szCs w:val="22"/>
          <w:lang w:val="fr-FR"/>
        </w:rPr>
        <w:t xml:space="preserve">ordre du jour, </w:t>
      </w:r>
      <w:r w:rsidR="00712EDA" w:rsidRPr="00C85E7E">
        <w:rPr>
          <w:szCs w:val="22"/>
          <w:lang w:val="fr-FR"/>
        </w:rPr>
        <w:t>reprodu</w:t>
      </w:r>
      <w:r w:rsidR="00F078AB" w:rsidRPr="00C85E7E">
        <w:rPr>
          <w:szCs w:val="22"/>
          <w:lang w:val="fr-FR"/>
        </w:rPr>
        <w:t xml:space="preserve">it dans le </w:t>
      </w:r>
      <w:r w:rsidR="00712EDA" w:rsidRPr="00C85E7E">
        <w:rPr>
          <w:szCs w:val="22"/>
          <w:lang w:val="fr-FR"/>
        </w:rPr>
        <w:t>document A/55/4 “D</w:t>
      </w:r>
      <w:r w:rsidR="00F078AB" w:rsidRPr="00C85E7E">
        <w:rPr>
          <w:szCs w:val="22"/>
          <w:lang w:val="fr-FR"/>
        </w:rPr>
        <w:t>é</w:t>
      </w:r>
      <w:r w:rsidR="00712EDA" w:rsidRPr="00C85E7E">
        <w:rPr>
          <w:szCs w:val="22"/>
          <w:lang w:val="fr-FR"/>
        </w:rPr>
        <w:t xml:space="preserve">cisions </w:t>
      </w:r>
      <w:r w:rsidR="00F078AB" w:rsidRPr="00C85E7E">
        <w:rPr>
          <w:szCs w:val="22"/>
          <w:lang w:val="fr-FR"/>
        </w:rPr>
        <w:t>prises par le Comité du programme et budget</w:t>
      </w:r>
      <w:r w:rsidR="00712EDA" w:rsidRPr="00C85E7E">
        <w:rPr>
          <w:szCs w:val="22"/>
          <w:lang w:val="fr-FR"/>
        </w:rPr>
        <w:t>”)</w:t>
      </w:r>
      <w:r w:rsidR="00F078AB" w:rsidRPr="00C85E7E">
        <w:rPr>
          <w:szCs w:val="22"/>
          <w:lang w:val="fr-FR"/>
        </w:rPr>
        <w:t> </w:t>
      </w:r>
      <w:r w:rsidR="00712EDA" w:rsidRPr="00C85E7E">
        <w:rPr>
          <w:szCs w:val="22"/>
          <w:lang w:val="fr-FR"/>
        </w:rPr>
        <w:t>:</w:t>
      </w:r>
    </w:p>
    <w:p w:rsidR="00712EDA" w:rsidRPr="00C85E7E" w:rsidRDefault="00712EDA" w:rsidP="00712EDA">
      <w:pPr>
        <w:rPr>
          <w:szCs w:val="22"/>
          <w:lang w:val="fr-FR"/>
        </w:rPr>
      </w:pPr>
    </w:p>
    <w:p w:rsidR="00712EDA" w:rsidRPr="00C85E7E" w:rsidRDefault="00712EDA" w:rsidP="00AA3793">
      <w:pPr>
        <w:ind w:left="567"/>
        <w:rPr>
          <w:szCs w:val="22"/>
          <w:lang w:val="fr-FR"/>
        </w:rPr>
      </w:pPr>
      <w:r w:rsidRPr="00C85E7E">
        <w:rPr>
          <w:szCs w:val="22"/>
          <w:lang w:val="fr-FR"/>
        </w:rPr>
        <w:t>“3.</w:t>
      </w:r>
      <w:r w:rsidRPr="00C85E7E">
        <w:rPr>
          <w:szCs w:val="22"/>
          <w:lang w:val="fr-FR"/>
        </w:rPr>
        <w:tab/>
      </w:r>
      <w:r w:rsidR="00F078AB" w:rsidRPr="00C85E7E">
        <w:rPr>
          <w:szCs w:val="22"/>
          <w:lang w:val="fr-FR"/>
        </w:rPr>
        <w:t>Le PBC a pris note des options pour assurer la viabilité financière de l</w:t>
      </w:r>
      <w:r w:rsidR="00C85E7E">
        <w:rPr>
          <w:szCs w:val="22"/>
          <w:lang w:val="fr-FR"/>
        </w:rPr>
        <w:t>’</w:t>
      </w:r>
      <w:r w:rsidR="00F078AB" w:rsidRPr="00C85E7E">
        <w:rPr>
          <w:szCs w:val="22"/>
          <w:lang w:val="fr-FR"/>
        </w:rPr>
        <w:t>Union de Lisbonne énoncées dans le document WO/PBC/24/16 </w:t>
      </w:r>
      <w:proofErr w:type="spellStart"/>
      <w:r w:rsidR="00F078AB" w:rsidRPr="00C85E7E">
        <w:rPr>
          <w:szCs w:val="22"/>
          <w:lang w:val="fr-FR"/>
        </w:rPr>
        <w:t>Rev</w:t>
      </w:r>
      <w:proofErr w:type="spellEnd"/>
      <w:r w:rsidR="00F078AB" w:rsidRPr="00C85E7E">
        <w:rPr>
          <w:szCs w:val="22"/>
          <w:lang w:val="fr-FR"/>
        </w:rPr>
        <w:t>. et a recommandé que l</w:t>
      </w:r>
      <w:r w:rsidR="00C85E7E">
        <w:rPr>
          <w:szCs w:val="22"/>
          <w:lang w:val="fr-FR"/>
        </w:rPr>
        <w:t>’</w:t>
      </w:r>
      <w:r w:rsidR="00F078AB" w:rsidRPr="00C85E7E">
        <w:rPr>
          <w:szCs w:val="22"/>
          <w:lang w:val="fr-FR"/>
        </w:rPr>
        <w:t>Union de Lisbonne, à la trente</w:t>
      </w:r>
      <w:r w:rsidR="00FA0CD2">
        <w:rPr>
          <w:szCs w:val="22"/>
          <w:lang w:val="fr-FR"/>
        </w:rPr>
        <w:noBreakHyphen/>
      </w:r>
      <w:r w:rsidR="00F078AB" w:rsidRPr="00C85E7E">
        <w:rPr>
          <w:szCs w:val="22"/>
          <w:lang w:val="fr-FR"/>
        </w:rPr>
        <w:t>deuxième</w:t>
      </w:r>
      <w:r w:rsidR="004C5791">
        <w:rPr>
          <w:szCs w:val="22"/>
          <w:lang w:val="fr-FR"/>
        </w:rPr>
        <w:t> </w:t>
      </w:r>
      <w:r w:rsidR="00F078AB" w:rsidRPr="00C85E7E">
        <w:rPr>
          <w:szCs w:val="22"/>
          <w:lang w:val="fr-FR"/>
        </w:rPr>
        <w:t>session de l</w:t>
      </w:r>
      <w:r w:rsidR="00C85E7E">
        <w:rPr>
          <w:szCs w:val="22"/>
          <w:lang w:val="fr-FR"/>
        </w:rPr>
        <w:t>’</w:t>
      </w:r>
      <w:r w:rsidR="00F078AB" w:rsidRPr="00C85E7E">
        <w:rPr>
          <w:szCs w:val="22"/>
          <w:lang w:val="fr-FR"/>
        </w:rPr>
        <w:t>Assemblée de l</w:t>
      </w:r>
      <w:r w:rsidR="00C85E7E">
        <w:rPr>
          <w:szCs w:val="22"/>
          <w:lang w:val="fr-FR"/>
        </w:rPr>
        <w:t>’</w:t>
      </w:r>
      <w:r w:rsidR="00F078AB" w:rsidRPr="00C85E7E">
        <w:rPr>
          <w:szCs w:val="22"/>
          <w:lang w:val="fr-FR"/>
        </w:rPr>
        <w:t>Union de Lisbonne prévue prochainement, examine, conformément à l</w:t>
      </w:r>
      <w:r w:rsidR="00C85E7E">
        <w:rPr>
          <w:szCs w:val="22"/>
          <w:lang w:val="fr-FR"/>
        </w:rPr>
        <w:t>’</w:t>
      </w:r>
      <w:r w:rsidR="00F078AB" w:rsidRPr="00C85E7E">
        <w:rPr>
          <w:szCs w:val="22"/>
          <w:lang w:val="fr-FR"/>
        </w:rPr>
        <w:t>Arrangement de Lisbonne concernant la protection des appellations d</w:t>
      </w:r>
      <w:r w:rsidR="00C85E7E">
        <w:rPr>
          <w:szCs w:val="22"/>
          <w:lang w:val="fr-FR"/>
        </w:rPr>
        <w:t>’</w:t>
      </w:r>
      <w:r w:rsidR="00F078AB" w:rsidRPr="00C85E7E">
        <w:rPr>
          <w:szCs w:val="22"/>
          <w:lang w:val="fr-FR"/>
        </w:rPr>
        <w:t>origine et leur enregistrement international, des options en vue d</w:t>
      </w:r>
      <w:r w:rsidR="00C85E7E">
        <w:rPr>
          <w:szCs w:val="22"/>
          <w:lang w:val="fr-FR"/>
        </w:rPr>
        <w:t>’</w:t>
      </w:r>
      <w:r w:rsidR="00F078AB" w:rsidRPr="00C85E7E">
        <w:rPr>
          <w:szCs w:val="22"/>
          <w:lang w:val="fr-FR"/>
        </w:rPr>
        <w:t>assurer la viabilité financière du budget de l</w:t>
      </w:r>
      <w:r w:rsidR="00C85E7E">
        <w:rPr>
          <w:szCs w:val="22"/>
          <w:lang w:val="fr-FR"/>
        </w:rPr>
        <w:t>’</w:t>
      </w:r>
      <w:r w:rsidR="00F078AB" w:rsidRPr="00C85E7E">
        <w:rPr>
          <w:szCs w:val="22"/>
          <w:lang w:val="fr-FR"/>
        </w:rPr>
        <w:t>Union de Lisbonne.</w:t>
      </w:r>
      <w:r w:rsidR="004C5791">
        <w:rPr>
          <w:szCs w:val="22"/>
          <w:lang w:val="fr-FR"/>
        </w:rPr>
        <w:t xml:space="preserve"> </w:t>
      </w:r>
      <w:r w:rsidR="00C85E7E" w:rsidRPr="00C85E7E">
        <w:rPr>
          <w:szCs w:val="22"/>
          <w:lang w:val="fr-FR"/>
        </w:rPr>
        <w:t xml:space="preserve"> Le</w:t>
      </w:r>
      <w:r w:rsidR="00C85E7E">
        <w:rPr>
          <w:szCs w:val="22"/>
          <w:lang w:val="fr-FR"/>
        </w:rPr>
        <w:t> </w:t>
      </w:r>
      <w:r w:rsidR="00C85E7E" w:rsidRPr="00C85E7E">
        <w:rPr>
          <w:szCs w:val="22"/>
          <w:lang w:val="fr-FR"/>
        </w:rPr>
        <w:t>PBC</w:t>
      </w:r>
      <w:r w:rsidR="00F078AB" w:rsidRPr="00C85E7E">
        <w:rPr>
          <w:szCs w:val="22"/>
          <w:lang w:val="fr-FR"/>
        </w:rPr>
        <w:t xml:space="preserve"> a prié le Secrétariat de fournir une assistance appropriée à cet égard</w:t>
      </w:r>
      <w:r w:rsidRPr="00C85E7E">
        <w:rPr>
          <w:szCs w:val="22"/>
          <w:lang w:val="fr-FR"/>
        </w:rPr>
        <w:t>.”</w:t>
      </w:r>
      <w:r w:rsidR="00F52E8E" w:rsidRPr="00C85E7E">
        <w:rPr>
          <w:szCs w:val="22"/>
          <w:lang w:val="fr-FR"/>
        </w:rPr>
        <w:br/>
      </w:r>
    </w:p>
    <w:p w:rsidR="00F52E8E" w:rsidRPr="00C85E7E" w:rsidRDefault="00D1621C" w:rsidP="00FA0CD2">
      <w:pPr>
        <w:pStyle w:val="ONUMFS"/>
        <w:rPr>
          <w:lang w:val="fr-FR"/>
        </w:rPr>
      </w:pPr>
      <w:r>
        <w:rPr>
          <w:lang w:val="fr-FR"/>
        </w:rPr>
        <w:t>Sur cette question</w:t>
      </w:r>
      <w:r w:rsidR="00F078AB" w:rsidRPr="00C85E7E">
        <w:rPr>
          <w:lang w:val="fr-FR"/>
        </w:rPr>
        <w:t xml:space="preserve">, il est fait référence au </w:t>
      </w:r>
      <w:r w:rsidR="00C85E7E" w:rsidRPr="00C85E7E">
        <w:rPr>
          <w:lang w:val="fr-FR"/>
        </w:rPr>
        <w:t>document</w:t>
      </w:r>
      <w:r w:rsidR="00C85E7E">
        <w:rPr>
          <w:lang w:val="fr-FR"/>
        </w:rPr>
        <w:t xml:space="preserve"> </w:t>
      </w:r>
      <w:r w:rsidR="00C85E7E" w:rsidRPr="00C85E7E">
        <w:rPr>
          <w:lang w:val="fr-FR"/>
        </w:rPr>
        <w:t>WO</w:t>
      </w:r>
      <w:r w:rsidR="00F52E8E" w:rsidRPr="00C85E7E">
        <w:rPr>
          <w:lang w:val="fr-FR"/>
        </w:rPr>
        <w:t>/PBC/24/16</w:t>
      </w:r>
      <w:r w:rsidR="00F078AB" w:rsidRPr="00C85E7E">
        <w:rPr>
          <w:lang w:val="fr-FR"/>
        </w:rPr>
        <w:t> </w:t>
      </w:r>
      <w:proofErr w:type="spellStart"/>
      <w:r w:rsidR="00F52E8E" w:rsidRPr="00C85E7E">
        <w:rPr>
          <w:lang w:val="fr-FR"/>
        </w:rPr>
        <w:t>Rev</w:t>
      </w:r>
      <w:proofErr w:type="spellEnd"/>
      <w:r w:rsidR="00F52E8E" w:rsidRPr="00C85E7E">
        <w:rPr>
          <w:lang w:val="fr-FR"/>
        </w:rPr>
        <w:t>.</w:t>
      </w:r>
      <w:r w:rsidR="008D0440" w:rsidRPr="00C85E7E">
        <w:rPr>
          <w:lang w:val="fr-FR"/>
        </w:rPr>
        <w:t xml:space="preserve"> </w:t>
      </w:r>
      <w:r w:rsidR="00F52E8E" w:rsidRPr="00C85E7E">
        <w:rPr>
          <w:lang w:val="fr-FR"/>
        </w:rPr>
        <w:t xml:space="preserve">(Options </w:t>
      </w:r>
      <w:r w:rsidR="00F078AB" w:rsidRPr="00C85E7E">
        <w:rPr>
          <w:lang w:val="fr-FR"/>
        </w:rPr>
        <w:t>pour assurer la viabilité financière de l</w:t>
      </w:r>
      <w:r w:rsidR="00C85E7E">
        <w:rPr>
          <w:lang w:val="fr-FR"/>
        </w:rPr>
        <w:t>’</w:t>
      </w:r>
      <w:r w:rsidR="00F078AB" w:rsidRPr="00C85E7E">
        <w:rPr>
          <w:lang w:val="fr-FR"/>
        </w:rPr>
        <w:t>Union de Lisbonne</w:t>
      </w:r>
      <w:r w:rsidR="00F52E8E" w:rsidRPr="00C85E7E">
        <w:rPr>
          <w:lang w:val="fr-FR"/>
        </w:rPr>
        <w:t>)</w:t>
      </w:r>
      <w:r w:rsidR="0036093D" w:rsidRPr="00C85E7E">
        <w:rPr>
          <w:lang w:val="fr-FR"/>
        </w:rPr>
        <w:t xml:space="preserve"> reprodu</w:t>
      </w:r>
      <w:r w:rsidR="00F078AB" w:rsidRPr="00C85E7E">
        <w:rPr>
          <w:lang w:val="fr-FR"/>
        </w:rPr>
        <w:t>it ci</w:t>
      </w:r>
      <w:r w:rsidR="00FA0CD2">
        <w:rPr>
          <w:lang w:val="fr-FR"/>
        </w:rPr>
        <w:noBreakHyphen/>
      </w:r>
      <w:r w:rsidR="00F078AB" w:rsidRPr="00C85E7E">
        <w:rPr>
          <w:lang w:val="fr-FR"/>
        </w:rPr>
        <w:t xml:space="preserve">après, au </w:t>
      </w:r>
      <w:r w:rsidR="00C85E7E" w:rsidRPr="00C85E7E">
        <w:rPr>
          <w:lang w:val="fr-FR"/>
        </w:rPr>
        <w:t>document</w:t>
      </w:r>
      <w:r w:rsidR="00C85E7E">
        <w:rPr>
          <w:lang w:val="fr-FR"/>
        </w:rPr>
        <w:t xml:space="preserve"> </w:t>
      </w:r>
      <w:r w:rsidR="00C85E7E" w:rsidRPr="00C85E7E">
        <w:rPr>
          <w:lang w:val="fr-FR"/>
        </w:rPr>
        <w:t>LI</w:t>
      </w:r>
      <w:r w:rsidR="00F52E8E" w:rsidRPr="00C85E7E">
        <w:rPr>
          <w:lang w:val="fr-FR"/>
        </w:rPr>
        <w:t>/A/32/2 (</w:t>
      </w:r>
      <w:r w:rsidR="00F078AB" w:rsidRPr="00C85E7E">
        <w:rPr>
          <w:lang w:val="fr-FR"/>
        </w:rPr>
        <w:t>Proposition de mise à jour du barème des taxes figurant à la règle 23 du règlement d</w:t>
      </w:r>
      <w:r w:rsidR="00C85E7E">
        <w:rPr>
          <w:lang w:val="fr-FR"/>
        </w:rPr>
        <w:t>’</w:t>
      </w:r>
      <w:r w:rsidR="00F078AB" w:rsidRPr="00C85E7E">
        <w:rPr>
          <w:lang w:val="fr-FR"/>
        </w:rPr>
        <w:t>exécution de l</w:t>
      </w:r>
      <w:r w:rsidR="00C85E7E">
        <w:rPr>
          <w:lang w:val="fr-FR"/>
        </w:rPr>
        <w:t>’</w:t>
      </w:r>
      <w:r w:rsidR="00F078AB" w:rsidRPr="00C85E7E">
        <w:rPr>
          <w:lang w:val="fr-FR"/>
        </w:rPr>
        <w:t>Arrangement de Lisbonne</w:t>
      </w:r>
      <w:r w:rsidR="00F52E8E" w:rsidRPr="00C85E7E">
        <w:rPr>
          <w:lang w:val="fr-FR"/>
        </w:rPr>
        <w:t>)</w:t>
      </w:r>
      <w:r w:rsidR="0036093D" w:rsidRPr="00C85E7E">
        <w:rPr>
          <w:lang w:val="fr-FR"/>
        </w:rPr>
        <w:t xml:space="preserve"> </w:t>
      </w:r>
      <w:r w:rsidR="00F078AB" w:rsidRPr="00C85E7E">
        <w:rPr>
          <w:lang w:val="fr-FR"/>
        </w:rPr>
        <w:t xml:space="preserve">et au </w:t>
      </w:r>
      <w:r w:rsidR="00C85E7E" w:rsidRPr="00C85E7E">
        <w:rPr>
          <w:lang w:val="fr-FR"/>
        </w:rPr>
        <w:t>document</w:t>
      </w:r>
      <w:r w:rsidR="00C85E7E">
        <w:rPr>
          <w:lang w:val="fr-FR"/>
        </w:rPr>
        <w:t xml:space="preserve"> </w:t>
      </w:r>
      <w:r w:rsidR="00C85E7E" w:rsidRPr="00C85E7E">
        <w:rPr>
          <w:lang w:val="fr-FR"/>
        </w:rPr>
        <w:t>LI</w:t>
      </w:r>
      <w:r w:rsidR="00F52E8E" w:rsidRPr="00C85E7E">
        <w:rPr>
          <w:lang w:val="fr-FR"/>
        </w:rPr>
        <w:t>/A/32/4 (</w:t>
      </w:r>
      <w:r w:rsidR="00C64639" w:rsidRPr="00C85E7E">
        <w:rPr>
          <w:lang w:val="fr-FR"/>
        </w:rPr>
        <w:t>Proposition relative à l</w:t>
      </w:r>
      <w:r w:rsidR="00C85E7E">
        <w:rPr>
          <w:lang w:val="fr-FR"/>
        </w:rPr>
        <w:t>’</w:t>
      </w:r>
      <w:r w:rsidR="00C64639" w:rsidRPr="00C85E7E">
        <w:rPr>
          <w:lang w:val="fr-FR"/>
        </w:rPr>
        <w:t>établissement d</w:t>
      </w:r>
      <w:r w:rsidR="00C85E7E">
        <w:rPr>
          <w:lang w:val="fr-FR"/>
        </w:rPr>
        <w:t>’</w:t>
      </w:r>
      <w:r w:rsidR="00C64639" w:rsidRPr="00C85E7E">
        <w:rPr>
          <w:lang w:val="fr-FR"/>
        </w:rPr>
        <w:t>un fonds de roulement pour l</w:t>
      </w:r>
      <w:r w:rsidR="00C85E7E">
        <w:rPr>
          <w:lang w:val="fr-FR"/>
        </w:rPr>
        <w:t>’</w:t>
      </w:r>
      <w:r w:rsidR="00C64639" w:rsidRPr="00C85E7E">
        <w:rPr>
          <w:lang w:val="fr-FR"/>
        </w:rPr>
        <w:t>Union de Lisbonne</w:t>
      </w:r>
      <w:r w:rsidR="0036093D" w:rsidRPr="00C85E7E">
        <w:rPr>
          <w:lang w:val="fr-FR"/>
        </w:rPr>
        <w:t>).</w:t>
      </w:r>
    </w:p>
    <w:p w:rsidR="00712EDA" w:rsidRPr="00701B2C" w:rsidRDefault="00C64639" w:rsidP="00FA0CD2">
      <w:pPr>
        <w:pStyle w:val="ONUMFS"/>
        <w:ind w:left="5533"/>
        <w:rPr>
          <w:i/>
          <w:lang w:val="fr-FR"/>
        </w:rPr>
      </w:pPr>
      <w:r w:rsidRPr="00701B2C">
        <w:rPr>
          <w:i/>
          <w:lang w:val="fr-FR"/>
        </w:rPr>
        <w:lastRenderedPageBreak/>
        <w:t>L</w:t>
      </w:r>
      <w:r w:rsidR="00C85E7E" w:rsidRPr="00701B2C">
        <w:rPr>
          <w:i/>
          <w:lang w:val="fr-FR"/>
        </w:rPr>
        <w:t>’</w:t>
      </w:r>
      <w:r w:rsidRPr="00701B2C">
        <w:rPr>
          <w:i/>
          <w:lang w:val="fr-FR"/>
        </w:rPr>
        <w:t>a</w:t>
      </w:r>
      <w:r w:rsidR="00712EDA" w:rsidRPr="00701B2C">
        <w:rPr>
          <w:i/>
          <w:lang w:val="fr-FR"/>
        </w:rPr>
        <w:t>ssembl</w:t>
      </w:r>
      <w:r w:rsidRPr="00701B2C">
        <w:rPr>
          <w:i/>
          <w:lang w:val="fr-FR"/>
        </w:rPr>
        <w:t>ée est invitée à examiner la recommandation susmentionnée du Comité du programme et budget</w:t>
      </w:r>
      <w:r w:rsidR="00712EDA" w:rsidRPr="00701B2C">
        <w:rPr>
          <w:i/>
          <w:lang w:val="fr-FR"/>
        </w:rPr>
        <w:t>.</w:t>
      </w:r>
    </w:p>
    <w:p w:rsidR="002928D3" w:rsidRPr="00C85E7E" w:rsidRDefault="002928D3">
      <w:pPr>
        <w:rPr>
          <w:lang w:val="fr-FR"/>
        </w:rPr>
      </w:pPr>
    </w:p>
    <w:p w:rsidR="008D0440" w:rsidRPr="00C85E7E" w:rsidRDefault="008D0440">
      <w:pPr>
        <w:rPr>
          <w:lang w:val="fr-FR"/>
        </w:rPr>
      </w:pPr>
    </w:p>
    <w:p w:rsidR="001D4382" w:rsidRPr="00C85E7E" w:rsidRDefault="001D4382">
      <w:pPr>
        <w:rPr>
          <w:lang w:val="fr-FR"/>
        </w:rPr>
      </w:pPr>
    </w:p>
    <w:p w:rsidR="001D4382" w:rsidRPr="00C85E7E" w:rsidRDefault="0036093D" w:rsidP="0036093D">
      <w:pPr>
        <w:ind w:left="5310"/>
        <w:jc w:val="right"/>
        <w:rPr>
          <w:lang w:val="fr-FR"/>
        </w:rPr>
      </w:pPr>
      <w:r w:rsidRPr="00C85E7E">
        <w:rPr>
          <w:lang w:val="fr-FR"/>
        </w:rPr>
        <w:t>[</w:t>
      </w:r>
      <w:r w:rsidR="00C64639" w:rsidRPr="00C85E7E">
        <w:rPr>
          <w:lang w:val="fr-FR"/>
        </w:rPr>
        <w:t>Le d</w:t>
      </w:r>
      <w:r w:rsidR="001D4382" w:rsidRPr="00C85E7E">
        <w:rPr>
          <w:lang w:val="fr-FR"/>
        </w:rPr>
        <w:t>ocument</w:t>
      </w:r>
      <w:r w:rsidR="00C64639" w:rsidRPr="00C85E7E">
        <w:rPr>
          <w:lang w:val="fr-FR"/>
        </w:rPr>
        <w:t> </w:t>
      </w:r>
      <w:r w:rsidRPr="00C85E7E">
        <w:rPr>
          <w:lang w:val="fr-FR"/>
        </w:rPr>
        <w:t>WO/PBC/24/16</w:t>
      </w:r>
      <w:r w:rsidR="00C64639" w:rsidRPr="00C85E7E">
        <w:rPr>
          <w:lang w:val="fr-FR"/>
        </w:rPr>
        <w:t> </w:t>
      </w:r>
      <w:proofErr w:type="spellStart"/>
      <w:r w:rsidRPr="00C85E7E">
        <w:rPr>
          <w:lang w:val="fr-FR"/>
        </w:rPr>
        <w:t>Rev</w:t>
      </w:r>
      <w:proofErr w:type="spellEnd"/>
      <w:r w:rsidRPr="00C85E7E">
        <w:rPr>
          <w:lang w:val="fr-FR"/>
        </w:rPr>
        <w:t xml:space="preserve">. </w:t>
      </w:r>
      <w:r w:rsidR="00C64639" w:rsidRPr="00C85E7E">
        <w:rPr>
          <w:lang w:val="fr-FR"/>
        </w:rPr>
        <w:t>suit</w:t>
      </w:r>
      <w:r w:rsidR="001D4382" w:rsidRPr="00C85E7E">
        <w:rPr>
          <w:lang w:val="fr-FR"/>
        </w:rPr>
        <w:t>]</w:t>
      </w:r>
    </w:p>
    <w:p w:rsidR="00CE166A" w:rsidRPr="00C85E7E" w:rsidRDefault="00CE166A" w:rsidP="0036093D">
      <w:pPr>
        <w:ind w:left="5310"/>
        <w:jc w:val="right"/>
        <w:rPr>
          <w:lang w:val="fr-FR"/>
        </w:rPr>
        <w:sectPr w:rsidR="00CE166A" w:rsidRPr="00C85E7E" w:rsidSect="00DC1D4B">
          <w:headerReference w:type="default" r:id="rId10"/>
          <w:endnotePr>
            <w:numFmt w:val="decimal"/>
          </w:endnotePr>
          <w:pgSz w:w="11907" w:h="16840" w:code="9"/>
          <w:pgMar w:top="567" w:right="1134" w:bottom="1418" w:left="1418" w:header="510" w:footer="1021" w:gutter="0"/>
          <w:cols w:space="720"/>
          <w:titlePg/>
          <w:docGrid w:linePitch="299"/>
        </w:sectPr>
      </w:pPr>
    </w:p>
    <w:tbl>
      <w:tblPr>
        <w:tblW w:w="9433" w:type="dxa"/>
        <w:tblInd w:w="108" w:type="dxa"/>
        <w:tblLayout w:type="fixed"/>
        <w:tblLook w:val="01E0" w:firstRow="1" w:lastRow="1" w:firstColumn="1" w:lastColumn="1" w:noHBand="0" w:noVBand="0"/>
      </w:tblPr>
      <w:tblGrid>
        <w:gridCol w:w="4513"/>
        <w:gridCol w:w="4337"/>
        <w:gridCol w:w="583"/>
      </w:tblGrid>
      <w:tr w:rsidR="00620738" w:rsidRPr="009710FE" w:rsidTr="00003358">
        <w:tc>
          <w:tcPr>
            <w:tcW w:w="4513" w:type="dxa"/>
            <w:tcBorders>
              <w:bottom w:val="single" w:sz="4" w:space="0" w:color="auto"/>
            </w:tcBorders>
            <w:tcMar>
              <w:bottom w:w="170" w:type="dxa"/>
            </w:tcMar>
          </w:tcPr>
          <w:p w:rsidR="00620738" w:rsidRPr="009710FE" w:rsidRDefault="00620738" w:rsidP="00003358">
            <w:pPr>
              <w:rPr>
                <w:lang w:val="fr-CH"/>
              </w:rPr>
            </w:pPr>
          </w:p>
        </w:tc>
        <w:tc>
          <w:tcPr>
            <w:tcW w:w="4337" w:type="dxa"/>
            <w:tcBorders>
              <w:bottom w:val="single" w:sz="4" w:space="0" w:color="auto"/>
            </w:tcBorders>
            <w:tcMar>
              <w:left w:w="0" w:type="dxa"/>
              <w:right w:w="0" w:type="dxa"/>
            </w:tcMar>
          </w:tcPr>
          <w:p w:rsidR="00620738" w:rsidRPr="009710FE" w:rsidRDefault="00620738" w:rsidP="00003358">
            <w:pPr>
              <w:rPr>
                <w:lang w:val="fr-CH"/>
              </w:rPr>
            </w:pPr>
            <w:r w:rsidRPr="009710FE">
              <w:rPr>
                <w:noProof/>
                <w:lang w:eastAsia="en-US"/>
              </w:rPr>
              <w:drawing>
                <wp:inline distT="0" distB="0" distL="0" distR="0" wp14:anchorId="35FF656D" wp14:editId="21E2CDC8">
                  <wp:extent cx="1857375" cy="1323975"/>
                  <wp:effectExtent l="0" t="0" r="9525" b="9525"/>
                  <wp:docPr id="4" name="Picture 4"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83" w:type="dxa"/>
            <w:tcBorders>
              <w:bottom w:val="single" w:sz="4" w:space="0" w:color="auto"/>
            </w:tcBorders>
            <w:tcMar>
              <w:left w:w="0" w:type="dxa"/>
              <w:right w:w="0" w:type="dxa"/>
            </w:tcMar>
          </w:tcPr>
          <w:p w:rsidR="00620738" w:rsidRPr="009710FE" w:rsidRDefault="00620738" w:rsidP="00003358">
            <w:pPr>
              <w:jc w:val="right"/>
              <w:rPr>
                <w:lang w:val="fr-CH"/>
              </w:rPr>
            </w:pPr>
            <w:r w:rsidRPr="009710FE">
              <w:rPr>
                <w:b/>
                <w:sz w:val="40"/>
                <w:szCs w:val="40"/>
                <w:lang w:val="fr-CH"/>
              </w:rPr>
              <w:t>F</w:t>
            </w:r>
          </w:p>
        </w:tc>
      </w:tr>
      <w:tr w:rsidR="00620738" w:rsidRPr="009710FE" w:rsidTr="00003358">
        <w:trPr>
          <w:trHeight w:hRule="exact" w:val="340"/>
        </w:trPr>
        <w:tc>
          <w:tcPr>
            <w:tcW w:w="9433" w:type="dxa"/>
            <w:gridSpan w:val="3"/>
            <w:tcBorders>
              <w:top w:val="single" w:sz="4" w:space="0" w:color="auto"/>
            </w:tcBorders>
            <w:tcMar>
              <w:top w:w="170" w:type="dxa"/>
              <w:left w:w="0" w:type="dxa"/>
              <w:right w:w="0" w:type="dxa"/>
            </w:tcMar>
            <w:vAlign w:val="bottom"/>
          </w:tcPr>
          <w:p w:rsidR="00620738" w:rsidRPr="009710FE" w:rsidRDefault="00620738" w:rsidP="00003358">
            <w:pPr>
              <w:jc w:val="right"/>
              <w:rPr>
                <w:rFonts w:ascii="Arial Black" w:hAnsi="Arial Black"/>
                <w:caps/>
                <w:sz w:val="15"/>
                <w:lang w:val="fr-CH"/>
              </w:rPr>
            </w:pPr>
            <w:r w:rsidRPr="009710FE">
              <w:rPr>
                <w:rFonts w:ascii="Arial Black" w:hAnsi="Arial Black"/>
                <w:caps/>
                <w:sz w:val="15"/>
                <w:lang w:val="fr-CH"/>
              </w:rPr>
              <w:t>wo/pbc/24/</w:t>
            </w:r>
            <w:r>
              <w:rPr>
                <w:rFonts w:ascii="Arial Black" w:hAnsi="Arial Black"/>
                <w:caps/>
                <w:sz w:val="15"/>
                <w:lang w:val="fr-CH"/>
              </w:rPr>
              <w:t>16 REV.</w:t>
            </w:r>
          </w:p>
        </w:tc>
      </w:tr>
      <w:tr w:rsidR="00620738" w:rsidRPr="009710FE" w:rsidTr="00003358">
        <w:trPr>
          <w:trHeight w:hRule="exact" w:val="170"/>
        </w:trPr>
        <w:tc>
          <w:tcPr>
            <w:tcW w:w="9433" w:type="dxa"/>
            <w:gridSpan w:val="3"/>
            <w:noWrap/>
            <w:tcMar>
              <w:left w:w="0" w:type="dxa"/>
              <w:right w:w="0" w:type="dxa"/>
            </w:tcMar>
            <w:vAlign w:val="bottom"/>
          </w:tcPr>
          <w:p w:rsidR="00620738" w:rsidRPr="009710FE" w:rsidRDefault="00620738" w:rsidP="00003358">
            <w:pPr>
              <w:jc w:val="right"/>
              <w:rPr>
                <w:rFonts w:ascii="Arial Black" w:hAnsi="Arial Black"/>
                <w:caps/>
                <w:sz w:val="15"/>
                <w:lang w:val="fr-CH"/>
              </w:rPr>
            </w:pPr>
            <w:r w:rsidRPr="009710FE">
              <w:rPr>
                <w:rFonts w:ascii="Arial Black" w:hAnsi="Arial Black"/>
                <w:caps/>
                <w:sz w:val="15"/>
                <w:lang w:val="fr-CH"/>
              </w:rPr>
              <w:t>ORIGINAL : anglais</w:t>
            </w:r>
          </w:p>
        </w:tc>
      </w:tr>
      <w:tr w:rsidR="00620738" w:rsidRPr="009710FE" w:rsidTr="00003358">
        <w:trPr>
          <w:trHeight w:hRule="exact" w:val="198"/>
        </w:trPr>
        <w:tc>
          <w:tcPr>
            <w:tcW w:w="9433" w:type="dxa"/>
            <w:gridSpan w:val="3"/>
            <w:tcMar>
              <w:left w:w="0" w:type="dxa"/>
              <w:right w:w="0" w:type="dxa"/>
            </w:tcMar>
            <w:vAlign w:val="bottom"/>
          </w:tcPr>
          <w:p w:rsidR="00620738" w:rsidRPr="009710FE" w:rsidRDefault="00620738" w:rsidP="00003358">
            <w:pPr>
              <w:jc w:val="right"/>
              <w:rPr>
                <w:rFonts w:ascii="Arial Black" w:hAnsi="Arial Black"/>
                <w:caps/>
                <w:sz w:val="15"/>
                <w:lang w:val="fr-CH"/>
              </w:rPr>
            </w:pPr>
            <w:r w:rsidRPr="009710FE">
              <w:rPr>
                <w:rFonts w:ascii="Arial Black" w:hAnsi="Arial Black"/>
                <w:caps/>
                <w:sz w:val="15"/>
                <w:lang w:val="fr-CH"/>
              </w:rPr>
              <w:t xml:space="preserve">DATE : </w:t>
            </w:r>
            <w:r>
              <w:rPr>
                <w:rFonts w:ascii="Arial Black" w:hAnsi="Arial Black"/>
                <w:caps/>
                <w:sz w:val="15"/>
                <w:lang w:val="fr-CH"/>
              </w:rPr>
              <w:t>16 septembre</w:t>
            </w:r>
            <w:r w:rsidRPr="009710FE">
              <w:rPr>
                <w:rFonts w:ascii="Arial Black" w:hAnsi="Arial Black"/>
                <w:caps/>
                <w:sz w:val="15"/>
                <w:lang w:val="fr-CH"/>
              </w:rPr>
              <w:t> 2015</w:t>
            </w:r>
          </w:p>
        </w:tc>
      </w:tr>
    </w:tbl>
    <w:p w:rsidR="00620738" w:rsidRPr="009710FE" w:rsidRDefault="00620738" w:rsidP="00620738">
      <w:pPr>
        <w:rPr>
          <w:lang w:val="fr-CH"/>
        </w:rPr>
      </w:pPr>
    </w:p>
    <w:p w:rsidR="00620738" w:rsidRPr="009710FE" w:rsidRDefault="00620738" w:rsidP="00620738">
      <w:pPr>
        <w:rPr>
          <w:lang w:val="fr-CH"/>
        </w:rPr>
      </w:pPr>
    </w:p>
    <w:p w:rsidR="00620738" w:rsidRPr="009710FE" w:rsidRDefault="00620738" w:rsidP="00620738">
      <w:pPr>
        <w:rPr>
          <w:lang w:val="fr-CH"/>
        </w:rPr>
      </w:pPr>
    </w:p>
    <w:p w:rsidR="00620738" w:rsidRPr="009710FE" w:rsidRDefault="00620738" w:rsidP="00620738">
      <w:pPr>
        <w:rPr>
          <w:lang w:val="fr-CH"/>
        </w:rPr>
      </w:pPr>
    </w:p>
    <w:p w:rsidR="00620738" w:rsidRPr="009710FE" w:rsidRDefault="00620738" w:rsidP="00620738">
      <w:pPr>
        <w:rPr>
          <w:lang w:val="fr-CH"/>
        </w:rPr>
      </w:pPr>
    </w:p>
    <w:p w:rsidR="00620738" w:rsidRPr="009710FE" w:rsidRDefault="00620738" w:rsidP="00620738">
      <w:pPr>
        <w:rPr>
          <w:b/>
          <w:sz w:val="28"/>
          <w:szCs w:val="28"/>
          <w:lang w:val="fr-CH"/>
        </w:rPr>
      </w:pPr>
      <w:r w:rsidRPr="009710FE">
        <w:rPr>
          <w:b/>
          <w:sz w:val="28"/>
          <w:szCs w:val="28"/>
          <w:lang w:val="fr-CH"/>
        </w:rPr>
        <w:t>Comit</w:t>
      </w:r>
      <w:r w:rsidRPr="009710FE">
        <w:rPr>
          <w:rFonts w:cs="Simplified Arabic"/>
          <w:b/>
          <w:sz w:val="28"/>
          <w:szCs w:val="28"/>
          <w:lang w:val="fr-CH"/>
        </w:rPr>
        <w:t>é</w:t>
      </w:r>
      <w:r w:rsidRPr="009710FE">
        <w:rPr>
          <w:b/>
          <w:sz w:val="28"/>
          <w:szCs w:val="28"/>
          <w:lang w:val="fr-CH"/>
        </w:rPr>
        <w:t xml:space="preserve"> du programme et budget</w:t>
      </w:r>
    </w:p>
    <w:p w:rsidR="00620738" w:rsidRPr="009710FE" w:rsidRDefault="00620738" w:rsidP="00620738">
      <w:pPr>
        <w:rPr>
          <w:lang w:val="fr-CH"/>
        </w:rPr>
      </w:pPr>
    </w:p>
    <w:p w:rsidR="00620738" w:rsidRPr="009710FE" w:rsidRDefault="00620738" w:rsidP="00620738">
      <w:pPr>
        <w:rPr>
          <w:lang w:val="fr-CH"/>
        </w:rPr>
      </w:pPr>
    </w:p>
    <w:p w:rsidR="00620738" w:rsidRPr="009710FE" w:rsidRDefault="00620738" w:rsidP="00620738">
      <w:pPr>
        <w:rPr>
          <w:b/>
          <w:sz w:val="24"/>
          <w:szCs w:val="24"/>
          <w:lang w:val="fr-CH"/>
        </w:rPr>
      </w:pPr>
      <w:r w:rsidRPr="009710FE">
        <w:rPr>
          <w:b/>
          <w:bCs/>
          <w:sz w:val="24"/>
          <w:szCs w:val="24"/>
          <w:lang w:val="fr-CH"/>
        </w:rPr>
        <w:t>Vingt</w:t>
      </w:r>
      <w:r w:rsidRPr="009710FE">
        <w:rPr>
          <w:b/>
          <w:bCs/>
          <w:sz w:val="24"/>
          <w:szCs w:val="24"/>
          <w:lang w:val="fr-CH"/>
        </w:rPr>
        <w:noBreakHyphen/>
        <w:t>quatrième se</w:t>
      </w:r>
      <w:r w:rsidRPr="009710FE">
        <w:rPr>
          <w:b/>
          <w:sz w:val="24"/>
          <w:szCs w:val="24"/>
          <w:lang w:val="fr-CH"/>
        </w:rPr>
        <w:t>ssion</w:t>
      </w:r>
    </w:p>
    <w:p w:rsidR="00620738" w:rsidRPr="009710FE" w:rsidRDefault="00620738" w:rsidP="00620738">
      <w:pPr>
        <w:rPr>
          <w:b/>
          <w:sz w:val="24"/>
          <w:szCs w:val="24"/>
          <w:lang w:val="fr-CH"/>
        </w:rPr>
      </w:pPr>
      <w:r w:rsidRPr="009710FE">
        <w:rPr>
          <w:b/>
          <w:sz w:val="24"/>
          <w:szCs w:val="24"/>
          <w:lang w:val="fr-CH"/>
        </w:rPr>
        <w:t>Genève, 14 – 18 septembre 2015</w:t>
      </w:r>
    </w:p>
    <w:p w:rsidR="00620738" w:rsidRPr="009710FE" w:rsidRDefault="00620738" w:rsidP="00620738">
      <w:pPr>
        <w:rPr>
          <w:lang w:val="fr-CH"/>
        </w:rPr>
      </w:pPr>
    </w:p>
    <w:p w:rsidR="00620738" w:rsidRPr="009710FE" w:rsidRDefault="00620738" w:rsidP="00620738">
      <w:pPr>
        <w:rPr>
          <w:lang w:val="fr-CH"/>
        </w:rPr>
      </w:pPr>
    </w:p>
    <w:p w:rsidR="00620738" w:rsidRPr="009710FE" w:rsidRDefault="00620738" w:rsidP="00620738">
      <w:pPr>
        <w:rPr>
          <w:lang w:val="fr-CH"/>
        </w:rPr>
      </w:pPr>
    </w:p>
    <w:p w:rsidR="00620738" w:rsidRPr="009710FE" w:rsidRDefault="00620738" w:rsidP="00620738">
      <w:pPr>
        <w:rPr>
          <w:caps/>
          <w:sz w:val="24"/>
          <w:lang w:val="fr-CH"/>
        </w:rPr>
      </w:pPr>
      <w:r w:rsidRPr="009710FE">
        <w:rPr>
          <w:caps/>
          <w:sz w:val="24"/>
          <w:lang w:val="fr-CH"/>
        </w:rPr>
        <w:t>Options pour assurer la viabilité financière de l’Union de Lisbonne</w:t>
      </w:r>
    </w:p>
    <w:p w:rsidR="00620738" w:rsidRPr="009710FE" w:rsidRDefault="00620738" w:rsidP="00620738">
      <w:pPr>
        <w:rPr>
          <w:lang w:val="fr-CH"/>
        </w:rPr>
      </w:pPr>
    </w:p>
    <w:p w:rsidR="00620738" w:rsidRPr="009710FE" w:rsidRDefault="002E1B7F" w:rsidP="00620738">
      <w:pPr>
        <w:rPr>
          <w:i/>
          <w:lang w:val="fr-CH"/>
        </w:rPr>
      </w:pPr>
      <w:r>
        <w:rPr>
          <w:i/>
          <w:lang w:val="fr-CH"/>
        </w:rPr>
        <w:t>D</w:t>
      </w:r>
      <w:r w:rsidR="00620738" w:rsidRPr="009710FE">
        <w:rPr>
          <w:i/>
          <w:lang w:val="fr-CH"/>
        </w:rPr>
        <w:t>ocument établi par le Secrétariat</w:t>
      </w:r>
    </w:p>
    <w:p w:rsidR="00620738" w:rsidRPr="009710FE" w:rsidRDefault="00620738" w:rsidP="00620738">
      <w:pPr>
        <w:rPr>
          <w:highlight w:val="yellow"/>
          <w:lang w:val="fr-CH"/>
        </w:rPr>
      </w:pPr>
    </w:p>
    <w:p w:rsidR="00620738" w:rsidRPr="009710FE" w:rsidRDefault="00620738" w:rsidP="00620738">
      <w:pPr>
        <w:rPr>
          <w:highlight w:val="yellow"/>
          <w:lang w:val="fr-CH"/>
        </w:rPr>
      </w:pPr>
    </w:p>
    <w:p w:rsidR="00620738" w:rsidRPr="009710FE" w:rsidRDefault="00620738" w:rsidP="00620738">
      <w:pPr>
        <w:rPr>
          <w:highlight w:val="yellow"/>
          <w:lang w:val="fr-CH"/>
        </w:rPr>
      </w:pPr>
      <w:bookmarkStart w:id="6" w:name="_GoBack"/>
      <w:bookmarkEnd w:id="6"/>
    </w:p>
    <w:p w:rsidR="00620738" w:rsidRPr="009710FE" w:rsidRDefault="00620738" w:rsidP="00620738">
      <w:pPr>
        <w:pStyle w:val="Heading1"/>
        <w:rPr>
          <w:lang w:val="fr-CH"/>
        </w:rPr>
      </w:pPr>
      <w:r w:rsidRPr="009710FE">
        <w:rPr>
          <w:lang w:val="fr-CH"/>
        </w:rPr>
        <w:t>Introduction</w:t>
      </w:r>
    </w:p>
    <w:p w:rsidR="00620738" w:rsidRPr="009710FE" w:rsidRDefault="00620738" w:rsidP="00620738">
      <w:pPr>
        <w:rPr>
          <w:lang w:val="fr-CH"/>
        </w:rPr>
      </w:pPr>
    </w:p>
    <w:p w:rsidR="00620738" w:rsidRPr="00620738" w:rsidRDefault="00620738" w:rsidP="00620738">
      <w:pPr>
        <w:pStyle w:val="ONUMFS"/>
        <w:numPr>
          <w:ilvl w:val="0"/>
          <w:numId w:val="14"/>
        </w:numPr>
        <w:rPr>
          <w:lang w:val="fr-CH"/>
        </w:rPr>
      </w:pPr>
      <w:r w:rsidRPr="00620738">
        <w:rPr>
          <w:lang w:val="fr-CH"/>
        </w:rPr>
        <w:t>À la vingt</w:t>
      </w:r>
      <w:r w:rsidRPr="00620738">
        <w:rPr>
          <w:lang w:val="fr-CH"/>
        </w:rPr>
        <w:noBreakHyphen/>
        <w:t>troisième session du Comité du programme et budget (PBC), tenue du 13 au 17 juillet 2015 à Genève, le comité a achevé une première lecture de l’ensemble du projet de programme et budget proposé pour l’exercice biennal 2016</w:t>
      </w:r>
      <w:r w:rsidRPr="00620738">
        <w:rPr>
          <w:lang w:val="fr-CH"/>
        </w:rPr>
        <w:noBreakHyphen/>
        <w:t>2017, programme par programme sous chaque objectif stratégique.  Sur les 30 programmes considérés, le PBC a approuvé les modifications des exposés des programmes et du tableau des résultats proposées par les États membres dans les programmes 1, 9, 10, 11, 13, 14, 16, 17, 18, 25, 28 et 30.  Trois programmes ont été renvoyés pour examen à la vingt</w:t>
      </w:r>
      <w:r w:rsidRPr="00620738">
        <w:rPr>
          <w:lang w:val="fr-CH"/>
        </w:rPr>
        <w:noBreakHyphen/>
        <w:t>quatrième session du PBC, qui se tiendra du 14 au 18 septembre 2015 : le programme 3 : transparence, responsabilité et gouvernance;  le programme 6 : proposition visant à diviser le programme 6 (Systèmes de Madrid et de Lisbonne) en deux programmes distincts et à rendre compte de cette division dans toutes les sections, tous les tableaux et toutes les annexes concernés du projet révisé de programme et budget pour l’exercice biennal 2016</w:t>
      </w:r>
      <w:r w:rsidRPr="00620738">
        <w:rPr>
          <w:lang w:val="fr-CH"/>
        </w:rPr>
        <w:noBreakHyphen/>
        <w:t>2017;  et le programme 20 : nouveaux bureaux extérieurs, y compris une éventuelle référence dans le paragraphe 33 (dans la présentation générale de la situation financière et des résultats obtenus) et le Bureau de coordination de l’OMPI auprès des Nations Unies à New York.  En outre, le PBC a noté que diverses questions soulevées par certaines délégations en ce qui concerne le programme 6 avaient été renvoyées à la vingt</w:t>
      </w:r>
      <w:r w:rsidRPr="00620738">
        <w:rPr>
          <w:lang w:val="fr-CH"/>
        </w:rPr>
        <w:noBreakHyphen/>
        <w:t>quatrième session du comité, notamment s’agissant de “prier le Secrétariat de réaliser une étude de la viabilité financière du système de Lisbonne”</w:t>
      </w:r>
      <w:r w:rsidRPr="009710FE">
        <w:rPr>
          <w:rStyle w:val="FootnoteReference"/>
          <w:iCs/>
          <w:lang w:val="fr-CH"/>
        </w:rPr>
        <w:footnoteReference w:id="2"/>
      </w:r>
      <w:r w:rsidRPr="00620738">
        <w:rPr>
          <w:lang w:val="fr-CH"/>
        </w:rPr>
        <w:t>.</w:t>
      </w:r>
    </w:p>
    <w:p w:rsidR="00620738" w:rsidRPr="009710FE" w:rsidRDefault="00620738" w:rsidP="00620738">
      <w:pPr>
        <w:pStyle w:val="ONUMFS"/>
        <w:rPr>
          <w:lang w:val="fr-CH"/>
        </w:rPr>
      </w:pPr>
      <w:r w:rsidRPr="009710FE">
        <w:rPr>
          <w:lang w:val="fr-CH"/>
        </w:rPr>
        <w:lastRenderedPageBreak/>
        <w:t>L’une des questions principales qui se posent concernant l’Union particulière pour la protection des appellations d’origine et leur enregistrement international (Union de Lisbonne) est celle de la viabilité financière de l’union.  Sur cette question, les États membres de l’OMPI ont exprimé des vues et des approches très divergentes.  L’objet du présent document est d’exposer des options pour le financement afin d’aider les États membres dans le cadre de leurs délibérations en vue de parvenir à un accord satisfaisant sur ce point, et ainsi de faciliter l’adoption du projet de programme et budget proposé pour l’exercice biennal 2016</w:t>
      </w:r>
      <w:r w:rsidRPr="009710FE">
        <w:rPr>
          <w:lang w:val="fr-CH"/>
        </w:rPr>
        <w:noBreakHyphen/>
        <w:t>2017.</w:t>
      </w:r>
    </w:p>
    <w:p w:rsidR="00620738" w:rsidRPr="009710FE" w:rsidRDefault="00620738" w:rsidP="00620738">
      <w:pPr>
        <w:pStyle w:val="Heading1"/>
        <w:rPr>
          <w:lang w:val="fr-CH"/>
        </w:rPr>
      </w:pPr>
      <w:r w:rsidRPr="009710FE">
        <w:rPr>
          <w:lang w:val="fr-CH"/>
        </w:rPr>
        <w:t>CADRE JURIDIQUE APPLICABLE</w:t>
      </w:r>
    </w:p>
    <w:p w:rsidR="00620738" w:rsidRPr="009710FE" w:rsidRDefault="00620738" w:rsidP="00620738">
      <w:pPr>
        <w:pStyle w:val="Heading2"/>
        <w:rPr>
          <w:lang w:val="fr-CH"/>
        </w:rPr>
      </w:pPr>
      <w:r>
        <w:rPr>
          <w:lang w:val="fr-CH"/>
        </w:rPr>
        <w:t>A.</w:t>
      </w:r>
      <w:r>
        <w:rPr>
          <w:lang w:val="fr-CH"/>
        </w:rPr>
        <w:tab/>
      </w:r>
      <w:r w:rsidRPr="009710FE">
        <w:rPr>
          <w:lang w:val="fr-CH"/>
        </w:rPr>
        <w:t>Arrangement de Lisbonne</w:t>
      </w:r>
    </w:p>
    <w:p w:rsidR="00620738" w:rsidRPr="009710FE" w:rsidRDefault="00620738" w:rsidP="00620738">
      <w:pPr>
        <w:rPr>
          <w:lang w:val="fr-CH"/>
        </w:rPr>
      </w:pPr>
    </w:p>
    <w:p w:rsidR="00620738" w:rsidRPr="009710FE" w:rsidRDefault="00620738" w:rsidP="00620738">
      <w:pPr>
        <w:pStyle w:val="ONUMFS"/>
        <w:rPr>
          <w:lang w:val="fr-CH"/>
        </w:rPr>
      </w:pPr>
      <w:r w:rsidRPr="009710FE">
        <w:rPr>
          <w:lang w:val="fr-CH"/>
        </w:rPr>
        <w:t>L’Arrangement de Lisbonne concernant la protection des appellations d’origine et leur enregistrement international (tel que modifié le 28 septembre 1979) (“Arrangement de Lisbonne”) énonce, à l’article 11, les dispositions relatives au financement de l’Union de Lisbonne.  Aux termes de l’article 11.3) de cet accord, le budget de l’Union de Lisbonne est financé par les ressources suivantes :</w:t>
      </w:r>
    </w:p>
    <w:p w:rsidR="00620738" w:rsidRPr="009710FE" w:rsidRDefault="00620738" w:rsidP="00620738">
      <w:pPr>
        <w:pStyle w:val="ONUMFS"/>
        <w:numPr>
          <w:ilvl w:val="2"/>
          <w:numId w:val="6"/>
        </w:numPr>
        <w:rPr>
          <w:lang w:val="fr-CH"/>
        </w:rPr>
      </w:pPr>
      <w:r w:rsidRPr="009710FE">
        <w:rPr>
          <w:lang w:val="fr-CH"/>
        </w:rPr>
        <w:t>les taxes d’enregistrement international perçues conformément à l’article 7.2) et les taxes et sommes dues pour les autres services rendus par le Bureau international au titre de l’Union particulière;</w:t>
      </w:r>
    </w:p>
    <w:p w:rsidR="00620738" w:rsidRPr="009710FE" w:rsidRDefault="00620738" w:rsidP="00620738">
      <w:pPr>
        <w:pStyle w:val="ONUMFS"/>
        <w:numPr>
          <w:ilvl w:val="2"/>
          <w:numId w:val="6"/>
        </w:numPr>
        <w:rPr>
          <w:lang w:val="fr-CH"/>
        </w:rPr>
      </w:pPr>
      <w:r w:rsidRPr="009710FE">
        <w:rPr>
          <w:lang w:val="fr-CH"/>
        </w:rPr>
        <w:t>le produit de la vente des publications du Bureau international concernant l’Union particulière et les droits afférents à ces publications;</w:t>
      </w:r>
    </w:p>
    <w:p w:rsidR="00620738" w:rsidRPr="009710FE" w:rsidRDefault="00620738" w:rsidP="00620738">
      <w:pPr>
        <w:pStyle w:val="ONUMFS"/>
        <w:numPr>
          <w:ilvl w:val="2"/>
          <w:numId w:val="6"/>
        </w:numPr>
        <w:rPr>
          <w:lang w:val="fr-CH"/>
        </w:rPr>
      </w:pPr>
      <w:r w:rsidRPr="009710FE">
        <w:rPr>
          <w:lang w:val="fr-CH"/>
        </w:rPr>
        <w:t>les dons, legs et subventions;</w:t>
      </w:r>
    </w:p>
    <w:p w:rsidR="00620738" w:rsidRPr="009710FE" w:rsidRDefault="00620738" w:rsidP="00620738">
      <w:pPr>
        <w:pStyle w:val="ONUMFS"/>
        <w:numPr>
          <w:ilvl w:val="2"/>
          <w:numId w:val="6"/>
        </w:numPr>
        <w:rPr>
          <w:lang w:val="fr-CH"/>
        </w:rPr>
      </w:pPr>
      <w:r w:rsidRPr="009710FE">
        <w:rPr>
          <w:lang w:val="fr-CH"/>
        </w:rPr>
        <w:t>les loyers, intérêts et autres revenus divers;</w:t>
      </w:r>
    </w:p>
    <w:p w:rsidR="00620738" w:rsidRPr="009710FE" w:rsidRDefault="00620738" w:rsidP="00620738">
      <w:pPr>
        <w:pStyle w:val="ONUMFS"/>
        <w:numPr>
          <w:ilvl w:val="2"/>
          <w:numId w:val="6"/>
        </w:numPr>
        <w:rPr>
          <w:lang w:val="fr-CH"/>
        </w:rPr>
      </w:pPr>
      <w:r w:rsidRPr="009710FE">
        <w:rPr>
          <w:lang w:val="fr-CH"/>
        </w:rPr>
        <w:t>les contributions des pays de l’Union particulière, dans la mesure où les recettes provenant des sources mentionnées aux points i) à</w:t>
      </w:r>
      <w:r>
        <w:rPr>
          <w:lang w:val="fr-CH"/>
        </w:rPr>
        <w:t> </w:t>
      </w:r>
      <w:r w:rsidRPr="009710FE">
        <w:rPr>
          <w:lang w:val="fr-CH"/>
        </w:rPr>
        <w:t>iv) ne suffisent pas à couvrir les dépenses de l’Union particulière.</w:t>
      </w:r>
    </w:p>
    <w:p w:rsidR="00620738" w:rsidRPr="009710FE" w:rsidRDefault="00620738" w:rsidP="00620738">
      <w:pPr>
        <w:pStyle w:val="ONUMFS"/>
        <w:rPr>
          <w:lang w:val="fr-CH"/>
        </w:rPr>
      </w:pPr>
      <w:r w:rsidRPr="009710FE">
        <w:rPr>
          <w:lang w:val="fr-CH"/>
        </w:rPr>
        <w:t>Par ailleurs, l’article 11.7) dispose que l’Union particulière possède un fonds de roulement et l’article 11.8)a) prévoit en outre que, si le fonds de roulement est insuffisant, le pays sur le territoire duquel l’Organisation a son siège doit accorder des avances.  Chacune des ressources précitées, ainsi que la façon dont elles pourraient contribuer à la viabilité financière de l’Union de Lisbonne, est examinée plus en détail ci</w:t>
      </w:r>
      <w:r w:rsidRPr="009710FE">
        <w:rPr>
          <w:lang w:val="fr-CH"/>
        </w:rPr>
        <w:noBreakHyphen/>
        <w:t>après.</w:t>
      </w:r>
    </w:p>
    <w:p w:rsidR="00620738" w:rsidRPr="009710FE" w:rsidRDefault="00620738" w:rsidP="00620738">
      <w:pPr>
        <w:pStyle w:val="Heading2"/>
        <w:rPr>
          <w:lang w:val="fr-CH"/>
        </w:rPr>
      </w:pPr>
      <w:r>
        <w:rPr>
          <w:lang w:val="fr-CH"/>
        </w:rPr>
        <w:t>B.</w:t>
      </w:r>
      <w:r w:rsidRPr="009710FE">
        <w:rPr>
          <w:lang w:val="fr-CH"/>
        </w:rPr>
        <w:tab/>
        <w:t>Acte de Genève de l’Arrangement de Lisbonne</w:t>
      </w:r>
    </w:p>
    <w:p w:rsidR="00620738" w:rsidRPr="009710FE" w:rsidRDefault="00620738" w:rsidP="00620738">
      <w:pPr>
        <w:rPr>
          <w:lang w:val="fr-CH"/>
        </w:rPr>
      </w:pPr>
    </w:p>
    <w:p w:rsidR="00620738" w:rsidRPr="009710FE" w:rsidRDefault="00620738" w:rsidP="00620738">
      <w:pPr>
        <w:pStyle w:val="ONUMFS"/>
        <w:rPr>
          <w:lang w:val="fr-CH"/>
        </w:rPr>
      </w:pPr>
      <w:r w:rsidRPr="009710FE">
        <w:rPr>
          <w:lang w:val="fr-CH"/>
        </w:rPr>
        <w:t>L’Acte de Genève de l’Arrangement de Lisbonne sur les appellations d’origine et les indications géographiques (tel qu’adopté le 20 mai 2015) (“Acte de Genève”) prévoit aux termes de l’article 24 des dispositions similaires (sans être identiques) s’agissant des sources de financement du budget de l’Union de Lisbonne.  Conformément à l’article 24.2) de l’Acte de Genève, les recettes de l’Union proviennent des ressources suivantes :</w:t>
      </w:r>
    </w:p>
    <w:p w:rsidR="00620738" w:rsidRPr="009710FE" w:rsidRDefault="00620738" w:rsidP="00620738">
      <w:pPr>
        <w:pStyle w:val="ONUMFS"/>
        <w:numPr>
          <w:ilvl w:val="2"/>
          <w:numId w:val="6"/>
        </w:numPr>
        <w:rPr>
          <w:lang w:val="fr-CH"/>
        </w:rPr>
      </w:pPr>
      <w:r w:rsidRPr="009710FE">
        <w:rPr>
          <w:lang w:val="fr-CH"/>
        </w:rPr>
        <w:t>les taxes perçues en vertu de l’article </w:t>
      </w:r>
      <w:r>
        <w:rPr>
          <w:lang w:val="fr-CH"/>
        </w:rPr>
        <w:t>7.1) et </w:t>
      </w:r>
      <w:r w:rsidRPr="009710FE">
        <w:rPr>
          <w:lang w:val="fr-CH"/>
        </w:rPr>
        <w:t>2);</w:t>
      </w:r>
    </w:p>
    <w:p w:rsidR="00620738" w:rsidRPr="009710FE" w:rsidRDefault="00620738" w:rsidP="00620738">
      <w:pPr>
        <w:pStyle w:val="ONUMFS"/>
        <w:numPr>
          <w:ilvl w:val="2"/>
          <w:numId w:val="6"/>
        </w:numPr>
        <w:rPr>
          <w:lang w:val="fr-CH"/>
        </w:rPr>
      </w:pPr>
      <w:r w:rsidRPr="009710FE">
        <w:rPr>
          <w:lang w:val="fr-CH"/>
        </w:rPr>
        <w:t>le produit de la vente des publications du Bureau international et les droits</w:t>
      </w:r>
      <w:r>
        <w:rPr>
          <w:lang w:val="fr-CH"/>
        </w:rPr>
        <w:t xml:space="preserve"> </w:t>
      </w:r>
      <w:r w:rsidRPr="009710FE">
        <w:rPr>
          <w:lang w:val="fr-CH"/>
        </w:rPr>
        <w:t>afférents à ces publications;</w:t>
      </w:r>
    </w:p>
    <w:p w:rsidR="00620738" w:rsidRPr="009710FE" w:rsidRDefault="00620738" w:rsidP="00620738">
      <w:pPr>
        <w:pStyle w:val="ONUMFS"/>
        <w:numPr>
          <w:ilvl w:val="2"/>
          <w:numId w:val="6"/>
        </w:numPr>
        <w:rPr>
          <w:lang w:val="fr-CH"/>
        </w:rPr>
      </w:pPr>
      <w:r w:rsidRPr="009710FE">
        <w:rPr>
          <w:lang w:val="fr-CH"/>
        </w:rPr>
        <w:t>les dons, legs et subventions;</w:t>
      </w:r>
    </w:p>
    <w:p w:rsidR="00620738" w:rsidRPr="009710FE" w:rsidRDefault="00620738" w:rsidP="00620738">
      <w:pPr>
        <w:pStyle w:val="ONUMFS"/>
        <w:numPr>
          <w:ilvl w:val="2"/>
          <w:numId w:val="6"/>
        </w:numPr>
        <w:rPr>
          <w:lang w:val="fr-CH"/>
        </w:rPr>
      </w:pPr>
      <w:r w:rsidRPr="009710FE">
        <w:rPr>
          <w:lang w:val="fr-CH"/>
        </w:rPr>
        <w:t>les loyers, les revenus provenant des actifs financiers et autres revenus, y compris les revenus divers;</w:t>
      </w:r>
    </w:p>
    <w:p w:rsidR="00620738" w:rsidRPr="009710FE" w:rsidRDefault="00620738" w:rsidP="00620738">
      <w:pPr>
        <w:pStyle w:val="ONUMFS"/>
        <w:numPr>
          <w:ilvl w:val="2"/>
          <w:numId w:val="6"/>
        </w:numPr>
        <w:rPr>
          <w:lang w:val="fr-CH"/>
        </w:rPr>
      </w:pPr>
      <w:r w:rsidRPr="009710FE">
        <w:rPr>
          <w:lang w:val="fr-CH"/>
        </w:rPr>
        <w:lastRenderedPageBreak/>
        <w:t>les contributions spéciales des parties contractantes ou toute autre ressource provenant des parties contractantes ou des bénéficiaires, ou les deux, si et dans la mesure où les recettes provenant des sources mentionnées aux points i) à iv) ne suffisent pas à couvrir les dépenses, sous réserve de la décision de l’Assemblée.</w:t>
      </w:r>
    </w:p>
    <w:p w:rsidR="00620738" w:rsidRPr="009710FE" w:rsidRDefault="00620738" w:rsidP="00620738">
      <w:pPr>
        <w:pStyle w:val="ONUMFS"/>
        <w:rPr>
          <w:lang w:val="fr-CH"/>
        </w:rPr>
      </w:pPr>
      <w:r w:rsidRPr="009710FE">
        <w:rPr>
          <w:lang w:val="fr-CH"/>
        </w:rPr>
        <w:t>L’Acte de Genève prévoit également un fonds de roulement aux termes de l’article 24.5) ainsi que le versement d’avances de la part de l’État hôte si le fonds de roulement est insuffisant, aux termes de l’article 24.6)a).  Néanmoins, dans la mesure où l’Acte de Genève n’est pas encore entré en vigueur, dans l’attente du dépôt des instruments de ratification ou d’adhésion de cinq parties remplissant les conditions requises, les dispositions pertinentes de l’Arrangement de Lisbonne régissent le financement de l’Union de Lisbonne.</w:t>
      </w:r>
    </w:p>
    <w:p w:rsidR="00620738" w:rsidRPr="009710FE" w:rsidRDefault="00620738" w:rsidP="00620738">
      <w:pPr>
        <w:pStyle w:val="Heading1"/>
        <w:rPr>
          <w:lang w:val="fr-CH"/>
        </w:rPr>
      </w:pPr>
      <w:r w:rsidRPr="009710FE">
        <w:rPr>
          <w:lang w:val="fr-CH"/>
        </w:rPr>
        <w:t>OPTIONS POUR ASSURER LA VIABILITÉ FINANCIèRE</w:t>
      </w:r>
    </w:p>
    <w:p w:rsidR="00620738" w:rsidRPr="009710FE" w:rsidRDefault="00620738" w:rsidP="00620738">
      <w:pPr>
        <w:pStyle w:val="Heading2"/>
        <w:rPr>
          <w:lang w:val="fr-CH"/>
        </w:rPr>
      </w:pPr>
      <w:r w:rsidRPr="009710FE">
        <w:rPr>
          <w:lang w:val="fr-CH"/>
        </w:rPr>
        <w:t xml:space="preserve">A. </w:t>
      </w:r>
      <w:r w:rsidRPr="009710FE">
        <w:rPr>
          <w:lang w:val="fr-CH"/>
        </w:rPr>
        <w:tab/>
        <w:t>Taxes</w:t>
      </w:r>
    </w:p>
    <w:p w:rsidR="00620738" w:rsidRPr="009710FE" w:rsidRDefault="00620738" w:rsidP="00620738">
      <w:pPr>
        <w:rPr>
          <w:lang w:val="fr-CH"/>
        </w:rPr>
      </w:pPr>
    </w:p>
    <w:p w:rsidR="00620738" w:rsidRPr="009710FE" w:rsidRDefault="00620738" w:rsidP="00620738">
      <w:pPr>
        <w:pStyle w:val="ONUMFS"/>
        <w:rPr>
          <w:lang w:val="fr-CH"/>
        </w:rPr>
      </w:pPr>
      <w:r w:rsidRPr="009710FE">
        <w:rPr>
          <w:lang w:val="fr-CH"/>
        </w:rPr>
        <w:t>Les articles 11.3)i) et 11.4)b) de l’Arrangement de Lisbonne disposent que le budget de l’Union particulière doit être financé principalement par les “taxes d’enregistrement international perçues conformément à l’article 7.2) et les taxes et sommes dues pour les autres services rendus par le Bureau international au titre de l’Union particulière”.  L’article 7.2) dispose que ces taxes consistent en “une taxe unique […] [payée] pour l’enregistrement de chaque appellation d’origine” et que l’enregistrement n’est pas subordonné à renouvellement.  En outre, il est énoncé à l’article 11.4</w:t>
      </w:r>
      <w:r>
        <w:rPr>
          <w:lang w:val="fr-CH"/>
        </w:rPr>
        <w:t>)</w:t>
      </w:r>
      <w:r w:rsidRPr="009710FE">
        <w:rPr>
          <w:lang w:val="fr-CH"/>
        </w:rPr>
        <w:t>a) que le montant de cette taxe unique est fixé par l’Assemblée, sur proposition du Directeur général, et il est précisé à l’article 11.4</w:t>
      </w:r>
      <w:r>
        <w:rPr>
          <w:lang w:val="fr-CH"/>
        </w:rPr>
        <w:t>)</w:t>
      </w:r>
      <w:r w:rsidRPr="009710FE">
        <w:rPr>
          <w:lang w:val="fr-CH"/>
        </w:rPr>
        <w:t xml:space="preserve">b) que le montant de cette taxe “est fixé de manière à ce que les recettes de l’Union particulière soient, normalement, suffisantes pour couvrir les dépenses occasionnées au Bureau international par le fonctionnement du service de l’enregistrement international sans qu’il soit recouru au versement des contributions [des pays de l’Union particulière] mentionnées à [l’article 11.3)v)]”.  Ces taxes, qui constituent la source principale de financement de l’Union de Lisbonne, sont à </w:t>
      </w:r>
      <w:proofErr w:type="gramStart"/>
      <w:r w:rsidRPr="009710FE">
        <w:rPr>
          <w:lang w:val="fr-CH"/>
        </w:rPr>
        <w:t>ce jour manifestement insuffisantes</w:t>
      </w:r>
      <w:proofErr w:type="gramEnd"/>
      <w:r w:rsidRPr="009710FE">
        <w:rPr>
          <w:lang w:val="fr-CH"/>
        </w:rPr>
        <w:t xml:space="preserve"> pour couvrir les dépenses de l’union, qui s’élevaient en 2014 à 792 000 francs suisses au total</w:t>
      </w:r>
      <w:r w:rsidRPr="009710FE">
        <w:rPr>
          <w:rStyle w:val="FootnoteReference"/>
          <w:lang w:val="fr-CH"/>
        </w:rPr>
        <w:footnoteReference w:id="3"/>
      </w:r>
      <w:r w:rsidRPr="009710FE">
        <w:rPr>
          <w:lang w:val="fr-CH"/>
        </w:rPr>
        <w:t>.</w:t>
      </w:r>
    </w:p>
    <w:p w:rsidR="00620738" w:rsidRPr="009710FE" w:rsidRDefault="00620738" w:rsidP="00620738">
      <w:pPr>
        <w:pStyle w:val="ONUMFS"/>
        <w:rPr>
          <w:lang w:val="fr-CH"/>
        </w:rPr>
      </w:pPr>
      <w:r w:rsidRPr="009710FE">
        <w:rPr>
          <w:lang w:val="fr-CH"/>
        </w:rPr>
        <w:t>Pour l’exercice biennal 2016</w:t>
      </w:r>
      <w:r w:rsidRPr="009710FE">
        <w:rPr>
          <w:lang w:val="fr-CH"/>
        </w:rPr>
        <w:noBreakHyphen/>
        <w:t>2017, le montant des dépenses relatives à l’Union de Lisbonne devrait s’élever à 1 125 000 francs suisses par an.  Il convient de noter que le calcul des dépenses relatives à l’Union de Lisbonne repose sur la méthodologie actuelle de répartition des dépenses par union telle qu’elle est décrite à l’annexe III du projet de programme et budget proposé pour 2016</w:t>
      </w:r>
      <w:r w:rsidRPr="009710FE">
        <w:rPr>
          <w:lang w:val="fr-CH"/>
        </w:rPr>
        <w:noBreakHyphen/>
        <w:t>2017.  D’après cette méthodologie, l’Union de Lisbonne ne supporte ni dépenses indirectes de l’union ni dépenses administratives indirectes.</w:t>
      </w:r>
    </w:p>
    <w:p w:rsidR="00620738" w:rsidRPr="009710FE" w:rsidRDefault="00620738" w:rsidP="00620738">
      <w:pPr>
        <w:pStyle w:val="ONUMFS"/>
        <w:rPr>
          <w:lang w:val="fr-CH"/>
        </w:rPr>
      </w:pPr>
      <w:r w:rsidRPr="009710FE">
        <w:rPr>
          <w:lang w:val="fr-CH"/>
        </w:rPr>
        <w:t>Ces cinq dernières années, respectivement 80 (2014), 12 (2013), 9 (2012), 3 (2011), et 6 (2010) demandes ont été déposées en vertu du système de Lisbonne.  En moyenne, ces 20 dernières années, 14 demandes étaient déposées chaque année.  Compte tenu du nombre moyen de demandes déposées et des dépenses annuelles estimées pour l’exercice biennal 2016</w:t>
      </w:r>
      <w:r w:rsidRPr="009710FE">
        <w:rPr>
          <w:lang w:val="fr-CH"/>
        </w:rPr>
        <w:noBreakHyphen/>
        <w:t>2017, si, comme cela est prévu aux termes de l’Arrangement de Lisbonne, les taxes de dépôt uniques devaient à elles seules financer les activités de l’Union de Lisbonne, la taxe d’enregistrement international devrait alors s’élever à 80 357 francs suisses</w:t>
      </w:r>
      <w:r w:rsidRPr="009710FE">
        <w:rPr>
          <w:rStyle w:val="FootnoteReference"/>
          <w:lang w:val="fr-CH"/>
        </w:rPr>
        <w:footnoteReference w:id="4"/>
      </w:r>
      <w:r w:rsidRPr="009710FE">
        <w:rPr>
          <w:lang w:val="fr-CH"/>
        </w:rPr>
        <w:t>.  À la lumière des prévisions concernant les activités d’enregistrement au titre du système de Lisbonne réalisées par le Service d’enregistrement de Lisbonne</w:t>
      </w:r>
      <w:r w:rsidRPr="009710FE">
        <w:rPr>
          <w:rStyle w:val="FootnoteReference"/>
          <w:lang w:val="fr-CH"/>
        </w:rPr>
        <w:footnoteReference w:id="5"/>
      </w:r>
      <w:r w:rsidRPr="009710FE">
        <w:rPr>
          <w:lang w:val="fr-CH"/>
        </w:rPr>
        <w:t>, qui prévoit 20 demandes internationales et 20 modifications par an au cours de l’exercice biennal 2016</w:t>
      </w:r>
      <w:r w:rsidRPr="009710FE">
        <w:rPr>
          <w:lang w:val="fr-CH"/>
        </w:rPr>
        <w:noBreakHyphen/>
        <w:t xml:space="preserve">2017, la taxe d’enregistrement </w:t>
      </w:r>
      <w:r w:rsidRPr="009710FE">
        <w:rPr>
          <w:lang w:val="fr-CH"/>
        </w:rPr>
        <w:lastRenderedPageBreak/>
        <w:t>international devrait être de 54 750 francs suisses</w:t>
      </w:r>
      <w:r w:rsidRPr="009710FE">
        <w:rPr>
          <w:rStyle w:val="FootnoteReference"/>
          <w:lang w:val="fr-CH"/>
        </w:rPr>
        <w:footnoteReference w:id="6"/>
      </w:r>
      <w:r w:rsidRPr="009710FE">
        <w:rPr>
          <w:lang w:val="fr-CH"/>
        </w:rPr>
        <w:t>.  Si de telles taxes venaient à être appliquées, dans les deux cas de figure</w:t>
      </w:r>
      <w:r w:rsidRPr="009710FE">
        <w:rPr>
          <w:rStyle w:val="FootnoteReference"/>
          <w:lang w:val="fr-CH"/>
        </w:rPr>
        <w:footnoteReference w:id="7"/>
      </w:r>
      <w:r w:rsidRPr="009710FE">
        <w:rPr>
          <w:lang w:val="fr-CH"/>
        </w:rPr>
        <w:t>, il est possible que plus aucune nouvelle demande ne soit déposée en vertu de ce système.  À cet égard, et conformément aux dispositions de l’article 11.4)a), il convient de se reporter à la “Proposition de mise à jour du barème des taxes figurant à la règle 23 du règlement d’exécution de l’Arrangement de Lisbonne”</w:t>
      </w:r>
      <w:r w:rsidRPr="009710FE">
        <w:rPr>
          <w:rStyle w:val="FootnoteReference"/>
          <w:lang w:val="fr-CH"/>
        </w:rPr>
        <w:footnoteReference w:id="8"/>
      </w:r>
      <w:r w:rsidRPr="009710FE">
        <w:rPr>
          <w:lang w:val="fr-CH"/>
        </w:rPr>
        <w:t>, établie par le Secrétariat, qui sera soumise à l’Assemblée de l’Union de Lisbonne à sa trente</w:t>
      </w:r>
      <w:r w:rsidRPr="009710FE">
        <w:rPr>
          <w:lang w:val="fr-CH"/>
        </w:rPr>
        <w:noBreakHyphen/>
        <w:t>deuxième session (21</w:t>
      </w:r>
      <w:r w:rsidRPr="00A55E80">
        <w:rPr>
          <w:vertAlign w:val="superscript"/>
          <w:lang w:val="fr-CH"/>
        </w:rPr>
        <w:t>e</w:t>
      </w:r>
      <w:r>
        <w:rPr>
          <w:lang w:val="fr-CH"/>
        </w:rPr>
        <w:t> </w:t>
      </w:r>
      <w:r w:rsidRPr="009710FE">
        <w:rPr>
          <w:lang w:val="fr-CH"/>
        </w:rPr>
        <w:t>session ordinaire) qui se tiendra à Genève du 5 au 14 octobre 2015.  Cette proposition entraînerait une augmentation concrète du montant des taxes.  Cependant, la nouvelle structure de taxes continuerait de se traduire par une insuffisance des recettes nécessaires pour couvrir les dépenses de l’Union de Lisbonne.  Pour l’exercice biennal 2016</w:t>
      </w:r>
      <w:r w:rsidRPr="009710FE">
        <w:rPr>
          <w:lang w:val="fr-CH"/>
        </w:rPr>
        <w:noBreakHyphen/>
        <w:t>2017, le déficit annuel devrait s’élever à 700 000 francs suisses environ</w:t>
      </w:r>
      <w:r w:rsidRPr="009710FE">
        <w:rPr>
          <w:rStyle w:val="FootnoteReference"/>
          <w:lang w:val="fr-CH"/>
        </w:rPr>
        <w:footnoteReference w:id="9"/>
      </w:r>
      <w:r w:rsidRPr="009710FE">
        <w:rPr>
          <w:lang w:val="fr-CH"/>
        </w:rPr>
        <w:t>.</w:t>
      </w:r>
    </w:p>
    <w:p w:rsidR="00620738" w:rsidRPr="009710FE" w:rsidRDefault="00620738" w:rsidP="00620738">
      <w:pPr>
        <w:pStyle w:val="ONUMFS"/>
        <w:rPr>
          <w:lang w:val="fr-CH"/>
        </w:rPr>
      </w:pPr>
      <w:r w:rsidRPr="009710FE">
        <w:rPr>
          <w:lang w:val="fr-CH"/>
        </w:rPr>
        <w:t>À la lumière de ces calculs, il apparaît que les taxes ne suffisent pas à elles seules à assurer la viabilité financière de l’Union de Lisbonne.  Des sources de financement supplémentaires pour l’Union de Lisbonne sont présentées ci</w:t>
      </w:r>
      <w:r w:rsidRPr="009710FE">
        <w:rPr>
          <w:lang w:val="fr-CH"/>
        </w:rPr>
        <w:noBreakHyphen/>
        <w:t xml:space="preserve">après aux États membres pour examen.  </w:t>
      </w:r>
    </w:p>
    <w:p w:rsidR="00620738" w:rsidRPr="009710FE" w:rsidRDefault="00620738" w:rsidP="00620738">
      <w:pPr>
        <w:pStyle w:val="Heading2"/>
        <w:rPr>
          <w:lang w:val="fr-CH"/>
        </w:rPr>
      </w:pPr>
      <w:r w:rsidRPr="009710FE">
        <w:rPr>
          <w:lang w:val="fr-CH"/>
        </w:rPr>
        <w:t xml:space="preserve">B. </w:t>
      </w:r>
      <w:r>
        <w:rPr>
          <w:lang w:val="fr-CH"/>
        </w:rPr>
        <w:tab/>
      </w:r>
      <w:r w:rsidRPr="009710FE">
        <w:rPr>
          <w:lang w:val="fr-CH"/>
        </w:rPr>
        <w:t>Contributions</w:t>
      </w:r>
    </w:p>
    <w:p w:rsidR="00620738" w:rsidRPr="009710FE" w:rsidRDefault="00620738" w:rsidP="00620738">
      <w:pPr>
        <w:rPr>
          <w:lang w:val="fr-CH"/>
        </w:rPr>
      </w:pPr>
    </w:p>
    <w:p w:rsidR="00620738" w:rsidRPr="009710FE" w:rsidRDefault="00620738" w:rsidP="00620738">
      <w:pPr>
        <w:pStyle w:val="ONUMFS"/>
        <w:rPr>
          <w:lang w:val="fr-CH"/>
        </w:rPr>
      </w:pPr>
      <w:r w:rsidRPr="009710FE">
        <w:rPr>
          <w:lang w:val="fr-CH"/>
        </w:rPr>
        <w:t>L’Arrangement de Lisbonne prévoit également le recouvrement de contributions des pays de l’Union particulière comme source supplémentaire de financement “dans la mesure où les recettes provenant des sources mentionnées aux points </w:t>
      </w:r>
      <w:r>
        <w:rPr>
          <w:lang w:val="fr-CH"/>
        </w:rPr>
        <w:t>i) à </w:t>
      </w:r>
      <w:r w:rsidRPr="009710FE">
        <w:rPr>
          <w:lang w:val="fr-CH"/>
        </w:rPr>
        <w:t>iv) ne suffisent pas à couvrir les dépenses de l’Union particulière” (article 11.3)v)).</w:t>
      </w:r>
    </w:p>
    <w:p w:rsidR="00620738" w:rsidRPr="009710FE" w:rsidRDefault="00620738" w:rsidP="00620738">
      <w:pPr>
        <w:pStyle w:val="ONUMFS"/>
        <w:rPr>
          <w:lang w:val="fr-CH"/>
        </w:rPr>
      </w:pPr>
      <w:r w:rsidRPr="009710FE">
        <w:rPr>
          <w:lang w:val="fr-CH"/>
        </w:rPr>
        <w:t>L’article 11.5), alinéas a) et b), de l’Arrangement de Lisbonne apporte des précisions quant à la base sur laquelle le montant de ces contributions devrait être déterminé :</w:t>
      </w:r>
    </w:p>
    <w:p w:rsidR="00620738" w:rsidRPr="009710FE" w:rsidRDefault="00620738" w:rsidP="00620738">
      <w:pPr>
        <w:pStyle w:val="ONUMFS"/>
        <w:numPr>
          <w:ilvl w:val="1"/>
          <w:numId w:val="6"/>
        </w:numPr>
        <w:rPr>
          <w:lang w:val="fr-CH"/>
        </w:rPr>
      </w:pPr>
      <w:r w:rsidRPr="009710FE">
        <w:rPr>
          <w:lang w:val="fr-CH"/>
        </w:rPr>
        <w:t>Pour déterminer sa part contributive au sens de l’alinéa 3)v), chaque pays de l’Union particulière appartient à la classe dans laquelle il est rangé pour ce qui concerne l’Union de Paris pour la protection de la propriété industrielle, et paie ses contributions annuelles sur la base du nombre d’unités déterminé pour cette classe dans cette Union.</w:t>
      </w:r>
    </w:p>
    <w:p w:rsidR="00620738" w:rsidRPr="009710FE" w:rsidRDefault="00620738" w:rsidP="00620738">
      <w:pPr>
        <w:pStyle w:val="ONUMFS"/>
        <w:numPr>
          <w:ilvl w:val="1"/>
          <w:numId w:val="6"/>
        </w:numPr>
        <w:rPr>
          <w:lang w:val="fr-CH"/>
        </w:rPr>
      </w:pPr>
      <w:r w:rsidRPr="009710FE">
        <w:rPr>
          <w:lang w:val="fr-CH"/>
        </w:rPr>
        <w:t>La contribution annuelle de chaque pays de l’Union particulière consiste en un montant dont le rapport à la somme totale des contributions annuelles au budget de l’Union particulière de tous les pays est le même que le rapport entre le nombre des unités de la classe dans laquelle il est rangé et le nombre total des unités de l’ensemble des pays.</w:t>
      </w:r>
    </w:p>
    <w:p w:rsidR="00620738" w:rsidRPr="009710FE" w:rsidRDefault="00620738" w:rsidP="00620738">
      <w:pPr>
        <w:pStyle w:val="ONUMFS"/>
        <w:rPr>
          <w:lang w:val="fr-CH"/>
        </w:rPr>
      </w:pPr>
      <w:r w:rsidRPr="009710FE">
        <w:rPr>
          <w:lang w:val="fr-CH"/>
        </w:rPr>
        <w:t>Les recettes provenant des sources mentionnées aux points </w:t>
      </w:r>
      <w:r>
        <w:rPr>
          <w:lang w:val="fr-CH"/>
        </w:rPr>
        <w:t>i) à </w:t>
      </w:r>
      <w:r w:rsidRPr="009710FE">
        <w:rPr>
          <w:lang w:val="fr-CH"/>
        </w:rPr>
        <w:t xml:space="preserve">iv), à savoir les taxes d’enregistrement international, le produit de la vente des publications, les dons/legs, ainsi que les loyers, intérêts et autres revenus divers “ne suffisent pas à couvrir les dépenses de l’Union </w:t>
      </w:r>
      <w:r w:rsidRPr="009710FE">
        <w:rPr>
          <w:lang w:val="fr-CH"/>
        </w:rPr>
        <w:lastRenderedPageBreak/>
        <w:t>particulière” (conformément aux paragraphes 7 à</w:t>
      </w:r>
      <w:r>
        <w:rPr>
          <w:lang w:val="fr-CH"/>
        </w:rPr>
        <w:t> </w:t>
      </w:r>
      <w:r w:rsidRPr="009710FE">
        <w:rPr>
          <w:lang w:val="fr-CH"/>
        </w:rPr>
        <w:t>10 ci</w:t>
      </w:r>
      <w:r w:rsidRPr="009710FE">
        <w:rPr>
          <w:lang w:val="fr-CH"/>
        </w:rPr>
        <w:noBreakHyphen/>
        <w:t>dessus) et, de ce fait, des contributions devraient être recouvrées au titre de l’Arrangement de Lisbonne.  Dans un document établi en vue de la réunion de l’Assemblée de l’Union de Lisbonne en octobre 1976, intitulé “Échéance des contributions;  fonds de roulement;  avances” (AB/VII/6), il a été proposé à l’Assemblée de prendre des mesures concernant, entre autres, la création d’un système de contribution;  l’Assemblée a pris les mesures suggérées</w:t>
      </w:r>
      <w:r w:rsidRPr="009710FE">
        <w:rPr>
          <w:rStyle w:val="FootnoteReference"/>
          <w:lang w:val="fr-CH"/>
        </w:rPr>
        <w:footnoteReference w:id="10"/>
      </w:r>
      <w:r w:rsidRPr="009710FE">
        <w:rPr>
          <w:lang w:val="fr-CH"/>
        </w:rPr>
        <w:t>.  Le passage pertinent de la proposition est reproduit ci</w:t>
      </w:r>
      <w:r w:rsidRPr="009710FE">
        <w:rPr>
          <w:lang w:val="fr-CH"/>
        </w:rPr>
        <w:noBreakHyphen/>
        <w:t>après :</w:t>
      </w:r>
    </w:p>
    <w:p w:rsidR="00620738" w:rsidRPr="009710FE" w:rsidRDefault="00620738" w:rsidP="00620738">
      <w:pPr>
        <w:pStyle w:val="ONUMFS"/>
        <w:numPr>
          <w:ilvl w:val="0"/>
          <w:numId w:val="0"/>
        </w:numPr>
        <w:ind w:left="567"/>
        <w:rPr>
          <w:lang w:val="fr-CH"/>
        </w:rPr>
      </w:pPr>
      <w:r w:rsidRPr="009710FE">
        <w:rPr>
          <w:lang w:val="fr-CH"/>
        </w:rPr>
        <w:t>“11.</w:t>
      </w:r>
      <w:r w:rsidRPr="009710FE">
        <w:rPr>
          <w:lang w:val="fr-CH"/>
        </w:rPr>
        <w:tab/>
      </w:r>
      <w:r w:rsidRPr="009710FE">
        <w:rPr>
          <w:i/>
          <w:lang w:val="fr-CH"/>
        </w:rPr>
        <w:t>Arrangements de Madrid, de La Haye et de Lisbonne</w:t>
      </w:r>
      <w:r w:rsidRPr="009710FE">
        <w:rPr>
          <w:lang w:val="fr-CH"/>
        </w:rPr>
        <w:t xml:space="preserve">.  Ces Arrangements ne mentionnent pas de contributions annuelles;  il n’est donc pas nécessaire de fixer à leur égard des dates d’échéances déterminées.  L’Acte de Stockholm de l’Arrangement de Lisbonne mentionne des contributions payables par les pays membres, dans la mesure où les autres sources de recettes de l’Union de Lisbonne ne suffisent pas à couvrir ses dépenses (voir l’Arrangement de Lisbonne (Acte de Stockholm), article 11.3)v)).  Par ailleurs, le Règlement financier applicable </w:t>
      </w:r>
      <w:r w:rsidRPr="009710FE">
        <w:rPr>
          <w:i/>
          <w:lang w:val="fr-CH"/>
        </w:rPr>
        <w:t>inter alia</w:t>
      </w:r>
      <w:r w:rsidRPr="009710FE">
        <w:rPr>
          <w:lang w:val="fr-CH"/>
        </w:rPr>
        <w:t xml:space="preserve"> aux Unions de Madrid, de La Haye et de Lisbonne prévoit que si les comptes de l’un des Services de ces Unions “font apparaître un déficit et si celui</w:t>
      </w:r>
      <w:r w:rsidRPr="009710FE">
        <w:rPr>
          <w:lang w:val="fr-CH"/>
        </w:rPr>
        <w:noBreakHyphen/>
        <w:t xml:space="preserve">ci ne peut être couvert par un appel aux fonds de réserve, il appartiendra </w:t>
      </w:r>
      <w:r w:rsidRPr="009710FE">
        <w:rPr>
          <w:i/>
          <w:lang w:val="fr-CH"/>
        </w:rPr>
        <w:t>aux États membres dudit Arrangement (c’est</w:t>
      </w:r>
      <w:r w:rsidRPr="009710FE">
        <w:rPr>
          <w:i/>
          <w:lang w:val="fr-CH"/>
        </w:rPr>
        <w:noBreakHyphen/>
        <w:t>à</w:t>
      </w:r>
      <w:r w:rsidRPr="009710FE">
        <w:rPr>
          <w:i/>
          <w:lang w:val="fr-CH"/>
        </w:rPr>
        <w:noBreakHyphen/>
        <w:t>dire de l’Arrangement de Madrid, de La Haye ou de Lisbonne), ou, le cas échéant, à l’organe représentatif de cet Arrangement, de proposer un plan d’assainissement de la situation financière soit par une augmentation des taxes, soit par l’institution d’un système de contribution des État</w:t>
      </w:r>
      <w:r w:rsidRPr="009710FE">
        <w:rPr>
          <w:lang w:val="fr-CH"/>
        </w:rPr>
        <w:t>s” (article 8.2 ii)).  En conséquence, au cas et au moment où des contributions ad hoc seraient fixées pour les Unions de Madrid, de La Haye ou de Lisbonne, le Directeur général proposera les dates auxquelles ces versements sont dus et que doivent fixer les organes représentatifs desdites Unions”. (</w:t>
      </w:r>
      <w:proofErr w:type="gramStart"/>
      <w:r w:rsidRPr="009710FE">
        <w:rPr>
          <w:lang w:val="fr-CH"/>
        </w:rPr>
        <w:t>italique</w:t>
      </w:r>
      <w:proofErr w:type="gramEnd"/>
      <w:r w:rsidRPr="009710FE">
        <w:rPr>
          <w:lang w:val="fr-CH"/>
        </w:rPr>
        <w:t xml:space="preserve"> ajouté</w:t>
      </w:r>
      <w:r w:rsidRPr="009710FE">
        <w:rPr>
          <w:szCs w:val="22"/>
          <w:lang w:val="fr-CH"/>
        </w:rPr>
        <w:t>)</w:t>
      </w:r>
    </w:p>
    <w:p w:rsidR="00620738" w:rsidRPr="009710FE" w:rsidRDefault="00620738" w:rsidP="00620738">
      <w:pPr>
        <w:pStyle w:val="ONUMFS"/>
        <w:rPr>
          <w:lang w:val="fr-CH"/>
        </w:rPr>
      </w:pPr>
      <w:r w:rsidRPr="009710FE">
        <w:rPr>
          <w:lang w:val="fr-CH"/>
        </w:rPr>
        <w:t>En dépit des dispositions pertinentes de l’Arrangement de Lisbonne (et des dispositions analogues contenues dans les traités constitutifs de l’Organisation et des unions qu’elle administre), la pratique actuelle de l’OMPI en ce qui concerne les contributions des États membres s’écarte des prescriptions énoncées dans le texte du traité et des mesures exposées dans la décision ci</w:t>
      </w:r>
      <w:r w:rsidRPr="009710FE">
        <w:rPr>
          <w:lang w:val="fr-CH"/>
        </w:rPr>
        <w:noBreakHyphen/>
        <w:t>dessus visant à assainir la situation financière de l’Union de Lisbonne.  En 1993, la Conférence de l’OMPI et les assemblées des Unions de Paris et de Berne ont adopté le système de contribution unique en lieu en place du système de contributions multiples prévu dans la Convention instituant l’OMPI et les traités administrés par l’OMPI.  Cette décision a été prise à titre provisoire étant entendu que, si ce système s’avérait satisfaisant au cours des deux exercices biennaux suivants (1994 – 1997), les traités correspondants seraient modifiés en conséquence.  En 2002, les assemblées de l’OMPI ont adopté, entre autres, une recommandation relative à “l’officialisation du système de contribution unique et des modifications apportées aux classes de contribution qui sont appliquées dans la pratique depuis 1994”</w:t>
      </w:r>
      <w:r w:rsidRPr="009710FE">
        <w:rPr>
          <w:rStyle w:val="FootnoteReference"/>
          <w:lang w:val="fr-CH"/>
        </w:rPr>
        <w:footnoteReference w:id="11"/>
      </w:r>
      <w:r w:rsidRPr="009710FE">
        <w:rPr>
          <w:lang w:val="fr-CH"/>
        </w:rPr>
        <w:t>.  Par la suite, en 2003, les assemblées de l’OMPI ont adopté les modifications qu’il était proposé d’apporter à la Convention instituant l’OMPI ainsi qu’à d’autres traités administrés par l’OMPI, notamment l’Arrangement de Lisbonne</w:t>
      </w:r>
      <w:r w:rsidRPr="009710FE">
        <w:rPr>
          <w:rStyle w:val="FootnoteReference"/>
          <w:lang w:val="fr-CH"/>
        </w:rPr>
        <w:footnoteReference w:id="12"/>
      </w:r>
      <w:r w:rsidRPr="009710FE">
        <w:rPr>
          <w:lang w:val="fr-CH"/>
        </w:rPr>
        <w:t>.  À ce jour, 15 États membres de l’OMPI ont officiellement accepté les modifications proposées, qui entreront en vigueur un mois après la réception par le Directeur général des notifications écrites d’acceptation de la part des trois quarts des États membres de l’Organisation, conformément aux dispositions pertinentes des traités administrés par l’OMPI.  Toutefois, bien que les modifications ne soient pas encore entrées en vigueur, le système de contribution unique est appliqué depuis 1994.</w:t>
      </w:r>
    </w:p>
    <w:p w:rsidR="00620738" w:rsidRDefault="00620738" w:rsidP="00620738">
      <w:pPr>
        <w:pStyle w:val="ONUMFS"/>
        <w:rPr>
          <w:lang w:val="fr-CH"/>
        </w:rPr>
      </w:pPr>
      <w:r w:rsidRPr="009710FE">
        <w:rPr>
          <w:lang w:val="fr-CH"/>
        </w:rPr>
        <w:lastRenderedPageBreak/>
        <w:t>En 1993, le Directeur général a présenté ce système de contribution et a exposé des arguments en faveur de son adoption, arguments qui continuent de s’appliquer aujourd’hui : le “système de contribution unique” a été créé dans le but de “[rendre] la gestion des contributions plus simple”, d’“[inciter] les États qui ne sont pas membres de la totalité des unions financées par des contributions à adhérer à celles dont ils ne sont pas membres” et d’améliorer le système précédent qui n’était pas “équitable à l’égard de la grande majorité des pays en développement”, lesquels, la plupart du temps, ne disposaient pas des ressources nécessaires pour adhérer à toutes les unions</w:t>
      </w:r>
      <w:r w:rsidRPr="009710FE">
        <w:rPr>
          <w:rStyle w:val="FootnoteReference"/>
          <w:lang w:val="fr-CH"/>
        </w:rPr>
        <w:footnoteReference w:id="13"/>
      </w:r>
      <w:r w:rsidRPr="009710FE">
        <w:rPr>
          <w:lang w:val="fr-CH"/>
        </w:rPr>
        <w:t>.</w:t>
      </w:r>
    </w:p>
    <w:p w:rsidR="00620738" w:rsidRPr="00C97721" w:rsidRDefault="00620738" w:rsidP="00620738">
      <w:pPr>
        <w:pStyle w:val="ONUMFS"/>
        <w:rPr>
          <w:lang w:val="fr-CH"/>
        </w:rPr>
      </w:pPr>
      <w:r w:rsidRPr="00C97721">
        <w:rPr>
          <w:lang w:val="fr-CH"/>
        </w:rPr>
        <w:t xml:space="preserve">Si les États membres convenaient d’invoquer les dispositions de l’Arrangement de Lisbonne afin de percevoir et de recouvrer des contributions, il </w:t>
      </w:r>
      <w:r>
        <w:rPr>
          <w:lang w:val="fr-CH"/>
        </w:rPr>
        <w:t>est</w:t>
      </w:r>
      <w:r w:rsidRPr="00C97721">
        <w:rPr>
          <w:lang w:val="fr-CH"/>
        </w:rPr>
        <w:t xml:space="preserve"> important </w:t>
      </w:r>
      <w:r>
        <w:rPr>
          <w:lang w:val="fr-CH"/>
        </w:rPr>
        <w:t xml:space="preserve">de noter la distinction qui existe </w:t>
      </w:r>
      <w:r w:rsidRPr="00C97721">
        <w:rPr>
          <w:lang w:val="fr-CH"/>
        </w:rPr>
        <w:t xml:space="preserve">entre </w:t>
      </w:r>
      <w:r>
        <w:rPr>
          <w:lang w:val="fr-CH"/>
        </w:rPr>
        <w:t>“les</w:t>
      </w:r>
      <w:r w:rsidRPr="00C97721">
        <w:rPr>
          <w:lang w:val="fr-CH"/>
        </w:rPr>
        <w:t xml:space="preserve"> contribution</w:t>
      </w:r>
      <w:r>
        <w:rPr>
          <w:lang w:val="fr-CH"/>
        </w:rPr>
        <w:t>s</w:t>
      </w:r>
      <w:r w:rsidRPr="00C97721">
        <w:rPr>
          <w:lang w:val="fr-CH"/>
        </w:rPr>
        <w:t xml:space="preserve"> </w:t>
      </w:r>
      <w:r>
        <w:rPr>
          <w:lang w:val="fr-CH"/>
        </w:rPr>
        <w:t>des</w:t>
      </w:r>
      <w:r w:rsidRPr="00C97721">
        <w:rPr>
          <w:lang w:val="fr-CH"/>
        </w:rPr>
        <w:t xml:space="preserve"> pays de l’Union </w:t>
      </w:r>
      <w:r>
        <w:rPr>
          <w:lang w:val="fr-CH"/>
        </w:rPr>
        <w:t>[</w:t>
      </w:r>
      <w:r w:rsidRPr="00C97721">
        <w:rPr>
          <w:lang w:val="fr-CH"/>
        </w:rPr>
        <w:t>de Lisbonne</w:t>
      </w:r>
      <w:r>
        <w:rPr>
          <w:lang w:val="fr-CH"/>
        </w:rPr>
        <w:t>]”</w:t>
      </w:r>
      <w:r w:rsidRPr="00C97721">
        <w:rPr>
          <w:lang w:val="fr-CH"/>
        </w:rPr>
        <w:t xml:space="preserve"> </w:t>
      </w:r>
      <w:r>
        <w:rPr>
          <w:lang w:val="fr-CH"/>
        </w:rPr>
        <w:t xml:space="preserve">au titre de l’article 11.3)v) de l’Arrangement de Lisbonne </w:t>
      </w:r>
      <w:r w:rsidRPr="00C97721">
        <w:rPr>
          <w:lang w:val="fr-CH"/>
        </w:rPr>
        <w:t>et le système de contribution unique actuellement appliqué.  Il convient de rappeler que, au titre du système de contribution unique, chaque État partie à plus d’un instrument parmi la Convention instituant l’OMPI et les traités administrés par l’OMPI</w:t>
      </w:r>
      <w:r>
        <w:rPr>
          <w:rStyle w:val="FootnoteReference"/>
          <w:lang w:val="fr-CH"/>
        </w:rPr>
        <w:footnoteReference w:id="14"/>
      </w:r>
      <w:r w:rsidRPr="00C97721">
        <w:rPr>
          <w:lang w:val="fr-CH"/>
        </w:rPr>
        <w:t xml:space="preserve"> ne paie qu’une seule contribution, quel que soit le nombre de traités auxquels il est partie, au lieu de payer des contributions distinctes pour chaque traité (financé par des contributions) auquel il est partie.  </w:t>
      </w:r>
      <w:r>
        <w:rPr>
          <w:lang w:val="fr-CH"/>
        </w:rPr>
        <w:t>Dans la mesure où l’Union de Lisbonne n’est pas une union financée par des contributions, mais plutôt une union financée par des taxes, l</w:t>
      </w:r>
      <w:r w:rsidRPr="00C97721">
        <w:rPr>
          <w:lang w:val="fr-CH"/>
        </w:rPr>
        <w:t xml:space="preserve">es États membres devraient donc </w:t>
      </w:r>
      <w:r>
        <w:rPr>
          <w:lang w:val="fr-CH"/>
        </w:rPr>
        <w:t>être conscients que</w:t>
      </w:r>
      <w:r w:rsidRPr="00C97721">
        <w:rPr>
          <w:lang w:val="fr-CH"/>
        </w:rPr>
        <w:t xml:space="preserve"> </w:t>
      </w:r>
      <w:r>
        <w:rPr>
          <w:lang w:val="fr-CH"/>
        </w:rPr>
        <w:t>la perception et le recouvrement des contributions auprès des membres de l’Union de Lisbonne en vertu de l’article 11 est une question distincte de celle des contributions</w:t>
      </w:r>
      <w:r w:rsidRPr="00C97721">
        <w:rPr>
          <w:lang w:val="fr-CH"/>
        </w:rPr>
        <w:t xml:space="preserve"> </w:t>
      </w:r>
      <w:r>
        <w:rPr>
          <w:lang w:val="fr-CH"/>
        </w:rPr>
        <w:t>perçues au titre du</w:t>
      </w:r>
      <w:r w:rsidRPr="00C97721">
        <w:rPr>
          <w:lang w:val="fr-CH"/>
        </w:rPr>
        <w:t xml:space="preserve"> système de contribution unique</w:t>
      </w:r>
      <w:r>
        <w:rPr>
          <w:lang w:val="fr-CH"/>
        </w:rPr>
        <w:t xml:space="preserve"> et sans rapport avec cette dernière</w:t>
      </w:r>
      <w:r w:rsidRPr="00C97721">
        <w:rPr>
          <w:lang w:val="fr-CH"/>
        </w:rPr>
        <w:t>.</w:t>
      </w:r>
    </w:p>
    <w:p w:rsidR="00620738" w:rsidRPr="00C97721" w:rsidRDefault="00620738" w:rsidP="00620738">
      <w:pPr>
        <w:pStyle w:val="ONUMFS"/>
        <w:rPr>
          <w:lang w:val="fr-CH"/>
        </w:rPr>
      </w:pPr>
      <w:r w:rsidRPr="00C97721">
        <w:rPr>
          <w:lang w:val="fr-CH"/>
        </w:rPr>
        <w:t xml:space="preserve">Il convient aussi de relever le changement que les membres de l’Union de Lisbonne ont adopté concernant le système de contributions au titre de l’Acte de Genève, qui témoigne de l’examen de cette question et de la base sur laquelle de telles contributions devraient être déterminées (et, dans les faits seront déterminées à compter de l’entrée en vigueur de l’Acte de Genève).  Premièrement, l’article 24.2)v) de l’Acte de Genève porte modification de la disposition similaire de l’Arrangement de Lisbonne (article 11.3)v)) pour inclure “les contributions </w:t>
      </w:r>
      <w:r w:rsidRPr="00C97721">
        <w:rPr>
          <w:i/>
          <w:lang w:val="fr-CH"/>
        </w:rPr>
        <w:t>spéciales</w:t>
      </w:r>
      <w:r w:rsidRPr="00C97721">
        <w:rPr>
          <w:lang w:val="fr-CH"/>
        </w:rPr>
        <w:t xml:space="preserve"> des parties contractantes </w:t>
      </w:r>
      <w:r w:rsidRPr="00C97721">
        <w:rPr>
          <w:i/>
          <w:lang w:val="fr-CH"/>
        </w:rPr>
        <w:t>ou toute autre ressource provenant des parties contractantes ou des bénéficiaires, ou les deux</w:t>
      </w:r>
      <w:r w:rsidRPr="00C97721">
        <w:rPr>
          <w:lang w:val="fr-CH"/>
        </w:rPr>
        <w:t>, si et dans la mesure où les recettes provenant des sour</w:t>
      </w:r>
      <w:r>
        <w:rPr>
          <w:lang w:val="fr-CH"/>
        </w:rPr>
        <w:t>ces mentionnées aux points i) à </w:t>
      </w:r>
      <w:r w:rsidRPr="00C97721">
        <w:rPr>
          <w:lang w:val="fr-CH"/>
        </w:rPr>
        <w:t>iv) ne suffisent pas à couvrir les dépenses, sous réserve de la décision de l’Assemblée” (italiques ajoutés).  Deuxièmement, l’article 24.4) de l’Acte de Genève introduit le nouveau concept de contributions spéciales “partiellement pondérées” en fonction du nombre d’enregistrements émanant de la partie contractante :</w:t>
      </w:r>
    </w:p>
    <w:p w:rsidR="00620738" w:rsidRPr="00C97721" w:rsidRDefault="00620738" w:rsidP="00620738">
      <w:pPr>
        <w:pStyle w:val="ONUMFS"/>
        <w:numPr>
          <w:ilvl w:val="0"/>
          <w:numId w:val="0"/>
        </w:numPr>
        <w:ind w:left="567"/>
        <w:rPr>
          <w:lang w:val="fr-CH"/>
        </w:rPr>
      </w:pPr>
      <w:r w:rsidRPr="00C97721">
        <w:rPr>
          <w:lang w:val="fr-CH"/>
        </w:rPr>
        <w:t>4)</w:t>
      </w:r>
      <w:r w:rsidRPr="00C97721">
        <w:rPr>
          <w:lang w:val="fr-CH"/>
        </w:rPr>
        <w:tab/>
      </w:r>
      <w:r w:rsidRPr="00C97721">
        <w:rPr>
          <w:i/>
          <w:lang w:val="fr-CH"/>
        </w:rPr>
        <w:t xml:space="preserve">[Détermination des contributions spéciales visées à l’alinéa 2)v)] </w:t>
      </w:r>
      <w:r w:rsidRPr="00C97721">
        <w:rPr>
          <w:lang w:val="fr-CH"/>
        </w:rPr>
        <w:t>Pour déterminer sa part contributive, chaque partie contractante appartient à la classe dans laquelle elle est rangée dans le contexte de la Convention de Paris ou, si elle n’est pas partie contractante de la Convention de Paris, dans laquelle elle serait rangée si elle était partie contractante de la Convention de Paris.  Les organisations intergouvernementales sont considérées comme appartenant à la classe de contribution I (un), sous réserve d’une décision unanime contraire de l’Assemblée.  La part contributive est partiellement pondérée en fonction du nombre d’enregistrements émanant de la partie contractante, sous réserve de la décision de l’Assemblée.</w:t>
      </w:r>
    </w:p>
    <w:p w:rsidR="00620738" w:rsidRPr="00C97721" w:rsidRDefault="00620738" w:rsidP="00620738">
      <w:pPr>
        <w:pStyle w:val="ONUMFS"/>
        <w:rPr>
          <w:bCs/>
          <w:lang w:val="fr-CH"/>
        </w:rPr>
      </w:pPr>
      <w:r w:rsidRPr="00C97721">
        <w:rPr>
          <w:lang w:val="fr-CH"/>
        </w:rPr>
        <w:lastRenderedPageBreak/>
        <w:t xml:space="preserve">Si un financement fondé sur les contributions devait être adopté pour l’Union de Lisbonne, les États membres devraient par conséquent s’accorder sur la méthodologie précise à utiliser pour déterminer ces contributions.  Durant la discussion sur cette disposition à la Conférence diplomatique pour l’adoption d’un nouvel Acte de l’Arrangement de Lisbonne concernant la protection des appellations d’origine et leur enregistrement international, le Secrétariat a fourni des simulations préliminaires des montants des contributions pour l’Union de Lisbonne sur la base de deux méthodes : 1) la disposition de l’Arrangement de Lisbonne concernant la part contributive en fonction du système de classe;  et 2) la disposition de l’Acte de Genève concernant la part contributive en fonction du nombre d’enregistrements en vigueur émanant du pays.  </w:t>
      </w:r>
      <w:r w:rsidRPr="00C97721">
        <w:rPr>
          <w:bCs/>
          <w:lang w:val="fr-CH"/>
        </w:rPr>
        <w:t>Ces simulations figurent dans l’annexe ci</w:t>
      </w:r>
      <w:r w:rsidRPr="00C97721">
        <w:rPr>
          <w:bCs/>
          <w:lang w:val="fr-CH"/>
        </w:rPr>
        <w:noBreakHyphen/>
        <w:t>jointe.</w:t>
      </w:r>
    </w:p>
    <w:p w:rsidR="00620738" w:rsidRPr="00C97721" w:rsidRDefault="00620738" w:rsidP="00620738">
      <w:pPr>
        <w:pStyle w:val="ONUMFS"/>
        <w:rPr>
          <w:bCs/>
          <w:lang w:val="fr-CH"/>
        </w:rPr>
      </w:pPr>
      <w:r w:rsidRPr="00C97721">
        <w:rPr>
          <w:lang w:val="fr-CH"/>
        </w:rPr>
        <w:t>Compte tenu du déficit annuel prévu pour l’Union de Lisbonne pour l’exercice biennal 2016</w:t>
      </w:r>
      <w:r w:rsidRPr="00C97721">
        <w:rPr>
          <w:lang w:val="fr-CH"/>
        </w:rPr>
        <w:noBreakHyphen/>
        <w:t>2017, ces contributions devraient couvrir un déficit d’environ 700 000 francs suisses par année.</w:t>
      </w:r>
      <w:r w:rsidRPr="00C97721">
        <w:rPr>
          <w:rStyle w:val="FootnoteReference"/>
          <w:lang w:val="fr-CH"/>
        </w:rPr>
        <w:footnoteReference w:id="15"/>
      </w:r>
      <w:r w:rsidRPr="00C97721">
        <w:rPr>
          <w:rStyle w:val="FootnoteReference"/>
          <w:lang w:val="fr-CH"/>
        </w:rPr>
        <w:t xml:space="preserve"> </w:t>
      </w:r>
    </w:p>
    <w:p w:rsidR="00620738" w:rsidRPr="00C97721" w:rsidRDefault="00620738" w:rsidP="00620738">
      <w:pPr>
        <w:pStyle w:val="Heading2"/>
        <w:rPr>
          <w:lang w:val="fr-CH"/>
        </w:rPr>
      </w:pPr>
      <w:r w:rsidRPr="00C97721">
        <w:rPr>
          <w:lang w:val="fr-CH"/>
        </w:rPr>
        <w:t>C.</w:t>
      </w:r>
      <w:r w:rsidRPr="00C97721">
        <w:rPr>
          <w:lang w:val="fr-CH"/>
        </w:rPr>
        <w:tab/>
        <w:t>Fonds de roulement</w:t>
      </w:r>
    </w:p>
    <w:p w:rsidR="00620738" w:rsidRPr="00C97721" w:rsidRDefault="00620738" w:rsidP="00620738">
      <w:pPr>
        <w:rPr>
          <w:lang w:val="fr-CH"/>
        </w:rPr>
      </w:pPr>
    </w:p>
    <w:p w:rsidR="00620738" w:rsidRPr="00C97721" w:rsidRDefault="00620738" w:rsidP="00620738">
      <w:pPr>
        <w:pStyle w:val="ONUMFS"/>
        <w:rPr>
          <w:lang w:val="fr-CH"/>
        </w:rPr>
      </w:pPr>
      <w:r w:rsidRPr="00C97721">
        <w:rPr>
          <w:lang w:val="fr-CH"/>
        </w:rPr>
        <w:t>L’Arrangement de Lisbonne prévoit également, à l’article 11.7), l’établissement d’un fonds de roulement destiné à couvrir tout déficit dans les dépenses de fonctionnement de l’Union de Lisbonne.  L’article 11.7) dispose que :</w:t>
      </w:r>
    </w:p>
    <w:p w:rsidR="00620738" w:rsidRPr="00C97721" w:rsidRDefault="00620738" w:rsidP="00620738">
      <w:pPr>
        <w:pStyle w:val="ONUMFS"/>
        <w:numPr>
          <w:ilvl w:val="1"/>
          <w:numId w:val="6"/>
        </w:numPr>
        <w:rPr>
          <w:lang w:val="fr-CH"/>
        </w:rPr>
      </w:pPr>
      <w:r w:rsidRPr="00C97721">
        <w:rPr>
          <w:lang w:val="fr-CH"/>
        </w:rPr>
        <w:t>L’Union particulière possède un fonds de roulement constitué par un versement unique effectué par chaque pays de l’Union particulière.  Si le fonds devient insuffisant, l’Assemblée décide de son augmentation.</w:t>
      </w:r>
    </w:p>
    <w:p w:rsidR="00620738" w:rsidRPr="00C97721" w:rsidRDefault="00620738" w:rsidP="00620738">
      <w:pPr>
        <w:pStyle w:val="ONUMFS"/>
        <w:numPr>
          <w:ilvl w:val="1"/>
          <w:numId w:val="6"/>
        </w:numPr>
        <w:rPr>
          <w:sz w:val="28"/>
          <w:szCs w:val="28"/>
          <w:lang w:val="fr-CH"/>
        </w:rPr>
      </w:pPr>
      <w:r w:rsidRPr="00C97721">
        <w:rPr>
          <w:lang w:val="fr-CH"/>
        </w:rPr>
        <w:t>Le montant du versement initial de chaque pays au fonds précité ou de sa participation à l’augmentation de celui</w:t>
      </w:r>
      <w:r w:rsidRPr="00C97721">
        <w:rPr>
          <w:lang w:val="fr-CH"/>
        </w:rPr>
        <w:noBreakHyphen/>
        <w:t>ci est proportionnel à la contribution de ce pays, en tant que membre de l’Union de Paris pour la protection de la propriété industrielle, au budget de ladite Union pour l’année au cours de laquelle le fonds est constitué ou l’augmentation décidée.</w:t>
      </w:r>
    </w:p>
    <w:p w:rsidR="00620738" w:rsidRPr="00C97721" w:rsidRDefault="00620738" w:rsidP="00620738">
      <w:pPr>
        <w:pStyle w:val="ONUMFS"/>
        <w:numPr>
          <w:ilvl w:val="1"/>
          <w:numId w:val="6"/>
        </w:numPr>
        <w:rPr>
          <w:lang w:val="fr-CH"/>
        </w:rPr>
      </w:pPr>
      <w:r w:rsidRPr="00C97721">
        <w:rPr>
          <w:lang w:val="fr-CH"/>
        </w:rPr>
        <w:t>La proportion et les modalités de versement sont arrêtées par l’Assemblée, sur proposition du Directeur général et après avis du Comité de coordination de l’Organisation.</w:t>
      </w:r>
    </w:p>
    <w:p w:rsidR="00620738" w:rsidRPr="00C97721" w:rsidRDefault="00620738" w:rsidP="00620738">
      <w:pPr>
        <w:pStyle w:val="ONUMFS"/>
        <w:rPr>
          <w:lang w:val="fr-CH"/>
        </w:rPr>
      </w:pPr>
      <w:r w:rsidRPr="00C97721">
        <w:rPr>
          <w:lang w:val="fr-CH"/>
        </w:rPr>
        <w:t>Un fonds de roulement sert à financer les opérations en l’absence de revenus suffisants, notamment pour couvrir un retard dans la réception des contributions.  Il est donc, par nature, destiné à n’être qu’une solution temporaire dans l’attente qu’une solution plus permanente et durable soit trouvée par le biais des taxes ou des contributions ou d’une combinaison de ces moyens.  Les contributions au fonds de roulement, qui reste dû aux États membres, pourraient ensuite être remboursables si les revenus devaient atteindre des montants suffisants pour financer les opérations conformément aux obligations spécifiques de l’accord établissant le fonds de roulement.  Des fonds de roulements pour l’Union du PCT, l’Union de Madrid et l’Union de La Haye ont été établis en 1983, 1979 et 1978, respectivement.  Il est proposé que le fonds de roulement de l’Union du PCT soit reversé aux États membres de l’Union du PCT sous forme d’avoir sur les contributions facturées au cours de l’exercice biennal 2016</w:t>
      </w:r>
      <w:r w:rsidRPr="00C97721">
        <w:rPr>
          <w:lang w:val="fr-CH"/>
        </w:rPr>
        <w:noBreakHyphen/>
        <w:t>2017</w:t>
      </w:r>
      <w:r w:rsidRPr="00C97721">
        <w:rPr>
          <w:rStyle w:val="FootnoteReference"/>
          <w:lang w:val="fr-CH"/>
        </w:rPr>
        <w:footnoteReference w:id="16"/>
      </w:r>
      <w:r w:rsidRPr="00C97721">
        <w:rPr>
          <w:lang w:val="fr-CH"/>
        </w:rPr>
        <w:t>.</w:t>
      </w:r>
    </w:p>
    <w:p w:rsidR="00620738" w:rsidRPr="00C97721" w:rsidRDefault="00620738" w:rsidP="00620738">
      <w:pPr>
        <w:pStyle w:val="ONUMFS"/>
        <w:rPr>
          <w:lang w:val="fr-CH"/>
        </w:rPr>
      </w:pPr>
      <w:r w:rsidRPr="00C97721">
        <w:rPr>
          <w:lang w:val="fr-CH"/>
        </w:rPr>
        <w:t xml:space="preserve">En ce qui concerne l’Union de Lisbonne, durant la même réunion d’octobre 1976 de l’Assemblée de l’Union de Lisbonne, au cours de laquelle des discussions se sont tenues et des </w:t>
      </w:r>
      <w:r w:rsidRPr="00C97721">
        <w:rPr>
          <w:lang w:val="fr-CH"/>
        </w:rPr>
        <w:lastRenderedPageBreak/>
        <w:t>décisions ont été prises concernant les contributions, l’Assemblée a également réfléchi à la création d’un fonds de roulement.  À cet égard, l’Assemblée a pris des mesures, tel que proposé dans le document “Échéance des contributions;  Fonds de roulement;  Avances” (AB/VII/6) dont les parties concernées se lisent comme suit</w:t>
      </w:r>
      <w:r w:rsidRPr="00C97721">
        <w:rPr>
          <w:rStyle w:val="FootnoteReference"/>
          <w:lang w:val="fr-CH"/>
        </w:rPr>
        <w:footnoteReference w:id="17"/>
      </w:r>
      <w:r w:rsidRPr="00C97721">
        <w:rPr>
          <w:lang w:val="fr-CH"/>
        </w:rPr>
        <w:t> :</w:t>
      </w:r>
    </w:p>
    <w:p w:rsidR="00620738" w:rsidRPr="00C97721" w:rsidRDefault="00620738" w:rsidP="00620738">
      <w:pPr>
        <w:pStyle w:val="ONUMFS"/>
        <w:numPr>
          <w:ilvl w:val="0"/>
          <w:numId w:val="0"/>
        </w:numPr>
        <w:ind w:left="567"/>
        <w:rPr>
          <w:lang w:val="fr-CH"/>
        </w:rPr>
      </w:pPr>
      <w:r w:rsidRPr="00C97721">
        <w:rPr>
          <w:lang w:val="fr-CH"/>
        </w:rPr>
        <w:t>“28.</w:t>
      </w:r>
      <w:r w:rsidRPr="00C97721">
        <w:rPr>
          <w:lang w:val="fr-CH"/>
        </w:rPr>
        <w:tab/>
        <w:t>Union de Lisbonne.  L’article 11.7) de l’Acte de Stockholm de l’Arrangement de Lisbonne prévoit la création d’un fonds de roulement.  Toutefois, le budget annuel de cette Union étant insignifiant (8000 francs environ en 1976), la création d’un fonds de roulement serait plus gênante qu’utile;  par conséquent, le Directeur général n’entend revenir sur ce problème que si le budget de l’Union venait à augmenter dans des proportions considérables.</w:t>
      </w:r>
    </w:p>
    <w:p w:rsidR="00620738" w:rsidRPr="00C97721" w:rsidRDefault="00620738" w:rsidP="00620738">
      <w:pPr>
        <w:pStyle w:val="ONUMFS"/>
        <w:numPr>
          <w:ilvl w:val="0"/>
          <w:numId w:val="0"/>
        </w:numPr>
        <w:ind w:left="567"/>
        <w:rPr>
          <w:lang w:val="fr-CH"/>
        </w:rPr>
      </w:pPr>
      <w:r w:rsidRPr="00C97721">
        <w:rPr>
          <w:lang w:val="fr-CH"/>
        </w:rPr>
        <w:t>“29.</w:t>
      </w:r>
      <w:r w:rsidRPr="00C97721">
        <w:rPr>
          <w:lang w:val="fr-CH"/>
        </w:rPr>
        <w:tab/>
        <w:t xml:space="preserve">Il est donc proposé de renvoyer </w:t>
      </w:r>
      <w:r w:rsidRPr="00C97721">
        <w:rPr>
          <w:i/>
          <w:lang w:val="fr-CH"/>
        </w:rPr>
        <w:t>sine die</w:t>
      </w:r>
      <w:r w:rsidRPr="00C97721">
        <w:rPr>
          <w:lang w:val="fr-CH"/>
        </w:rPr>
        <w:t xml:space="preserve"> l’étude de la constitution d’un fonds de roulement pour l’Union de Lisbonne.”</w:t>
      </w:r>
    </w:p>
    <w:p w:rsidR="00620738" w:rsidRPr="00C97721" w:rsidRDefault="00620738" w:rsidP="00620738">
      <w:pPr>
        <w:pStyle w:val="ONUMFS"/>
        <w:rPr>
          <w:lang w:val="fr-CH"/>
        </w:rPr>
      </w:pPr>
      <w:r w:rsidRPr="00C97721">
        <w:rPr>
          <w:lang w:val="fr-CH"/>
        </w:rPr>
        <w:t>Compte tenu du déficit annuel prévu pour l’Union de Lisbonne pour l’exercice biennal 2016</w:t>
      </w:r>
      <w:r w:rsidRPr="00C97721">
        <w:rPr>
          <w:lang w:val="fr-CH"/>
        </w:rPr>
        <w:noBreakHyphen/>
        <w:t>2017</w:t>
      </w:r>
      <w:r w:rsidRPr="00C97721">
        <w:rPr>
          <w:rStyle w:val="FootnoteReference"/>
          <w:lang w:val="fr-CH"/>
        </w:rPr>
        <w:footnoteReference w:id="18"/>
      </w:r>
      <w:r w:rsidRPr="00C97721">
        <w:rPr>
          <w:lang w:val="fr-CH"/>
        </w:rPr>
        <w:t xml:space="preserve"> à hauteur d’environ 700 000 francs suisses, le Directeur général est désormais prêt à soumettre une proposition à l’Assemblée de l’Union de Lisbonne en vue de l’établissement d’un fonds de roulement pour l’Union de Lisbonne concernant laquelle il prendra connaissance de l’avis du Comité de coordination.</w:t>
      </w:r>
    </w:p>
    <w:p w:rsidR="00620738" w:rsidRPr="00C97721" w:rsidRDefault="00620738" w:rsidP="00620738">
      <w:pPr>
        <w:pStyle w:val="Heading2"/>
        <w:rPr>
          <w:lang w:val="fr-CH"/>
        </w:rPr>
      </w:pPr>
      <w:r w:rsidRPr="00C97721">
        <w:rPr>
          <w:lang w:val="fr-CH"/>
        </w:rPr>
        <w:t>D.</w:t>
      </w:r>
      <w:r w:rsidRPr="00C97721">
        <w:rPr>
          <w:lang w:val="fr-CH"/>
        </w:rPr>
        <w:tab/>
        <w:t>Avances de la part de l’État hôte</w:t>
      </w:r>
    </w:p>
    <w:p w:rsidR="00620738" w:rsidRPr="00C97721" w:rsidRDefault="00620738" w:rsidP="00620738">
      <w:pPr>
        <w:rPr>
          <w:lang w:val="fr-CH"/>
        </w:rPr>
      </w:pPr>
    </w:p>
    <w:p w:rsidR="00620738" w:rsidRPr="00C97721" w:rsidRDefault="00620738" w:rsidP="00620738">
      <w:pPr>
        <w:pStyle w:val="ONUMFS"/>
        <w:rPr>
          <w:lang w:val="fr-CH"/>
        </w:rPr>
      </w:pPr>
      <w:r w:rsidRPr="00C97721">
        <w:rPr>
          <w:lang w:val="fr-CH"/>
        </w:rPr>
        <w:t>En lien avec le fonds de roulement, l’Arrangement de Lisbonne prévoit une autre source de financement si les fonds s’avéraient insuffisants pour couvrir les dépenses de l’Union de Lisbonne, à savoir les avances de la part de l’État hôte, la Suisse.  L’article 11.8) de l’Arrangement de Lisbonne dispose que :</w:t>
      </w:r>
    </w:p>
    <w:p w:rsidR="00620738" w:rsidRPr="00C97721" w:rsidRDefault="00620738" w:rsidP="00620738">
      <w:pPr>
        <w:pStyle w:val="ONUMFS"/>
        <w:numPr>
          <w:ilvl w:val="1"/>
          <w:numId w:val="6"/>
        </w:numPr>
        <w:rPr>
          <w:sz w:val="28"/>
          <w:szCs w:val="28"/>
          <w:lang w:val="fr-CH"/>
        </w:rPr>
      </w:pPr>
      <w:r w:rsidRPr="00C97721">
        <w:rPr>
          <w:lang w:val="fr-CH"/>
        </w:rPr>
        <w:t>L’Accord de siège conclu avec le pays sur le territoire duquel l’Organisation a son siège prévoit que, si le fonds de roulement est insuffisant, ce pays accorde des avances.  Le montant de ces avances et les conditions dans lesquelles elles sont accordées font l’objet, dans chaque cas, d’accords séparés entre le pays en cause et l’Organisation.</w:t>
      </w:r>
    </w:p>
    <w:p w:rsidR="00620738" w:rsidRPr="00C97721" w:rsidRDefault="00620738" w:rsidP="00620738">
      <w:pPr>
        <w:pStyle w:val="ONUMFS"/>
        <w:numPr>
          <w:ilvl w:val="1"/>
          <w:numId w:val="6"/>
        </w:numPr>
        <w:rPr>
          <w:lang w:val="fr-CH"/>
        </w:rPr>
      </w:pPr>
      <w:r w:rsidRPr="00C97721">
        <w:rPr>
          <w:lang w:val="fr-CH"/>
        </w:rPr>
        <w:t>Le pays visé au sous</w:t>
      </w:r>
      <w:r w:rsidRPr="00C97721">
        <w:rPr>
          <w:lang w:val="fr-CH"/>
        </w:rPr>
        <w:noBreakHyphen/>
        <w:t>alinéa a) et l’Organisation ont chacun le droit de dénoncer l’engagement d’accorder des avances moyennant notification par écrit.  La dénonciation prend effet trois ans après la fin de l’année au cours de laquelle elle a été notifiée.</w:t>
      </w:r>
    </w:p>
    <w:p w:rsidR="00620738" w:rsidRPr="00C97721" w:rsidRDefault="00620738" w:rsidP="00620738">
      <w:pPr>
        <w:pStyle w:val="ONUMFS"/>
        <w:rPr>
          <w:lang w:val="fr-CH"/>
        </w:rPr>
      </w:pPr>
      <w:r w:rsidRPr="00C97721">
        <w:rPr>
          <w:lang w:val="fr-CH"/>
        </w:rPr>
        <w:t>En conséquence, l’article 10 de l’Accord entre le Conseil fédéral suisse et l’Organisation Mondiale de la Propriété Intellectuelle pour déterminer le statut juridique en Suisse de cette organisation (1970) (“Accord de siège”) concernant les avances de fonds de la part de la Suisse prévoit que :</w:t>
      </w:r>
    </w:p>
    <w:p w:rsidR="00620738" w:rsidRPr="00C97721" w:rsidRDefault="00620738" w:rsidP="00620738">
      <w:pPr>
        <w:pStyle w:val="ONUMFS"/>
        <w:numPr>
          <w:ilvl w:val="0"/>
          <w:numId w:val="13"/>
        </w:numPr>
        <w:rPr>
          <w:lang w:val="fr-CH"/>
        </w:rPr>
      </w:pPr>
      <w:r w:rsidRPr="00C97721">
        <w:rPr>
          <w:lang w:val="fr-CH"/>
        </w:rPr>
        <w:t>La Suisse accorde des avances à l’Organisation si le fonds de roulement de celle</w:t>
      </w:r>
      <w:r w:rsidRPr="00C97721">
        <w:rPr>
          <w:lang w:val="fr-CH"/>
        </w:rPr>
        <w:noBreakHyphen/>
        <w:t>ci ou celui d’une Union est insuffisant.  Le montant de ces avances et les conditions dans lesquelles elles sont accordées font l’objet, dans chaque cas, d’un accord séparé entre elle et l’Organisation.</w:t>
      </w:r>
    </w:p>
    <w:p w:rsidR="00620738" w:rsidRPr="00C97721" w:rsidRDefault="00620738" w:rsidP="00620738">
      <w:pPr>
        <w:pStyle w:val="ONUMFS"/>
        <w:numPr>
          <w:ilvl w:val="0"/>
          <w:numId w:val="13"/>
        </w:numPr>
        <w:rPr>
          <w:lang w:val="fr-CH"/>
        </w:rPr>
      </w:pPr>
      <w:r w:rsidRPr="00C97721">
        <w:rPr>
          <w:lang w:val="fr-CH"/>
        </w:rPr>
        <w:t xml:space="preserve">Aussi longtemps qu’elle est tenue d’accorder des avances, la Suisse dispose d’un siège </w:t>
      </w:r>
      <w:r w:rsidRPr="00C97721">
        <w:rPr>
          <w:i/>
          <w:lang w:val="fr-CH"/>
        </w:rPr>
        <w:t>ex </w:t>
      </w:r>
      <w:proofErr w:type="spellStart"/>
      <w:r w:rsidRPr="00C97721">
        <w:rPr>
          <w:i/>
          <w:lang w:val="fr-CH"/>
        </w:rPr>
        <w:t>officio</w:t>
      </w:r>
      <w:proofErr w:type="spellEnd"/>
      <w:r w:rsidRPr="00C97721">
        <w:rPr>
          <w:lang w:val="fr-CH"/>
        </w:rPr>
        <w:t xml:space="preserve"> au Comité de coordination et aux comités exécutifs des Unions.</w:t>
      </w:r>
    </w:p>
    <w:p w:rsidR="00620738" w:rsidRPr="00C97721" w:rsidRDefault="00620738" w:rsidP="00620738">
      <w:pPr>
        <w:pStyle w:val="ONUMFS"/>
        <w:numPr>
          <w:ilvl w:val="0"/>
          <w:numId w:val="13"/>
        </w:numPr>
        <w:rPr>
          <w:lang w:val="fr-CH"/>
        </w:rPr>
      </w:pPr>
      <w:r w:rsidRPr="00C97721">
        <w:rPr>
          <w:lang w:val="fr-CH"/>
        </w:rPr>
        <w:lastRenderedPageBreak/>
        <w:t>La Suisse et l’Organisation ont chacune le droit de dénoncer l’engagement d’accorder des avances, moyennant notification par écrit.  La dénonciation prend effet trois ans après la fin de l’année au cours de laquelle elle a été notifiée</w:t>
      </w:r>
      <w:r w:rsidRPr="00C97721">
        <w:rPr>
          <w:rStyle w:val="FootnoteReference"/>
          <w:lang w:val="fr-CH"/>
        </w:rPr>
        <w:footnoteReference w:id="19"/>
      </w:r>
      <w:r w:rsidRPr="00C97721">
        <w:rPr>
          <w:lang w:val="fr-CH"/>
        </w:rPr>
        <w:t>.</w:t>
      </w:r>
    </w:p>
    <w:p w:rsidR="00620738" w:rsidRPr="00C97721" w:rsidRDefault="00620738" w:rsidP="00620738">
      <w:pPr>
        <w:pStyle w:val="ONUMFS"/>
        <w:rPr>
          <w:lang w:val="fr-CH"/>
        </w:rPr>
      </w:pPr>
      <w:r w:rsidRPr="00C97721">
        <w:rPr>
          <w:lang w:val="fr-CH"/>
        </w:rPr>
        <w:t>La disposition de l’Arrangement de Lisbonne permettant d’obtenir des avances de la part de la Suisse n’a, à ce jour, pas été invoquée.</w:t>
      </w:r>
    </w:p>
    <w:p w:rsidR="00620738" w:rsidRPr="00C97721" w:rsidRDefault="00620738" w:rsidP="00620738">
      <w:pPr>
        <w:pStyle w:val="Heading2"/>
        <w:rPr>
          <w:lang w:val="fr-CH"/>
        </w:rPr>
      </w:pPr>
      <w:r w:rsidRPr="00C97721">
        <w:rPr>
          <w:lang w:val="fr-CH"/>
        </w:rPr>
        <w:t>E.</w:t>
      </w:r>
      <w:r w:rsidRPr="00C97721">
        <w:rPr>
          <w:lang w:val="fr-CH"/>
        </w:rPr>
        <w:tab/>
        <w:t>Autres sources de financement</w:t>
      </w:r>
    </w:p>
    <w:p w:rsidR="00620738" w:rsidRPr="00C97721" w:rsidRDefault="00620738" w:rsidP="00620738">
      <w:pPr>
        <w:rPr>
          <w:lang w:val="fr-CH"/>
        </w:rPr>
      </w:pPr>
    </w:p>
    <w:p w:rsidR="00620738" w:rsidRPr="00C97721" w:rsidRDefault="00620738" w:rsidP="00620738">
      <w:pPr>
        <w:pStyle w:val="ONUMFS"/>
        <w:rPr>
          <w:lang w:val="fr-CH"/>
        </w:rPr>
      </w:pPr>
      <w:r w:rsidRPr="00C97721">
        <w:rPr>
          <w:lang w:val="fr-CH"/>
        </w:rPr>
        <w:t>Enfin, les autres sources de financement mentionnées à l’article 11.3) de l’Arrangement de Lisbonne sont ii) le produit de la vente des publications du Bureau international et les droits afférents à ces publications;  iii) les dons, legs et subventions;  et iv) les loyers, intérêts et autres revenus divers.  Il convient de noter que</w:t>
      </w:r>
      <w:r>
        <w:rPr>
          <w:lang w:val="fr-CH"/>
        </w:rPr>
        <w:t>, concernant les alinéas ii) et </w:t>
      </w:r>
      <w:r w:rsidRPr="00C97721">
        <w:rPr>
          <w:lang w:val="fr-CH"/>
        </w:rPr>
        <w:t>iv), une partie des revenus divers de l’Organisation, à l’exception du loyer du bâtiment de l’Union de Madrid à Meyrin, est attribuée à l’Union de Lisbonne conformément à la méthodologie de répartition des revenus par union</w:t>
      </w:r>
      <w:r w:rsidRPr="00C97721">
        <w:rPr>
          <w:rStyle w:val="FootnoteReference"/>
          <w:lang w:val="fr-CH"/>
        </w:rPr>
        <w:footnoteReference w:id="20"/>
      </w:r>
      <w:r w:rsidRPr="00C97721">
        <w:rPr>
          <w:lang w:val="fr-CH"/>
        </w:rPr>
        <w:t>.  La solution pertinente restante figure à l’alinéa iii) dons, legs et subventions.  Faute de dons volontaires par des États membres, des entités privées ou des particuliers, le Bureau international se trouverait obligé de déployer des efforts concertés afin de solliciter ces dons, augmentant encore les coûts de fonctionnement de l’Union de Lisbonne.  Si cela reste une possibilité conformément à l’Arrangement de Lisbonne, un financement d’une part importante du budget de l’Union particulière au moyen de dons, legs et subventions semble peu probable.</w:t>
      </w:r>
    </w:p>
    <w:p w:rsidR="00620738" w:rsidRPr="00C97721" w:rsidRDefault="00620738" w:rsidP="00620738">
      <w:pPr>
        <w:pStyle w:val="Heading1"/>
        <w:rPr>
          <w:lang w:val="fr-CH"/>
        </w:rPr>
      </w:pPr>
      <w:r w:rsidRPr="00C97721">
        <w:rPr>
          <w:lang w:val="fr-CH"/>
        </w:rPr>
        <w:t>Conclusion</w:t>
      </w:r>
    </w:p>
    <w:p w:rsidR="00620738" w:rsidRPr="00C97721" w:rsidRDefault="00620738" w:rsidP="00620738">
      <w:pPr>
        <w:rPr>
          <w:lang w:val="fr-CH"/>
        </w:rPr>
      </w:pPr>
    </w:p>
    <w:p w:rsidR="00620738" w:rsidRPr="00C97721" w:rsidRDefault="00620738" w:rsidP="00620738">
      <w:pPr>
        <w:pStyle w:val="ONUMFS"/>
        <w:rPr>
          <w:lang w:val="fr-CH"/>
        </w:rPr>
      </w:pPr>
      <w:r w:rsidRPr="00C97721">
        <w:rPr>
          <w:lang w:val="fr-CH"/>
        </w:rPr>
        <w:t>En dépit des opinions divergentes des États membres concernant les sources et les méthodes de financement de l’Union de Lisbonne, l’Arrangement de Lisbonne établit le cadre de référence juridiquement contraignant à utiliser.  Étant donné que les taxes d’enregistrement ne suffisent pas à elles</w:t>
      </w:r>
      <w:r w:rsidRPr="00C97721">
        <w:rPr>
          <w:lang w:val="fr-CH"/>
        </w:rPr>
        <w:noBreakHyphen/>
        <w:t>seules à couvrir les dépenses de fonctionnement de l’Union de Lisbonne, les États membres devront décider s’ils choisissent d’augmenter les taxes, les contributions annuelles, d’établir un fonds de roulement, d’utiliser les avances du pays hôte ou d’autres sources de financement, ou une combinaison de ces moyens, pour assurer la viabilité financière à long terme.</w:t>
      </w:r>
    </w:p>
    <w:p w:rsidR="00620738" w:rsidRPr="00C97721" w:rsidRDefault="00620738" w:rsidP="00620738">
      <w:pPr>
        <w:pStyle w:val="ONUMFS"/>
        <w:ind w:left="5533"/>
        <w:rPr>
          <w:i/>
          <w:lang w:val="fr-CH"/>
        </w:rPr>
      </w:pPr>
      <w:r w:rsidRPr="00C97721">
        <w:rPr>
          <w:i/>
          <w:lang w:val="fr-CH"/>
        </w:rPr>
        <w:t>Le Comité du programme et budget (PBC) est invité à examiner le contenu du document WO/PBC/24/16</w:t>
      </w:r>
      <w:r>
        <w:rPr>
          <w:i/>
          <w:lang w:val="fr-CH"/>
        </w:rPr>
        <w:t> </w:t>
      </w:r>
      <w:proofErr w:type="spellStart"/>
      <w:r>
        <w:rPr>
          <w:i/>
          <w:lang w:val="fr-CH"/>
        </w:rPr>
        <w:t>Rev</w:t>
      </w:r>
      <w:proofErr w:type="spellEnd"/>
      <w:r w:rsidRPr="00C97721">
        <w:rPr>
          <w:i/>
          <w:lang w:val="fr-CH"/>
        </w:rPr>
        <w:t>.</w:t>
      </w:r>
    </w:p>
    <w:p w:rsidR="00620738" w:rsidRPr="00C97721" w:rsidRDefault="00620738" w:rsidP="00620738">
      <w:pPr>
        <w:pStyle w:val="Endofdocument-Annex"/>
        <w:rPr>
          <w:lang w:val="fr-CH"/>
        </w:rPr>
      </w:pPr>
    </w:p>
    <w:p w:rsidR="00620738" w:rsidRPr="00C97721" w:rsidRDefault="00620738" w:rsidP="00620738">
      <w:pPr>
        <w:pStyle w:val="Endofdocument-Annex"/>
        <w:rPr>
          <w:lang w:val="fr-CH"/>
        </w:rPr>
      </w:pPr>
    </w:p>
    <w:p w:rsidR="00620738" w:rsidRPr="00C97721" w:rsidRDefault="00620738" w:rsidP="00620738">
      <w:pPr>
        <w:pStyle w:val="Endofdocument-Annex"/>
        <w:rPr>
          <w:szCs w:val="22"/>
          <w:lang w:val="fr-CH"/>
        </w:rPr>
      </w:pPr>
      <w:r w:rsidRPr="00C97721">
        <w:rPr>
          <w:szCs w:val="22"/>
          <w:lang w:val="fr-CH"/>
        </w:rPr>
        <w:t>[L’annexe suit]</w:t>
      </w:r>
    </w:p>
    <w:p w:rsidR="00620738" w:rsidRPr="00C97721" w:rsidRDefault="00620738" w:rsidP="00620738">
      <w:pPr>
        <w:ind w:left="5580"/>
        <w:rPr>
          <w:lang w:val="fr-CH"/>
        </w:rPr>
      </w:pPr>
    </w:p>
    <w:p w:rsidR="00620738" w:rsidRPr="00C97721" w:rsidRDefault="00620738" w:rsidP="00620738">
      <w:pPr>
        <w:rPr>
          <w:lang w:val="fr-CH"/>
        </w:rPr>
      </w:pPr>
    </w:p>
    <w:p w:rsidR="00620738" w:rsidRPr="00C97721" w:rsidRDefault="00620738" w:rsidP="00620738">
      <w:pPr>
        <w:rPr>
          <w:lang w:val="fr-CH"/>
        </w:rPr>
        <w:sectPr w:rsidR="00620738" w:rsidRPr="00C97721" w:rsidSect="00DC1D4B">
          <w:headerReference w:type="default" r:id="rId11"/>
          <w:endnotePr>
            <w:numFmt w:val="decimal"/>
          </w:endnotePr>
          <w:pgSz w:w="11907" w:h="16840" w:code="9"/>
          <w:pgMar w:top="567" w:right="1134" w:bottom="1417" w:left="1417" w:header="510" w:footer="1020" w:gutter="0"/>
          <w:pgNumType w:start="1"/>
          <w:cols w:space="720"/>
          <w:titlePg/>
          <w:docGrid w:linePitch="299"/>
        </w:sectPr>
      </w:pPr>
    </w:p>
    <w:p w:rsidR="00620738" w:rsidRPr="00C97721" w:rsidRDefault="00620738" w:rsidP="00620738">
      <w:pPr>
        <w:autoSpaceDE w:val="0"/>
        <w:autoSpaceDN w:val="0"/>
        <w:adjustRightInd w:val="0"/>
        <w:jc w:val="center"/>
        <w:rPr>
          <w:rFonts w:eastAsia="Times New Roman"/>
          <w:b/>
          <w:caps/>
          <w:szCs w:val="22"/>
          <w:lang w:val="fr-CH"/>
        </w:rPr>
      </w:pPr>
      <w:r w:rsidRPr="00C97721">
        <w:rPr>
          <w:rFonts w:eastAsia="Times New Roman"/>
          <w:b/>
          <w:caps/>
          <w:szCs w:val="22"/>
          <w:lang w:val="fr-CH"/>
        </w:rPr>
        <w:lastRenderedPageBreak/>
        <w:t>simulation préliminaire des montants des contributions pour l’Union de Lisbonne – en fonction de la classe de contribution des États membres</w:t>
      </w:r>
    </w:p>
    <w:p w:rsidR="00620738" w:rsidRPr="00C97721" w:rsidRDefault="00620738" w:rsidP="00620738">
      <w:pPr>
        <w:rPr>
          <w:rFonts w:eastAsia="Times New Roman"/>
          <w:i/>
          <w:iCs/>
          <w:szCs w:val="22"/>
          <w:lang w:val="fr-CH"/>
        </w:rPr>
      </w:pPr>
      <w:r w:rsidRPr="00C97721">
        <w:rPr>
          <w:rFonts w:eastAsia="Times New Roman"/>
          <w:i/>
          <w:iCs/>
          <w:szCs w:val="22"/>
          <w:lang w:val="fr-CH"/>
        </w:rPr>
        <w:t>(Étant entendu que les contributions doivent couvrir un déficit de 100 000 francs suisses)</w:t>
      </w:r>
    </w:p>
    <w:p w:rsidR="00620738" w:rsidRPr="00C97721" w:rsidRDefault="00620738" w:rsidP="00620738">
      <w:pPr>
        <w:rPr>
          <w:rFonts w:eastAsia="Times New Roman"/>
          <w:i/>
          <w:iCs/>
          <w:szCs w:val="22"/>
          <w:lang w:val="fr-CH"/>
        </w:rPr>
      </w:pPr>
    </w:p>
    <w:p w:rsidR="00620738" w:rsidRPr="00C97721" w:rsidRDefault="00620738" w:rsidP="00620738">
      <w:pPr>
        <w:rPr>
          <w:rFonts w:eastAsia="Times New Roman"/>
          <w:i/>
          <w:iCs/>
          <w:szCs w:val="22"/>
          <w:lang w:val="fr-CH"/>
        </w:rPr>
      </w:pPr>
    </w:p>
    <w:p w:rsidR="00620738" w:rsidRPr="00C97721" w:rsidRDefault="00620738" w:rsidP="00620738">
      <w:pPr>
        <w:ind w:left="6663"/>
        <w:rPr>
          <w:rFonts w:eastAsia="Times New Roman"/>
          <w:b/>
          <w:i/>
          <w:iCs/>
          <w:sz w:val="20"/>
          <w:szCs w:val="22"/>
          <w:lang w:val="fr-CH"/>
        </w:rPr>
      </w:pPr>
      <w:r w:rsidRPr="00C97721">
        <w:rPr>
          <w:rFonts w:eastAsia="Times New Roman"/>
          <w:b/>
          <w:i/>
          <w:iCs/>
          <w:sz w:val="20"/>
          <w:szCs w:val="22"/>
          <w:lang w:val="fr-CH"/>
        </w:rPr>
        <w:t>Contribution</w:t>
      </w:r>
    </w:p>
    <w:p w:rsidR="00620738" w:rsidRPr="00C97721" w:rsidRDefault="00620738" w:rsidP="00620738">
      <w:pPr>
        <w:spacing w:after="120"/>
        <w:ind w:left="6663"/>
        <w:rPr>
          <w:rFonts w:eastAsia="Times New Roman"/>
          <w:i/>
          <w:iCs/>
          <w:sz w:val="20"/>
          <w:szCs w:val="22"/>
          <w:lang w:val="fr-CH"/>
        </w:rPr>
      </w:pPr>
      <w:r w:rsidRPr="00C97721">
        <w:rPr>
          <w:rFonts w:eastAsia="Times New Roman"/>
          <w:i/>
          <w:iCs/>
          <w:sz w:val="20"/>
          <w:szCs w:val="22"/>
          <w:lang w:val="fr-CH"/>
        </w:rPr>
        <w:t>(</w:t>
      </w:r>
      <w:proofErr w:type="gramStart"/>
      <w:r w:rsidRPr="00C97721">
        <w:rPr>
          <w:rFonts w:eastAsia="Times New Roman"/>
          <w:i/>
          <w:iCs/>
          <w:sz w:val="20"/>
          <w:szCs w:val="22"/>
          <w:lang w:val="fr-CH"/>
        </w:rPr>
        <w:t>en</w:t>
      </w:r>
      <w:proofErr w:type="gramEnd"/>
      <w:r w:rsidRPr="00C97721">
        <w:rPr>
          <w:rFonts w:eastAsia="Times New Roman"/>
          <w:i/>
          <w:iCs/>
          <w:sz w:val="20"/>
          <w:szCs w:val="22"/>
          <w:lang w:val="fr-CH"/>
        </w:rPr>
        <w:t xml:space="preserve"> francs suisses)</w:t>
      </w:r>
    </w:p>
    <w:tbl>
      <w:tblPr>
        <w:tblW w:w="7619" w:type="dxa"/>
        <w:jc w:val="center"/>
        <w:tblInd w:w="93" w:type="dxa"/>
        <w:tblLook w:val="04A0" w:firstRow="1" w:lastRow="0" w:firstColumn="1" w:lastColumn="0" w:noHBand="0" w:noVBand="1"/>
      </w:tblPr>
      <w:tblGrid>
        <w:gridCol w:w="2620"/>
        <w:gridCol w:w="1820"/>
        <w:gridCol w:w="2050"/>
        <w:gridCol w:w="1740"/>
      </w:tblGrid>
      <w:tr w:rsidR="00620738" w:rsidRPr="00C97721" w:rsidTr="00003358">
        <w:trPr>
          <w:trHeight w:val="510"/>
          <w:jc w:val="center"/>
        </w:trPr>
        <w:tc>
          <w:tcPr>
            <w:tcW w:w="2620" w:type="dxa"/>
            <w:tcBorders>
              <w:top w:val="single" w:sz="4" w:space="0" w:color="auto"/>
              <w:left w:val="single" w:sz="4" w:space="0" w:color="auto"/>
              <w:bottom w:val="single" w:sz="4" w:space="0" w:color="auto"/>
              <w:right w:val="nil"/>
            </w:tcBorders>
            <w:shd w:val="clear" w:color="000000" w:fill="C5D9F1"/>
            <w:noWrap/>
            <w:vAlign w:val="center"/>
            <w:hideMark/>
          </w:tcPr>
          <w:p w:rsidR="00620738" w:rsidRPr="00C97721" w:rsidRDefault="00620738" w:rsidP="00003358">
            <w:pPr>
              <w:jc w:val="center"/>
              <w:rPr>
                <w:rFonts w:eastAsia="Times New Roman"/>
                <w:b/>
                <w:i/>
                <w:iCs/>
                <w:sz w:val="20"/>
                <w:lang w:val="fr-CH" w:eastAsia="en-US"/>
              </w:rPr>
            </w:pPr>
            <w:r w:rsidRPr="00C97721">
              <w:rPr>
                <w:rFonts w:eastAsia="Times New Roman"/>
                <w:b/>
                <w:i/>
                <w:iCs/>
                <w:sz w:val="20"/>
                <w:lang w:val="fr-CH" w:eastAsia="en-US"/>
              </w:rPr>
              <w:t>Pays</w:t>
            </w:r>
          </w:p>
        </w:tc>
        <w:tc>
          <w:tcPr>
            <w:tcW w:w="1820" w:type="dxa"/>
            <w:tcBorders>
              <w:top w:val="single" w:sz="4" w:space="0" w:color="auto"/>
              <w:left w:val="nil"/>
              <w:bottom w:val="single" w:sz="4" w:space="0" w:color="auto"/>
              <w:right w:val="nil"/>
            </w:tcBorders>
            <w:shd w:val="clear" w:color="000000" w:fill="C5D9F1"/>
            <w:noWrap/>
            <w:vAlign w:val="center"/>
            <w:hideMark/>
          </w:tcPr>
          <w:p w:rsidR="00620738" w:rsidRPr="00C97721" w:rsidRDefault="00620738" w:rsidP="00003358">
            <w:pPr>
              <w:jc w:val="center"/>
              <w:rPr>
                <w:rFonts w:eastAsia="Times New Roman"/>
                <w:b/>
                <w:i/>
                <w:iCs/>
                <w:sz w:val="20"/>
                <w:lang w:val="fr-CH" w:eastAsia="en-US"/>
              </w:rPr>
            </w:pPr>
            <w:r w:rsidRPr="00C97721">
              <w:rPr>
                <w:rFonts w:eastAsia="Times New Roman"/>
                <w:b/>
                <w:i/>
                <w:iCs/>
                <w:sz w:val="20"/>
                <w:lang w:val="fr-CH" w:eastAsia="en-US"/>
              </w:rPr>
              <w:t>Classe</w:t>
            </w:r>
          </w:p>
        </w:tc>
        <w:tc>
          <w:tcPr>
            <w:tcW w:w="1439" w:type="dxa"/>
            <w:tcBorders>
              <w:top w:val="single" w:sz="4" w:space="0" w:color="auto"/>
              <w:left w:val="single" w:sz="4" w:space="0" w:color="auto"/>
              <w:bottom w:val="single" w:sz="4" w:space="0" w:color="auto"/>
              <w:right w:val="nil"/>
            </w:tcBorders>
            <w:shd w:val="clear" w:color="000000" w:fill="C5D9F1"/>
            <w:noWrap/>
            <w:vAlign w:val="center"/>
            <w:hideMark/>
          </w:tcPr>
          <w:p w:rsidR="00620738" w:rsidRPr="00C97721" w:rsidRDefault="00620738" w:rsidP="00003358">
            <w:pPr>
              <w:jc w:val="center"/>
              <w:rPr>
                <w:rFonts w:eastAsia="Times New Roman"/>
                <w:b/>
                <w:i/>
                <w:iCs/>
                <w:sz w:val="20"/>
                <w:lang w:val="fr-CH" w:eastAsia="en-US"/>
              </w:rPr>
            </w:pPr>
            <w:r w:rsidRPr="00C97721">
              <w:rPr>
                <w:rFonts w:eastAsia="Times New Roman"/>
                <w:b/>
                <w:i/>
                <w:iCs/>
                <w:sz w:val="20"/>
                <w:lang w:val="fr-CH" w:eastAsia="en-US"/>
              </w:rPr>
              <w:t>Unités/Pondération</w:t>
            </w:r>
          </w:p>
        </w:tc>
        <w:tc>
          <w:tcPr>
            <w:tcW w:w="1740" w:type="dxa"/>
            <w:tcBorders>
              <w:top w:val="single" w:sz="4" w:space="0" w:color="auto"/>
              <w:left w:val="nil"/>
              <w:bottom w:val="single" w:sz="4" w:space="0" w:color="auto"/>
              <w:right w:val="single" w:sz="4" w:space="0" w:color="auto"/>
            </w:tcBorders>
            <w:shd w:val="clear" w:color="000000" w:fill="C5D9F1"/>
            <w:noWrap/>
            <w:vAlign w:val="center"/>
            <w:hideMark/>
          </w:tcPr>
          <w:p w:rsidR="00620738" w:rsidRPr="00C97721" w:rsidRDefault="00620738" w:rsidP="00003358">
            <w:pPr>
              <w:jc w:val="center"/>
              <w:rPr>
                <w:rFonts w:eastAsia="Times New Roman"/>
                <w:b/>
                <w:i/>
                <w:iCs/>
                <w:sz w:val="20"/>
                <w:lang w:val="fr-CH" w:eastAsia="en-US"/>
              </w:rPr>
            </w:pPr>
            <w:r w:rsidRPr="00C97721">
              <w:rPr>
                <w:rFonts w:eastAsia="Times New Roman"/>
                <w:b/>
                <w:i/>
                <w:iCs/>
                <w:sz w:val="20"/>
                <w:lang w:val="fr-CH" w:eastAsia="en-US"/>
              </w:rPr>
              <w:t>Montant</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Algérie</w:t>
            </w:r>
          </w:p>
        </w:tc>
        <w:tc>
          <w:tcPr>
            <w:tcW w:w="1820" w:type="dxa"/>
            <w:tcBorders>
              <w:top w:val="nil"/>
              <w:left w:val="nil"/>
              <w:bottom w:val="nil"/>
              <w:right w:val="nil"/>
            </w:tcBorders>
            <w:shd w:val="clear" w:color="auto" w:fill="auto"/>
            <w:vAlign w:val="center"/>
            <w:hideMark/>
          </w:tcPr>
          <w:p w:rsidR="00620738" w:rsidRPr="00C97721" w:rsidRDefault="00620738" w:rsidP="00003358">
            <w:pPr>
              <w:jc w:val="center"/>
              <w:rPr>
                <w:rFonts w:eastAsia="Times New Roman"/>
                <w:sz w:val="18"/>
                <w:szCs w:val="18"/>
                <w:lang w:val="fr-CH" w:eastAsia="en-US"/>
              </w:rPr>
            </w:pPr>
            <w:r w:rsidRPr="00C97721">
              <w:rPr>
                <w:rFonts w:eastAsia="Times New Roman"/>
                <w:sz w:val="18"/>
                <w:szCs w:val="18"/>
                <w:lang w:val="fr-CH" w:eastAsia="en-US"/>
              </w:rPr>
              <w:t>IX</w:t>
            </w:r>
          </w:p>
        </w:tc>
        <w:tc>
          <w:tcPr>
            <w:tcW w:w="1439"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0,25</w:t>
            </w:r>
          </w:p>
        </w:tc>
        <w:tc>
          <w:tcPr>
            <w:tcW w:w="174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347</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Bosnie</w:t>
            </w:r>
            <w:r w:rsidRPr="00C97721">
              <w:rPr>
                <w:rFonts w:eastAsia="Times New Roman"/>
                <w:sz w:val="18"/>
                <w:szCs w:val="18"/>
                <w:lang w:val="fr-CH" w:eastAsia="en-US"/>
              </w:rPr>
              <w:noBreakHyphen/>
              <w:t>Herzégovine</w:t>
            </w:r>
          </w:p>
        </w:tc>
        <w:tc>
          <w:tcPr>
            <w:tcW w:w="1820" w:type="dxa"/>
            <w:tcBorders>
              <w:top w:val="nil"/>
              <w:left w:val="nil"/>
              <w:bottom w:val="nil"/>
              <w:right w:val="nil"/>
            </w:tcBorders>
            <w:shd w:val="clear" w:color="auto" w:fill="auto"/>
            <w:vAlign w:val="center"/>
            <w:hideMark/>
          </w:tcPr>
          <w:p w:rsidR="00620738" w:rsidRPr="00C97721" w:rsidRDefault="00620738" w:rsidP="00003358">
            <w:pPr>
              <w:jc w:val="center"/>
              <w:rPr>
                <w:rFonts w:eastAsia="Times New Roman"/>
                <w:sz w:val="18"/>
                <w:szCs w:val="18"/>
                <w:lang w:val="fr-CH" w:eastAsia="en-US"/>
              </w:rPr>
            </w:pPr>
            <w:proofErr w:type="spellStart"/>
            <w:r w:rsidRPr="00C97721">
              <w:rPr>
                <w:rFonts w:eastAsia="Times New Roman"/>
                <w:sz w:val="18"/>
                <w:szCs w:val="18"/>
                <w:lang w:val="fr-CH" w:eastAsia="en-US"/>
              </w:rPr>
              <w:t>S</w:t>
            </w:r>
            <w:r w:rsidRPr="00C97721">
              <w:rPr>
                <w:rFonts w:eastAsia="Times New Roman"/>
                <w:i/>
                <w:iCs/>
                <w:sz w:val="18"/>
                <w:szCs w:val="18"/>
                <w:lang w:val="fr-CH" w:eastAsia="en-US"/>
              </w:rPr>
              <w:t>bis</w:t>
            </w:r>
            <w:proofErr w:type="spellEnd"/>
          </w:p>
        </w:tc>
        <w:tc>
          <w:tcPr>
            <w:tcW w:w="1439"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0,0625</w:t>
            </w:r>
          </w:p>
        </w:tc>
        <w:tc>
          <w:tcPr>
            <w:tcW w:w="174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87</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Bulgarie</w:t>
            </w:r>
          </w:p>
        </w:tc>
        <w:tc>
          <w:tcPr>
            <w:tcW w:w="1820" w:type="dxa"/>
            <w:tcBorders>
              <w:top w:val="nil"/>
              <w:left w:val="nil"/>
              <w:bottom w:val="nil"/>
              <w:right w:val="nil"/>
            </w:tcBorders>
            <w:shd w:val="clear" w:color="auto" w:fill="auto"/>
            <w:vAlign w:val="center"/>
            <w:hideMark/>
          </w:tcPr>
          <w:p w:rsidR="00620738" w:rsidRPr="00C97721" w:rsidRDefault="00620738" w:rsidP="00003358">
            <w:pPr>
              <w:jc w:val="center"/>
              <w:rPr>
                <w:rFonts w:eastAsia="Times New Roman"/>
                <w:sz w:val="18"/>
                <w:szCs w:val="18"/>
                <w:lang w:val="fr-CH" w:eastAsia="en-US"/>
              </w:rPr>
            </w:pPr>
            <w:proofErr w:type="spellStart"/>
            <w:r w:rsidRPr="00C97721">
              <w:rPr>
                <w:rFonts w:eastAsia="Times New Roman"/>
                <w:sz w:val="18"/>
                <w:szCs w:val="18"/>
                <w:lang w:val="fr-CH" w:eastAsia="en-US"/>
              </w:rPr>
              <w:t>VI</w:t>
            </w:r>
            <w:r w:rsidRPr="00C97721">
              <w:rPr>
                <w:rFonts w:eastAsia="Times New Roman"/>
                <w:i/>
                <w:iCs/>
                <w:sz w:val="18"/>
                <w:szCs w:val="18"/>
                <w:lang w:val="fr-CH" w:eastAsia="en-US"/>
              </w:rPr>
              <w:t>bis</w:t>
            </w:r>
            <w:proofErr w:type="spellEnd"/>
          </w:p>
        </w:tc>
        <w:tc>
          <w:tcPr>
            <w:tcW w:w="1439"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2</w:t>
            </w:r>
          </w:p>
        </w:tc>
        <w:tc>
          <w:tcPr>
            <w:tcW w:w="174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2 774</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Burkina Faso</w:t>
            </w:r>
          </w:p>
        </w:tc>
        <w:tc>
          <w:tcPr>
            <w:tcW w:w="1820" w:type="dxa"/>
            <w:tcBorders>
              <w:top w:val="nil"/>
              <w:left w:val="nil"/>
              <w:bottom w:val="nil"/>
              <w:right w:val="nil"/>
            </w:tcBorders>
            <w:shd w:val="clear" w:color="auto" w:fill="auto"/>
            <w:vAlign w:val="center"/>
            <w:hideMark/>
          </w:tcPr>
          <w:p w:rsidR="00620738" w:rsidRPr="00C97721" w:rsidRDefault="00620738" w:rsidP="00003358">
            <w:pPr>
              <w:jc w:val="center"/>
              <w:rPr>
                <w:rFonts w:eastAsia="Times New Roman"/>
                <w:sz w:val="18"/>
                <w:szCs w:val="18"/>
                <w:lang w:val="fr-CH" w:eastAsia="en-US"/>
              </w:rPr>
            </w:pPr>
            <w:proofErr w:type="spellStart"/>
            <w:r w:rsidRPr="00C97721">
              <w:rPr>
                <w:rFonts w:eastAsia="Times New Roman"/>
                <w:sz w:val="18"/>
                <w:szCs w:val="18"/>
                <w:lang w:val="fr-CH" w:eastAsia="en-US"/>
              </w:rPr>
              <w:t>S</w:t>
            </w:r>
            <w:r w:rsidRPr="00C97721">
              <w:rPr>
                <w:rFonts w:eastAsia="Times New Roman"/>
                <w:i/>
                <w:iCs/>
                <w:sz w:val="18"/>
                <w:szCs w:val="18"/>
                <w:lang w:val="fr-CH" w:eastAsia="en-US"/>
              </w:rPr>
              <w:t>ter</w:t>
            </w:r>
            <w:proofErr w:type="spellEnd"/>
          </w:p>
        </w:tc>
        <w:tc>
          <w:tcPr>
            <w:tcW w:w="1439"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0,03125</w:t>
            </w:r>
          </w:p>
        </w:tc>
        <w:tc>
          <w:tcPr>
            <w:tcW w:w="174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43</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 xml:space="preserve">Congo </w:t>
            </w:r>
          </w:p>
        </w:tc>
        <w:tc>
          <w:tcPr>
            <w:tcW w:w="1820" w:type="dxa"/>
            <w:tcBorders>
              <w:top w:val="nil"/>
              <w:left w:val="nil"/>
              <w:bottom w:val="nil"/>
              <w:right w:val="nil"/>
            </w:tcBorders>
            <w:shd w:val="clear" w:color="auto" w:fill="auto"/>
            <w:vAlign w:val="center"/>
            <w:hideMark/>
          </w:tcPr>
          <w:p w:rsidR="00620738" w:rsidRPr="00C97721" w:rsidRDefault="00620738" w:rsidP="00003358">
            <w:pPr>
              <w:jc w:val="center"/>
              <w:rPr>
                <w:rFonts w:eastAsia="Times New Roman"/>
                <w:sz w:val="18"/>
                <w:szCs w:val="18"/>
                <w:lang w:val="fr-CH" w:eastAsia="en-US"/>
              </w:rPr>
            </w:pPr>
            <w:proofErr w:type="spellStart"/>
            <w:r w:rsidRPr="00C97721">
              <w:rPr>
                <w:rFonts w:eastAsia="Times New Roman"/>
                <w:sz w:val="18"/>
                <w:szCs w:val="18"/>
                <w:lang w:val="fr-CH" w:eastAsia="en-US"/>
              </w:rPr>
              <w:t>S</w:t>
            </w:r>
            <w:r w:rsidRPr="00C97721">
              <w:rPr>
                <w:rFonts w:eastAsia="Times New Roman"/>
                <w:i/>
                <w:iCs/>
                <w:sz w:val="18"/>
                <w:szCs w:val="18"/>
                <w:lang w:val="fr-CH" w:eastAsia="en-US"/>
              </w:rPr>
              <w:t>bis</w:t>
            </w:r>
            <w:proofErr w:type="spellEnd"/>
          </w:p>
        </w:tc>
        <w:tc>
          <w:tcPr>
            <w:tcW w:w="1439"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0,0625</w:t>
            </w:r>
          </w:p>
        </w:tc>
        <w:tc>
          <w:tcPr>
            <w:tcW w:w="174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87</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Costa Rica</w:t>
            </w:r>
          </w:p>
        </w:tc>
        <w:tc>
          <w:tcPr>
            <w:tcW w:w="1820" w:type="dxa"/>
            <w:tcBorders>
              <w:top w:val="nil"/>
              <w:left w:val="nil"/>
              <w:bottom w:val="nil"/>
              <w:right w:val="nil"/>
            </w:tcBorders>
            <w:shd w:val="clear" w:color="auto" w:fill="auto"/>
            <w:vAlign w:val="center"/>
            <w:hideMark/>
          </w:tcPr>
          <w:p w:rsidR="00620738" w:rsidRPr="00C97721" w:rsidRDefault="00620738" w:rsidP="00003358">
            <w:pPr>
              <w:jc w:val="center"/>
              <w:rPr>
                <w:rFonts w:eastAsia="Times New Roman"/>
                <w:sz w:val="18"/>
                <w:szCs w:val="18"/>
                <w:lang w:val="fr-CH" w:eastAsia="en-US"/>
              </w:rPr>
            </w:pPr>
            <w:r w:rsidRPr="00C97721">
              <w:rPr>
                <w:rFonts w:eastAsia="Times New Roman"/>
                <w:sz w:val="18"/>
                <w:szCs w:val="18"/>
                <w:lang w:val="fr-CH" w:eastAsia="en-US"/>
              </w:rPr>
              <w:t>S</w:t>
            </w:r>
          </w:p>
        </w:tc>
        <w:tc>
          <w:tcPr>
            <w:tcW w:w="1439"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0,125</w:t>
            </w:r>
          </w:p>
        </w:tc>
        <w:tc>
          <w:tcPr>
            <w:tcW w:w="174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173</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Cuba</w:t>
            </w:r>
          </w:p>
        </w:tc>
        <w:tc>
          <w:tcPr>
            <w:tcW w:w="1820" w:type="dxa"/>
            <w:tcBorders>
              <w:top w:val="nil"/>
              <w:left w:val="nil"/>
              <w:bottom w:val="nil"/>
              <w:right w:val="nil"/>
            </w:tcBorders>
            <w:shd w:val="clear" w:color="auto" w:fill="auto"/>
            <w:vAlign w:val="center"/>
            <w:hideMark/>
          </w:tcPr>
          <w:p w:rsidR="00620738" w:rsidRPr="00C97721" w:rsidRDefault="00620738" w:rsidP="00003358">
            <w:pPr>
              <w:jc w:val="center"/>
              <w:rPr>
                <w:rFonts w:eastAsia="Times New Roman"/>
                <w:sz w:val="18"/>
                <w:szCs w:val="18"/>
                <w:lang w:val="fr-CH" w:eastAsia="en-US"/>
              </w:rPr>
            </w:pPr>
            <w:r w:rsidRPr="00C97721">
              <w:rPr>
                <w:rFonts w:eastAsia="Times New Roman"/>
                <w:sz w:val="18"/>
                <w:szCs w:val="18"/>
                <w:lang w:val="fr-CH" w:eastAsia="en-US"/>
              </w:rPr>
              <w:t>S</w:t>
            </w:r>
          </w:p>
        </w:tc>
        <w:tc>
          <w:tcPr>
            <w:tcW w:w="1439"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0,125</w:t>
            </w:r>
          </w:p>
        </w:tc>
        <w:tc>
          <w:tcPr>
            <w:tcW w:w="174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173</w:t>
            </w:r>
          </w:p>
        </w:tc>
      </w:tr>
      <w:tr w:rsidR="00620738" w:rsidRPr="00C97721" w:rsidTr="00003358">
        <w:trPr>
          <w:trHeight w:val="480"/>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Ex</w:t>
            </w:r>
            <w:r w:rsidRPr="00C97721">
              <w:rPr>
                <w:rFonts w:eastAsia="Times New Roman"/>
                <w:sz w:val="18"/>
                <w:szCs w:val="18"/>
                <w:lang w:val="fr-CH" w:eastAsia="en-US"/>
              </w:rPr>
              <w:noBreakHyphen/>
              <w:t>République yougoslave de Macédoine</w:t>
            </w:r>
          </w:p>
        </w:tc>
        <w:tc>
          <w:tcPr>
            <w:tcW w:w="1820" w:type="dxa"/>
            <w:tcBorders>
              <w:top w:val="nil"/>
              <w:left w:val="nil"/>
              <w:bottom w:val="nil"/>
              <w:right w:val="nil"/>
            </w:tcBorders>
            <w:shd w:val="clear" w:color="auto" w:fill="auto"/>
            <w:vAlign w:val="center"/>
            <w:hideMark/>
          </w:tcPr>
          <w:p w:rsidR="00620738" w:rsidRPr="00C97721" w:rsidRDefault="00620738" w:rsidP="00003358">
            <w:pPr>
              <w:jc w:val="center"/>
              <w:rPr>
                <w:rFonts w:eastAsia="Times New Roman"/>
                <w:sz w:val="18"/>
                <w:szCs w:val="18"/>
                <w:lang w:val="fr-CH" w:eastAsia="en-US"/>
              </w:rPr>
            </w:pPr>
            <w:r w:rsidRPr="00C97721">
              <w:rPr>
                <w:rFonts w:eastAsia="Times New Roman"/>
                <w:sz w:val="18"/>
                <w:szCs w:val="18"/>
                <w:lang w:val="fr-CH" w:eastAsia="en-US"/>
              </w:rPr>
              <w:t>VIII</w:t>
            </w:r>
          </w:p>
        </w:tc>
        <w:tc>
          <w:tcPr>
            <w:tcW w:w="1439"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0,5</w:t>
            </w:r>
          </w:p>
        </w:tc>
        <w:tc>
          <w:tcPr>
            <w:tcW w:w="174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694</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France</w:t>
            </w:r>
          </w:p>
        </w:tc>
        <w:tc>
          <w:tcPr>
            <w:tcW w:w="1820" w:type="dxa"/>
            <w:tcBorders>
              <w:top w:val="nil"/>
              <w:left w:val="nil"/>
              <w:bottom w:val="nil"/>
              <w:right w:val="nil"/>
            </w:tcBorders>
            <w:shd w:val="clear" w:color="auto" w:fill="auto"/>
            <w:vAlign w:val="center"/>
            <w:hideMark/>
          </w:tcPr>
          <w:p w:rsidR="00620738" w:rsidRPr="00C97721" w:rsidRDefault="00620738" w:rsidP="00003358">
            <w:pPr>
              <w:jc w:val="center"/>
              <w:rPr>
                <w:rFonts w:eastAsia="Times New Roman"/>
                <w:sz w:val="18"/>
                <w:szCs w:val="18"/>
                <w:lang w:val="fr-CH" w:eastAsia="en-US"/>
              </w:rPr>
            </w:pPr>
            <w:r w:rsidRPr="00C97721">
              <w:rPr>
                <w:rFonts w:eastAsia="Times New Roman"/>
                <w:sz w:val="18"/>
                <w:szCs w:val="18"/>
                <w:lang w:val="fr-CH" w:eastAsia="en-US"/>
              </w:rPr>
              <w:t>I</w:t>
            </w:r>
          </w:p>
        </w:tc>
        <w:tc>
          <w:tcPr>
            <w:tcW w:w="1439"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25</w:t>
            </w:r>
          </w:p>
        </w:tc>
        <w:tc>
          <w:tcPr>
            <w:tcW w:w="174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34 677</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Gabon</w:t>
            </w:r>
          </w:p>
        </w:tc>
        <w:tc>
          <w:tcPr>
            <w:tcW w:w="1820" w:type="dxa"/>
            <w:tcBorders>
              <w:top w:val="nil"/>
              <w:left w:val="nil"/>
              <w:bottom w:val="nil"/>
              <w:right w:val="nil"/>
            </w:tcBorders>
            <w:shd w:val="clear" w:color="auto" w:fill="auto"/>
            <w:vAlign w:val="center"/>
            <w:hideMark/>
          </w:tcPr>
          <w:p w:rsidR="00620738" w:rsidRPr="00C97721" w:rsidRDefault="00620738" w:rsidP="00003358">
            <w:pPr>
              <w:jc w:val="center"/>
              <w:rPr>
                <w:rFonts w:eastAsia="Times New Roman"/>
                <w:sz w:val="18"/>
                <w:szCs w:val="18"/>
                <w:lang w:val="fr-CH" w:eastAsia="en-US"/>
              </w:rPr>
            </w:pPr>
            <w:r w:rsidRPr="00C97721">
              <w:rPr>
                <w:rFonts w:eastAsia="Times New Roman"/>
                <w:sz w:val="18"/>
                <w:szCs w:val="18"/>
                <w:lang w:val="fr-CH" w:eastAsia="en-US"/>
              </w:rPr>
              <w:t>S</w:t>
            </w:r>
          </w:p>
        </w:tc>
        <w:tc>
          <w:tcPr>
            <w:tcW w:w="1439"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0,125</w:t>
            </w:r>
          </w:p>
        </w:tc>
        <w:tc>
          <w:tcPr>
            <w:tcW w:w="174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173</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Géorgie</w:t>
            </w:r>
          </w:p>
        </w:tc>
        <w:tc>
          <w:tcPr>
            <w:tcW w:w="1820" w:type="dxa"/>
            <w:tcBorders>
              <w:top w:val="nil"/>
              <w:left w:val="nil"/>
              <w:bottom w:val="nil"/>
              <w:right w:val="nil"/>
            </w:tcBorders>
            <w:shd w:val="clear" w:color="auto" w:fill="auto"/>
            <w:vAlign w:val="center"/>
            <w:hideMark/>
          </w:tcPr>
          <w:p w:rsidR="00620738" w:rsidRPr="00C97721" w:rsidRDefault="00620738" w:rsidP="00003358">
            <w:pPr>
              <w:jc w:val="center"/>
              <w:rPr>
                <w:rFonts w:eastAsia="Times New Roman"/>
                <w:sz w:val="18"/>
                <w:szCs w:val="18"/>
                <w:lang w:val="fr-CH" w:eastAsia="en-US"/>
              </w:rPr>
            </w:pPr>
            <w:r w:rsidRPr="00C97721">
              <w:rPr>
                <w:rFonts w:eastAsia="Times New Roman"/>
                <w:sz w:val="18"/>
                <w:szCs w:val="18"/>
                <w:lang w:val="fr-CH" w:eastAsia="en-US"/>
              </w:rPr>
              <w:t>IX</w:t>
            </w:r>
          </w:p>
        </w:tc>
        <w:tc>
          <w:tcPr>
            <w:tcW w:w="1439" w:type="dxa"/>
            <w:tcBorders>
              <w:top w:val="nil"/>
              <w:left w:val="nil"/>
              <w:bottom w:val="nil"/>
              <w:right w:val="nil"/>
            </w:tcBorders>
            <w:shd w:val="clear" w:color="auto" w:fill="auto"/>
            <w:vAlign w:val="center"/>
            <w:hideMark/>
          </w:tcPr>
          <w:p w:rsidR="00620738" w:rsidRPr="00C97721" w:rsidRDefault="00620738" w:rsidP="00003358">
            <w:pPr>
              <w:jc w:val="right"/>
              <w:rPr>
                <w:rFonts w:eastAsia="Times New Roman"/>
                <w:sz w:val="18"/>
                <w:szCs w:val="18"/>
                <w:lang w:val="fr-CH" w:eastAsia="en-US"/>
              </w:rPr>
            </w:pPr>
            <w:r w:rsidRPr="00C97721">
              <w:rPr>
                <w:rFonts w:eastAsia="Times New Roman"/>
                <w:sz w:val="18"/>
                <w:szCs w:val="18"/>
                <w:lang w:val="fr-CH" w:eastAsia="en-US"/>
              </w:rPr>
              <w:t>0,25</w:t>
            </w:r>
          </w:p>
        </w:tc>
        <w:tc>
          <w:tcPr>
            <w:tcW w:w="174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347</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Haïti</w:t>
            </w:r>
          </w:p>
        </w:tc>
        <w:tc>
          <w:tcPr>
            <w:tcW w:w="1820" w:type="dxa"/>
            <w:tcBorders>
              <w:top w:val="nil"/>
              <w:left w:val="nil"/>
              <w:bottom w:val="nil"/>
              <w:right w:val="nil"/>
            </w:tcBorders>
            <w:shd w:val="clear" w:color="auto" w:fill="auto"/>
            <w:vAlign w:val="center"/>
            <w:hideMark/>
          </w:tcPr>
          <w:p w:rsidR="00620738" w:rsidRPr="00C97721" w:rsidRDefault="00620738" w:rsidP="00003358">
            <w:pPr>
              <w:jc w:val="center"/>
              <w:rPr>
                <w:rFonts w:eastAsia="Times New Roman"/>
                <w:sz w:val="18"/>
                <w:szCs w:val="18"/>
                <w:lang w:val="fr-CH" w:eastAsia="en-US"/>
              </w:rPr>
            </w:pPr>
            <w:proofErr w:type="spellStart"/>
            <w:r w:rsidRPr="00C97721">
              <w:rPr>
                <w:rFonts w:eastAsia="Times New Roman"/>
                <w:sz w:val="18"/>
                <w:szCs w:val="18"/>
                <w:lang w:val="fr-CH" w:eastAsia="en-US"/>
              </w:rPr>
              <w:t>S</w:t>
            </w:r>
            <w:r w:rsidRPr="00C97721">
              <w:rPr>
                <w:rFonts w:eastAsia="Times New Roman"/>
                <w:i/>
                <w:iCs/>
                <w:sz w:val="18"/>
                <w:szCs w:val="18"/>
                <w:lang w:val="fr-CH" w:eastAsia="en-US"/>
              </w:rPr>
              <w:t>ter</w:t>
            </w:r>
            <w:proofErr w:type="spellEnd"/>
          </w:p>
        </w:tc>
        <w:tc>
          <w:tcPr>
            <w:tcW w:w="1439"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0,03125</w:t>
            </w:r>
          </w:p>
        </w:tc>
        <w:tc>
          <w:tcPr>
            <w:tcW w:w="174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43</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Hongrie</w:t>
            </w:r>
          </w:p>
        </w:tc>
        <w:tc>
          <w:tcPr>
            <w:tcW w:w="1820" w:type="dxa"/>
            <w:tcBorders>
              <w:top w:val="nil"/>
              <w:left w:val="nil"/>
              <w:bottom w:val="nil"/>
              <w:right w:val="nil"/>
            </w:tcBorders>
            <w:shd w:val="clear" w:color="auto" w:fill="auto"/>
            <w:vAlign w:val="center"/>
            <w:hideMark/>
          </w:tcPr>
          <w:p w:rsidR="00620738" w:rsidRPr="00C97721" w:rsidRDefault="00620738" w:rsidP="00003358">
            <w:pPr>
              <w:jc w:val="center"/>
              <w:rPr>
                <w:rFonts w:eastAsia="Times New Roman"/>
                <w:sz w:val="18"/>
                <w:szCs w:val="18"/>
                <w:lang w:val="fr-CH" w:eastAsia="en-US"/>
              </w:rPr>
            </w:pPr>
            <w:r w:rsidRPr="00C97721">
              <w:rPr>
                <w:rFonts w:eastAsia="Times New Roman"/>
                <w:sz w:val="18"/>
                <w:szCs w:val="18"/>
                <w:lang w:val="fr-CH" w:eastAsia="en-US"/>
              </w:rPr>
              <w:t>VI</w:t>
            </w:r>
          </w:p>
        </w:tc>
        <w:tc>
          <w:tcPr>
            <w:tcW w:w="1439"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3</w:t>
            </w:r>
          </w:p>
        </w:tc>
        <w:tc>
          <w:tcPr>
            <w:tcW w:w="174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4 161</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Iran (République islamique d’)</w:t>
            </w:r>
          </w:p>
        </w:tc>
        <w:tc>
          <w:tcPr>
            <w:tcW w:w="1820" w:type="dxa"/>
            <w:tcBorders>
              <w:top w:val="nil"/>
              <w:left w:val="nil"/>
              <w:bottom w:val="nil"/>
              <w:right w:val="nil"/>
            </w:tcBorders>
            <w:shd w:val="clear" w:color="auto" w:fill="auto"/>
            <w:vAlign w:val="center"/>
            <w:hideMark/>
          </w:tcPr>
          <w:p w:rsidR="00620738" w:rsidRPr="00C97721" w:rsidRDefault="00620738" w:rsidP="00003358">
            <w:pPr>
              <w:jc w:val="center"/>
              <w:rPr>
                <w:rFonts w:eastAsia="Times New Roman"/>
                <w:sz w:val="18"/>
                <w:szCs w:val="18"/>
                <w:lang w:val="fr-CH" w:eastAsia="en-US"/>
              </w:rPr>
            </w:pPr>
            <w:r w:rsidRPr="00C97721">
              <w:rPr>
                <w:rFonts w:eastAsia="Times New Roman"/>
                <w:sz w:val="18"/>
                <w:szCs w:val="18"/>
                <w:lang w:val="fr-CH" w:eastAsia="en-US"/>
              </w:rPr>
              <w:t>VII</w:t>
            </w:r>
          </w:p>
        </w:tc>
        <w:tc>
          <w:tcPr>
            <w:tcW w:w="1439"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1</w:t>
            </w:r>
          </w:p>
        </w:tc>
        <w:tc>
          <w:tcPr>
            <w:tcW w:w="174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1 387</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Israël</w:t>
            </w:r>
          </w:p>
        </w:tc>
        <w:tc>
          <w:tcPr>
            <w:tcW w:w="1820" w:type="dxa"/>
            <w:tcBorders>
              <w:top w:val="nil"/>
              <w:left w:val="nil"/>
              <w:bottom w:val="nil"/>
              <w:right w:val="nil"/>
            </w:tcBorders>
            <w:shd w:val="clear" w:color="auto" w:fill="auto"/>
            <w:vAlign w:val="center"/>
            <w:hideMark/>
          </w:tcPr>
          <w:p w:rsidR="00620738" w:rsidRPr="00C97721" w:rsidRDefault="00620738" w:rsidP="00003358">
            <w:pPr>
              <w:jc w:val="center"/>
              <w:rPr>
                <w:rFonts w:eastAsia="Times New Roman"/>
                <w:sz w:val="18"/>
                <w:szCs w:val="18"/>
                <w:lang w:val="fr-CH" w:eastAsia="en-US"/>
              </w:rPr>
            </w:pPr>
            <w:proofErr w:type="spellStart"/>
            <w:r w:rsidRPr="00C97721">
              <w:rPr>
                <w:rFonts w:eastAsia="Times New Roman"/>
                <w:sz w:val="18"/>
                <w:szCs w:val="18"/>
                <w:lang w:val="fr-CH" w:eastAsia="en-US"/>
              </w:rPr>
              <w:t>VI</w:t>
            </w:r>
            <w:r w:rsidRPr="00C97721">
              <w:rPr>
                <w:rFonts w:eastAsia="Times New Roman"/>
                <w:i/>
                <w:iCs/>
                <w:sz w:val="18"/>
                <w:szCs w:val="18"/>
                <w:lang w:val="fr-CH" w:eastAsia="en-US"/>
              </w:rPr>
              <w:t>bis</w:t>
            </w:r>
            <w:proofErr w:type="spellEnd"/>
          </w:p>
        </w:tc>
        <w:tc>
          <w:tcPr>
            <w:tcW w:w="1439"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2</w:t>
            </w:r>
          </w:p>
        </w:tc>
        <w:tc>
          <w:tcPr>
            <w:tcW w:w="174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2 774</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Italie</w:t>
            </w:r>
          </w:p>
        </w:tc>
        <w:tc>
          <w:tcPr>
            <w:tcW w:w="1820" w:type="dxa"/>
            <w:tcBorders>
              <w:top w:val="nil"/>
              <w:left w:val="nil"/>
              <w:bottom w:val="nil"/>
              <w:right w:val="nil"/>
            </w:tcBorders>
            <w:shd w:val="clear" w:color="auto" w:fill="auto"/>
            <w:vAlign w:val="center"/>
            <w:hideMark/>
          </w:tcPr>
          <w:p w:rsidR="00620738" w:rsidRPr="00C97721" w:rsidRDefault="00620738" w:rsidP="00003358">
            <w:pPr>
              <w:jc w:val="center"/>
              <w:rPr>
                <w:rFonts w:eastAsia="Times New Roman"/>
                <w:sz w:val="18"/>
                <w:szCs w:val="18"/>
                <w:lang w:val="fr-CH" w:eastAsia="en-US"/>
              </w:rPr>
            </w:pPr>
            <w:r w:rsidRPr="00C97721">
              <w:rPr>
                <w:rFonts w:eastAsia="Times New Roman"/>
                <w:sz w:val="18"/>
                <w:szCs w:val="18"/>
                <w:lang w:val="fr-CH" w:eastAsia="en-US"/>
              </w:rPr>
              <w:t>III</w:t>
            </w:r>
          </w:p>
        </w:tc>
        <w:tc>
          <w:tcPr>
            <w:tcW w:w="1439"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15</w:t>
            </w:r>
          </w:p>
        </w:tc>
        <w:tc>
          <w:tcPr>
            <w:tcW w:w="174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20 806</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Mexique</w:t>
            </w:r>
          </w:p>
        </w:tc>
        <w:tc>
          <w:tcPr>
            <w:tcW w:w="1820" w:type="dxa"/>
            <w:tcBorders>
              <w:top w:val="nil"/>
              <w:left w:val="nil"/>
              <w:bottom w:val="nil"/>
              <w:right w:val="nil"/>
            </w:tcBorders>
            <w:shd w:val="clear" w:color="auto" w:fill="auto"/>
            <w:vAlign w:val="center"/>
            <w:hideMark/>
          </w:tcPr>
          <w:p w:rsidR="00620738" w:rsidRPr="00C97721" w:rsidRDefault="00620738" w:rsidP="00003358">
            <w:pPr>
              <w:jc w:val="center"/>
              <w:rPr>
                <w:rFonts w:eastAsia="Times New Roman"/>
                <w:sz w:val="18"/>
                <w:szCs w:val="18"/>
                <w:lang w:val="fr-CH" w:eastAsia="en-US"/>
              </w:rPr>
            </w:pPr>
            <w:proofErr w:type="spellStart"/>
            <w:r w:rsidRPr="00C97721">
              <w:rPr>
                <w:rFonts w:eastAsia="Times New Roman"/>
                <w:sz w:val="18"/>
                <w:szCs w:val="18"/>
                <w:lang w:val="fr-CH" w:eastAsia="en-US"/>
              </w:rPr>
              <w:t>IV</w:t>
            </w:r>
            <w:r w:rsidRPr="00C97721">
              <w:rPr>
                <w:rFonts w:eastAsia="Times New Roman"/>
                <w:i/>
                <w:iCs/>
                <w:sz w:val="18"/>
                <w:szCs w:val="18"/>
                <w:lang w:val="fr-CH" w:eastAsia="en-US"/>
              </w:rPr>
              <w:t>bis</w:t>
            </w:r>
            <w:proofErr w:type="spellEnd"/>
          </w:p>
        </w:tc>
        <w:tc>
          <w:tcPr>
            <w:tcW w:w="1439"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7,5</w:t>
            </w:r>
          </w:p>
        </w:tc>
        <w:tc>
          <w:tcPr>
            <w:tcW w:w="174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10 403</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Monténégro</w:t>
            </w:r>
          </w:p>
        </w:tc>
        <w:tc>
          <w:tcPr>
            <w:tcW w:w="1820" w:type="dxa"/>
            <w:tcBorders>
              <w:top w:val="nil"/>
              <w:left w:val="nil"/>
              <w:bottom w:val="nil"/>
              <w:right w:val="nil"/>
            </w:tcBorders>
            <w:shd w:val="clear" w:color="auto" w:fill="auto"/>
            <w:vAlign w:val="center"/>
            <w:hideMark/>
          </w:tcPr>
          <w:p w:rsidR="00620738" w:rsidRPr="00C97721" w:rsidRDefault="00620738" w:rsidP="00003358">
            <w:pPr>
              <w:jc w:val="center"/>
              <w:rPr>
                <w:rFonts w:eastAsia="Times New Roman"/>
                <w:sz w:val="18"/>
                <w:szCs w:val="18"/>
                <w:lang w:val="fr-CH" w:eastAsia="en-US"/>
              </w:rPr>
            </w:pPr>
            <w:r w:rsidRPr="00C97721">
              <w:rPr>
                <w:rFonts w:eastAsia="Times New Roman"/>
                <w:sz w:val="18"/>
                <w:szCs w:val="18"/>
                <w:lang w:val="fr-CH" w:eastAsia="en-US"/>
              </w:rPr>
              <w:t>IX</w:t>
            </w:r>
          </w:p>
        </w:tc>
        <w:tc>
          <w:tcPr>
            <w:tcW w:w="1439"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0,25</w:t>
            </w:r>
          </w:p>
        </w:tc>
        <w:tc>
          <w:tcPr>
            <w:tcW w:w="174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347</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Nicaragua</w:t>
            </w:r>
          </w:p>
        </w:tc>
        <w:tc>
          <w:tcPr>
            <w:tcW w:w="1820" w:type="dxa"/>
            <w:tcBorders>
              <w:top w:val="nil"/>
              <w:left w:val="nil"/>
              <w:bottom w:val="nil"/>
              <w:right w:val="nil"/>
            </w:tcBorders>
            <w:shd w:val="clear" w:color="auto" w:fill="auto"/>
            <w:vAlign w:val="center"/>
            <w:hideMark/>
          </w:tcPr>
          <w:p w:rsidR="00620738" w:rsidRPr="00C97721" w:rsidRDefault="00620738" w:rsidP="00003358">
            <w:pPr>
              <w:jc w:val="center"/>
              <w:rPr>
                <w:rFonts w:eastAsia="Times New Roman"/>
                <w:sz w:val="18"/>
                <w:szCs w:val="18"/>
                <w:lang w:val="fr-CH" w:eastAsia="en-US"/>
              </w:rPr>
            </w:pPr>
            <w:proofErr w:type="spellStart"/>
            <w:r w:rsidRPr="00C97721">
              <w:rPr>
                <w:rFonts w:eastAsia="Times New Roman"/>
                <w:sz w:val="18"/>
                <w:szCs w:val="18"/>
                <w:lang w:val="fr-CH" w:eastAsia="en-US"/>
              </w:rPr>
              <w:t>S</w:t>
            </w:r>
            <w:r w:rsidRPr="00C97721">
              <w:rPr>
                <w:rFonts w:eastAsia="Times New Roman"/>
                <w:i/>
                <w:iCs/>
                <w:sz w:val="18"/>
                <w:szCs w:val="18"/>
                <w:lang w:val="fr-CH" w:eastAsia="en-US"/>
              </w:rPr>
              <w:t>bis</w:t>
            </w:r>
            <w:proofErr w:type="spellEnd"/>
          </w:p>
        </w:tc>
        <w:tc>
          <w:tcPr>
            <w:tcW w:w="1439"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0,0625</w:t>
            </w:r>
          </w:p>
        </w:tc>
        <w:tc>
          <w:tcPr>
            <w:tcW w:w="174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87</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Pérou</w:t>
            </w:r>
          </w:p>
        </w:tc>
        <w:tc>
          <w:tcPr>
            <w:tcW w:w="1820" w:type="dxa"/>
            <w:tcBorders>
              <w:top w:val="nil"/>
              <w:left w:val="nil"/>
              <w:bottom w:val="nil"/>
              <w:right w:val="nil"/>
            </w:tcBorders>
            <w:shd w:val="clear" w:color="auto" w:fill="auto"/>
            <w:vAlign w:val="center"/>
            <w:hideMark/>
          </w:tcPr>
          <w:p w:rsidR="00620738" w:rsidRPr="00C97721" w:rsidRDefault="00620738" w:rsidP="00003358">
            <w:pPr>
              <w:jc w:val="center"/>
              <w:rPr>
                <w:rFonts w:eastAsia="Times New Roman"/>
                <w:sz w:val="18"/>
                <w:szCs w:val="18"/>
                <w:lang w:val="fr-CH" w:eastAsia="en-US"/>
              </w:rPr>
            </w:pPr>
            <w:r w:rsidRPr="00C97721">
              <w:rPr>
                <w:rFonts w:eastAsia="Times New Roman"/>
                <w:sz w:val="18"/>
                <w:szCs w:val="18"/>
                <w:lang w:val="fr-CH" w:eastAsia="en-US"/>
              </w:rPr>
              <w:t>IX</w:t>
            </w:r>
          </w:p>
        </w:tc>
        <w:tc>
          <w:tcPr>
            <w:tcW w:w="1439"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0,25</w:t>
            </w:r>
          </w:p>
        </w:tc>
        <w:tc>
          <w:tcPr>
            <w:tcW w:w="174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347</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Portugal</w:t>
            </w:r>
          </w:p>
        </w:tc>
        <w:tc>
          <w:tcPr>
            <w:tcW w:w="1820" w:type="dxa"/>
            <w:tcBorders>
              <w:top w:val="nil"/>
              <w:left w:val="nil"/>
              <w:bottom w:val="nil"/>
              <w:right w:val="nil"/>
            </w:tcBorders>
            <w:shd w:val="clear" w:color="auto" w:fill="auto"/>
            <w:vAlign w:val="center"/>
            <w:hideMark/>
          </w:tcPr>
          <w:p w:rsidR="00620738" w:rsidRPr="00C97721" w:rsidRDefault="00620738" w:rsidP="00003358">
            <w:pPr>
              <w:jc w:val="center"/>
              <w:rPr>
                <w:rFonts w:eastAsia="Times New Roman"/>
                <w:sz w:val="18"/>
                <w:szCs w:val="18"/>
                <w:lang w:val="fr-CH" w:eastAsia="en-US"/>
              </w:rPr>
            </w:pPr>
            <w:proofErr w:type="spellStart"/>
            <w:r w:rsidRPr="00C97721">
              <w:rPr>
                <w:rFonts w:eastAsia="Times New Roman"/>
                <w:sz w:val="18"/>
                <w:szCs w:val="18"/>
                <w:lang w:val="fr-CH" w:eastAsia="en-US"/>
              </w:rPr>
              <w:t>IV</w:t>
            </w:r>
            <w:r w:rsidRPr="00C97721">
              <w:rPr>
                <w:rFonts w:eastAsia="Times New Roman"/>
                <w:i/>
                <w:iCs/>
                <w:sz w:val="18"/>
                <w:szCs w:val="18"/>
                <w:lang w:val="fr-CH" w:eastAsia="en-US"/>
              </w:rPr>
              <w:t>bis</w:t>
            </w:r>
            <w:proofErr w:type="spellEnd"/>
          </w:p>
        </w:tc>
        <w:tc>
          <w:tcPr>
            <w:tcW w:w="1439"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7,5</w:t>
            </w:r>
          </w:p>
        </w:tc>
        <w:tc>
          <w:tcPr>
            <w:tcW w:w="174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10 403</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 xml:space="preserve">République de Moldova </w:t>
            </w:r>
          </w:p>
        </w:tc>
        <w:tc>
          <w:tcPr>
            <w:tcW w:w="1820" w:type="dxa"/>
            <w:tcBorders>
              <w:top w:val="nil"/>
              <w:left w:val="nil"/>
              <w:bottom w:val="nil"/>
              <w:right w:val="nil"/>
            </w:tcBorders>
            <w:shd w:val="clear" w:color="auto" w:fill="auto"/>
            <w:vAlign w:val="center"/>
            <w:hideMark/>
          </w:tcPr>
          <w:p w:rsidR="00620738" w:rsidRPr="00C97721" w:rsidRDefault="00620738" w:rsidP="00003358">
            <w:pPr>
              <w:jc w:val="center"/>
              <w:rPr>
                <w:rFonts w:eastAsia="Times New Roman"/>
                <w:sz w:val="18"/>
                <w:szCs w:val="18"/>
                <w:lang w:val="fr-CH" w:eastAsia="en-US"/>
              </w:rPr>
            </w:pPr>
            <w:r w:rsidRPr="00C97721">
              <w:rPr>
                <w:rFonts w:eastAsia="Times New Roman"/>
                <w:sz w:val="18"/>
                <w:szCs w:val="18"/>
                <w:lang w:val="fr-CH" w:eastAsia="en-US"/>
              </w:rPr>
              <w:t>IX</w:t>
            </w:r>
          </w:p>
        </w:tc>
        <w:tc>
          <w:tcPr>
            <w:tcW w:w="1439"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0,25</w:t>
            </w:r>
          </w:p>
        </w:tc>
        <w:tc>
          <w:tcPr>
            <w:tcW w:w="174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347</w:t>
            </w:r>
          </w:p>
        </w:tc>
      </w:tr>
      <w:tr w:rsidR="00620738" w:rsidRPr="00C97721" w:rsidTr="00003358">
        <w:trPr>
          <w:trHeight w:val="480"/>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République populaire démocratique de Corée</w:t>
            </w:r>
          </w:p>
        </w:tc>
        <w:tc>
          <w:tcPr>
            <w:tcW w:w="1820" w:type="dxa"/>
            <w:tcBorders>
              <w:top w:val="nil"/>
              <w:left w:val="nil"/>
              <w:bottom w:val="nil"/>
              <w:right w:val="nil"/>
            </w:tcBorders>
            <w:shd w:val="clear" w:color="auto" w:fill="auto"/>
            <w:vAlign w:val="center"/>
            <w:hideMark/>
          </w:tcPr>
          <w:p w:rsidR="00620738" w:rsidRPr="00C97721" w:rsidRDefault="00620738" w:rsidP="00003358">
            <w:pPr>
              <w:jc w:val="center"/>
              <w:rPr>
                <w:rFonts w:eastAsia="Times New Roman"/>
                <w:sz w:val="18"/>
                <w:szCs w:val="18"/>
                <w:lang w:val="fr-CH" w:eastAsia="en-US"/>
              </w:rPr>
            </w:pPr>
            <w:proofErr w:type="spellStart"/>
            <w:r w:rsidRPr="00C97721">
              <w:rPr>
                <w:rFonts w:eastAsia="Times New Roman"/>
                <w:sz w:val="18"/>
                <w:szCs w:val="18"/>
                <w:lang w:val="fr-CH" w:eastAsia="en-US"/>
              </w:rPr>
              <w:t>S</w:t>
            </w:r>
            <w:r w:rsidRPr="00C97721">
              <w:rPr>
                <w:rFonts w:eastAsia="Times New Roman"/>
                <w:i/>
                <w:iCs/>
                <w:sz w:val="18"/>
                <w:szCs w:val="18"/>
                <w:lang w:val="fr-CH" w:eastAsia="en-US"/>
              </w:rPr>
              <w:t>bis</w:t>
            </w:r>
            <w:proofErr w:type="spellEnd"/>
          </w:p>
        </w:tc>
        <w:tc>
          <w:tcPr>
            <w:tcW w:w="1439"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0,0625</w:t>
            </w:r>
          </w:p>
        </w:tc>
        <w:tc>
          <w:tcPr>
            <w:tcW w:w="174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87</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 xml:space="preserve">République tchèque </w:t>
            </w:r>
          </w:p>
        </w:tc>
        <w:tc>
          <w:tcPr>
            <w:tcW w:w="1820" w:type="dxa"/>
            <w:tcBorders>
              <w:top w:val="nil"/>
              <w:left w:val="nil"/>
              <w:bottom w:val="nil"/>
              <w:right w:val="nil"/>
            </w:tcBorders>
            <w:shd w:val="clear" w:color="auto" w:fill="auto"/>
            <w:vAlign w:val="center"/>
            <w:hideMark/>
          </w:tcPr>
          <w:p w:rsidR="00620738" w:rsidRPr="00C97721" w:rsidRDefault="00620738" w:rsidP="00003358">
            <w:pPr>
              <w:jc w:val="center"/>
              <w:rPr>
                <w:rFonts w:eastAsia="Times New Roman"/>
                <w:sz w:val="18"/>
                <w:szCs w:val="18"/>
                <w:lang w:val="fr-CH" w:eastAsia="en-US"/>
              </w:rPr>
            </w:pPr>
            <w:r w:rsidRPr="00C97721">
              <w:rPr>
                <w:rFonts w:eastAsia="Times New Roman"/>
                <w:sz w:val="18"/>
                <w:szCs w:val="18"/>
                <w:lang w:val="fr-CH" w:eastAsia="en-US"/>
              </w:rPr>
              <w:t>VI</w:t>
            </w:r>
          </w:p>
        </w:tc>
        <w:tc>
          <w:tcPr>
            <w:tcW w:w="1439"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3</w:t>
            </w:r>
          </w:p>
        </w:tc>
        <w:tc>
          <w:tcPr>
            <w:tcW w:w="174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4 161</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Serbie</w:t>
            </w:r>
          </w:p>
        </w:tc>
        <w:tc>
          <w:tcPr>
            <w:tcW w:w="1820" w:type="dxa"/>
            <w:tcBorders>
              <w:top w:val="nil"/>
              <w:left w:val="nil"/>
              <w:bottom w:val="nil"/>
              <w:right w:val="nil"/>
            </w:tcBorders>
            <w:shd w:val="clear" w:color="auto" w:fill="auto"/>
            <w:vAlign w:val="center"/>
            <w:hideMark/>
          </w:tcPr>
          <w:p w:rsidR="00620738" w:rsidRPr="00C97721" w:rsidRDefault="00620738" w:rsidP="00003358">
            <w:pPr>
              <w:jc w:val="center"/>
              <w:rPr>
                <w:rFonts w:eastAsia="Times New Roman"/>
                <w:sz w:val="18"/>
                <w:szCs w:val="18"/>
                <w:lang w:val="fr-CH" w:eastAsia="en-US"/>
              </w:rPr>
            </w:pPr>
            <w:r w:rsidRPr="00C97721">
              <w:rPr>
                <w:rFonts w:eastAsia="Times New Roman"/>
                <w:sz w:val="18"/>
                <w:szCs w:val="18"/>
                <w:lang w:val="fr-CH" w:eastAsia="en-US"/>
              </w:rPr>
              <w:t>VIII</w:t>
            </w:r>
          </w:p>
        </w:tc>
        <w:tc>
          <w:tcPr>
            <w:tcW w:w="1439"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0,5</w:t>
            </w:r>
          </w:p>
        </w:tc>
        <w:tc>
          <w:tcPr>
            <w:tcW w:w="174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694</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Slovaquie</w:t>
            </w:r>
          </w:p>
        </w:tc>
        <w:tc>
          <w:tcPr>
            <w:tcW w:w="1820" w:type="dxa"/>
            <w:tcBorders>
              <w:top w:val="nil"/>
              <w:left w:val="nil"/>
              <w:bottom w:val="nil"/>
              <w:right w:val="nil"/>
            </w:tcBorders>
            <w:shd w:val="clear" w:color="auto" w:fill="auto"/>
            <w:vAlign w:val="center"/>
            <w:hideMark/>
          </w:tcPr>
          <w:p w:rsidR="00620738" w:rsidRPr="00C97721" w:rsidRDefault="00620738" w:rsidP="00003358">
            <w:pPr>
              <w:jc w:val="center"/>
              <w:rPr>
                <w:rFonts w:eastAsia="Times New Roman"/>
                <w:sz w:val="18"/>
                <w:szCs w:val="18"/>
                <w:lang w:val="fr-CH" w:eastAsia="en-US"/>
              </w:rPr>
            </w:pPr>
            <w:r w:rsidRPr="00C97721">
              <w:rPr>
                <w:rFonts w:eastAsia="Times New Roman"/>
                <w:sz w:val="18"/>
                <w:szCs w:val="18"/>
                <w:lang w:val="fr-CH" w:eastAsia="en-US"/>
              </w:rPr>
              <w:t>VI</w:t>
            </w:r>
          </w:p>
        </w:tc>
        <w:tc>
          <w:tcPr>
            <w:tcW w:w="1439"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3</w:t>
            </w:r>
          </w:p>
        </w:tc>
        <w:tc>
          <w:tcPr>
            <w:tcW w:w="174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4 161</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Togo</w:t>
            </w:r>
          </w:p>
        </w:tc>
        <w:tc>
          <w:tcPr>
            <w:tcW w:w="1820" w:type="dxa"/>
            <w:tcBorders>
              <w:top w:val="nil"/>
              <w:left w:val="nil"/>
              <w:bottom w:val="nil"/>
              <w:right w:val="nil"/>
            </w:tcBorders>
            <w:shd w:val="clear" w:color="auto" w:fill="auto"/>
            <w:vAlign w:val="center"/>
            <w:hideMark/>
          </w:tcPr>
          <w:p w:rsidR="00620738" w:rsidRPr="00C97721" w:rsidRDefault="00620738" w:rsidP="00003358">
            <w:pPr>
              <w:jc w:val="center"/>
              <w:rPr>
                <w:rFonts w:eastAsia="Times New Roman"/>
                <w:sz w:val="18"/>
                <w:szCs w:val="18"/>
                <w:lang w:val="fr-CH" w:eastAsia="en-US"/>
              </w:rPr>
            </w:pPr>
            <w:proofErr w:type="spellStart"/>
            <w:r w:rsidRPr="00C97721">
              <w:rPr>
                <w:rFonts w:eastAsia="Times New Roman"/>
                <w:sz w:val="18"/>
                <w:szCs w:val="18"/>
                <w:lang w:val="fr-CH" w:eastAsia="en-US"/>
              </w:rPr>
              <w:t>S</w:t>
            </w:r>
            <w:r w:rsidRPr="00C97721">
              <w:rPr>
                <w:rFonts w:eastAsia="Times New Roman"/>
                <w:i/>
                <w:iCs/>
                <w:sz w:val="18"/>
                <w:szCs w:val="18"/>
                <w:lang w:val="fr-CH" w:eastAsia="en-US"/>
              </w:rPr>
              <w:t>ter</w:t>
            </w:r>
            <w:proofErr w:type="spellEnd"/>
          </w:p>
        </w:tc>
        <w:tc>
          <w:tcPr>
            <w:tcW w:w="1439"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0,03125</w:t>
            </w:r>
          </w:p>
        </w:tc>
        <w:tc>
          <w:tcPr>
            <w:tcW w:w="174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43</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Tunisie</w:t>
            </w:r>
          </w:p>
        </w:tc>
        <w:tc>
          <w:tcPr>
            <w:tcW w:w="1820" w:type="dxa"/>
            <w:tcBorders>
              <w:top w:val="nil"/>
              <w:left w:val="nil"/>
              <w:bottom w:val="nil"/>
              <w:right w:val="nil"/>
            </w:tcBorders>
            <w:shd w:val="clear" w:color="auto" w:fill="auto"/>
            <w:vAlign w:val="center"/>
            <w:hideMark/>
          </w:tcPr>
          <w:p w:rsidR="00620738" w:rsidRPr="00C97721" w:rsidRDefault="00620738" w:rsidP="00003358">
            <w:pPr>
              <w:jc w:val="center"/>
              <w:rPr>
                <w:rFonts w:eastAsia="Times New Roman"/>
                <w:sz w:val="18"/>
                <w:szCs w:val="18"/>
                <w:lang w:val="fr-CH" w:eastAsia="en-US"/>
              </w:rPr>
            </w:pPr>
            <w:r w:rsidRPr="00C97721">
              <w:rPr>
                <w:rFonts w:eastAsia="Times New Roman"/>
                <w:sz w:val="18"/>
                <w:szCs w:val="18"/>
                <w:lang w:val="fr-CH" w:eastAsia="en-US"/>
              </w:rPr>
              <w:t>S</w:t>
            </w:r>
          </w:p>
        </w:tc>
        <w:tc>
          <w:tcPr>
            <w:tcW w:w="1439"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0,125</w:t>
            </w:r>
          </w:p>
        </w:tc>
        <w:tc>
          <w:tcPr>
            <w:tcW w:w="174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173</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b/>
                <w:bCs/>
                <w:sz w:val="18"/>
                <w:szCs w:val="18"/>
                <w:lang w:val="fr-CH" w:eastAsia="en-US"/>
              </w:rPr>
            </w:pPr>
            <w:r w:rsidRPr="00C97721">
              <w:rPr>
                <w:rFonts w:eastAsia="Times New Roman"/>
                <w:b/>
                <w:bCs/>
                <w:sz w:val="18"/>
                <w:szCs w:val="18"/>
                <w:lang w:val="fr-CH" w:eastAsia="en-US"/>
              </w:rPr>
              <w:t xml:space="preserve">Total des contributions </w:t>
            </w:r>
          </w:p>
        </w:tc>
        <w:tc>
          <w:tcPr>
            <w:tcW w:w="1820" w:type="dxa"/>
            <w:tcBorders>
              <w:top w:val="nil"/>
              <w:left w:val="nil"/>
              <w:bottom w:val="nil"/>
              <w:right w:val="nil"/>
            </w:tcBorders>
            <w:shd w:val="clear" w:color="auto" w:fill="auto"/>
            <w:noWrap/>
            <w:vAlign w:val="bottom"/>
            <w:hideMark/>
          </w:tcPr>
          <w:p w:rsidR="00620738" w:rsidRPr="00C97721" w:rsidRDefault="00620738" w:rsidP="00003358">
            <w:pPr>
              <w:rPr>
                <w:rFonts w:eastAsia="Times New Roman"/>
                <w:sz w:val="20"/>
                <w:lang w:val="fr-CH" w:eastAsia="en-US"/>
              </w:rPr>
            </w:pPr>
          </w:p>
        </w:tc>
        <w:tc>
          <w:tcPr>
            <w:tcW w:w="1439" w:type="dxa"/>
            <w:tcBorders>
              <w:top w:val="nil"/>
              <w:left w:val="nil"/>
              <w:bottom w:val="nil"/>
              <w:right w:val="nil"/>
            </w:tcBorders>
            <w:shd w:val="clear" w:color="auto" w:fill="auto"/>
            <w:noWrap/>
            <w:vAlign w:val="bottom"/>
            <w:hideMark/>
          </w:tcPr>
          <w:p w:rsidR="00620738" w:rsidRPr="00C97721" w:rsidRDefault="00620738" w:rsidP="00003358">
            <w:pPr>
              <w:rPr>
                <w:rFonts w:eastAsia="Times New Roman"/>
                <w:sz w:val="20"/>
                <w:lang w:val="fr-CH" w:eastAsia="en-US"/>
              </w:rPr>
            </w:pPr>
          </w:p>
        </w:tc>
        <w:tc>
          <w:tcPr>
            <w:tcW w:w="174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b/>
                <w:bCs/>
                <w:sz w:val="20"/>
                <w:lang w:val="fr-CH" w:eastAsia="en-US"/>
              </w:rPr>
            </w:pPr>
            <w:r w:rsidRPr="00C97721">
              <w:rPr>
                <w:rFonts w:eastAsia="Times New Roman"/>
                <w:b/>
                <w:bCs/>
                <w:sz w:val="20"/>
                <w:lang w:val="fr-CH" w:eastAsia="en-US"/>
              </w:rPr>
              <w:t>100 000</w:t>
            </w:r>
          </w:p>
        </w:tc>
      </w:tr>
      <w:tr w:rsidR="00620738" w:rsidRPr="00C97721" w:rsidTr="00003358">
        <w:trPr>
          <w:trHeight w:val="255"/>
          <w:jc w:val="center"/>
        </w:trPr>
        <w:tc>
          <w:tcPr>
            <w:tcW w:w="2620" w:type="dxa"/>
            <w:tcBorders>
              <w:top w:val="nil"/>
              <w:left w:val="nil"/>
              <w:bottom w:val="nil"/>
              <w:right w:val="nil"/>
            </w:tcBorders>
            <w:shd w:val="clear" w:color="auto" w:fill="auto"/>
            <w:noWrap/>
            <w:vAlign w:val="bottom"/>
            <w:hideMark/>
          </w:tcPr>
          <w:p w:rsidR="00620738" w:rsidRPr="00C97721" w:rsidRDefault="00620738" w:rsidP="00003358">
            <w:pPr>
              <w:rPr>
                <w:rFonts w:eastAsia="Times New Roman"/>
                <w:sz w:val="20"/>
                <w:lang w:val="fr-CH" w:eastAsia="en-US"/>
              </w:rPr>
            </w:pPr>
          </w:p>
        </w:tc>
        <w:tc>
          <w:tcPr>
            <w:tcW w:w="1820" w:type="dxa"/>
            <w:tcBorders>
              <w:top w:val="nil"/>
              <w:left w:val="nil"/>
              <w:bottom w:val="nil"/>
              <w:right w:val="nil"/>
            </w:tcBorders>
            <w:shd w:val="clear" w:color="auto" w:fill="auto"/>
            <w:noWrap/>
            <w:vAlign w:val="bottom"/>
            <w:hideMark/>
          </w:tcPr>
          <w:p w:rsidR="00620738" w:rsidRPr="00C97721" w:rsidRDefault="00620738" w:rsidP="00003358">
            <w:pPr>
              <w:rPr>
                <w:rFonts w:eastAsia="Times New Roman"/>
                <w:sz w:val="20"/>
                <w:lang w:val="fr-CH" w:eastAsia="en-US"/>
              </w:rPr>
            </w:pPr>
          </w:p>
        </w:tc>
        <w:tc>
          <w:tcPr>
            <w:tcW w:w="1439" w:type="dxa"/>
            <w:tcBorders>
              <w:top w:val="nil"/>
              <w:left w:val="nil"/>
              <w:bottom w:val="nil"/>
              <w:right w:val="nil"/>
            </w:tcBorders>
            <w:shd w:val="clear" w:color="auto" w:fill="auto"/>
            <w:noWrap/>
            <w:vAlign w:val="bottom"/>
            <w:hideMark/>
          </w:tcPr>
          <w:p w:rsidR="00620738" w:rsidRPr="00C97721" w:rsidRDefault="00620738" w:rsidP="00003358">
            <w:pPr>
              <w:rPr>
                <w:rFonts w:eastAsia="Times New Roman"/>
                <w:sz w:val="20"/>
                <w:lang w:val="fr-CH" w:eastAsia="en-US"/>
              </w:rPr>
            </w:pPr>
          </w:p>
        </w:tc>
        <w:tc>
          <w:tcPr>
            <w:tcW w:w="1740" w:type="dxa"/>
            <w:tcBorders>
              <w:top w:val="nil"/>
              <w:left w:val="nil"/>
              <w:bottom w:val="nil"/>
              <w:right w:val="nil"/>
            </w:tcBorders>
            <w:shd w:val="clear" w:color="auto" w:fill="auto"/>
            <w:noWrap/>
            <w:vAlign w:val="bottom"/>
            <w:hideMark/>
          </w:tcPr>
          <w:p w:rsidR="00620738" w:rsidRPr="00C97721" w:rsidRDefault="00620738" w:rsidP="00003358">
            <w:pPr>
              <w:rPr>
                <w:rFonts w:eastAsia="Times New Roman"/>
                <w:sz w:val="20"/>
                <w:lang w:val="fr-CH" w:eastAsia="en-US"/>
              </w:rPr>
            </w:pPr>
          </w:p>
        </w:tc>
      </w:tr>
      <w:tr w:rsidR="00620738" w:rsidRPr="00C97721" w:rsidTr="00003358">
        <w:trPr>
          <w:trHeight w:val="255"/>
          <w:jc w:val="center"/>
        </w:trPr>
        <w:tc>
          <w:tcPr>
            <w:tcW w:w="2620" w:type="dxa"/>
            <w:tcBorders>
              <w:top w:val="nil"/>
              <w:left w:val="nil"/>
              <w:bottom w:val="nil"/>
              <w:right w:val="nil"/>
            </w:tcBorders>
            <w:shd w:val="clear" w:color="auto" w:fill="auto"/>
            <w:noWrap/>
            <w:vAlign w:val="bottom"/>
            <w:hideMark/>
          </w:tcPr>
          <w:p w:rsidR="00620738" w:rsidRPr="00C97721" w:rsidRDefault="00620738" w:rsidP="00003358">
            <w:pPr>
              <w:rPr>
                <w:rFonts w:eastAsia="Times New Roman"/>
                <w:sz w:val="20"/>
                <w:lang w:val="fr-CH" w:eastAsia="en-US"/>
              </w:rPr>
            </w:pPr>
          </w:p>
        </w:tc>
        <w:tc>
          <w:tcPr>
            <w:tcW w:w="1820" w:type="dxa"/>
            <w:tcBorders>
              <w:top w:val="nil"/>
              <w:left w:val="nil"/>
              <w:bottom w:val="nil"/>
              <w:right w:val="nil"/>
            </w:tcBorders>
            <w:shd w:val="clear" w:color="auto" w:fill="auto"/>
            <w:noWrap/>
            <w:vAlign w:val="bottom"/>
            <w:hideMark/>
          </w:tcPr>
          <w:p w:rsidR="00620738" w:rsidRPr="00C97721" w:rsidRDefault="00620738" w:rsidP="00003358">
            <w:pPr>
              <w:rPr>
                <w:rFonts w:eastAsia="Times New Roman"/>
                <w:sz w:val="20"/>
                <w:lang w:val="fr-CH" w:eastAsia="en-US"/>
              </w:rPr>
            </w:pPr>
            <w:r w:rsidRPr="00C97721">
              <w:rPr>
                <w:rFonts w:eastAsia="Times New Roman"/>
                <w:sz w:val="20"/>
                <w:lang w:val="fr-CH" w:eastAsia="en-US"/>
              </w:rPr>
              <w:t>Nombre total de pays</w:t>
            </w:r>
          </w:p>
        </w:tc>
        <w:tc>
          <w:tcPr>
            <w:tcW w:w="1439"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b/>
                <w:bCs/>
                <w:sz w:val="20"/>
                <w:lang w:val="fr-CH" w:eastAsia="en-US"/>
              </w:rPr>
            </w:pPr>
            <w:r w:rsidRPr="00C97721">
              <w:rPr>
                <w:rFonts w:eastAsia="Times New Roman"/>
                <w:b/>
                <w:bCs/>
                <w:sz w:val="20"/>
                <w:lang w:val="fr-CH" w:eastAsia="en-US"/>
              </w:rPr>
              <w:t>28</w:t>
            </w:r>
          </w:p>
        </w:tc>
        <w:tc>
          <w:tcPr>
            <w:tcW w:w="1740" w:type="dxa"/>
            <w:tcBorders>
              <w:top w:val="nil"/>
              <w:left w:val="nil"/>
              <w:bottom w:val="nil"/>
              <w:right w:val="nil"/>
            </w:tcBorders>
            <w:shd w:val="clear" w:color="auto" w:fill="auto"/>
            <w:noWrap/>
            <w:vAlign w:val="bottom"/>
            <w:hideMark/>
          </w:tcPr>
          <w:p w:rsidR="00620738" w:rsidRPr="00C97721" w:rsidRDefault="00620738" w:rsidP="00003358">
            <w:pPr>
              <w:rPr>
                <w:rFonts w:eastAsia="Times New Roman"/>
                <w:sz w:val="20"/>
                <w:lang w:val="fr-CH" w:eastAsia="en-US"/>
              </w:rPr>
            </w:pPr>
          </w:p>
        </w:tc>
      </w:tr>
      <w:tr w:rsidR="00620738" w:rsidRPr="00C97721" w:rsidTr="00003358">
        <w:trPr>
          <w:trHeight w:val="270"/>
          <w:jc w:val="center"/>
        </w:trPr>
        <w:tc>
          <w:tcPr>
            <w:tcW w:w="2620" w:type="dxa"/>
            <w:tcBorders>
              <w:top w:val="nil"/>
              <w:left w:val="nil"/>
              <w:bottom w:val="nil"/>
              <w:right w:val="nil"/>
            </w:tcBorders>
            <w:shd w:val="clear" w:color="auto" w:fill="auto"/>
            <w:hideMark/>
          </w:tcPr>
          <w:p w:rsidR="00620738" w:rsidRPr="00C97721" w:rsidRDefault="00620738" w:rsidP="00003358">
            <w:pPr>
              <w:rPr>
                <w:rFonts w:eastAsia="Times New Roman"/>
                <w:sz w:val="16"/>
                <w:szCs w:val="16"/>
                <w:lang w:val="fr-CH" w:eastAsia="en-US"/>
              </w:rPr>
            </w:pPr>
          </w:p>
        </w:tc>
        <w:tc>
          <w:tcPr>
            <w:tcW w:w="1820" w:type="dxa"/>
            <w:tcBorders>
              <w:top w:val="nil"/>
              <w:left w:val="nil"/>
              <w:bottom w:val="nil"/>
              <w:right w:val="nil"/>
            </w:tcBorders>
            <w:shd w:val="clear" w:color="auto" w:fill="auto"/>
            <w:noWrap/>
            <w:vAlign w:val="bottom"/>
            <w:hideMark/>
          </w:tcPr>
          <w:p w:rsidR="00620738" w:rsidRPr="00C97721" w:rsidRDefault="00620738" w:rsidP="00003358">
            <w:pPr>
              <w:rPr>
                <w:rFonts w:eastAsia="Times New Roman"/>
                <w:sz w:val="20"/>
                <w:lang w:val="fr-CH" w:eastAsia="en-US"/>
              </w:rPr>
            </w:pPr>
            <w:r w:rsidRPr="00C97721">
              <w:rPr>
                <w:rFonts w:eastAsia="Times New Roman"/>
                <w:sz w:val="20"/>
                <w:lang w:val="fr-CH" w:eastAsia="en-US"/>
              </w:rPr>
              <w:t>Nombre total d’unités</w:t>
            </w:r>
          </w:p>
        </w:tc>
        <w:tc>
          <w:tcPr>
            <w:tcW w:w="1439"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b/>
                <w:bCs/>
                <w:sz w:val="20"/>
                <w:lang w:val="fr-CH" w:eastAsia="en-US"/>
              </w:rPr>
            </w:pPr>
            <w:r w:rsidRPr="00C97721">
              <w:rPr>
                <w:rFonts w:eastAsia="Times New Roman"/>
                <w:b/>
                <w:bCs/>
                <w:sz w:val="20"/>
                <w:lang w:val="fr-CH" w:eastAsia="en-US"/>
              </w:rPr>
              <w:t>72,09375</w:t>
            </w:r>
          </w:p>
        </w:tc>
        <w:tc>
          <w:tcPr>
            <w:tcW w:w="1740" w:type="dxa"/>
            <w:tcBorders>
              <w:top w:val="nil"/>
              <w:left w:val="nil"/>
              <w:bottom w:val="nil"/>
              <w:right w:val="nil"/>
            </w:tcBorders>
            <w:shd w:val="clear" w:color="auto" w:fill="auto"/>
            <w:hideMark/>
          </w:tcPr>
          <w:p w:rsidR="00620738" w:rsidRPr="00C97721" w:rsidRDefault="00620738" w:rsidP="00003358">
            <w:pPr>
              <w:rPr>
                <w:rFonts w:eastAsia="Times New Roman"/>
                <w:sz w:val="16"/>
                <w:szCs w:val="16"/>
                <w:lang w:val="fr-CH" w:eastAsia="en-US"/>
              </w:rPr>
            </w:pPr>
          </w:p>
        </w:tc>
      </w:tr>
    </w:tbl>
    <w:p w:rsidR="00620738" w:rsidRPr="00C97721" w:rsidRDefault="00620738" w:rsidP="00620738">
      <w:pPr>
        <w:rPr>
          <w:b/>
          <w:szCs w:val="22"/>
          <w:lang w:val="fr-CH"/>
        </w:rPr>
      </w:pPr>
    </w:p>
    <w:p w:rsidR="00620738" w:rsidRPr="00C97721" w:rsidRDefault="00620738" w:rsidP="00620738">
      <w:pPr>
        <w:rPr>
          <w:b/>
          <w:szCs w:val="22"/>
          <w:lang w:val="fr-CH"/>
        </w:rPr>
      </w:pPr>
      <w:r w:rsidRPr="00C97721">
        <w:rPr>
          <w:b/>
          <w:szCs w:val="22"/>
          <w:lang w:val="fr-CH"/>
        </w:rPr>
        <w:br w:type="page"/>
      </w:r>
    </w:p>
    <w:p w:rsidR="00620738" w:rsidRPr="00C97721" w:rsidRDefault="00620738" w:rsidP="00620738">
      <w:pPr>
        <w:autoSpaceDE w:val="0"/>
        <w:autoSpaceDN w:val="0"/>
        <w:adjustRightInd w:val="0"/>
        <w:jc w:val="center"/>
        <w:rPr>
          <w:rFonts w:eastAsia="Times New Roman"/>
          <w:b/>
          <w:caps/>
          <w:szCs w:val="22"/>
          <w:lang w:val="fr-CH"/>
        </w:rPr>
      </w:pPr>
      <w:r w:rsidRPr="00C97721">
        <w:rPr>
          <w:rFonts w:eastAsia="Times New Roman"/>
          <w:b/>
          <w:caps/>
          <w:szCs w:val="22"/>
          <w:lang w:val="fr-CH"/>
        </w:rPr>
        <w:lastRenderedPageBreak/>
        <w:t xml:space="preserve">simulation préliminaire des montants des contributions </w:t>
      </w:r>
    </w:p>
    <w:p w:rsidR="00620738" w:rsidRPr="00C97721" w:rsidRDefault="00620738" w:rsidP="00620738">
      <w:pPr>
        <w:autoSpaceDE w:val="0"/>
        <w:autoSpaceDN w:val="0"/>
        <w:adjustRightInd w:val="0"/>
        <w:jc w:val="center"/>
        <w:rPr>
          <w:rFonts w:eastAsia="Times New Roman"/>
          <w:b/>
          <w:caps/>
          <w:szCs w:val="22"/>
          <w:lang w:val="fr-CH"/>
        </w:rPr>
      </w:pPr>
      <w:r w:rsidRPr="00C97721">
        <w:rPr>
          <w:rFonts w:eastAsia="Times New Roman"/>
          <w:b/>
          <w:caps/>
          <w:szCs w:val="22"/>
          <w:lang w:val="fr-CH"/>
        </w:rPr>
        <w:t>pour l’Union de Lisbonne – en fonction du nombre d’enregistrements en vigueur par pays d’origine</w:t>
      </w:r>
    </w:p>
    <w:p w:rsidR="00620738" w:rsidRPr="00C97721" w:rsidRDefault="00620738" w:rsidP="00620738">
      <w:pPr>
        <w:rPr>
          <w:rFonts w:eastAsia="Times New Roman"/>
          <w:i/>
          <w:iCs/>
          <w:szCs w:val="22"/>
          <w:lang w:val="fr-CH"/>
        </w:rPr>
      </w:pPr>
      <w:r w:rsidRPr="00C97721">
        <w:rPr>
          <w:rFonts w:eastAsia="Times New Roman"/>
          <w:i/>
          <w:iCs/>
          <w:szCs w:val="22"/>
          <w:lang w:val="fr-CH"/>
        </w:rPr>
        <w:t>(Étant entendu que les contributions doivent couvrir un déficit de 100 000 francs suisses)</w:t>
      </w:r>
    </w:p>
    <w:p w:rsidR="00620738" w:rsidRPr="00C97721" w:rsidRDefault="00620738" w:rsidP="00620738">
      <w:pPr>
        <w:jc w:val="center"/>
        <w:rPr>
          <w:rFonts w:eastAsia="Times New Roman"/>
          <w:i/>
          <w:iCs/>
          <w:szCs w:val="22"/>
          <w:lang w:val="fr-CH"/>
        </w:rPr>
      </w:pPr>
    </w:p>
    <w:p w:rsidR="00620738" w:rsidRPr="00C97721" w:rsidRDefault="00620738" w:rsidP="00620738">
      <w:pPr>
        <w:ind w:left="6663"/>
        <w:rPr>
          <w:rFonts w:eastAsia="Times New Roman"/>
          <w:b/>
          <w:i/>
          <w:iCs/>
          <w:sz w:val="20"/>
          <w:szCs w:val="22"/>
          <w:lang w:val="fr-CH"/>
        </w:rPr>
      </w:pPr>
      <w:r w:rsidRPr="00C97721">
        <w:rPr>
          <w:rFonts w:eastAsia="Times New Roman"/>
          <w:b/>
          <w:i/>
          <w:iCs/>
          <w:sz w:val="20"/>
          <w:szCs w:val="22"/>
          <w:lang w:val="fr-CH"/>
        </w:rPr>
        <w:t>Contribution</w:t>
      </w:r>
    </w:p>
    <w:p w:rsidR="00620738" w:rsidRPr="00C97721" w:rsidRDefault="00620738" w:rsidP="00620738">
      <w:pPr>
        <w:spacing w:after="120"/>
        <w:ind w:left="6663"/>
        <w:rPr>
          <w:rFonts w:eastAsia="Times New Roman"/>
          <w:i/>
          <w:iCs/>
          <w:sz w:val="20"/>
          <w:szCs w:val="22"/>
          <w:lang w:val="fr-CH"/>
        </w:rPr>
      </w:pPr>
      <w:r w:rsidRPr="00C97721">
        <w:rPr>
          <w:rFonts w:eastAsia="Times New Roman"/>
          <w:i/>
          <w:iCs/>
          <w:sz w:val="20"/>
          <w:szCs w:val="22"/>
          <w:lang w:val="fr-CH"/>
        </w:rPr>
        <w:t>(</w:t>
      </w:r>
      <w:proofErr w:type="gramStart"/>
      <w:r w:rsidRPr="00C97721">
        <w:rPr>
          <w:rFonts w:eastAsia="Times New Roman"/>
          <w:i/>
          <w:iCs/>
          <w:sz w:val="20"/>
          <w:szCs w:val="22"/>
          <w:lang w:val="fr-CH"/>
        </w:rPr>
        <w:t>en</w:t>
      </w:r>
      <w:proofErr w:type="gramEnd"/>
      <w:r w:rsidRPr="00C97721">
        <w:rPr>
          <w:rFonts w:eastAsia="Times New Roman"/>
          <w:i/>
          <w:iCs/>
          <w:sz w:val="20"/>
          <w:szCs w:val="22"/>
          <w:lang w:val="fr-CH"/>
        </w:rPr>
        <w:t xml:space="preserve"> francs suisses)</w:t>
      </w:r>
    </w:p>
    <w:tbl>
      <w:tblPr>
        <w:tblW w:w="7560" w:type="dxa"/>
        <w:jc w:val="center"/>
        <w:tblInd w:w="93" w:type="dxa"/>
        <w:tblLook w:val="04A0" w:firstRow="1" w:lastRow="0" w:firstColumn="1" w:lastColumn="0" w:noHBand="0" w:noVBand="1"/>
      </w:tblPr>
      <w:tblGrid>
        <w:gridCol w:w="2620"/>
        <w:gridCol w:w="2050"/>
        <w:gridCol w:w="3180"/>
      </w:tblGrid>
      <w:tr w:rsidR="00620738" w:rsidRPr="00C97721" w:rsidTr="00003358">
        <w:trPr>
          <w:trHeight w:val="510"/>
          <w:jc w:val="center"/>
        </w:trPr>
        <w:tc>
          <w:tcPr>
            <w:tcW w:w="2620" w:type="dxa"/>
            <w:tcBorders>
              <w:top w:val="single" w:sz="4" w:space="0" w:color="auto"/>
              <w:left w:val="single" w:sz="4" w:space="0" w:color="auto"/>
              <w:bottom w:val="single" w:sz="4" w:space="0" w:color="auto"/>
              <w:right w:val="nil"/>
            </w:tcBorders>
            <w:shd w:val="clear" w:color="000000" w:fill="C5D9F1"/>
            <w:noWrap/>
            <w:vAlign w:val="center"/>
            <w:hideMark/>
          </w:tcPr>
          <w:p w:rsidR="00620738" w:rsidRPr="00C97721" w:rsidRDefault="00620738" w:rsidP="00003358">
            <w:pPr>
              <w:jc w:val="center"/>
              <w:rPr>
                <w:rFonts w:eastAsia="Times New Roman"/>
                <w:b/>
                <w:i/>
                <w:iCs/>
                <w:sz w:val="20"/>
                <w:lang w:val="fr-CH" w:eastAsia="en-US"/>
              </w:rPr>
            </w:pPr>
            <w:r w:rsidRPr="00C97721">
              <w:rPr>
                <w:rFonts w:eastAsia="Times New Roman"/>
                <w:b/>
                <w:i/>
                <w:iCs/>
                <w:sz w:val="20"/>
                <w:lang w:val="fr-CH" w:eastAsia="en-US"/>
              </w:rPr>
              <w:t>Pays</w:t>
            </w:r>
          </w:p>
        </w:tc>
        <w:tc>
          <w:tcPr>
            <w:tcW w:w="1760" w:type="dxa"/>
            <w:tcBorders>
              <w:top w:val="single" w:sz="4" w:space="0" w:color="auto"/>
              <w:left w:val="single" w:sz="4" w:space="0" w:color="auto"/>
              <w:bottom w:val="single" w:sz="4" w:space="0" w:color="auto"/>
              <w:right w:val="nil"/>
            </w:tcBorders>
            <w:shd w:val="clear" w:color="000000" w:fill="C5D9F1"/>
            <w:noWrap/>
            <w:vAlign w:val="center"/>
            <w:hideMark/>
          </w:tcPr>
          <w:p w:rsidR="00620738" w:rsidRPr="00C97721" w:rsidRDefault="00620738" w:rsidP="00003358">
            <w:pPr>
              <w:jc w:val="center"/>
              <w:rPr>
                <w:rFonts w:eastAsia="Times New Roman"/>
                <w:b/>
                <w:i/>
                <w:iCs/>
                <w:sz w:val="20"/>
                <w:lang w:val="fr-CH" w:eastAsia="en-US"/>
              </w:rPr>
            </w:pPr>
            <w:r w:rsidRPr="00C97721">
              <w:rPr>
                <w:rFonts w:eastAsia="Times New Roman"/>
                <w:b/>
                <w:i/>
                <w:iCs/>
                <w:sz w:val="20"/>
                <w:lang w:val="fr-CH" w:eastAsia="en-US"/>
              </w:rPr>
              <w:t>Unités/Pondération</w:t>
            </w:r>
          </w:p>
        </w:tc>
        <w:tc>
          <w:tcPr>
            <w:tcW w:w="3180" w:type="dxa"/>
            <w:tcBorders>
              <w:top w:val="single" w:sz="4" w:space="0" w:color="auto"/>
              <w:left w:val="nil"/>
              <w:bottom w:val="single" w:sz="4" w:space="0" w:color="auto"/>
              <w:right w:val="single" w:sz="4" w:space="0" w:color="auto"/>
            </w:tcBorders>
            <w:shd w:val="clear" w:color="000000" w:fill="C5D9F1"/>
            <w:noWrap/>
            <w:vAlign w:val="center"/>
            <w:hideMark/>
          </w:tcPr>
          <w:p w:rsidR="00620738" w:rsidRPr="00C97721" w:rsidRDefault="00620738" w:rsidP="00003358">
            <w:pPr>
              <w:jc w:val="center"/>
              <w:rPr>
                <w:rFonts w:eastAsia="Times New Roman"/>
                <w:b/>
                <w:i/>
                <w:iCs/>
                <w:sz w:val="20"/>
                <w:lang w:val="fr-CH" w:eastAsia="en-US"/>
              </w:rPr>
            </w:pPr>
            <w:r w:rsidRPr="00C97721">
              <w:rPr>
                <w:rFonts w:eastAsia="Times New Roman"/>
                <w:b/>
                <w:i/>
                <w:iCs/>
                <w:sz w:val="20"/>
                <w:lang w:val="fr-CH" w:eastAsia="en-US"/>
              </w:rPr>
              <w:t>Montant</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Algérie</w:t>
            </w:r>
          </w:p>
        </w:tc>
        <w:tc>
          <w:tcPr>
            <w:tcW w:w="176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7</w:t>
            </w:r>
          </w:p>
        </w:tc>
        <w:tc>
          <w:tcPr>
            <w:tcW w:w="318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781</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Bosnie</w:t>
            </w:r>
            <w:r w:rsidRPr="00C97721">
              <w:rPr>
                <w:rFonts w:eastAsia="Times New Roman"/>
                <w:sz w:val="18"/>
                <w:szCs w:val="18"/>
                <w:lang w:val="fr-CH" w:eastAsia="en-US"/>
              </w:rPr>
              <w:noBreakHyphen/>
              <w:t>Herzégovine</w:t>
            </w:r>
          </w:p>
        </w:tc>
        <w:tc>
          <w:tcPr>
            <w:tcW w:w="176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0</w:t>
            </w:r>
          </w:p>
        </w:tc>
        <w:tc>
          <w:tcPr>
            <w:tcW w:w="318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noBreakHyphen/>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Bulgarie</w:t>
            </w:r>
          </w:p>
        </w:tc>
        <w:tc>
          <w:tcPr>
            <w:tcW w:w="176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51</w:t>
            </w:r>
          </w:p>
        </w:tc>
        <w:tc>
          <w:tcPr>
            <w:tcW w:w="318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5 692</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Burkina Faso</w:t>
            </w:r>
          </w:p>
        </w:tc>
        <w:tc>
          <w:tcPr>
            <w:tcW w:w="176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0</w:t>
            </w:r>
          </w:p>
        </w:tc>
        <w:tc>
          <w:tcPr>
            <w:tcW w:w="318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noBreakHyphen/>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 xml:space="preserve">Congo </w:t>
            </w:r>
          </w:p>
        </w:tc>
        <w:tc>
          <w:tcPr>
            <w:tcW w:w="176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0</w:t>
            </w:r>
          </w:p>
        </w:tc>
        <w:tc>
          <w:tcPr>
            <w:tcW w:w="318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noBreakHyphen/>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Costa Rica</w:t>
            </w:r>
          </w:p>
        </w:tc>
        <w:tc>
          <w:tcPr>
            <w:tcW w:w="176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1</w:t>
            </w:r>
          </w:p>
        </w:tc>
        <w:tc>
          <w:tcPr>
            <w:tcW w:w="318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112</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Cuba</w:t>
            </w:r>
          </w:p>
        </w:tc>
        <w:tc>
          <w:tcPr>
            <w:tcW w:w="176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19</w:t>
            </w:r>
          </w:p>
        </w:tc>
        <w:tc>
          <w:tcPr>
            <w:tcW w:w="318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2 121</w:t>
            </w:r>
          </w:p>
        </w:tc>
      </w:tr>
      <w:tr w:rsidR="00620738" w:rsidRPr="00C97721" w:rsidTr="00003358">
        <w:trPr>
          <w:trHeight w:val="480"/>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Ex</w:t>
            </w:r>
            <w:r w:rsidRPr="00C97721">
              <w:rPr>
                <w:rFonts w:eastAsia="Times New Roman"/>
                <w:sz w:val="18"/>
                <w:szCs w:val="18"/>
                <w:lang w:val="fr-CH" w:eastAsia="en-US"/>
              </w:rPr>
              <w:noBreakHyphen/>
              <w:t>République yougoslave de Macédoine</w:t>
            </w:r>
          </w:p>
        </w:tc>
        <w:tc>
          <w:tcPr>
            <w:tcW w:w="176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4</w:t>
            </w:r>
          </w:p>
        </w:tc>
        <w:tc>
          <w:tcPr>
            <w:tcW w:w="318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446</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France</w:t>
            </w:r>
          </w:p>
        </w:tc>
        <w:tc>
          <w:tcPr>
            <w:tcW w:w="176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509</w:t>
            </w:r>
          </w:p>
        </w:tc>
        <w:tc>
          <w:tcPr>
            <w:tcW w:w="318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56 808</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Gabon</w:t>
            </w:r>
          </w:p>
        </w:tc>
        <w:tc>
          <w:tcPr>
            <w:tcW w:w="176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0</w:t>
            </w:r>
          </w:p>
        </w:tc>
        <w:tc>
          <w:tcPr>
            <w:tcW w:w="318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noBreakHyphen/>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Géorgie</w:t>
            </w:r>
          </w:p>
        </w:tc>
        <w:tc>
          <w:tcPr>
            <w:tcW w:w="1760" w:type="dxa"/>
            <w:tcBorders>
              <w:top w:val="nil"/>
              <w:left w:val="nil"/>
              <w:bottom w:val="nil"/>
              <w:right w:val="nil"/>
            </w:tcBorders>
            <w:shd w:val="clear" w:color="auto" w:fill="auto"/>
            <w:vAlign w:val="center"/>
            <w:hideMark/>
          </w:tcPr>
          <w:p w:rsidR="00620738" w:rsidRPr="00C97721" w:rsidRDefault="00620738" w:rsidP="00003358">
            <w:pPr>
              <w:jc w:val="right"/>
              <w:rPr>
                <w:rFonts w:eastAsia="Times New Roman"/>
                <w:sz w:val="18"/>
                <w:szCs w:val="18"/>
                <w:lang w:val="fr-CH" w:eastAsia="en-US"/>
              </w:rPr>
            </w:pPr>
            <w:r w:rsidRPr="00C97721">
              <w:rPr>
                <w:rFonts w:eastAsia="Times New Roman"/>
                <w:sz w:val="18"/>
                <w:szCs w:val="18"/>
                <w:lang w:val="fr-CH" w:eastAsia="en-US"/>
              </w:rPr>
              <w:t>28</w:t>
            </w:r>
          </w:p>
        </w:tc>
        <w:tc>
          <w:tcPr>
            <w:tcW w:w="318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3 125</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Haïti</w:t>
            </w:r>
          </w:p>
        </w:tc>
        <w:tc>
          <w:tcPr>
            <w:tcW w:w="176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0</w:t>
            </w:r>
          </w:p>
        </w:tc>
        <w:tc>
          <w:tcPr>
            <w:tcW w:w="318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noBreakHyphen/>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Hongrie</w:t>
            </w:r>
          </w:p>
        </w:tc>
        <w:tc>
          <w:tcPr>
            <w:tcW w:w="176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28</w:t>
            </w:r>
          </w:p>
        </w:tc>
        <w:tc>
          <w:tcPr>
            <w:tcW w:w="318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3 125</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Iran (République islamique d’)</w:t>
            </w:r>
          </w:p>
        </w:tc>
        <w:tc>
          <w:tcPr>
            <w:tcW w:w="176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16</w:t>
            </w:r>
          </w:p>
        </w:tc>
        <w:tc>
          <w:tcPr>
            <w:tcW w:w="318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1 786</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Israël</w:t>
            </w:r>
          </w:p>
        </w:tc>
        <w:tc>
          <w:tcPr>
            <w:tcW w:w="176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1</w:t>
            </w:r>
          </w:p>
        </w:tc>
        <w:tc>
          <w:tcPr>
            <w:tcW w:w="318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112</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Italie</w:t>
            </w:r>
          </w:p>
        </w:tc>
        <w:tc>
          <w:tcPr>
            <w:tcW w:w="176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101</w:t>
            </w:r>
          </w:p>
        </w:tc>
        <w:tc>
          <w:tcPr>
            <w:tcW w:w="318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11 272</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Mexique</w:t>
            </w:r>
          </w:p>
        </w:tc>
        <w:tc>
          <w:tcPr>
            <w:tcW w:w="176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14</w:t>
            </w:r>
          </w:p>
        </w:tc>
        <w:tc>
          <w:tcPr>
            <w:tcW w:w="318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1 563</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Monténégro</w:t>
            </w:r>
          </w:p>
        </w:tc>
        <w:tc>
          <w:tcPr>
            <w:tcW w:w="176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2</w:t>
            </w:r>
          </w:p>
        </w:tc>
        <w:tc>
          <w:tcPr>
            <w:tcW w:w="318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223</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Nicaragua</w:t>
            </w:r>
          </w:p>
        </w:tc>
        <w:tc>
          <w:tcPr>
            <w:tcW w:w="176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0</w:t>
            </w:r>
          </w:p>
        </w:tc>
        <w:tc>
          <w:tcPr>
            <w:tcW w:w="318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noBreakHyphen/>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Pérou</w:t>
            </w:r>
          </w:p>
        </w:tc>
        <w:tc>
          <w:tcPr>
            <w:tcW w:w="176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8</w:t>
            </w:r>
          </w:p>
        </w:tc>
        <w:tc>
          <w:tcPr>
            <w:tcW w:w="318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893</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Portugal</w:t>
            </w:r>
          </w:p>
        </w:tc>
        <w:tc>
          <w:tcPr>
            <w:tcW w:w="176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7</w:t>
            </w:r>
          </w:p>
        </w:tc>
        <w:tc>
          <w:tcPr>
            <w:tcW w:w="318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781</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 xml:space="preserve">République de Moldova </w:t>
            </w:r>
          </w:p>
        </w:tc>
        <w:tc>
          <w:tcPr>
            <w:tcW w:w="176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1</w:t>
            </w:r>
          </w:p>
        </w:tc>
        <w:tc>
          <w:tcPr>
            <w:tcW w:w="318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112</w:t>
            </w:r>
          </w:p>
        </w:tc>
      </w:tr>
      <w:tr w:rsidR="00620738" w:rsidRPr="00C97721" w:rsidTr="00003358">
        <w:trPr>
          <w:trHeight w:val="480"/>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République populaire démocratique de Corée</w:t>
            </w:r>
          </w:p>
        </w:tc>
        <w:tc>
          <w:tcPr>
            <w:tcW w:w="176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6</w:t>
            </w:r>
          </w:p>
        </w:tc>
        <w:tc>
          <w:tcPr>
            <w:tcW w:w="318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670</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 xml:space="preserve">République tchèque </w:t>
            </w:r>
          </w:p>
        </w:tc>
        <w:tc>
          <w:tcPr>
            <w:tcW w:w="176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76</w:t>
            </w:r>
          </w:p>
        </w:tc>
        <w:tc>
          <w:tcPr>
            <w:tcW w:w="318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8 482</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Serbie</w:t>
            </w:r>
          </w:p>
        </w:tc>
        <w:tc>
          <w:tcPr>
            <w:tcW w:w="176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3</w:t>
            </w:r>
          </w:p>
        </w:tc>
        <w:tc>
          <w:tcPr>
            <w:tcW w:w="318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335</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Slovaquie</w:t>
            </w:r>
          </w:p>
        </w:tc>
        <w:tc>
          <w:tcPr>
            <w:tcW w:w="176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7</w:t>
            </w:r>
          </w:p>
        </w:tc>
        <w:tc>
          <w:tcPr>
            <w:tcW w:w="318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781</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Togo</w:t>
            </w:r>
          </w:p>
        </w:tc>
        <w:tc>
          <w:tcPr>
            <w:tcW w:w="176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0</w:t>
            </w:r>
          </w:p>
        </w:tc>
        <w:tc>
          <w:tcPr>
            <w:tcW w:w="318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noBreakHyphen/>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sz w:val="18"/>
                <w:szCs w:val="18"/>
                <w:lang w:val="fr-CH" w:eastAsia="en-US"/>
              </w:rPr>
            </w:pPr>
            <w:r w:rsidRPr="00C97721">
              <w:rPr>
                <w:rFonts w:eastAsia="Times New Roman"/>
                <w:sz w:val="18"/>
                <w:szCs w:val="18"/>
                <w:lang w:val="fr-CH" w:eastAsia="en-US"/>
              </w:rPr>
              <w:t>Tunisie</w:t>
            </w:r>
          </w:p>
        </w:tc>
        <w:tc>
          <w:tcPr>
            <w:tcW w:w="176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7</w:t>
            </w:r>
          </w:p>
        </w:tc>
        <w:tc>
          <w:tcPr>
            <w:tcW w:w="318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781</w:t>
            </w:r>
          </w:p>
        </w:tc>
      </w:tr>
      <w:tr w:rsidR="00620738" w:rsidRPr="00C97721" w:rsidTr="00003358">
        <w:trPr>
          <w:trHeight w:val="255"/>
          <w:jc w:val="center"/>
        </w:trPr>
        <w:tc>
          <w:tcPr>
            <w:tcW w:w="2620" w:type="dxa"/>
            <w:tcBorders>
              <w:top w:val="nil"/>
              <w:left w:val="nil"/>
              <w:bottom w:val="nil"/>
              <w:right w:val="nil"/>
            </w:tcBorders>
            <w:shd w:val="clear" w:color="auto" w:fill="auto"/>
            <w:vAlign w:val="center"/>
            <w:hideMark/>
          </w:tcPr>
          <w:p w:rsidR="00620738" w:rsidRPr="00C97721" w:rsidRDefault="00620738" w:rsidP="00003358">
            <w:pPr>
              <w:rPr>
                <w:rFonts w:eastAsia="Times New Roman"/>
                <w:b/>
                <w:bCs/>
                <w:sz w:val="18"/>
                <w:szCs w:val="18"/>
                <w:lang w:val="fr-CH" w:eastAsia="en-US"/>
              </w:rPr>
            </w:pPr>
            <w:r w:rsidRPr="00C97721">
              <w:rPr>
                <w:rFonts w:eastAsia="Times New Roman"/>
                <w:b/>
                <w:bCs/>
                <w:sz w:val="18"/>
                <w:szCs w:val="18"/>
                <w:lang w:val="fr-CH" w:eastAsia="en-US"/>
              </w:rPr>
              <w:t xml:space="preserve">Total des contributions </w:t>
            </w:r>
          </w:p>
        </w:tc>
        <w:tc>
          <w:tcPr>
            <w:tcW w:w="1760" w:type="dxa"/>
            <w:tcBorders>
              <w:top w:val="nil"/>
              <w:left w:val="nil"/>
              <w:bottom w:val="nil"/>
              <w:right w:val="nil"/>
            </w:tcBorders>
            <w:shd w:val="clear" w:color="auto" w:fill="auto"/>
            <w:noWrap/>
            <w:vAlign w:val="bottom"/>
            <w:hideMark/>
          </w:tcPr>
          <w:p w:rsidR="00620738" w:rsidRPr="00C97721" w:rsidRDefault="00620738" w:rsidP="00003358">
            <w:pPr>
              <w:rPr>
                <w:rFonts w:eastAsia="Times New Roman"/>
                <w:sz w:val="20"/>
                <w:lang w:val="fr-CH" w:eastAsia="en-US"/>
              </w:rPr>
            </w:pPr>
          </w:p>
        </w:tc>
        <w:tc>
          <w:tcPr>
            <w:tcW w:w="318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b/>
                <w:bCs/>
                <w:sz w:val="20"/>
                <w:lang w:val="fr-CH" w:eastAsia="en-US"/>
              </w:rPr>
            </w:pPr>
            <w:r w:rsidRPr="00C97721">
              <w:rPr>
                <w:rFonts w:eastAsia="Times New Roman"/>
                <w:b/>
                <w:bCs/>
                <w:sz w:val="20"/>
                <w:lang w:val="fr-CH" w:eastAsia="en-US"/>
              </w:rPr>
              <w:t>100 000</w:t>
            </w:r>
          </w:p>
        </w:tc>
      </w:tr>
      <w:tr w:rsidR="00620738" w:rsidRPr="00C97721" w:rsidTr="00003358">
        <w:trPr>
          <w:trHeight w:val="255"/>
          <w:jc w:val="center"/>
        </w:trPr>
        <w:tc>
          <w:tcPr>
            <w:tcW w:w="262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Nombre total de pays</w:t>
            </w:r>
          </w:p>
        </w:tc>
        <w:tc>
          <w:tcPr>
            <w:tcW w:w="176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b/>
                <w:bCs/>
                <w:sz w:val="20"/>
                <w:lang w:val="fr-CH" w:eastAsia="en-US"/>
              </w:rPr>
            </w:pPr>
            <w:r w:rsidRPr="00C97721">
              <w:rPr>
                <w:rFonts w:eastAsia="Times New Roman"/>
                <w:b/>
                <w:bCs/>
                <w:sz w:val="20"/>
                <w:lang w:val="fr-CH" w:eastAsia="en-US"/>
              </w:rPr>
              <w:t>28</w:t>
            </w:r>
          </w:p>
        </w:tc>
        <w:tc>
          <w:tcPr>
            <w:tcW w:w="3180" w:type="dxa"/>
            <w:tcBorders>
              <w:top w:val="nil"/>
              <w:left w:val="nil"/>
              <w:bottom w:val="nil"/>
              <w:right w:val="nil"/>
            </w:tcBorders>
            <w:shd w:val="clear" w:color="auto" w:fill="auto"/>
            <w:noWrap/>
            <w:vAlign w:val="bottom"/>
            <w:hideMark/>
          </w:tcPr>
          <w:p w:rsidR="00620738" w:rsidRPr="00C97721" w:rsidRDefault="00620738" w:rsidP="00003358">
            <w:pPr>
              <w:rPr>
                <w:rFonts w:eastAsia="Times New Roman"/>
                <w:sz w:val="20"/>
                <w:lang w:val="fr-CH" w:eastAsia="en-US"/>
              </w:rPr>
            </w:pPr>
          </w:p>
        </w:tc>
      </w:tr>
      <w:tr w:rsidR="00620738" w:rsidRPr="00C97721" w:rsidTr="00003358">
        <w:trPr>
          <w:trHeight w:val="255"/>
          <w:jc w:val="center"/>
        </w:trPr>
        <w:tc>
          <w:tcPr>
            <w:tcW w:w="262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sz w:val="20"/>
                <w:lang w:val="fr-CH" w:eastAsia="en-US"/>
              </w:rPr>
            </w:pPr>
            <w:r w:rsidRPr="00C97721">
              <w:rPr>
                <w:rFonts w:eastAsia="Times New Roman"/>
                <w:sz w:val="20"/>
                <w:lang w:val="fr-CH" w:eastAsia="en-US"/>
              </w:rPr>
              <w:t>Nombre total d’unités</w:t>
            </w:r>
          </w:p>
        </w:tc>
        <w:tc>
          <w:tcPr>
            <w:tcW w:w="1760" w:type="dxa"/>
            <w:tcBorders>
              <w:top w:val="nil"/>
              <w:left w:val="nil"/>
              <w:bottom w:val="nil"/>
              <w:right w:val="nil"/>
            </w:tcBorders>
            <w:shd w:val="clear" w:color="auto" w:fill="auto"/>
            <w:noWrap/>
            <w:vAlign w:val="bottom"/>
            <w:hideMark/>
          </w:tcPr>
          <w:p w:rsidR="00620738" w:rsidRPr="00C97721" w:rsidRDefault="00620738" w:rsidP="00003358">
            <w:pPr>
              <w:jc w:val="right"/>
              <w:rPr>
                <w:rFonts w:eastAsia="Times New Roman"/>
                <w:b/>
                <w:bCs/>
                <w:sz w:val="20"/>
                <w:lang w:val="fr-CH" w:eastAsia="en-US"/>
              </w:rPr>
            </w:pPr>
            <w:r w:rsidRPr="00C97721">
              <w:rPr>
                <w:rFonts w:eastAsia="Times New Roman"/>
                <w:b/>
                <w:bCs/>
                <w:sz w:val="20"/>
                <w:lang w:val="fr-CH" w:eastAsia="en-US"/>
              </w:rPr>
              <w:t>896</w:t>
            </w:r>
          </w:p>
        </w:tc>
        <w:tc>
          <w:tcPr>
            <w:tcW w:w="3180" w:type="dxa"/>
            <w:tcBorders>
              <w:top w:val="nil"/>
              <w:left w:val="nil"/>
              <w:bottom w:val="nil"/>
              <w:right w:val="nil"/>
            </w:tcBorders>
            <w:shd w:val="clear" w:color="auto" w:fill="auto"/>
            <w:noWrap/>
            <w:vAlign w:val="bottom"/>
            <w:hideMark/>
          </w:tcPr>
          <w:p w:rsidR="00620738" w:rsidRPr="00C97721" w:rsidRDefault="00620738" w:rsidP="00003358">
            <w:pPr>
              <w:rPr>
                <w:rFonts w:eastAsia="Times New Roman"/>
                <w:sz w:val="20"/>
                <w:lang w:val="fr-CH" w:eastAsia="en-US"/>
              </w:rPr>
            </w:pPr>
          </w:p>
        </w:tc>
      </w:tr>
    </w:tbl>
    <w:p w:rsidR="00620738" w:rsidRPr="00C97721" w:rsidRDefault="00620738" w:rsidP="00620738">
      <w:pPr>
        <w:rPr>
          <w:szCs w:val="22"/>
          <w:lang w:val="fr-CH"/>
        </w:rPr>
      </w:pPr>
    </w:p>
    <w:p w:rsidR="00620738" w:rsidRPr="00C97721" w:rsidRDefault="00620738" w:rsidP="00620738">
      <w:pPr>
        <w:rPr>
          <w:szCs w:val="22"/>
          <w:lang w:val="fr-CH"/>
        </w:rPr>
      </w:pPr>
    </w:p>
    <w:p w:rsidR="00620738" w:rsidRPr="00C97721" w:rsidRDefault="00620738" w:rsidP="00620738">
      <w:pPr>
        <w:rPr>
          <w:szCs w:val="22"/>
          <w:lang w:val="fr-CH"/>
        </w:rPr>
      </w:pPr>
    </w:p>
    <w:p w:rsidR="00620738" w:rsidRPr="00C97721" w:rsidRDefault="00620738" w:rsidP="00620738">
      <w:pPr>
        <w:pStyle w:val="Endofdocument-Annex"/>
        <w:rPr>
          <w:lang w:val="fr-CH"/>
        </w:rPr>
      </w:pPr>
      <w:r w:rsidRPr="00C97721">
        <w:rPr>
          <w:lang w:val="fr-CH"/>
        </w:rPr>
        <w:t>[Fin de l’annexe et du document]</w:t>
      </w:r>
    </w:p>
    <w:p w:rsidR="00620738" w:rsidRPr="00C97721" w:rsidRDefault="00620738" w:rsidP="00620738">
      <w:pPr>
        <w:pStyle w:val="Endofdocument-Annex"/>
        <w:rPr>
          <w:lang w:val="fr-CH"/>
        </w:rPr>
      </w:pPr>
    </w:p>
    <w:p w:rsidR="00620738" w:rsidRPr="009710FE" w:rsidRDefault="00620738" w:rsidP="00620738">
      <w:pPr>
        <w:pStyle w:val="ONUMFS"/>
        <w:numPr>
          <w:ilvl w:val="0"/>
          <w:numId w:val="0"/>
        </w:numPr>
        <w:rPr>
          <w:lang w:val="fr-CH"/>
        </w:rPr>
      </w:pPr>
    </w:p>
    <w:p w:rsidR="0036093D" w:rsidRPr="00C85E7E" w:rsidRDefault="0036093D" w:rsidP="0036093D">
      <w:pPr>
        <w:ind w:left="5310"/>
        <w:jc w:val="right"/>
        <w:rPr>
          <w:lang w:val="fr-FR"/>
        </w:rPr>
      </w:pPr>
    </w:p>
    <w:sectPr w:rsidR="0036093D" w:rsidRPr="00C85E7E" w:rsidSect="00DC1D4B">
      <w:headerReference w:type="default" r:id="rId12"/>
      <w:headerReference w:type="first" r:id="rId13"/>
      <w:footerReference w:type="first" r:id="rId14"/>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EDA" w:rsidRDefault="00712EDA">
      <w:r>
        <w:separator/>
      </w:r>
    </w:p>
  </w:endnote>
  <w:endnote w:type="continuationSeparator" w:id="0">
    <w:p w:rsidR="00712EDA" w:rsidRDefault="00712EDA" w:rsidP="003B38C1">
      <w:r>
        <w:separator/>
      </w:r>
    </w:p>
    <w:p w:rsidR="00712EDA" w:rsidRPr="003B38C1" w:rsidRDefault="00712EDA" w:rsidP="003B38C1">
      <w:pPr>
        <w:spacing w:after="60"/>
        <w:rPr>
          <w:sz w:val="17"/>
        </w:rPr>
      </w:pPr>
      <w:r>
        <w:rPr>
          <w:sz w:val="17"/>
        </w:rPr>
        <w:t>[Endnote continued from previous page]</w:t>
      </w:r>
    </w:p>
  </w:endnote>
  <w:endnote w:type="continuationNotice" w:id="1">
    <w:p w:rsidR="00712EDA" w:rsidRPr="003B38C1" w:rsidRDefault="00712ED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1F" w:rsidRPr="00240156" w:rsidRDefault="002E1B7F" w:rsidP="00240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EDA" w:rsidRDefault="00712EDA">
      <w:r>
        <w:separator/>
      </w:r>
    </w:p>
  </w:footnote>
  <w:footnote w:type="continuationSeparator" w:id="0">
    <w:p w:rsidR="00712EDA" w:rsidRDefault="00712EDA" w:rsidP="008B60B2">
      <w:r>
        <w:separator/>
      </w:r>
    </w:p>
    <w:p w:rsidR="00712EDA" w:rsidRPr="00ED77FB" w:rsidRDefault="00712EDA" w:rsidP="008B60B2">
      <w:pPr>
        <w:spacing w:after="60"/>
        <w:rPr>
          <w:sz w:val="17"/>
          <w:szCs w:val="17"/>
        </w:rPr>
      </w:pPr>
      <w:r w:rsidRPr="00ED77FB">
        <w:rPr>
          <w:sz w:val="17"/>
          <w:szCs w:val="17"/>
        </w:rPr>
        <w:t>[Footnote continued from previous page]</w:t>
      </w:r>
    </w:p>
  </w:footnote>
  <w:footnote w:type="continuationNotice" w:id="1">
    <w:p w:rsidR="00712EDA" w:rsidRPr="00ED77FB" w:rsidRDefault="00712EDA" w:rsidP="008B60B2">
      <w:pPr>
        <w:spacing w:before="60"/>
        <w:jc w:val="right"/>
        <w:rPr>
          <w:sz w:val="17"/>
          <w:szCs w:val="17"/>
        </w:rPr>
      </w:pPr>
      <w:r w:rsidRPr="00ED77FB">
        <w:rPr>
          <w:sz w:val="17"/>
          <w:szCs w:val="17"/>
        </w:rPr>
        <w:t>[Footnote continued on next page]</w:t>
      </w:r>
    </w:p>
  </w:footnote>
  <w:footnote w:id="2">
    <w:p w:rsidR="00620738" w:rsidRPr="00086A98" w:rsidRDefault="00620738" w:rsidP="00620738">
      <w:pPr>
        <w:pStyle w:val="FootnoteText"/>
        <w:rPr>
          <w:szCs w:val="18"/>
          <w:lang w:val="fr-CH"/>
        </w:rPr>
      </w:pPr>
      <w:r w:rsidRPr="00537490">
        <w:rPr>
          <w:rStyle w:val="FootnoteReference"/>
          <w:szCs w:val="18"/>
        </w:rPr>
        <w:footnoteRef/>
      </w:r>
      <w:r w:rsidRPr="00086A98">
        <w:rPr>
          <w:szCs w:val="18"/>
          <w:lang w:val="fr-CH"/>
        </w:rPr>
        <w:t xml:space="preserve"> </w:t>
      </w:r>
      <w:r w:rsidRPr="00086A98">
        <w:rPr>
          <w:szCs w:val="18"/>
          <w:lang w:val="fr-CH"/>
        </w:rPr>
        <w:tab/>
        <w:t xml:space="preserve">Liste des décisions, Comité du programme et budget, </w:t>
      </w:r>
      <w:r>
        <w:rPr>
          <w:szCs w:val="18"/>
          <w:lang w:val="fr-CH"/>
        </w:rPr>
        <w:t>v</w:t>
      </w:r>
      <w:r w:rsidRPr="00086A98">
        <w:rPr>
          <w:szCs w:val="18"/>
          <w:lang w:val="fr-CH"/>
        </w:rPr>
        <w:t>ingt</w:t>
      </w:r>
      <w:r>
        <w:rPr>
          <w:szCs w:val="18"/>
          <w:lang w:val="fr-CH"/>
        </w:rPr>
        <w:noBreakHyphen/>
      </w:r>
      <w:r w:rsidRPr="00086A98">
        <w:rPr>
          <w:szCs w:val="18"/>
          <w:lang w:val="fr-CH"/>
        </w:rPr>
        <w:t>troisième</w:t>
      </w:r>
      <w:r>
        <w:rPr>
          <w:szCs w:val="18"/>
          <w:lang w:val="fr-CH"/>
        </w:rPr>
        <w:t> </w:t>
      </w:r>
      <w:r w:rsidRPr="00086A98">
        <w:rPr>
          <w:szCs w:val="18"/>
          <w:lang w:val="fr-CH"/>
        </w:rPr>
        <w:t>s</w:t>
      </w:r>
      <w:r>
        <w:rPr>
          <w:szCs w:val="18"/>
          <w:lang w:val="fr-CH"/>
        </w:rPr>
        <w:t>ession, Genève, 13 – 17 juillet </w:t>
      </w:r>
      <w:r w:rsidRPr="00086A98">
        <w:rPr>
          <w:szCs w:val="18"/>
          <w:lang w:val="fr-CH"/>
        </w:rPr>
        <w:t>2015 (</w:t>
      </w:r>
      <w:r>
        <w:rPr>
          <w:szCs w:val="18"/>
          <w:lang w:val="fr-CH"/>
        </w:rPr>
        <w:t xml:space="preserve">document </w:t>
      </w:r>
      <w:r w:rsidRPr="00086A98">
        <w:rPr>
          <w:szCs w:val="18"/>
          <w:lang w:val="fr-CH"/>
        </w:rPr>
        <w:t>WO/PBC/23/9).</w:t>
      </w:r>
    </w:p>
  </w:footnote>
  <w:footnote w:id="3">
    <w:p w:rsidR="00620738" w:rsidRPr="00875DB6" w:rsidRDefault="00620738" w:rsidP="00620738">
      <w:pPr>
        <w:pStyle w:val="FootnoteText"/>
        <w:rPr>
          <w:lang w:val="fr-CH"/>
        </w:rPr>
      </w:pPr>
      <w:r>
        <w:rPr>
          <w:rStyle w:val="FootnoteReference"/>
        </w:rPr>
        <w:footnoteRef/>
      </w:r>
      <w:r w:rsidRPr="00B7338E">
        <w:rPr>
          <w:lang w:val="fr-CH"/>
        </w:rPr>
        <w:t xml:space="preserve"> </w:t>
      </w:r>
      <w:r>
        <w:rPr>
          <w:color w:val="000000"/>
          <w:lang w:val="fr-CH"/>
        </w:rPr>
        <w:tab/>
      </w:r>
      <w:r w:rsidRPr="00875DB6">
        <w:rPr>
          <w:lang w:val="fr-CH"/>
        </w:rPr>
        <w:t>Y compris les ajustements IPSAS.</w:t>
      </w:r>
    </w:p>
  </w:footnote>
  <w:footnote w:id="4">
    <w:p w:rsidR="00620738" w:rsidRPr="00B1099D" w:rsidRDefault="00620738" w:rsidP="00620738">
      <w:pPr>
        <w:pStyle w:val="FootnoteText"/>
        <w:rPr>
          <w:lang w:val="fr-CH"/>
        </w:rPr>
      </w:pPr>
      <w:r>
        <w:rPr>
          <w:rStyle w:val="FootnoteReference"/>
        </w:rPr>
        <w:footnoteRef/>
      </w:r>
      <w:r w:rsidRPr="00B1099D">
        <w:rPr>
          <w:lang w:val="fr-CH"/>
        </w:rPr>
        <w:t xml:space="preserve"> </w:t>
      </w:r>
      <w:r>
        <w:rPr>
          <w:lang w:val="fr-CH"/>
        </w:rPr>
        <w:tab/>
      </w:r>
      <w:r w:rsidRPr="00B1099D">
        <w:rPr>
          <w:color w:val="000000"/>
          <w:lang w:val="fr-CH"/>
        </w:rPr>
        <w:t>Le calcul se fonde sur le nombre moyen</w:t>
      </w:r>
      <w:r>
        <w:rPr>
          <w:color w:val="000000"/>
          <w:lang w:val="fr-CH"/>
        </w:rPr>
        <w:t xml:space="preserve"> de demandes déposées ces vingt </w:t>
      </w:r>
      <w:r w:rsidRPr="00B1099D">
        <w:rPr>
          <w:color w:val="000000"/>
          <w:lang w:val="fr-CH"/>
        </w:rPr>
        <w:t xml:space="preserve">dernières années </w:t>
      </w:r>
      <w:r>
        <w:rPr>
          <w:color w:val="000000"/>
          <w:lang w:val="fr-CH"/>
        </w:rPr>
        <w:t>étant donné que</w:t>
      </w:r>
      <w:r w:rsidRPr="00B1099D">
        <w:rPr>
          <w:color w:val="000000"/>
          <w:lang w:val="fr-CH"/>
        </w:rPr>
        <w:t xml:space="preserve"> les autres transactions, telles que les modifications, la communication d</w:t>
      </w:r>
      <w:r>
        <w:rPr>
          <w:color w:val="000000"/>
          <w:lang w:val="fr-CH"/>
        </w:rPr>
        <w:t>’</w:t>
      </w:r>
      <w:r w:rsidRPr="00B1099D">
        <w:rPr>
          <w:color w:val="000000"/>
          <w:lang w:val="fr-CH"/>
        </w:rPr>
        <w:t xml:space="preserve">extraits du registre international, etc., représentent </w:t>
      </w:r>
      <w:r>
        <w:rPr>
          <w:color w:val="000000"/>
          <w:lang w:val="fr-CH"/>
        </w:rPr>
        <w:t>en</w:t>
      </w:r>
      <w:r w:rsidRPr="00B1099D">
        <w:rPr>
          <w:color w:val="000000"/>
          <w:lang w:val="fr-CH"/>
        </w:rPr>
        <w:t xml:space="preserve"> moyenne 2,5 transactions par an.</w:t>
      </w:r>
    </w:p>
  </w:footnote>
  <w:footnote w:id="5">
    <w:p w:rsidR="00620738" w:rsidRPr="00B1099D" w:rsidRDefault="00620738" w:rsidP="00620738">
      <w:pPr>
        <w:pStyle w:val="FootnoteText"/>
        <w:rPr>
          <w:lang w:val="fr-CH"/>
        </w:rPr>
      </w:pPr>
      <w:r>
        <w:rPr>
          <w:rStyle w:val="FootnoteReference"/>
        </w:rPr>
        <w:footnoteRef/>
      </w:r>
      <w:r w:rsidRPr="00B1099D">
        <w:rPr>
          <w:lang w:val="fr-CH"/>
        </w:rPr>
        <w:t xml:space="preserve"> </w:t>
      </w:r>
      <w:r>
        <w:rPr>
          <w:lang w:val="fr-CH"/>
        </w:rPr>
        <w:tab/>
      </w:r>
      <w:r w:rsidRPr="00B1099D">
        <w:rPr>
          <w:color w:val="000000"/>
          <w:lang w:val="fr-CH"/>
        </w:rPr>
        <w:t>Voir le document LI/A/32/2.</w:t>
      </w:r>
    </w:p>
  </w:footnote>
  <w:footnote w:id="6">
    <w:p w:rsidR="00620738" w:rsidRPr="00B1099D" w:rsidRDefault="00620738" w:rsidP="00620738">
      <w:pPr>
        <w:pStyle w:val="FootnoteText"/>
        <w:rPr>
          <w:lang w:val="fr-CH"/>
        </w:rPr>
      </w:pPr>
      <w:r>
        <w:rPr>
          <w:rStyle w:val="FootnoteReference"/>
        </w:rPr>
        <w:footnoteRef/>
      </w:r>
      <w:r w:rsidRPr="00B1099D">
        <w:rPr>
          <w:lang w:val="fr-CH"/>
        </w:rPr>
        <w:t xml:space="preserve"> </w:t>
      </w:r>
      <w:r>
        <w:rPr>
          <w:lang w:val="fr-CH"/>
        </w:rPr>
        <w:tab/>
      </w:r>
      <w:r w:rsidRPr="00B1099D">
        <w:rPr>
          <w:color w:val="000000"/>
          <w:lang w:val="fr-CH"/>
        </w:rPr>
        <w:t>Le calcul repose sur l</w:t>
      </w:r>
      <w:r>
        <w:rPr>
          <w:color w:val="000000"/>
          <w:lang w:val="fr-CH"/>
        </w:rPr>
        <w:t>’</w:t>
      </w:r>
      <w:r w:rsidRPr="00B1099D">
        <w:rPr>
          <w:color w:val="000000"/>
          <w:lang w:val="fr-CH"/>
        </w:rPr>
        <w:t>hypothèse selon laquelle le nouveau barème des taxes proposé par l</w:t>
      </w:r>
      <w:r>
        <w:rPr>
          <w:color w:val="000000"/>
          <w:lang w:val="fr-CH"/>
        </w:rPr>
        <w:t>’</w:t>
      </w:r>
      <w:r w:rsidRPr="00B1099D">
        <w:rPr>
          <w:color w:val="000000"/>
          <w:lang w:val="fr-CH"/>
        </w:rPr>
        <w:t>Assemblée de l</w:t>
      </w:r>
      <w:r>
        <w:rPr>
          <w:color w:val="000000"/>
          <w:lang w:val="fr-CH"/>
        </w:rPr>
        <w:t>’</w:t>
      </w:r>
      <w:r w:rsidRPr="00B1099D">
        <w:rPr>
          <w:color w:val="000000"/>
          <w:lang w:val="fr-CH"/>
        </w:rPr>
        <w:t xml:space="preserve">Union de Lisbonne </w:t>
      </w:r>
      <w:r>
        <w:rPr>
          <w:color w:val="000000"/>
          <w:lang w:val="fr-CH"/>
        </w:rPr>
        <w:t>serait</w:t>
      </w:r>
      <w:r w:rsidRPr="00B1099D">
        <w:rPr>
          <w:color w:val="000000"/>
          <w:lang w:val="fr-CH"/>
        </w:rPr>
        <w:t xml:space="preserve"> adopté, ce qui porterait le montant de la taxe requise pour la modification d</w:t>
      </w:r>
      <w:r>
        <w:rPr>
          <w:color w:val="000000"/>
          <w:lang w:val="fr-CH"/>
        </w:rPr>
        <w:t>’</w:t>
      </w:r>
      <w:r w:rsidRPr="00B1099D">
        <w:rPr>
          <w:color w:val="000000"/>
          <w:lang w:val="fr-CH"/>
        </w:rPr>
        <w:t>un enregistrement international à 1500</w:t>
      </w:r>
      <w:r>
        <w:rPr>
          <w:color w:val="000000"/>
          <w:lang w:val="fr-CH"/>
        </w:rPr>
        <w:t> </w:t>
      </w:r>
      <w:r w:rsidRPr="00B1099D">
        <w:rPr>
          <w:color w:val="000000"/>
          <w:lang w:val="fr-CH"/>
        </w:rPr>
        <w:t>francs suisses.</w:t>
      </w:r>
      <w:r w:rsidRPr="00B1099D">
        <w:rPr>
          <w:lang w:val="fr-CH"/>
        </w:rPr>
        <w:t xml:space="preserve"> </w:t>
      </w:r>
      <w:r>
        <w:rPr>
          <w:lang w:val="fr-CH"/>
        </w:rPr>
        <w:t xml:space="preserve"> </w:t>
      </w:r>
      <w:r w:rsidRPr="00F41805">
        <w:rPr>
          <w:color w:val="000000"/>
          <w:lang w:val="fr-CH"/>
        </w:rPr>
        <w:t xml:space="preserve">De ce fait, les recettes </w:t>
      </w:r>
      <w:r>
        <w:rPr>
          <w:color w:val="000000"/>
          <w:lang w:val="fr-CH"/>
        </w:rPr>
        <w:t>provenant</w:t>
      </w:r>
      <w:r w:rsidRPr="00F41805">
        <w:rPr>
          <w:color w:val="000000"/>
          <w:lang w:val="fr-CH"/>
        </w:rPr>
        <w:t xml:space="preserve"> des modifications s</w:t>
      </w:r>
      <w:r>
        <w:rPr>
          <w:color w:val="000000"/>
          <w:lang w:val="fr-CH"/>
        </w:rPr>
        <w:t>’</w:t>
      </w:r>
      <w:r w:rsidRPr="00F41805">
        <w:rPr>
          <w:color w:val="000000"/>
          <w:lang w:val="fr-CH"/>
        </w:rPr>
        <w:t>élèveraient à 30</w:t>
      </w:r>
      <w:r>
        <w:rPr>
          <w:color w:val="000000"/>
          <w:lang w:val="fr-CH"/>
        </w:rPr>
        <w:t> </w:t>
      </w:r>
      <w:r w:rsidRPr="00F41805">
        <w:rPr>
          <w:color w:val="000000"/>
          <w:lang w:val="fr-CH"/>
        </w:rPr>
        <w:t>000</w:t>
      </w:r>
      <w:r>
        <w:rPr>
          <w:color w:val="000000"/>
          <w:lang w:val="fr-CH"/>
        </w:rPr>
        <w:t> </w:t>
      </w:r>
      <w:r w:rsidRPr="00F41805">
        <w:rPr>
          <w:color w:val="000000"/>
          <w:lang w:val="fr-CH"/>
        </w:rPr>
        <w:t>francs suisses par an au cours de l</w:t>
      </w:r>
      <w:r>
        <w:rPr>
          <w:color w:val="000000"/>
          <w:lang w:val="fr-CH"/>
        </w:rPr>
        <w:t>’</w:t>
      </w:r>
      <w:r w:rsidRPr="00F41805">
        <w:rPr>
          <w:color w:val="000000"/>
          <w:lang w:val="fr-CH"/>
        </w:rPr>
        <w:t>exercice biennal</w:t>
      </w:r>
      <w:r>
        <w:rPr>
          <w:color w:val="000000"/>
          <w:lang w:val="fr-CH"/>
        </w:rPr>
        <w:t> 2016</w:t>
      </w:r>
      <w:r>
        <w:rPr>
          <w:color w:val="000000"/>
          <w:lang w:val="fr-CH"/>
        </w:rPr>
        <w:noBreakHyphen/>
      </w:r>
      <w:r w:rsidRPr="00F41805">
        <w:rPr>
          <w:color w:val="000000"/>
          <w:lang w:val="fr-CH"/>
        </w:rPr>
        <w:t>2017.</w:t>
      </w:r>
      <w:r w:rsidRPr="00B1099D">
        <w:rPr>
          <w:lang w:val="fr-CH"/>
        </w:rPr>
        <w:t xml:space="preserve"> </w:t>
      </w:r>
    </w:p>
  </w:footnote>
  <w:footnote w:id="7">
    <w:p w:rsidR="00620738" w:rsidRPr="00F41805" w:rsidRDefault="00620738" w:rsidP="00620738">
      <w:pPr>
        <w:pStyle w:val="FootnoteText"/>
        <w:rPr>
          <w:lang w:val="fr-CH"/>
        </w:rPr>
      </w:pPr>
      <w:r>
        <w:rPr>
          <w:rStyle w:val="FootnoteReference"/>
        </w:rPr>
        <w:footnoteRef/>
      </w:r>
      <w:r w:rsidRPr="00F41805">
        <w:rPr>
          <w:lang w:val="fr-CH"/>
        </w:rPr>
        <w:t xml:space="preserve"> </w:t>
      </w:r>
      <w:r>
        <w:rPr>
          <w:lang w:val="fr-CH"/>
        </w:rPr>
        <w:tab/>
      </w:r>
      <w:r w:rsidRPr="00F41805">
        <w:rPr>
          <w:color w:val="000000"/>
          <w:lang w:val="fr-CH"/>
        </w:rPr>
        <w:t>Le calcul des taxes d</w:t>
      </w:r>
      <w:r>
        <w:rPr>
          <w:color w:val="000000"/>
          <w:lang w:val="fr-CH"/>
        </w:rPr>
        <w:t>’</w:t>
      </w:r>
      <w:r w:rsidRPr="00F41805">
        <w:rPr>
          <w:color w:val="000000"/>
          <w:lang w:val="fr-CH"/>
        </w:rPr>
        <w:t>enregistrement international dans les deux</w:t>
      </w:r>
      <w:r>
        <w:rPr>
          <w:color w:val="000000"/>
          <w:lang w:val="fr-CH"/>
        </w:rPr>
        <w:t> </w:t>
      </w:r>
      <w:r w:rsidRPr="00F41805">
        <w:rPr>
          <w:color w:val="000000"/>
          <w:lang w:val="fr-CH"/>
        </w:rPr>
        <w:t xml:space="preserve">cas de figure ne tient pas compte de la part des </w:t>
      </w:r>
      <w:r>
        <w:rPr>
          <w:color w:val="000000"/>
          <w:lang w:val="fr-CH"/>
        </w:rPr>
        <w:t>“</w:t>
      </w:r>
      <w:r w:rsidRPr="00F41805">
        <w:rPr>
          <w:color w:val="000000"/>
          <w:lang w:val="fr-CH"/>
        </w:rPr>
        <w:t xml:space="preserve">autres </w:t>
      </w:r>
      <w:r>
        <w:rPr>
          <w:color w:val="000000"/>
          <w:lang w:val="fr-CH"/>
        </w:rPr>
        <w:t>recettes”</w:t>
      </w:r>
      <w:r w:rsidRPr="00F41805">
        <w:rPr>
          <w:color w:val="000000"/>
          <w:lang w:val="fr-CH"/>
        </w:rPr>
        <w:t xml:space="preserve"> imputable à l</w:t>
      </w:r>
      <w:r>
        <w:rPr>
          <w:color w:val="000000"/>
          <w:lang w:val="fr-CH"/>
        </w:rPr>
        <w:t>’</w:t>
      </w:r>
      <w:r w:rsidRPr="00F41805">
        <w:rPr>
          <w:color w:val="000000"/>
          <w:lang w:val="fr-CH"/>
        </w:rPr>
        <w:t>Union de Lisbonne selon la méthodologie de répartition des recettes par union telle qu</w:t>
      </w:r>
      <w:r>
        <w:rPr>
          <w:color w:val="000000"/>
          <w:lang w:val="fr-CH"/>
        </w:rPr>
        <w:t>’</w:t>
      </w:r>
      <w:r w:rsidRPr="00F41805">
        <w:rPr>
          <w:color w:val="000000"/>
          <w:lang w:val="fr-CH"/>
        </w:rPr>
        <w:t>elle est décrite à l</w:t>
      </w:r>
      <w:r>
        <w:rPr>
          <w:color w:val="000000"/>
          <w:lang w:val="fr-CH"/>
        </w:rPr>
        <w:t>’</w:t>
      </w:r>
      <w:r w:rsidRPr="00F41805">
        <w:rPr>
          <w:color w:val="000000"/>
          <w:lang w:val="fr-CH"/>
        </w:rPr>
        <w:t>annexe</w:t>
      </w:r>
      <w:r>
        <w:rPr>
          <w:color w:val="000000"/>
          <w:lang w:val="fr-CH"/>
        </w:rPr>
        <w:t> </w:t>
      </w:r>
      <w:r w:rsidRPr="00F41805">
        <w:rPr>
          <w:color w:val="000000"/>
          <w:lang w:val="fr-CH"/>
        </w:rPr>
        <w:t xml:space="preserve">III du </w:t>
      </w:r>
      <w:r>
        <w:rPr>
          <w:color w:val="000000"/>
          <w:lang w:val="fr-CH"/>
        </w:rPr>
        <w:t>p</w:t>
      </w:r>
      <w:r w:rsidRPr="00F41805">
        <w:rPr>
          <w:color w:val="000000"/>
          <w:lang w:val="fr-CH"/>
        </w:rPr>
        <w:t>rojet de programme et budget proposé pour</w:t>
      </w:r>
      <w:r>
        <w:rPr>
          <w:color w:val="000000"/>
          <w:lang w:val="fr-CH"/>
        </w:rPr>
        <w:t> 2016</w:t>
      </w:r>
      <w:r>
        <w:rPr>
          <w:color w:val="000000"/>
          <w:lang w:val="fr-CH"/>
        </w:rPr>
        <w:noBreakHyphen/>
      </w:r>
      <w:r w:rsidRPr="00F41805">
        <w:rPr>
          <w:color w:val="000000"/>
          <w:lang w:val="fr-CH"/>
        </w:rPr>
        <w:t xml:space="preserve">2017. </w:t>
      </w:r>
      <w:r>
        <w:rPr>
          <w:color w:val="000000"/>
          <w:lang w:val="fr-CH"/>
        </w:rPr>
        <w:t xml:space="preserve"> </w:t>
      </w:r>
      <w:r w:rsidRPr="00F41805">
        <w:rPr>
          <w:color w:val="000000"/>
          <w:lang w:val="fr-CH"/>
        </w:rPr>
        <w:t xml:space="preserve">Si la part des </w:t>
      </w:r>
      <w:r>
        <w:rPr>
          <w:color w:val="000000"/>
          <w:lang w:val="fr-CH"/>
        </w:rPr>
        <w:t>“</w:t>
      </w:r>
      <w:r w:rsidRPr="00F41805">
        <w:rPr>
          <w:color w:val="000000"/>
          <w:lang w:val="fr-CH"/>
        </w:rPr>
        <w:t>autres recettes</w:t>
      </w:r>
      <w:r>
        <w:rPr>
          <w:color w:val="000000"/>
          <w:lang w:val="fr-CH"/>
        </w:rPr>
        <w:t>”</w:t>
      </w:r>
      <w:r w:rsidRPr="00F41805">
        <w:rPr>
          <w:color w:val="000000"/>
          <w:lang w:val="fr-CH"/>
        </w:rPr>
        <w:t xml:space="preserve"> </w:t>
      </w:r>
      <w:r>
        <w:rPr>
          <w:color w:val="000000"/>
          <w:lang w:val="fr-CH"/>
        </w:rPr>
        <w:t>devait être</w:t>
      </w:r>
      <w:r w:rsidRPr="00F41805">
        <w:rPr>
          <w:color w:val="000000"/>
          <w:lang w:val="fr-CH"/>
        </w:rPr>
        <w:t xml:space="preserve"> prise en considération, les taxes d</w:t>
      </w:r>
      <w:r>
        <w:rPr>
          <w:color w:val="000000"/>
          <w:lang w:val="fr-CH"/>
        </w:rPr>
        <w:t>’</w:t>
      </w:r>
      <w:r w:rsidRPr="00F41805">
        <w:rPr>
          <w:color w:val="000000"/>
          <w:lang w:val="fr-CH"/>
        </w:rPr>
        <w:t>enregistrement international s</w:t>
      </w:r>
      <w:r>
        <w:rPr>
          <w:color w:val="000000"/>
          <w:lang w:val="fr-CH"/>
        </w:rPr>
        <w:t>’</w:t>
      </w:r>
      <w:r w:rsidRPr="00F41805">
        <w:rPr>
          <w:color w:val="000000"/>
          <w:lang w:val="fr-CH"/>
        </w:rPr>
        <w:t>élèveraient respectivement à 55</w:t>
      </w:r>
      <w:r>
        <w:rPr>
          <w:color w:val="000000"/>
          <w:lang w:val="fr-CH"/>
        </w:rPr>
        <w:t> </w:t>
      </w:r>
      <w:r w:rsidRPr="00F41805">
        <w:rPr>
          <w:color w:val="000000"/>
          <w:lang w:val="fr-CH"/>
        </w:rPr>
        <w:t>464 et 37</w:t>
      </w:r>
      <w:r>
        <w:rPr>
          <w:color w:val="000000"/>
          <w:lang w:val="fr-CH"/>
        </w:rPr>
        <w:t> </w:t>
      </w:r>
      <w:r w:rsidRPr="00F41805">
        <w:rPr>
          <w:color w:val="000000"/>
          <w:lang w:val="fr-CH"/>
        </w:rPr>
        <w:t>325</w:t>
      </w:r>
      <w:r>
        <w:rPr>
          <w:color w:val="000000"/>
          <w:lang w:val="fr-CH"/>
        </w:rPr>
        <w:t> </w:t>
      </w:r>
      <w:r w:rsidRPr="00F41805">
        <w:rPr>
          <w:color w:val="000000"/>
          <w:lang w:val="fr-CH"/>
        </w:rPr>
        <w:t>francs suisses.</w:t>
      </w:r>
      <w:r w:rsidRPr="00F41805">
        <w:rPr>
          <w:lang w:val="fr-CH"/>
        </w:rPr>
        <w:t xml:space="preserve">  </w:t>
      </w:r>
    </w:p>
  </w:footnote>
  <w:footnote w:id="8">
    <w:p w:rsidR="00620738" w:rsidRPr="00F41805" w:rsidRDefault="00620738" w:rsidP="00620738">
      <w:pPr>
        <w:pStyle w:val="FootnoteText"/>
        <w:rPr>
          <w:lang w:val="fr-CH"/>
        </w:rPr>
      </w:pPr>
      <w:r>
        <w:rPr>
          <w:rStyle w:val="FootnoteReference"/>
        </w:rPr>
        <w:footnoteRef/>
      </w:r>
      <w:r w:rsidRPr="00F41805">
        <w:rPr>
          <w:lang w:val="fr-CH"/>
        </w:rPr>
        <w:t xml:space="preserve"> </w:t>
      </w:r>
      <w:r w:rsidRPr="00F41805">
        <w:rPr>
          <w:lang w:val="fr-CH"/>
        </w:rPr>
        <w:tab/>
      </w:r>
      <w:r w:rsidRPr="00F41805">
        <w:rPr>
          <w:color w:val="000000"/>
          <w:lang w:val="fr-CH"/>
        </w:rPr>
        <w:t>Voir le document LI/A/32/2.</w:t>
      </w:r>
    </w:p>
  </w:footnote>
  <w:footnote w:id="9">
    <w:p w:rsidR="00620738" w:rsidRPr="00F41805" w:rsidRDefault="00620738" w:rsidP="00620738">
      <w:pPr>
        <w:pStyle w:val="FootnoteText"/>
        <w:rPr>
          <w:lang w:val="fr-CH"/>
        </w:rPr>
      </w:pPr>
      <w:r>
        <w:rPr>
          <w:rStyle w:val="FootnoteReference"/>
        </w:rPr>
        <w:footnoteRef/>
      </w:r>
      <w:r w:rsidRPr="00F41805">
        <w:rPr>
          <w:lang w:val="fr-CH"/>
        </w:rPr>
        <w:t xml:space="preserve"> </w:t>
      </w:r>
      <w:r w:rsidRPr="00F41805">
        <w:rPr>
          <w:lang w:val="fr-CH"/>
        </w:rPr>
        <w:tab/>
      </w:r>
      <w:r w:rsidRPr="00F41805">
        <w:rPr>
          <w:color w:val="000000"/>
          <w:lang w:val="fr-CH"/>
        </w:rPr>
        <w:t>D</w:t>
      </w:r>
      <w:r>
        <w:rPr>
          <w:color w:val="000000"/>
          <w:lang w:val="fr-CH"/>
        </w:rPr>
        <w:t>’</w:t>
      </w:r>
      <w:r w:rsidRPr="00F41805">
        <w:rPr>
          <w:color w:val="000000"/>
          <w:lang w:val="fr-CH"/>
        </w:rPr>
        <w:t>après les estimations du montant total des recettes et dépenses pour l</w:t>
      </w:r>
      <w:r>
        <w:rPr>
          <w:color w:val="000000"/>
          <w:lang w:val="fr-CH"/>
        </w:rPr>
        <w:t>’</w:t>
      </w:r>
      <w:r w:rsidRPr="00F41805">
        <w:rPr>
          <w:color w:val="000000"/>
          <w:lang w:val="fr-CH"/>
        </w:rPr>
        <w:t>Union de Lisbonne au cours de l</w:t>
      </w:r>
      <w:r>
        <w:rPr>
          <w:color w:val="000000"/>
          <w:lang w:val="fr-CH"/>
        </w:rPr>
        <w:t>’</w:t>
      </w:r>
      <w:r w:rsidRPr="00F41805">
        <w:rPr>
          <w:color w:val="000000"/>
          <w:lang w:val="fr-CH"/>
        </w:rPr>
        <w:t>exercice biennal</w:t>
      </w:r>
      <w:r>
        <w:rPr>
          <w:color w:val="000000"/>
          <w:lang w:val="fr-CH"/>
        </w:rPr>
        <w:t> 2016</w:t>
      </w:r>
      <w:r>
        <w:rPr>
          <w:color w:val="000000"/>
          <w:lang w:val="fr-CH"/>
        </w:rPr>
        <w:noBreakHyphen/>
      </w:r>
      <w:r w:rsidRPr="00F41805">
        <w:rPr>
          <w:color w:val="000000"/>
          <w:lang w:val="fr-CH"/>
        </w:rPr>
        <w:t>2017, y compris la part d</w:t>
      </w:r>
      <w:r>
        <w:rPr>
          <w:color w:val="000000"/>
          <w:lang w:val="fr-CH"/>
        </w:rPr>
        <w:t>es “</w:t>
      </w:r>
      <w:r w:rsidRPr="00F41805">
        <w:rPr>
          <w:color w:val="000000"/>
          <w:lang w:val="fr-CH"/>
        </w:rPr>
        <w:t>autres recettes</w:t>
      </w:r>
      <w:r>
        <w:rPr>
          <w:color w:val="000000"/>
          <w:lang w:val="fr-CH"/>
        </w:rPr>
        <w:t>”</w:t>
      </w:r>
      <w:r w:rsidRPr="00F41805">
        <w:rPr>
          <w:color w:val="000000"/>
          <w:lang w:val="fr-CH"/>
        </w:rPr>
        <w:t xml:space="preserve"> imputable à l</w:t>
      </w:r>
      <w:r>
        <w:rPr>
          <w:color w:val="000000"/>
          <w:lang w:val="fr-CH"/>
        </w:rPr>
        <w:t>’</w:t>
      </w:r>
      <w:r w:rsidRPr="00F41805">
        <w:rPr>
          <w:color w:val="000000"/>
          <w:lang w:val="fr-CH"/>
        </w:rPr>
        <w:t>Union selon la méthodologie de répartition des recettes par union telle qu</w:t>
      </w:r>
      <w:r>
        <w:rPr>
          <w:color w:val="000000"/>
          <w:lang w:val="fr-CH"/>
        </w:rPr>
        <w:t>’</w:t>
      </w:r>
      <w:r w:rsidRPr="00F41805">
        <w:rPr>
          <w:color w:val="000000"/>
          <w:lang w:val="fr-CH"/>
        </w:rPr>
        <w:t>elle est décrite à l</w:t>
      </w:r>
      <w:r>
        <w:rPr>
          <w:color w:val="000000"/>
          <w:lang w:val="fr-CH"/>
        </w:rPr>
        <w:t>’</w:t>
      </w:r>
      <w:r w:rsidRPr="00F41805">
        <w:rPr>
          <w:color w:val="000000"/>
          <w:lang w:val="fr-CH"/>
        </w:rPr>
        <w:t>annexe</w:t>
      </w:r>
      <w:r>
        <w:rPr>
          <w:color w:val="000000"/>
          <w:lang w:val="fr-CH"/>
        </w:rPr>
        <w:t> </w:t>
      </w:r>
      <w:r w:rsidRPr="00F41805">
        <w:rPr>
          <w:color w:val="000000"/>
          <w:lang w:val="fr-CH"/>
        </w:rPr>
        <w:t xml:space="preserve">III du </w:t>
      </w:r>
      <w:r>
        <w:rPr>
          <w:color w:val="000000"/>
          <w:lang w:val="fr-CH"/>
        </w:rPr>
        <w:t>p</w:t>
      </w:r>
      <w:r w:rsidRPr="00F41805">
        <w:rPr>
          <w:color w:val="000000"/>
          <w:lang w:val="fr-CH"/>
        </w:rPr>
        <w:t>rojet de programme et budget proposé pour</w:t>
      </w:r>
      <w:r>
        <w:rPr>
          <w:color w:val="000000"/>
          <w:lang w:val="fr-CH"/>
        </w:rPr>
        <w:t> 2016</w:t>
      </w:r>
      <w:r>
        <w:rPr>
          <w:color w:val="000000"/>
          <w:lang w:val="fr-CH"/>
        </w:rPr>
        <w:noBreakHyphen/>
      </w:r>
      <w:r w:rsidRPr="00F41805">
        <w:rPr>
          <w:color w:val="000000"/>
          <w:lang w:val="fr-CH"/>
        </w:rPr>
        <w:t>2017.</w:t>
      </w:r>
      <w:r w:rsidRPr="00F41805">
        <w:rPr>
          <w:lang w:val="fr-CH"/>
        </w:rPr>
        <w:t xml:space="preserve"> </w:t>
      </w:r>
    </w:p>
  </w:footnote>
  <w:footnote w:id="10">
    <w:p w:rsidR="00620738" w:rsidRPr="001706CD" w:rsidRDefault="00620738" w:rsidP="00620738">
      <w:pPr>
        <w:pStyle w:val="FootnoteText"/>
        <w:rPr>
          <w:szCs w:val="18"/>
          <w:lang w:val="fr-CH"/>
        </w:rPr>
      </w:pPr>
      <w:r w:rsidRPr="005D64AD">
        <w:rPr>
          <w:rStyle w:val="FootnoteReference"/>
          <w:szCs w:val="18"/>
        </w:rPr>
        <w:footnoteRef/>
      </w:r>
      <w:r w:rsidRPr="005D64AD">
        <w:rPr>
          <w:szCs w:val="18"/>
          <w:lang w:val="fr-CH"/>
        </w:rPr>
        <w:t xml:space="preserve"> </w:t>
      </w:r>
      <w:r w:rsidRPr="005D64AD">
        <w:rPr>
          <w:szCs w:val="18"/>
          <w:lang w:val="fr-CH"/>
        </w:rPr>
        <w:tab/>
      </w:r>
      <w:r>
        <w:rPr>
          <w:szCs w:val="18"/>
          <w:lang w:val="fr-CH"/>
        </w:rPr>
        <w:t>S’agissant</w:t>
      </w:r>
      <w:r w:rsidRPr="005D64AD">
        <w:rPr>
          <w:szCs w:val="18"/>
          <w:lang w:val="fr-CH"/>
        </w:rPr>
        <w:t xml:space="preserve"> </w:t>
      </w:r>
      <w:r>
        <w:rPr>
          <w:szCs w:val="18"/>
          <w:lang w:val="fr-CH"/>
        </w:rPr>
        <w:t>d</w:t>
      </w:r>
      <w:r w:rsidRPr="005D64AD">
        <w:rPr>
          <w:szCs w:val="18"/>
          <w:lang w:val="fr-CH"/>
        </w:rPr>
        <w:t>es décisions, voir les paragraphes</w:t>
      </w:r>
      <w:r>
        <w:rPr>
          <w:szCs w:val="18"/>
          <w:lang w:val="fr-CH"/>
        </w:rPr>
        <w:t> </w:t>
      </w:r>
      <w:r w:rsidRPr="005D64AD">
        <w:rPr>
          <w:szCs w:val="18"/>
          <w:lang w:val="fr-CH"/>
        </w:rPr>
        <w:t>294 et 303 du document AB/VII/23.</w:t>
      </w:r>
    </w:p>
  </w:footnote>
  <w:footnote w:id="11">
    <w:p w:rsidR="00620738" w:rsidRPr="00DC2809" w:rsidRDefault="00620738" w:rsidP="00620738">
      <w:pPr>
        <w:pStyle w:val="FootnoteText"/>
        <w:rPr>
          <w:lang w:val="fr-CH"/>
        </w:rPr>
      </w:pPr>
      <w:r>
        <w:rPr>
          <w:rStyle w:val="FootnoteReference"/>
        </w:rPr>
        <w:footnoteRef/>
      </w:r>
      <w:r w:rsidRPr="00DC2809">
        <w:rPr>
          <w:lang w:val="fr-CH"/>
        </w:rPr>
        <w:t xml:space="preserve"> </w:t>
      </w:r>
      <w:r w:rsidRPr="00DC2809">
        <w:rPr>
          <w:lang w:val="fr-CH"/>
        </w:rPr>
        <w:tab/>
      </w:r>
      <w:r w:rsidRPr="00DC2809">
        <w:rPr>
          <w:color w:val="000000"/>
          <w:lang w:val="fr-CH"/>
        </w:rPr>
        <w:t>Assemblées des États membres de l</w:t>
      </w:r>
      <w:r>
        <w:rPr>
          <w:color w:val="000000"/>
          <w:lang w:val="fr-CH"/>
        </w:rPr>
        <w:t>’OMPI, t</w:t>
      </w:r>
      <w:r w:rsidRPr="00DC2809">
        <w:rPr>
          <w:color w:val="000000"/>
          <w:lang w:val="fr-CH"/>
        </w:rPr>
        <w:t>exte final des modifications qu</w:t>
      </w:r>
      <w:r>
        <w:rPr>
          <w:color w:val="000000"/>
          <w:lang w:val="fr-CH"/>
        </w:rPr>
        <w:t>’</w:t>
      </w:r>
      <w:r w:rsidRPr="00DC2809">
        <w:rPr>
          <w:color w:val="000000"/>
          <w:lang w:val="fr-CH"/>
        </w:rPr>
        <w:t>il est proposé d</w:t>
      </w:r>
      <w:r>
        <w:rPr>
          <w:color w:val="000000"/>
          <w:lang w:val="fr-CH"/>
        </w:rPr>
        <w:t>’</w:t>
      </w:r>
      <w:r w:rsidRPr="00DC2809">
        <w:rPr>
          <w:color w:val="000000"/>
          <w:lang w:val="fr-CH"/>
        </w:rPr>
        <w:t>apporter à la Convention instituant l</w:t>
      </w:r>
      <w:r>
        <w:rPr>
          <w:color w:val="000000"/>
          <w:lang w:val="fr-CH"/>
        </w:rPr>
        <w:t>’</w:t>
      </w:r>
      <w:r w:rsidRPr="00DC2809">
        <w:rPr>
          <w:color w:val="000000"/>
          <w:lang w:val="fr-CH"/>
        </w:rPr>
        <w:t>Organisation Mondiale d</w:t>
      </w:r>
      <w:r>
        <w:rPr>
          <w:color w:val="000000"/>
          <w:lang w:val="fr-CH"/>
        </w:rPr>
        <w:t>e la Propriété Intellectuelle, trente</w:t>
      </w:r>
      <w:r>
        <w:rPr>
          <w:color w:val="000000"/>
          <w:lang w:val="fr-CH"/>
        </w:rPr>
        <w:noBreakHyphen/>
      </w:r>
      <w:r w:rsidRPr="00DC2809">
        <w:rPr>
          <w:color w:val="000000"/>
          <w:lang w:val="fr-CH"/>
        </w:rPr>
        <w:t>neuvième série de réunions, Genève, 22 septembre – 1</w:t>
      </w:r>
      <w:r w:rsidRPr="00A55E80">
        <w:rPr>
          <w:color w:val="000000"/>
          <w:vertAlign w:val="superscript"/>
          <w:lang w:val="fr-CH"/>
        </w:rPr>
        <w:t>er</w:t>
      </w:r>
      <w:r>
        <w:rPr>
          <w:color w:val="000000"/>
          <w:lang w:val="fr-CH"/>
        </w:rPr>
        <w:t> octobre </w:t>
      </w:r>
      <w:r w:rsidRPr="00DC2809">
        <w:rPr>
          <w:color w:val="000000"/>
          <w:lang w:val="fr-CH"/>
        </w:rPr>
        <w:t>2003 (A/39/2).</w:t>
      </w:r>
    </w:p>
  </w:footnote>
  <w:footnote w:id="12">
    <w:p w:rsidR="00620738" w:rsidRPr="00DC2809" w:rsidRDefault="00620738" w:rsidP="00620738">
      <w:pPr>
        <w:pStyle w:val="FootnoteText"/>
        <w:rPr>
          <w:lang w:val="fr-CH"/>
        </w:rPr>
      </w:pPr>
      <w:r>
        <w:rPr>
          <w:rStyle w:val="FootnoteReference"/>
        </w:rPr>
        <w:footnoteRef/>
      </w:r>
      <w:r w:rsidRPr="00DC2809">
        <w:rPr>
          <w:lang w:val="fr-CH"/>
        </w:rPr>
        <w:t xml:space="preserve"> </w:t>
      </w:r>
      <w:r w:rsidRPr="00DC2809">
        <w:rPr>
          <w:lang w:val="fr-CH"/>
        </w:rPr>
        <w:tab/>
      </w:r>
      <w:r w:rsidRPr="00DC2809">
        <w:rPr>
          <w:color w:val="000000"/>
          <w:lang w:val="fr-CH"/>
        </w:rPr>
        <w:t>Assemblées des États membres de l</w:t>
      </w:r>
      <w:r>
        <w:rPr>
          <w:color w:val="000000"/>
          <w:lang w:val="fr-CH"/>
        </w:rPr>
        <w:t>’OMPI, trente</w:t>
      </w:r>
      <w:r>
        <w:rPr>
          <w:color w:val="000000"/>
          <w:lang w:val="fr-CH"/>
        </w:rPr>
        <w:noBreakHyphen/>
      </w:r>
      <w:r w:rsidRPr="00DC2809">
        <w:rPr>
          <w:color w:val="000000"/>
          <w:lang w:val="fr-CH"/>
        </w:rPr>
        <w:t xml:space="preserve">neuvième série de réunions, Genève, </w:t>
      </w:r>
      <w:r>
        <w:rPr>
          <w:color w:val="000000"/>
          <w:lang w:val="fr-CH"/>
        </w:rPr>
        <w:br/>
      </w:r>
      <w:r w:rsidRPr="00DC2809">
        <w:rPr>
          <w:color w:val="000000"/>
          <w:lang w:val="fr-CH"/>
        </w:rPr>
        <w:t xml:space="preserve">22 septembre </w:t>
      </w:r>
      <w:r w:rsidRPr="00DC2809">
        <w:rPr>
          <w:b/>
          <w:color w:val="000000"/>
          <w:lang w:val="fr-CH"/>
        </w:rPr>
        <w:t>–</w:t>
      </w:r>
      <w:r w:rsidRPr="0073028A">
        <w:rPr>
          <w:color w:val="000000"/>
          <w:lang w:val="fr-CH"/>
        </w:rPr>
        <w:t xml:space="preserve"> </w:t>
      </w:r>
      <w:r w:rsidRPr="00DC2809">
        <w:rPr>
          <w:color w:val="000000"/>
          <w:lang w:val="fr-CH"/>
        </w:rPr>
        <w:t>1</w:t>
      </w:r>
      <w:r w:rsidRPr="0073028A">
        <w:rPr>
          <w:color w:val="000000"/>
          <w:vertAlign w:val="superscript"/>
          <w:lang w:val="fr-CH"/>
        </w:rPr>
        <w:t>er</w:t>
      </w:r>
      <w:r w:rsidRPr="00DC2809">
        <w:rPr>
          <w:color w:val="000000"/>
          <w:lang w:val="fr-CH"/>
        </w:rPr>
        <w:t> octobre 2003, Rapport général (A/39/15).</w:t>
      </w:r>
    </w:p>
  </w:footnote>
  <w:footnote w:id="13">
    <w:p w:rsidR="00620738" w:rsidRPr="00240156" w:rsidRDefault="00620738" w:rsidP="00620738">
      <w:pPr>
        <w:pStyle w:val="FootnoteText"/>
        <w:rPr>
          <w:lang w:val="fr-CH"/>
        </w:rPr>
      </w:pPr>
      <w:r>
        <w:rPr>
          <w:rStyle w:val="FootnoteReference"/>
        </w:rPr>
        <w:footnoteRef/>
      </w:r>
      <w:r w:rsidRPr="00D96C1A">
        <w:rPr>
          <w:lang w:val="fr-CH"/>
        </w:rPr>
        <w:t xml:space="preserve"> </w:t>
      </w:r>
      <w:r w:rsidRPr="00D96C1A">
        <w:rPr>
          <w:lang w:val="fr-CH"/>
        </w:rPr>
        <w:tab/>
      </w:r>
      <w:r w:rsidRPr="00240156">
        <w:rPr>
          <w:lang w:val="fr-CH"/>
        </w:rPr>
        <w:t xml:space="preserve">Voir le document intitulé “Système de contribution unique pour les six unions financées par des contributions et alignement des contributions des États qui ne sont membres d’aucune union”, Mémorandum du Directeur général, Organes directeurs de l’OMPI et des unions administrées par l’OMPI, vingt-quatrième série de réunions, Genève, </w:t>
      </w:r>
      <w:r>
        <w:rPr>
          <w:lang w:val="fr-CH"/>
        </w:rPr>
        <w:br/>
        <w:t>20 –</w:t>
      </w:r>
      <w:r w:rsidRPr="00240156">
        <w:rPr>
          <w:lang w:val="fr-CH"/>
        </w:rPr>
        <w:t xml:space="preserve"> 29 septembre 1993 (AB/XXIV/5).</w:t>
      </w:r>
    </w:p>
  </w:footnote>
  <w:footnote w:id="14">
    <w:p w:rsidR="00620738" w:rsidRPr="00941A1D" w:rsidRDefault="00620738" w:rsidP="00620738">
      <w:pPr>
        <w:pStyle w:val="FootnoteText"/>
        <w:rPr>
          <w:lang w:val="fr-CH"/>
        </w:rPr>
      </w:pPr>
      <w:r>
        <w:rPr>
          <w:rStyle w:val="FootnoteReference"/>
        </w:rPr>
        <w:footnoteRef/>
      </w:r>
      <w:r w:rsidRPr="009D17E7">
        <w:rPr>
          <w:lang w:val="fr-CH"/>
        </w:rPr>
        <w:t xml:space="preserve"> </w:t>
      </w:r>
      <w:r>
        <w:rPr>
          <w:lang w:val="fr-CH"/>
        </w:rPr>
        <w:tab/>
        <w:t xml:space="preserve">Outre la Convention instituant l’OMPI, six traités sont actuellement financés par des contributions : la Convention de Paris, la Convention de Berne, l’Arrangement de Strasbourg, l’Arrangement de Nice, l’Arrangement de Locarno et l’Arrangement de Vienne.  </w:t>
      </w:r>
    </w:p>
  </w:footnote>
  <w:footnote w:id="15">
    <w:p w:rsidR="00620738" w:rsidRPr="00F073D1" w:rsidRDefault="00620738" w:rsidP="00620738">
      <w:pPr>
        <w:pStyle w:val="FootnoteText"/>
        <w:rPr>
          <w:szCs w:val="18"/>
          <w:lang w:val="fr-CH"/>
        </w:rPr>
      </w:pPr>
      <w:r w:rsidRPr="00F073D1">
        <w:rPr>
          <w:szCs w:val="18"/>
          <w:vertAlign w:val="superscript"/>
          <w:lang w:val="fr-CH"/>
        </w:rPr>
        <w:footnoteRef/>
      </w:r>
      <w:r w:rsidRPr="00F073D1">
        <w:rPr>
          <w:szCs w:val="18"/>
          <w:vertAlign w:val="superscript"/>
          <w:lang w:val="fr-CH"/>
        </w:rPr>
        <w:t xml:space="preserve"> </w:t>
      </w:r>
      <w:r w:rsidRPr="00F073D1">
        <w:rPr>
          <w:szCs w:val="18"/>
          <w:vertAlign w:val="superscript"/>
          <w:lang w:val="fr-CH"/>
        </w:rPr>
        <w:tab/>
      </w:r>
      <w:r>
        <w:rPr>
          <w:color w:val="000000"/>
          <w:lang w:val="fr-CH"/>
        </w:rPr>
        <w:t>D’</w:t>
      </w:r>
      <w:r w:rsidRPr="00F41805">
        <w:rPr>
          <w:color w:val="000000"/>
          <w:lang w:val="fr-CH"/>
        </w:rPr>
        <w:t>après les estimations du montant total des recettes et dépenses pour l</w:t>
      </w:r>
      <w:r>
        <w:rPr>
          <w:color w:val="000000"/>
          <w:lang w:val="fr-CH"/>
        </w:rPr>
        <w:t>’</w:t>
      </w:r>
      <w:r w:rsidRPr="00F41805">
        <w:rPr>
          <w:color w:val="000000"/>
          <w:lang w:val="fr-CH"/>
        </w:rPr>
        <w:t>Union de Lisbonne au cours de l</w:t>
      </w:r>
      <w:r>
        <w:rPr>
          <w:color w:val="000000"/>
          <w:lang w:val="fr-CH"/>
        </w:rPr>
        <w:t>’</w:t>
      </w:r>
      <w:r w:rsidRPr="00F41805">
        <w:rPr>
          <w:color w:val="000000"/>
          <w:lang w:val="fr-CH"/>
        </w:rPr>
        <w:t>exercice biennal</w:t>
      </w:r>
      <w:r>
        <w:rPr>
          <w:color w:val="000000"/>
          <w:lang w:val="fr-CH"/>
        </w:rPr>
        <w:t> </w:t>
      </w:r>
      <w:r w:rsidRPr="00F41805">
        <w:rPr>
          <w:color w:val="000000"/>
          <w:lang w:val="fr-CH"/>
        </w:rPr>
        <w:t>2016</w:t>
      </w:r>
      <w:r>
        <w:rPr>
          <w:color w:val="000000"/>
          <w:lang w:val="fr-CH"/>
        </w:rPr>
        <w:noBreakHyphen/>
      </w:r>
      <w:r w:rsidRPr="00F41805">
        <w:rPr>
          <w:color w:val="000000"/>
          <w:lang w:val="fr-CH"/>
        </w:rPr>
        <w:t xml:space="preserve">2017, </w:t>
      </w:r>
      <w:r>
        <w:rPr>
          <w:color w:val="000000"/>
          <w:lang w:val="fr-CH"/>
        </w:rPr>
        <w:t>y compris</w:t>
      </w:r>
      <w:r w:rsidRPr="00F41805">
        <w:rPr>
          <w:color w:val="000000"/>
          <w:lang w:val="fr-CH"/>
        </w:rPr>
        <w:t xml:space="preserve"> la part d</w:t>
      </w:r>
      <w:r>
        <w:rPr>
          <w:color w:val="000000"/>
          <w:lang w:val="fr-CH"/>
        </w:rPr>
        <w:t>es “</w:t>
      </w:r>
      <w:r w:rsidRPr="00F41805">
        <w:rPr>
          <w:color w:val="000000"/>
          <w:lang w:val="fr-CH"/>
        </w:rPr>
        <w:t>autres recettes</w:t>
      </w:r>
      <w:r>
        <w:rPr>
          <w:color w:val="000000"/>
          <w:lang w:val="fr-CH"/>
        </w:rPr>
        <w:t>”</w:t>
      </w:r>
      <w:r w:rsidRPr="00F41805">
        <w:rPr>
          <w:color w:val="000000"/>
          <w:lang w:val="fr-CH"/>
        </w:rPr>
        <w:t xml:space="preserve"> imputable à l</w:t>
      </w:r>
      <w:r>
        <w:rPr>
          <w:color w:val="000000"/>
          <w:lang w:val="fr-CH"/>
        </w:rPr>
        <w:t>’</w:t>
      </w:r>
      <w:r w:rsidRPr="00F41805">
        <w:rPr>
          <w:color w:val="000000"/>
          <w:lang w:val="fr-CH"/>
        </w:rPr>
        <w:t>Union selon la méthodologie de répartition des recettes par union telle qu</w:t>
      </w:r>
      <w:r>
        <w:rPr>
          <w:color w:val="000000"/>
          <w:lang w:val="fr-CH"/>
        </w:rPr>
        <w:t>’</w:t>
      </w:r>
      <w:r w:rsidRPr="00F41805">
        <w:rPr>
          <w:color w:val="000000"/>
          <w:lang w:val="fr-CH"/>
        </w:rPr>
        <w:t>elle est décrite à l</w:t>
      </w:r>
      <w:r>
        <w:rPr>
          <w:color w:val="000000"/>
          <w:lang w:val="fr-CH"/>
        </w:rPr>
        <w:t>’</w:t>
      </w:r>
      <w:r w:rsidRPr="00F41805">
        <w:rPr>
          <w:color w:val="000000"/>
          <w:lang w:val="fr-CH"/>
        </w:rPr>
        <w:t>annexe</w:t>
      </w:r>
      <w:r>
        <w:rPr>
          <w:color w:val="000000"/>
          <w:lang w:val="fr-CH"/>
        </w:rPr>
        <w:t> </w:t>
      </w:r>
      <w:r w:rsidRPr="00F41805">
        <w:rPr>
          <w:color w:val="000000"/>
          <w:lang w:val="fr-CH"/>
        </w:rPr>
        <w:t>III du Projet de programme e</w:t>
      </w:r>
      <w:r>
        <w:rPr>
          <w:color w:val="000000"/>
          <w:lang w:val="fr-CH"/>
        </w:rPr>
        <w:t>t budget proposé pour 2016</w:t>
      </w:r>
      <w:r>
        <w:rPr>
          <w:color w:val="000000"/>
          <w:lang w:val="fr-CH"/>
        </w:rPr>
        <w:noBreakHyphen/>
        <w:t xml:space="preserve">2017 </w:t>
      </w:r>
      <w:r w:rsidRPr="00F073D1">
        <w:rPr>
          <w:szCs w:val="18"/>
          <w:lang w:val="fr-CH"/>
        </w:rPr>
        <w:t>et sous réserve de l</w:t>
      </w:r>
      <w:r>
        <w:rPr>
          <w:szCs w:val="18"/>
          <w:lang w:val="fr-CH"/>
        </w:rPr>
        <w:t>’</w:t>
      </w:r>
      <w:r w:rsidRPr="00F073D1">
        <w:rPr>
          <w:szCs w:val="18"/>
          <w:lang w:val="fr-CH"/>
        </w:rPr>
        <w:t>adoption de la proposition de nouveau barème des taxes par l</w:t>
      </w:r>
      <w:r>
        <w:rPr>
          <w:szCs w:val="18"/>
          <w:lang w:val="fr-CH"/>
        </w:rPr>
        <w:t>’</w:t>
      </w:r>
      <w:r w:rsidRPr="00F073D1">
        <w:rPr>
          <w:szCs w:val="18"/>
          <w:lang w:val="fr-CH"/>
        </w:rPr>
        <w:t>Assemblée de l</w:t>
      </w:r>
      <w:r>
        <w:rPr>
          <w:szCs w:val="18"/>
          <w:lang w:val="fr-CH"/>
        </w:rPr>
        <w:t>’</w:t>
      </w:r>
      <w:r w:rsidRPr="00F073D1">
        <w:rPr>
          <w:szCs w:val="18"/>
          <w:lang w:val="fr-CH"/>
        </w:rPr>
        <w:t>Union de Lisbonne.</w:t>
      </w:r>
    </w:p>
  </w:footnote>
  <w:footnote w:id="16">
    <w:p w:rsidR="00620738" w:rsidRPr="00832A07" w:rsidRDefault="00620738" w:rsidP="00620738">
      <w:pPr>
        <w:pStyle w:val="FootnoteText"/>
        <w:rPr>
          <w:lang w:val="fr-CH"/>
        </w:rPr>
      </w:pPr>
      <w:r>
        <w:rPr>
          <w:rStyle w:val="FootnoteReference"/>
        </w:rPr>
        <w:footnoteRef/>
      </w:r>
      <w:r w:rsidRPr="00832A07">
        <w:rPr>
          <w:lang w:val="fr-CH"/>
        </w:rPr>
        <w:t xml:space="preserve"> </w:t>
      </w:r>
      <w:r w:rsidRPr="00832A07">
        <w:rPr>
          <w:lang w:val="fr-CH"/>
        </w:rPr>
        <w:tab/>
      </w:r>
      <w:r>
        <w:rPr>
          <w:lang w:val="fr-CH"/>
        </w:rPr>
        <w:t xml:space="preserve">Voir le document </w:t>
      </w:r>
      <w:r w:rsidRPr="00832A07">
        <w:rPr>
          <w:lang w:val="fr-CH"/>
        </w:rPr>
        <w:t>WO/PBC/23/9.</w:t>
      </w:r>
    </w:p>
  </w:footnote>
  <w:footnote w:id="17">
    <w:p w:rsidR="00620738" w:rsidRPr="00401BB5" w:rsidRDefault="00620738" w:rsidP="00620738">
      <w:pPr>
        <w:pStyle w:val="FootnoteText"/>
        <w:rPr>
          <w:lang w:val="fr-CH"/>
        </w:rPr>
      </w:pPr>
      <w:r>
        <w:rPr>
          <w:rStyle w:val="FootnoteReference"/>
        </w:rPr>
        <w:footnoteRef/>
      </w:r>
      <w:r w:rsidRPr="00401BB5">
        <w:rPr>
          <w:lang w:val="fr-CH"/>
        </w:rPr>
        <w:t xml:space="preserve"> </w:t>
      </w:r>
      <w:r w:rsidRPr="00401BB5">
        <w:rPr>
          <w:lang w:val="fr-CH"/>
        </w:rPr>
        <w:tab/>
      </w:r>
      <w:r w:rsidRPr="00401BB5">
        <w:rPr>
          <w:color w:val="000000"/>
          <w:lang w:val="fr-CH"/>
        </w:rPr>
        <w:t>Les décisions figurent aux paragraphes</w:t>
      </w:r>
      <w:r>
        <w:rPr>
          <w:color w:val="000000"/>
          <w:lang w:val="fr-CH"/>
        </w:rPr>
        <w:t> 294 et </w:t>
      </w:r>
      <w:r w:rsidRPr="00401BB5">
        <w:rPr>
          <w:color w:val="000000"/>
          <w:lang w:val="fr-CH"/>
        </w:rPr>
        <w:t>303 du document AB/VII/23.</w:t>
      </w:r>
    </w:p>
  </w:footnote>
  <w:footnote w:id="18">
    <w:p w:rsidR="00620738" w:rsidRPr="00565170" w:rsidRDefault="00620738" w:rsidP="00620738">
      <w:pPr>
        <w:pStyle w:val="FootnoteText"/>
        <w:rPr>
          <w:szCs w:val="18"/>
          <w:lang w:val="fr-CH"/>
        </w:rPr>
      </w:pPr>
      <w:r w:rsidRPr="009E7754">
        <w:rPr>
          <w:szCs w:val="18"/>
          <w:vertAlign w:val="superscript"/>
        </w:rPr>
        <w:footnoteRef/>
      </w:r>
      <w:r w:rsidRPr="00565170">
        <w:rPr>
          <w:szCs w:val="18"/>
          <w:lang w:val="fr-CH"/>
        </w:rPr>
        <w:t xml:space="preserve"> </w:t>
      </w:r>
      <w:r w:rsidRPr="00565170">
        <w:rPr>
          <w:szCs w:val="18"/>
          <w:lang w:val="fr-CH"/>
        </w:rPr>
        <w:tab/>
      </w:r>
      <w:r w:rsidRPr="00F41805">
        <w:rPr>
          <w:color w:val="000000"/>
          <w:lang w:val="fr-CH"/>
        </w:rPr>
        <w:t>D</w:t>
      </w:r>
      <w:r>
        <w:rPr>
          <w:color w:val="000000"/>
          <w:lang w:val="fr-CH"/>
        </w:rPr>
        <w:t>’</w:t>
      </w:r>
      <w:r w:rsidRPr="00F41805">
        <w:rPr>
          <w:color w:val="000000"/>
          <w:lang w:val="fr-CH"/>
        </w:rPr>
        <w:t>après les estimations du montant total des recettes et dépenses pour l</w:t>
      </w:r>
      <w:r>
        <w:rPr>
          <w:color w:val="000000"/>
          <w:lang w:val="fr-CH"/>
        </w:rPr>
        <w:t>’</w:t>
      </w:r>
      <w:r w:rsidRPr="00F41805">
        <w:rPr>
          <w:color w:val="000000"/>
          <w:lang w:val="fr-CH"/>
        </w:rPr>
        <w:t>Union de Lisbonne au cours de l</w:t>
      </w:r>
      <w:r>
        <w:rPr>
          <w:color w:val="000000"/>
          <w:lang w:val="fr-CH"/>
        </w:rPr>
        <w:t>’</w:t>
      </w:r>
      <w:r w:rsidRPr="00F41805">
        <w:rPr>
          <w:color w:val="000000"/>
          <w:lang w:val="fr-CH"/>
        </w:rPr>
        <w:t>exercice biennal</w:t>
      </w:r>
      <w:r>
        <w:rPr>
          <w:color w:val="000000"/>
          <w:lang w:val="fr-CH"/>
        </w:rPr>
        <w:t> 2016</w:t>
      </w:r>
      <w:r>
        <w:rPr>
          <w:color w:val="000000"/>
          <w:lang w:val="fr-CH"/>
        </w:rPr>
        <w:noBreakHyphen/>
        <w:t>2017, y </w:t>
      </w:r>
      <w:r w:rsidRPr="00F41805">
        <w:rPr>
          <w:color w:val="000000"/>
          <w:lang w:val="fr-CH"/>
        </w:rPr>
        <w:t>compris la part d</w:t>
      </w:r>
      <w:r>
        <w:rPr>
          <w:color w:val="000000"/>
          <w:lang w:val="fr-CH"/>
        </w:rPr>
        <w:t>es “</w:t>
      </w:r>
      <w:r w:rsidRPr="00F41805">
        <w:rPr>
          <w:color w:val="000000"/>
          <w:lang w:val="fr-CH"/>
        </w:rPr>
        <w:t>autres recettes</w:t>
      </w:r>
      <w:r>
        <w:rPr>
          <w:color w:val="000000"/>
          <w:lang w:val="fr-CH"/>
        </w:rPr>
        <w:t>”</w:t>
      </w:r>
      <w:r w:rsidRPr="00F41805">
        <w:rPr>
          <w:color w:val="000000"/>
          <w:lang w:val="fr-CH"/>
        </w:rPr>
        <w:t xml:space="preserve"> imputable à l</w:t>
      </w:r>
      <w:r>
        <w:rPr>
          <w:color w:val="000000"/>
          <w:lang w:val="fr-CH"/>
        </w:rPr>
        <w:t>’</w:t>
      </w:r>
      <w:r w:rsidRPr="00F41805">
        <w:rPr>
          <w:color w:val="000000"/>
          <w:lang w:val="fr-CH"/>
        </w:rPr>
        <w:t>Union selon la méthodologie de répartition des recettes par union telle qu</w:t>
      </w:r>
      <w:r>
        <w:rPr>
          <w:color w:val="000000"/>
          <w:lang w:val="fr-CH"/>
        </w:rPr>
        <w:t>’</w:t>
      </w:r>
      <w:r w:rsidRPr="00F41805">
        <w:rPr>
          <w:color w:val="000000"/>
          <w:lang w:val="fr-CH"/>
        </w:rPr>
        <w:t>elle est décrite à l</w:t>
      </w:r>
      <w:r>
        <w:rPr>
          <w:color w:val="000000"/>
          <w:lang w:val="fr-CH"/>
        </w:rPr>
        <w:t>’</w:t>
      </w:r>
      <w:r w:rsidRPr="00F41805">
        <w:rPr>
          <w:color w:val="000000"/>
          <w:lang w:val="fr-CH"/>
        </w:rPr>
        <w:t>annexe</w:t>
      </w:r>
      <w:r>
        <w:rPr>
          <w:color w:val="000000"/>
          <w:lang w:val="fr-CH"/>
        </w:rPr>
        <w:t> </w:t>
      </w:r>
      <w:r w:rsidRPr="00F41805">
        <w:rPr>
          <w:color w:val="000000"/>
          <w:lang w:val="fr-CH"/>
        </w:rPr>
        <w:t>III du Projet de programme e</w:t>
      </w:r>
      <w:r>
        <w:rPr>
          <w:color w:val="000000"/>
          <w:lang w:val="fr-CH"/>
        </w:rPr>
        <w:t>t budget proposé pour 2016</w:t>
      </w:r>
      <w:r>
        <w:rPr>
          <w:color w:val="000000"/>
          <w:lang w:val="fr-CH"/>
        </w:rPr>
        <w:noBreakHyphen/>
        <w:t xml:space="preserve">2017 </w:t>
      </w:r>
      <w:r w:rsidRPr="00F073D1">
        <w:rPr>
          <w:szCs w:val="18"/>
          <w:lang w:val="fr-CH"/>
        </w:rPr>
        <w:t>et sous réserve de l</w:t>
      </w:r>
      <w:r>
        <w:rPr>
          <w:szCs w:val="18"/>
          <w:lang w:val="fr-CH"/>
        </w:rPr>
        <w:t>’</w:t>
      </w:r>
      <w:r w:rsidRPr="00F073D1">
        <w:rPr>
          <w:szCs w:val="18"/>
          <w:lang w:val="fr-CH"/>
        </w:rPr>
        <w:t>adoption de la proposition de nouveau barème des taxes par l</w:t>
      </w:r>
      <w:r>
        <w:rPr>
          <w:szCs w:val="18"/>
          <w:lang w:val="fr-CH"/>
        </w:rPr>
        <w:t>’</w:t>
      </w:r>
      <w:r w:rsidRPr="00F073D1">
        <w:rPr>
          <w:szCs w:val="18"/>
          <w:lang w:val="fr-CH"/>
        </w:rPr>
        <w:t>Assemblée de l</w:t>
      </w:r>
      <w:r>
        <w:rPr>
          <w:szCs w:val="18"/>
          <w:lang w:val="fr-CH"/>
        </w:rPr>
        <w:t>’</w:t>
      </w:r>
      <w:r w:rsidRPr="00F073D1">
        <w:rPr>
          <w:szCs w:val="18"/>
          <w:lang w:val="fr-CH"/>
        </w:rPr>
        <w:t>Union de Lisbonne.</w:t>
      </w:r>
    </w:p>
  </w:footnote>
  <w:footnote w:id="19">
    <w:p w:rsidR="00620738" w:rsidRPr="001F24C7" w:rsidRDefault="00620738" w:rsidP="00620738">
      <w:pPr>
        <w:pStyle w:val="FootnoteText"/>
        <w:rPr>
          <w:szCs w:val="18"/>
          <w:lang w:val="fr-CH"/>
        </w:rPr>
      </w:pPr>
      <w:r w:rsidRPr="000363D3">
        <w:rPr>
          <w:rStyle w:val="FootnoteReference"/>
          <w:szCs w:val="18"/>
        </w:rPr>
        <w:footnoteRef/>
      </w:r>
      <w:r w:rsidRPr="001F24C7">
        <w:rPr>
          <w:szCs w:val="18"/>
          <w:lang w:val="fr-CH"/>
        </w:rPr>
        <w:t xml:space="preserve"> </w:t>
      </w:r>
      <w:r w:rsidRPr="001F24C7">
        <w:rPr>
          <w:szCs w:val="18"/>
          <w:lang w:val="fr-CH"/>
        </w:rPr>
        <w:tab/>
        <w:t xml:space="preserve">Accord de siège, rapport du directeur général </w:t>
      </w:r>
      <w:r>
        <w:rPr>
          <w:szCs w:val="18"/>
          <w:lang w:val="fr-CH"/>
        </w:rPr>
        <w:t>de l’Organisation Mondiale de la Propriété Intellectuelle, Comité de coordination, deuxième session ordinaire, Genève, du 27 septembre au 2 octobre 1971 (WO/CC/II/3).</w:t>
      </w:r>
    </w:p>
  </w:footnote>
  <w:footnote w:id="20">
    <w:p w:rsidR="00620738" w:rsidRPr="00D9009D" w:rsidRDefault="00620738" w:rsidP="00620738">
      <w:pPr>
        <w:pStyle w:val="FootnoteText"/>
        <w:rPr>
          <w:lang w:val="fr-CH"/>
        </w:rPr>
      </w:pPr>
      <w:r>
        <w:rPr>
          <w:rStyle w:val="FootnoteReference"/>
        </w:rPr>
        <w:footnoteRef/>
      </w:r>
      <w:r w:rsidRPr="00D9009D">
        <w:rPr>
          <w:lang w:val="fr-CH"/>
        </w:rPr>
        <w:t xml:space="preserve"> </w:t>
      </w:r>
      <w:r w:rsidRPr="00D9009D">
        <w:rPr>
          <w:lang w:val="fr-CH"/>
        </w:rPr>
        <w:tab/>
      </w:r>
      <w:r>
        <w:rPr>
          <w:color w:val="000000"/>
          <w:lang w:val="fr-CH"/>
        </w:rPr>
        <w:t>Telle que décrite</w:t>
      </w:r>
      <w:r w:rsidRPr="00D9009D">
        <w:rPr>
          <w:color w:val="000000"/>
          <w:lang w:val="fr-CH"/>
        </w:rPr>
        <w:t xml:space="preserve"> à l</w:t>
      </w:r>
      <w:r>
        <w:rPr>
          <w:color w:val="000000"/>
          <w:lang w:val="fr-CH"/>
        </w:rPr>
        <w:t>’</w:t>
      </w:r>
      <w:r w:rsidRPr="00D9009D">
        <w:rPr>
          <w:color w:val="000000"/>
          <w:lang w:val="fr-CH"/>
        </w:rPr>
        <w:t>annexe</w:t>
      </w:r>
      <w:r>
        <w:rPr>
          <w:color w:val="000000"/>
          <w:lang w:val="fr-CH"/>
        </w:rPr>
        <w:t> </w:t>
      </w:r>
      <w:r w:rsidRPr="00D9009D">
        <w:rPr>
          <w:color w:val="000000"/>
          <w:lang w:val="fr-CH"/>
        </w:rPr>
        <w:t>III du projet de programme et budget proposé pour l</w:t>
      </w:r>
      <w:r>
        <w:rPr>
          <w:color w:val="000000"/>
          <w:lang w:val="fr-CH"/>
        </w:rPr>
        <w:t>’</w:t>
      </w:r>
      <w:r w:rsidRPr="00D9009D">
        <w:rPr>
          <w:color w:val="000000"/>
          <w:lang w:val="fr-CH"/>
        </w:rPr>
        <w:t>exercice biennal</w:t>
      </w:r>
      <w:r>
        <w:rPr>
          <w:color w:val="000000"/>
          <w:lang w:val="fr-CH"/>
        </w:rPr>
        <w:t> 2016</w:t>
      </w:r>
      <w:r>
        <w:rPr>
          <w:color w:val="000000"/>
          <w:lang w:val="fr-CH"/>
        </w:rPr>
        <w:noBreakHyphen/>
      </w:r>
      <w:r w:rsidRPr="00D9009D">
        <w:rPr>
          <w:color w:val="000000"/>
          <w:lang w:val="fr-CH"/>
        </w:rPr>
        <w:t>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712EDA" w:rsidP="00477D6B">
    <w:pPr>
      <w:jc w:val="right"/>
    </w:pPr>
    <w:bookmarkStart w:id="5" w:name="Code2"/>
    <w:bookmarkEnd w:id="5"/>
    <w:r>
      <w:t>LI/A/32/3</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2E1B7F">
      <w:rPr>
        <w:noProof/>
      </w:rPr>
      <w:t>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738" w:rsidRDefault="00620738" w:rsidP="00477D6B">
    <w:pPr>
      <w:jc w:val="right"/>
    </w:pPr>
    <w:r>
      <w:t>WO/PBC/24/16 Rev.</w:t>
    </w:r>
  </w:p>
  <w:p w:rsidR="00620738" w:rsidRDefault="00620738" w:rsidP="00477D6B">
    <w:pPr>
      <w:jc w:val="right"/>
    </w:pPr>
    <w:proofErr w:type="gramStart"/>
    <w:r>
      <w:t>page</w:t>
    </w:r>
    <w:proofErr w:type="gramEnd"/>
    <w:r>
      <w:t xml:space="preserve"> </w:t>
    </w:r>
    <w:r>
      <w:fldChar w:fldCharType="begin"/>
    </w:r>
    <w:r>
      <w:instrText xml:space="preserve"> PAGE  \* MERGEFORMAT </w:instrText>
    </w:r>
    <w:r>
      <w:fldChar w:fldCharType="separate"/>
    </w:r>
    <w:r w:rsidR="002E1B7F">
      <w:rPr>
        <w:noProof/>
      </w:rPr>
      <w:t>2</w:t>
    </w:r>
    <w:r>
      <w:fldChar w:fldCharType="end"/>
    </w:r>
  </w:p>
  <w:p w:rsidR="00620738" w:rsidRDefault="00620738"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1F" w:rsidRPr="002E1B7F" w:rsidRDefault="009417EF" w:rsidP="00477D6B">
    <w:pPr>
      <w:jc w:val="right"/>
      <w:rPr>
        <w:lang w:val="fr-CH"/>
      </w:rPr>
    </w:pPr>
    <w:r w:rsidRPr="002E1B7F">
      <w:rPr>
        <w:lang w:val="fr-CH"/>
      </w:rPr>
      <w:t>WO/PBC/24/16 </w:t>
    </w:r>
    <w:proofErr w:type="spellStart"/>
    <w:r w:rsidRPr="002E1B7F">
      <w:rPr>
        <w:lang w:val="fr-CH"/>
      </w:rPr>
      <w:t>Rev</w:t>
    </w:r>
    <w:proofErr w:type="spellEnd"/>
  </w:p>
  <w:p w:rsidR="00750E1F" w:rsidRPr="002E1B7F" w:rsidRDefault="009417EF" w:rsidP="00477D6B">
    <w:pPr>
      <w:jc w:val="right"/>
      <w:rPr>
        <w:lang w:val="fr-CH"/>
      </w:rPr>
    </w:pPr>
    <w:r w:rsidRPr="002E1B7F">
      <w:rPr>
        <w:lang w:val="fr-CH"/>
      </w:rPr>
      <w:t xml:space="preserve">Annexe, page </w:t>
    </w:r>
    <w:r>
      <w:fldChar w:fldCharType="begin"/>
    </w:r>
    <w:r w:rsidRPr="002E1B7F">
      <w:rPr>
        <w:lang w:val="fr-CH"/>
      </w:rPr>
      <w:instrText xml:space="preserve"> PAGE   \* MERGEFORMAT </w:instrText>
    </w:r>
    <w:r>
      <w:fldChar w:fldCharType="separate"/>
    </w:r>
    <w:r w:rsidR="002E1B7F" w:rsidRPr="002E1B7F">
      <w:rPr>
        <w:noProof/>
        <w:lang w:val="fr-CH"/>
      </w:rPr>
      <w:t>2</w:t>
    </w:r>
    <w:r>
      <w:rPr>
        <w:noProof/>
      </w:rPr>
      <w:fldChar w:fldCharType="end"/>
    </w:r>
  </w:p>
  <w:p w:rsidR="00750E1F" w:rsidRPr="002E1B7F" w:rsidRDefault="002E1B7F" w:rsidP="00477D6B">
    <w:pPr>
      <w:jc w:val="right"/>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80" w:rsidRDefault="009417EF" w:rsidP="00A55E80">
    <w:pPr>
      <w:jc w:val="right"/>
    </w:pPr>
    <w:r>
      <w:t>WO/PBC/24/16 Rev.</w:t>
    </w:r>
  </w:p>
  <w:p w:rsidR="00A55E80" w:rsidRDefault="009417EF" w:rsidP="00A55E80">
    <w:pPr>
      <w:jc w:val="right"/>
    </w:pPr>
    <w:r>
      <w:t>ANNEXE</w:t>
    </w:r>
  </w:p>
  <w:p w:rsidR="00A55E80" w:rsidRDefault="002E1B7F" w:rsidP="00A55E80">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A40AEE"/>
    <w:multiLevelType w:val="hybridMultilevel"/>
    <w:tmpl w:val="ADCE51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AF50D2"/>
    <w:multiLevelType w:val="hybridMultilevel"/>
    <w:tmpl w:val="93F232C2"/>
    <w:lvl w:ilvl="0" w:tplc="F1A85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354C49"/>
    <w:multiLevelType w:val="hybridMultilevel"/>
    <w:tmpl w:val="B4409D8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89671D"/>
    <w:multiLevelType w:val="hybridMultilevel"/>
    <w:tmpl w:val="3446AD46"/>
    <w:lvl w:ilvl="0" w:tplc="7D164E38">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FFB19A2"/>
    <w:multiLevelType w:val="multilevel"/>
    <w:tmpl w:val="4FACEC14"/>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sz w:val="22"/>
        <w:szCs w:val="22"/>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8BF6B09"/>
    <w:multiLevelType w:val="hybridMultilevel"/>
    <w:tmpl w:val="DD7EA9C8"/>
    <w:lvl w:ilvl="0" w:tplc="461AA92E">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B186F1F"/>
    <w:multiLevelType w:val="hybridMultilevel"/>
    <w:tmpl w:val="6F765EA0"/>
    <w:lvl w:ilvl="0" w:tplc="5C1891BC">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A5E59DE"/>
    <w:multiLevelType w:val="hybridMultilevel"/>
    <w:tmpl w:val="9E882F5C"/>
    <w:lvl w:ilvl="0" w:tplc="8E7A6FDA">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10"/>
  </w:num>
  <w:num w:numId="3">
    <w:abstractNumId w:val="0"/>
  </w:num>
  <w:num w:numId="4">
    <w:abstractNumId w:val="11"/>
  </w:num>
  <w:num w:numId="5">
    <w:abstractNumId w:val="2"/>
  </w:num>
  <w:num w:numId="6">
    <w:abstractNumId w:val="7"/>
  </w:num>
  <w:num w:numId="7">
    <w:abstractNumId w:val="4"/>
  </w:num>
  <w:num w:numId="8">
    <w:abstractNumId w:val="3"/>
  </w:num>
  <w:num w:numId="9">
    <w:abstractNumId w:val="1"/>
  </w:num>
  <w:num w:numId="10">
    <w:abstractNumId w:val="8"/>
  </w:num>
  <w:num w:numId="11">
    <w:abstractNumId w:val="12"/>
  </w:num>
  <w:num w:numId="12">
    <w:abstractNumId w:val="9"/>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EDA"/>
    <w:rsid w:val="00042E20"/>
    <w:rsid w:val="00043CAA"/>
    <w:rsid w:val="00075432"/>
    <w:rsid w:val="000871F2"/>
    <w:rsid w:val="000968ED"/>
    <w:rsid w:val="000A5636"/>
    <w:rsid w:val="000B34F6"/>
    <w:rsid w:val="000C38E7"/>
    <w:rsid w:val="000F5E56"/>
    <w:rsid w:val="00134EE4"/>
    <w:rsid w:val="001362EE"/>
    <w:rsid w:val="001832A6"/>
    <w:rsid w:val="001D4382"/>
    <w:rsid w:val="002634C4"/>
    <w:rsid w:val="002928D3"/>
    <w:rsid w:val="002A02F8"/>
    <w:rsid w:val="002E1B7F"/>
    <w:rsid w:val="002F1FE6"/>
    <w:rsid w:val="002F4E68"/>
    <w:rsid w:val="00312F7F"/>
    <w:rsid w:val="003228B7"/>
    <w:rsid w:val="0036093D"/>
    <w:rsid w:val="003673CF"/>
    <w:rsid w:val="003776AB"/>
    <w:rsid w:val="003845C1"/>
    <w:rsid w:val="003A6F89"/>
    <w:rsid w:val="003B38C1"/>
    <w:rsid w:val="003C4391"/>
    <w:rsid w:val="003D25D7"/>
    <w:rsid w:val="003E627E"/>
    <w:rsid w:val="003F2FC0"/>
    <w:rsid w:val="00423E3E"/>
    <w:rsid w:val="00427AF4"/>
    <w:rsid w:val="004400E2"/>
    <w:rsid w:val="004647DA"/>
    <w:rsid w:val="00474062"/>
    <w:rsid w:val="00477D6B"/>
    <w:rsid w:val="004C5791"/>
    <w:rsid w:val="005152EB"/>
    <w:rsid w:val="0053057A"/>
    <w:rsid w:val="00560A29"/>
    <w:rsid w:val="00601475"/>
    <w:rsid w:val="00605827"/>
    <w:rsid w:val="00620738"/>
    <w:rsid w:val="00646050"/>
    <w:rsid w:val="006713CA"/>
    <w:rsid w:val="00676C5C"/>
    <w:rsid w:val="006C45DA"/>
    <w:rsid w:val="00701B2C"/>
    <w:rsid w:val="007031BA"/>
    <w:rsid w:val="007058FB"/>
    <w:rsid w:val="00712EDA"/>
    <w:rsid w:val="007B6A58"/>
    <w:rsid w:val="007D1613"/>
    <w:rsid w:val="0082631E"/>
    <w:rsid w:val="008B2CC1"/>
    <w:rsid w:val="008B60B2"/>
    <w:rsid w:val="008D0440"/>
    <w:rsid w:val="008F1F1B"/>
    <w:rsid w:val="0090731E"/>
    <w:rsid w:val="00916EE2"/>
    <w:rsid w:val="009417EF"/>
    <w:rsid w:val="00966A22"/>
    <w:rsid w:val="0096722F"/>
    <w:rsid w:val="00980843"/>
    <w:rsid w:val="009E2791"/>
    <w:rsid w:val="009E3F6F"/>
    <w:rsid w:val="009E7A64"/>
    <w:rsid w:val="009F499F"/>
    <w:rsid w:val="00A42DAF"/>
    <w:rsid w:val="00A45BD8"/>
    <w:rsid w:val="00A809D3"/>
    <w:rsid w:val="00A85B8E"/>
    <w:rsid w:val="00A9647F"/>
    <w:rsid w:val="00AA3793"/>
    <w:rsid w:val="00AB12B9"/>
    <w:rsid w:val="00AC205C"/>
    <w:rsid w:val="00B05A69"/>
    <w:rsid w:val="00B96BEB"/>
    <w:rsid w:val="00B9734B"/>
    <w:rsid w:val="00C055C9"/>
    <w:rsid w:val="00C11BFE"/>
    <w:rsid w:val="00C64639"/>
    <w:rsid w:val="00C85E7E"/>
    <w:rsid w:val="00C94629"/>
    <w:rsid w:val="00CE166A"/>
    <w:rsid w:val="00D04DB4"/>
    <w:rsid w:val="00D1621C"/>
    <w:rsid w:val="00D45252"/>
    <w:rsid w:val="00D71B4D"/>
    <w:rsid w:val="00D93D55"/>
    <w:rsid w:val="00DA5393"/>
    <w:rsid w:val="00DB7DB9"/>
    <w:rsid w:val="00DC1D4B"/>
    <w:rsid w:val="00E335FE"/>
    <w:rsid w:val="00E5021F"/>
    <w:rsid w:val="00E570EE"/>
    <w:rsid w:val="00EC4E49"/>
    <w:rsid w:val="00ED77FB"/>
    <w:rsid w:val="00F021A6"/>
    <w:rsid w:val="00F078AB"/>
    <w:rsid w:val="00F52E8E"/>
    <w:rsid w:val="00F66152"/>
    <w:rsid w:val="00F961BD"/>
    <w:rsid w:val="00FA0CD2"/>
    <w:rsid w:val="00FB081A"/>
    <w:rsid w:val="00FB77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0871F2"/>
    <w:pPr>
      <w:keepNext/>
      <w:spacing w:before="240" w:after="60"/>
      <w:outlineLvl w:val="1"/>
    </w:pPr>
    <w:rPr>
      <w:b/>
      <w:bCs/>
      <w:iC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570EE"/>
    <w:rPr>
      <w:rFonts w:ascii="Tahoma" w:hAnsi="Tahoma" w:cs="Tahoma"/>
      <w:sz w:val="16"/>
      <w:szCs w:val="16"/>
    </w:rPr>
  </w:style>
  <w:style w:type="character" w:customStyle="1" w:styleId="BalloonTextChar">
    <w:name w:val="Balloon Text Char"/>
    <w:basedOn w:val="DefaultParagraphFont"/>
    <w:link w:val="BalloonText"/>
    <w:rsid w:val="00E570EE"/>
    <w:rPr>
      <w:rFonts w:ascii="Tahoma" w:eastAsia="SimSun" w:hAnsi="Tahoma" w:cs="Tahoma"/>
      <w:sz w:val="16"/>
      <w:szCs w:val="16"/>
      <w:lang w:eastAsia="zh-CN"/>
    </w:rPr>
  </w:style>
  <w:style w:type="paragraph" w:styleId="ListParagraph">
    <w:name w:val="List Paragraph"/>
    <w:basedOn w:val="Normal"/>
    <w:uiPriority w:val="34"/>
    <w:qFormat/>
    <w:rsid w:val="00CE166A"/>
    <w:pPr>
      <w:spacing w:after="200" w:line="276" w:lineRule="auto"/>
      <w:ind w:left="720"/>
      <w:contextualSpacing/>
    </w:pPr>
    <w:rPr>
      <w:rFonts w:asciiTheme="minorHAnsi" w:eastAsiaTheme="minorHAnsi" w:hAnsiTheme="minorHAnsi" w:cstheme="minorBidi"/>
      <w:szCs w:val="22"/>
      <w:lang w:eastAsia="en-US"/>
    </w:rPr>
  </w:style>
  <w:style w:type="character" w:customStyle="1" w:styleId="FootnoteTextChar">
    <w:name w:val="Footnote Text Char"/>
    <w:basedOn w:val="DefaultParagraphFont"/>
    <w:link w:val="FootnoteText"/>
    <w:rsid w:val="00CE166A"/>
    <w:rPr>
      <w:rFonts w:ascii="Arial" w:eastAsia="SimSun" w:hAnsi="Arial" w:cs="Arial"/>
      <w:sz w:val="18"/>
      <w:lang w:eastAsia="zh-CN"/>
    </w:rPr>
  </w:style>
  <w:style w:type="character" w:styleId="FootnoteReference">
    <w:name w:val="footnote reference"/>
    <w:basedOn w:val="DefaultParagraphFont"/>
    <w:unhideWhenUsed/>
    <w:rsid w:val="00CE166A"/>
    <w:rPr>
      <w:vertAlign w:val="superscript"/>
    </w:rPr>
  </w:style>
  <w:style w:type="paragraph" w:customStyle="1" w:styleId="Default">
    <w:name w:val="Default"/>
    <w:rsid w:val="00CE166A"/>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601475"/>
    <w:rPr>
      <w:rFonts w:ascii="Arial" w:eastAsia="SimSun" w:hAnsi="Arial" w:cs="Arial"/>
      <w:sz w:val="22"/>
      <w:lang w:eastAsia="zh-CN"/>
    </w:rPr>
  </w:style>
  <w:style w:type="character" w:styleId="Hyperlink">
    <w:name w:val="Hyperlink"/>
    <w:basedOn w:val="DefaultParagraphFont"/>
    <w:rsid w:val="00FA0CD2"/>
    <w:rPr>
      <w:color w:val="0000FF" w:themeColor="hyperlink"/>
      <w:u w:val="single"/>
    </w:rPr>
  </w:style>
  <w:style w:type="table" w:styleId="TableGrid">
    <w:name w:val="Table Grid"/>
    <w:basedOn w:val="TableNormal"/>
    <w:rsid w:val="00620738"/>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1">
    <w:name w:val="Table Normal1"/>
    <w:basedOn w:val="Normal"/>
    <w:rsid w:val="00620738"/>
    <w:pPr>
      <w:widowControl w:val="0"/>
      <w:adjustRightInd w:val="0"/>
      <w:jc w:val="both"/>
      <w:textAlignment w:val="baseline"/>
    </w:pPr>
    <w:rPr>
      <w:rFonts w:eastAsia="Times New Roman" w:cs="Times New Roman"/>
      <w:snapToGrid w:val="0"/>
      <w:color w:val="000000"/>
      <w:sz w:val="18"/>
      <w:lang w:eastAsia="en-US"/>
    </w:rPr>
  </w:style>
  <w:style w:type="character" w:styleId="EndnoteReference">
    <w:name w:val="endnote reference"/>
    <w:basedOn w:val="DefaultParagraphFont"/>
    <w:rsid w:val="006207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0871F2"/>
    <w:pPr>
      <w:keepNext/>
      <w:spacing w:before="240" w:after="60"/>
      <w:outlineLvl w:val="1"/>
    </w:pPr>
    <w:rPr>
      <w:b/>
      <w:bCs/>
      <w:iC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570EE"/>
    <w:rPr>
      <w:rFonts w:ascii="Tahoma" w:hAnsi="Tahoma" w:cs="Tahoma"/>
      <w:sz w:val="16"/>
      <w:szCs w:val="16"/>
    </w:rPr>
  </w:style>
  <w:style w:type="character" w:customStyle="1" w:styleId="BalloonTextChar">
    <w:name w:val="Balloon Text Char"/>
    <w:basedOn w:val="DefaultParagraphFont"/>
    <w:link w:val="BalloonText"/>
    <w:rsid w:val="00E570EE"/>
    <w:rPr>
      <w:rFonts w:ascii="Tahoma" w:eastAsia="SimSun" w:hAnsi="Tahoma" w:cs="Tahoma"/>
      <w:sz w:val="16"/>
      <w:szCs w:val="16"/>
      <w:lang w:eastAsia="zh-CN"/>
    </w:rPr>
  </w:style>
  <w:style w:type="paragraph" w:styleId="ListParagraph">
    <w:name w:val="List Paragraph"/>
    <w:basedOn w:val="Normal"/>
    <w:uiPriority w:val="34"/>
    <w:qFormat/>
    <w:rsid w:val="00CE166A"/>
    <w:pPr>
      <w:spacing w:after="200" w:line="276" w:lineRule="auto"/>
      <w:ind w:left="720"/>
      <w:contextualSpacing/>
    </w:pPr>
    <w:rPr>
      <w:rFonts w:asciiTheme="minorHAnsi" w:eastAsiaTheme="minorHAnsi" w:hAnsiTheme="minorHAnsi" w:cstheme="minorBidi"/>
      <w:szCs w:val="22"/>
      <w:lang w:eastAsia="en-US"/>
    </w:rPr>
  </w:style>
  <w:style w:type="character" w:customStyle="1" w:styleId="FootnoteTextChar">
    <w:name w:val="Footnote Text Char"/>
    <w:basedOn w:val="DefaultParagraphFont"/>
    <w:link w:val="FootnoteText"/>
    <w:rsid w:val="00CE166A"/>
    <w:rPr>
      <w:rFonts w:ascii="Arial" w:eastAsia="SimSun" w:hAnsi="Arial" w:cs="Arial"/>
      <w:sz w:val="18"/>
      <w:lang w:eastAsia="zh-CN"/>
    </w:rPr>
  </w:style>
  <w:style w:type="character" w:styleId="FootnoteReference">
    <w:name w:val="footnote reference"/>
    <w:basedOn w:val="DefaultParagraphFont"/>
    <w:unhideWhenUsed/>
    <w:rsid w:val="00CE166A"/>
    <w:rPr>
      <w:vertAlign w:val="superscript"/>
    </w:rPr>
  </w:style>
  <w:style w:type="paragraph" w:customStyle="1" w:styleId="Default">
    <w:name w:val="Default"/>
    <w:rsid w:val="00CE166A"/>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601475"/>
    <w:rPr>
      <w:rFonts w:ascii="Arial" w:eastAsia="SimSun" w:hAnsi="Arial" w:cs="Arial"/>
      <w:sz w:val="22"/>
      <w:lang w:eastAsia="zh-CN"/>
    </w:rPr>
  </w:style>
  <w:style w:type="character" w:styleId="Hyperlink">
    <w:name w:val="Hyperlink"/>
    <w:basedOn w:val="DefaultParagraphFont"/>
    <w:rsid w:val="00FA0CD2"/>
    <w:rPr>
      <w:color w:val="0000FF" w:themeColor="hyperlink"/>
      <w:u w:val="single"/>
    </w:rPr>
  </w:style>
  <w:style w:type="table" w:styleId="TableGrid">
    <w:name w:val="Table Grid"/>
    <w:basedOn w:val="TableNormal"/>
    <w:rsid w:val="00620738"/>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1">
    <w:name w:val="Table Normal1"/>
    <w:basedOn w:val="Normal"/>
    <w:rsid w:val="00620738"/>
    <w:pPr>
      <w:widowControl w:val="0"/>
      <w:adjustRightInd w:val="0"/>
      <w:jc w:val="both"/>
      <w:textAlignment w:val="baseline"/>
    </w:pPr>
    <w:rPr>
      <w:rFonts w:eastAsia="Times New Roman" w:cs="Times New Roman"/>
      <w:snapToGrid w:val="0"/>
      <w:color w:val="000000"/>
      <w:sz w:val="18"/>
      <w:lang w:eastAsia="en-US"/>
    </w:rPr>
  </w:style>
  <w:style w:type="character" w:styleId="EndnoteReference">
    <w:name w:val="endnote reference"/>
    <w:basedOn w:val="DefaultParagraphFont"/>
    <w:rsid w:val="006207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LI%20A%203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EE73D-E3D2-4B97-AEBB-399AF2BED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 A 32 (E).dotm</Template>
  <TotalTime>2</TotalTime>
  <Pages>13</Pages>
  <Words>4914</Words>
  <Characters>26676</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LI/A/32/</vt:lpstr>
    </vt:vector>
  </TitlesOfParts>
  <Company>WIPO</Company>
  <LinksUpToDate>false</LinksUpToDate>
  <CharactersWithSpaces>31527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LI/A/32/</dc:title>
  <dc:creator>HÄFLIGER Patience</dc:creator>
  <cp:keywords>ST/mhf</cp:keywords>
  <cp:lastModifiedBy>DORE Marie-Pierre</cp:lastModifiedBy>
  <cp:revision>3</cp:revision>
  <cp:lastPrinted>2015-09-30T07:08:00Z</cp:lastPrinted>
  <dcterms:created xsi:type="dcterms:W3CDTF">2015-09-30T08:56:00Z</dcterms:created>
  <dcterms:modified xsi:type="dcterms:W3CDTF">2015-09-30T08:58:00Z</dcterms:modified>
</cp:coreProperties>
</file>