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8EF47" w14:textId="77777777" w:rsidR="008B2CC1" w:rsidRPr="008B2CC1" w:rsidRDefault="00DB0349" w:rsidP="00DB0349">
      <w:pPr>
        <w:spacing w:after="120"/>
        <w:jc w:val="right"/>
      </w:pPr>
      <w:r>
        <w:rPr>
          <w:noProof/>
          <w:lang w:val="en-US" w:eastAsia="en-US"/>
        </w:rPr>
        <w:drawing>
          <wp:inline distT="0" distB="0" distL="0" distR="0" wp14:anchorId="088E7435" wp14:editId="5C0CCE6C">
            <wp:extent cx="2948267" cy="1332000"/>
            <wp:effectExtent l="0" t="0" r="5080" b="1905"/>
            <wp:docPr id="4" name="Picture 4" descr="Les courbes en direction du ciel du logo de l’OMPI évoquent le progrès de l’humanité stimulé par l’innovation et la créativité." title="Logo de l'OM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IPO_logo_F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267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7BCF" w:rsidRPr="00601760">
        <w:rPr>
          <w:rFonts w:ascii="Arial Black" w:hAnsi="Arial Black"/>
          <w:caps/>
          <w:noProof/>
          <w:sz w:val="15"/>
          <w:szCs w:val="15"/>
          <w:lang w:val="en-US" w:eastAsia="en-US"/>
        </w:rPr>
        <mc:AlternateContent>
          <mc:Choice Requires="wps">
            <w:drawing>
              <wp:inline distT="0" distB="0" distL="0" distR="0" wp14:anchorId="7257F5C6" wp14:editId="337CA664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803C8B3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57405E91" w14:textId="77777777" w:rsidR="008B2CC1" w:rsidRPr="00DB0349" w:rsidRDefault="00F66968" w:rsidP="00DB0349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</w:rPr>
        <w:t>A/6</w:t>
      </w:r>
      <w:r w:rsidR="00265E59">
        <w:rPr>
          <w:rFonts w:ascii="Arial Black" w:hAnsi="Arial Black"/>
          <w:caps/>
          <w:sz w:val="15"/>
          <w:szCs w:val="15"/>
        </w:rPr>
        <w:t>5</w:t>
      </w:r>
      <w:r>
        <w:rPr>
          <w:rFonts w:ascii="Arial Black" w:hAnsi="Arial Black"/>
          <w:caps/>
          <w:sz w:val="15"/>
          <w:szCs w:val="15"/>
        </w:rPr>
        <w:t>/</w:t>
      </w:r>
      <w:bookmarkStart w:id="0" w:name="Code"/>
      <w:r w:rsidR="00556735">
        <w:rPr>
          <w:rFonts w:ascii="Arial Black" w:hAnsi="Arial Black"/>
          <w:caps/>
          <w:sz w:val="15"/>
          <w:szCs w:val="15"/>
        </w:rPr>
        <w:t>INF/4</w:t>
      </w:r>
    </w:p>
    <w:bookmarkEnd w:id="0"/>
    <w:p w14:paraId="5B78D078" w14:textId="46664536" w:rsidR="008B2CC1" w:rsidRPr="00DB0349" w:rsidRDefault="00DB0349" w:rsidP="00DB0349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</w:rPr>
        <w:t>Original</w:t>
      </w:r>
      <w:r w:rsidR="00950170">
        <w:rPr>
          <w:rFonts w:ascii="Arial Black" w:hAnsi="Arial Black"/>
          <w:caps/>
          <w:sz w:val="15"/>
          <w:szCs w:val="15"/>
        </w:rPr>
        <w:t> :</w:t>
      </w:r>
      <w:r>
        <w:rPr>
          <w:rFonts w:ascii="Arial Black" w:hAnsi="Arial Black"/>
          <w:caps/>
          <w:sz w:val="15"/>
          <w:szCs w:val="15"/>
        </w:rPr>
        <w:t xml:space="preserve"> </w:t>
      </w:r>
      <w:bookmarkStart w:id="1" w:name="Original"/>
      <w:r w:rsidR="00556735">
        <w:rPr>
          <w:rFonts w:ascii="Arial Black" w:hAnsi="Arial Black"/>
          <w:caps/>
          <w:sz w:val="15"/>
          <w:szCs w:val="15"/>
        </w:rPr>
        <w:t>anglais</w:t>
      </w:r>
    </w:p>
    <w:bookmarkEnd w:id="1"/>
    <w:p w14:paraId="44E265BC" w14:textId="436F2C82" w:rsidR="008B2CC1" w:rsidRPr="00DB0349" w:rsidRDefault="00DB0349" w:rsidP="00DB0349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</w:rPr>
        <w:t>date</w:t>
      </w:r>
      <w:r w:rsidR="00950170">
        <w:rPr>
          <w:rFonts w:ascii="Arial Black" w:hAnsi="Arial Black"/>
          <w:caps/>
          <w:sz w:val="15"/>
          <w:szCs w:val="15"/>
        </w:rPr>
        <w:t> :</w:t>
      </w:r>
      <w:r>
        <w:rPr>
          <w:rFonts w:ascii="Arial Black" w:hAnsi="Arial Black"/>
          <w:caps/>
          <w:sz w:val="15"/>
          <w:szCs w:val="15"/>
        </w:rPr>
        <w:t xml:space="preserve"> </w:t>
      </w:r>
      <w:bookmarkStart w:id="2" w:name="Date"/>
      <w:r w:rsidR="00556735">
        <w:rPr>
          <w:rFonts w:ascii="Arial Black" w:hAnsi="Arial Black"/>
          <w:caps/>
          <w:sz w:val="15"/>
          <w:szCs w:val="15"/>
        </w:rPr>
        <w:t>1</w:t>
      </w:r>
      <w:r w:rsidR="00552063">
        <w:rPr>
          <w:rFonts w:ascii="Arial Black" w:hAnsi="Arial Black"/>
          <w:caps/>
          <w:sz w:val="15"/>
          <w:szCs w:val="15"/>
        </w:rPr>
        <w:t>8</w:t>
      </w:r>
      <w:r w:rsidR="00950170">
        <w:rPr>
          <w:rFonts w:ascii="Arial Black" w:hAnsi="Arial Black"/>
          <w:caps/>
          <w:sz w:val="15"/>
          <w:szCs w:val="15"/>
        </w:rPr>
        <w:t> juin 20</w:t>
      </w:r>
      <w:r w:rsidR="00556735">
        <w:rPr>
          <w:rFonts w:ascii="Arial Black" w:hAnsi="Arial Black"/>
          <w:caps/>
          <w:sz w:val="15"/>
          <w:szCs w:val="15"/>
        </w:rPr>
        <w:t>24</w:t>
      </w:r>
    </w:p>
    <w:bookmarkEnd w:id="2"/>
    <w:p w14:paraId="3C65A47B" w14:textId="631D8174" w:rsidR="00C40E15" w:rsidRPr="00DB0349" w:rsidRDefault="00F66968" w:rsidP="00DB0349">
      <w:pPr>
        <w:spacing w:after="600"/>
        <w:rPr>
          <w:b/>
          <w:sz w:val="28"/>
          <w:szCs w:val="28"/>
        </w:rPr>
      </w:pPr>
      <w:r w:rsidRPr="00F66968">
        <w:rPr>
          <w:b/>
          <w:sz w:val="28"/>
          <w:szCs w:val="28"/>
        </w:rPr>
        <w:t>Assemblées des États membres de l</w:t>
      </w:r>
      <w:r w:rsidR="00950170">
        <w:rPr>
          <w:b/>
          <w:sz w:val="28"/>
          <w:szCs w:val="28"/>
        </w:rPr>
        <w:t>’</w:t>
      </w:r>
      <w:r w:rsidRPr="00F66968">
        <w:rPr>
          <w:b/>
          <w:sz w:val="28"/>
          <w:szCs w:val="28"/>
        </w:rPr>
        <w:t>OMPI</w:t>
      </w:r>
    </w:p>
    <w:p w14:paraId="2263CB97" w14:textId="65AA6B5A" w:rsidR="008B2CC1" w:rsidRPr="003845C1" w:rsidRDefault="00F66968" w:rsidP="008B2CC1">
      <w:pPr>
        <w:rPr>
          <w:b/>
          <w:sz w:val="24"/>
          <w:szCs w:val="24"/>
        </w:rPr>
      </w:pPr>
      <w:r w:rsidRPr="00F66968">
        <w:rPr>
          <w:b/>
          <w:sz w:val="24"/>
          <w:szCs w:val="24"/>
        </w:rPr>
        <w:t>Soixante</w:t>
      </w:r>
      <w:r w:rsidR="00DC087E">
        <w:rPr>
          <w:b/>
          <w:sz w:val="24"/>
          <w:szCs w:val="24"/>
        </w:rPr>
        <w:noBreakHyphen/>
      </w:r>
      <w:r w:rsidR="00265E59" w:rsidRPr="00265E59">
        <w:rPr>
          <w:b/>
          <w:sz w:val="24"/>
          <w:szCs w:val="24"/>
        </w:rPr>
        <w:t xml:space="preserve">cinquième </w:t>
      </w:r>
      <w:r w:rsidRPr="00F66968">
        <w:rPr>
          <w:b/>
          <w:sz w:val="24"/>
          <w:szCs w:val="24"/>
        </w:rPr>
        <w:t>série de réunions</w:t>
      </w:r>
    </w:p>
    <w:p w14:paraId="69862F94" w14:textId="13656827" w:rsidR="008B2CC1" w:rsidRPr="003845C1" w:rsidRDefault="00F66968" w:rsidP="00DB0349">
      <w:pPr>
        <w:spacing w:after="720"/>
        <w:rPr>
          <w:b/>
          <w:sz w:val="24"/>
          <w:szCs w:val="24"/>
        </w:rPr>
      </w:pPr>
      <w:r w:rsidRPr="00F66968">
        <w:rPr>
          <w:b/>
          <w:sz w:val="24"/>
          <w:szCs w:val="24"/>
        </w:rPr>
        <w:t xml:space="preserve">Genève, </w:t>
      </w:r>
      <w:r w:rsidR="00265E59">
        <w:rPr>
          <w:b/>
          <w:sz w:val="24"/>
          <w:szCs w:val="24"/>
        </w:rPr>
        <w:t>9</w:t>
      </w:r>
      <w:r w:rsidR="00265E59" w:rsidRPr="00F66968">
        <w:rPr>
          <w:b/>
          <w:sz w:val="24"/>
          <w:szCs w:val="24"/>
        </w:rPr>
        <w:t xml:space="preserve"> – 1</w:t>
      </w:r>
      <w:r w:rsidR="00950170">
        <w:rPr>
          <w:b/>
          <w:sz w:val="24"/>
          <w:szCs w:val="24"/>
        </w:rPr>
        <w:t>7 </w:t>
      </w:r>
      <w:r w:rsidR="00950170" w:rsidRPr="00F66968">
        <w:rPr>
          <w:b/>
          <w:sz w:val="24"/>
          <w:szCs w:val="24"/>
        </w:rPr>
        <w:t>juillet</w:t>
      </w:r>
      <w:r w:rsidR="00950170">
        <w:rPr>
          <w:b/>
          <w:sz w:val="24"/>
          <w:szCs w:val="24"/>
        </w:rPr>
        <w:t> </w:t>
      </w:r>
      <w:r w:rsidR="00950170" w:rsidRPr="00F66968">
        <w:rPr>
          <w:b/>
          <w:sz w:val="24"/>
          <w:szCs w:val="24"/>
        </w:rPr>
        <w:t>20</w:t>
      </w:r>
      <w:r w:rsidR="00265E59" w:rsidRPr="00F66968">
        <w:rPr>
          <w:b/>
          <w:sz w:val="24"/>
          <w:szCs w:val="24"/>
        </w:rPr>
        <w:t>2</w:t>
      </w:r>
      <w:r w:rsidR="00265E59">
        <w:rPr>
          <w:b/>
          <w:sz w:val="24"/>
          <w:szCs w:val="24"/>
        </w:rPr>
        <w:t>4</w:t>
      </w:r>
    </w:p>
    <w:p w14:paraId="1D9053BA" w14:textId="332DE9B7" w:rsidR="00556735" w:rsidRPr="00346DBD" w:rsidRDefault="00556735" w:rsidP="00556735">
      <w:pPr>
        <w:spacing w:after="360"/>
        <w:rPr>
          <w:caps/>
          <w:sz w:val="24"/>
        </w:rPr>
      </w:pPr>
      <w:r w:rsidRPr="00346DBD">
        <w:rPr>
          <w:caps/>
          <w:sz w:val="24"/>
        </w:rPr>
        <w:t>É</w:t>
      </w:r>
      <w:r w:rsidR="00346DBD" w:rsidRPr="00346DBD">
        <w:rPr>
          <w:caps/>
          <w:sz w:val="24"/>
        </w:rPr>
        <w:t>tat de paiement des contributions au 31 mai 2024</w:t>
      </w:r>
    </w:p>
    <w:p w14:paraId="44E8BFBE" w14:textId="4F259B03" w:rsidR="00556735" w:rsidRPr="009C127D" w:rsidRDefault="00556735" w:rsidP="00556735">
      <w:pPr>
        <w:spacing w:after="960"/>
        <w:rPr>
          <w:i/>
        </w:rPr>
      </w:pPr>
      <w:bookmarkStart w:id="3" w:name="Prepared"/>
      <w:bookmarkEnd w:id="3"/>
      <w:r>
        <w:rPr>
          <w:i/>
        </w:rPr>
        <w:t>Document d</w:t>
      </w:r>
      <w:r w:rsidR="00950170">
        <w:rPr>
          <w:i/>
        </w:rPr>
        <w:t>’</w:t>
      </w:r>
      <w:r>
        <w:rPr>
          <w:i/>
        </w:rPr>
        <w:t>information établi par le Secrétariat</w:t>
      </w:r>
    </w:p>
    <w:p w14:paraId="2C415A16" w14:textId="2FD442A6" w:rsidR="00556735" w:rsidRPr="003B7581" w:rsidRDefault="00556735" w:rsidP="00346DBD">
      <w:pPr>
        <w:pStyle w:val="ONUMFS"/>
      </w:pPr>
      <w:r>
        <w:t>Le présent document contient une version actualisée des informations figurant dans le document “État de paiement des contributions au 30 avril 2024” (</w:t>
      </w:r>
      <w:r w:rsidR="00950170">
        <w:t>document</w:t>
      </w:r>
      <w:r w:rsidR="003104B1">
        <w:t> </w:t>
      </w:r>
      <w:r w:rsidR="00950170">
        <w:t>WO</w:t>
      </w:r>
      <w:r>
        <w:t>/PBC/37/10).</w:t>
      </w:r>
    </w:p>
    <w:p w14:paraId="6229D402" w14:textId="5BE234F9" w:rsidR="00556735" w:rsidRPr="00346DBD" w:rsidRDefault="00556735" w:rsidP="00556735">
      <w:pPr>
        <w:keepNext/>
        <w:spacing w:before="240" w:after="360"/>
        <w:outlineLvl w:val="1"/>
        <w:rPr>
          <w:b/>
          <w:bCs/>
          <w:iCs/>
          <w:caps/>
          <w:noProof/>
          <w:szCs w:val="28"/>
        </w:rPr>
      </w:pPr>
      <w:r w:rsidRPr="00346DBD">
        <w:rPr>
          <w:b/>
          <w:caps/>
        </w:rPr>
        <w:t>A</w:t>
      </w:r>
      <w:r w:rsidR="00346DBD" w:rsidRPr="00346DBD">
        <w:rPr>
          <w:b/>
          <w:caps/>
        </w:rPr>
        <w:t>rriérés de contributions au 31 mai 2024</w:t>
      </w:r>
    </w:p>
    <w:p w14:paraId="05EB2BB1" w14:textId="788FE51C" w:rsidR="00556735" w:rsidRPr="00D23812" w:rsidRDefault="00556735" w:rsidP="00556735">
      <w:pPr>
        <w:spacing w:before="220" w:after="300"/>
        <w:outlineLvl w:val="2"/>
        <w:rPr>
          <w:b/>
          <w:noProof/>
          <w:szCs w:val="22"/>
        </w:rPr>
      </w:pPr>
      <w:r>
        <w:rPr>
          <w:b/>
        </w:rPr>
        <w:t xml:space="preserve">Arriérés de contributions annuelles </w:t>
      </w:r>
      <w:r w:rsidR="00645D94">
        <w:rPr>
          <w:b/>
          <w:noProof/>
          <w:szCs w:val="22"/>
        </w:rPr>
        <w:br/>
      </w:r>
      <w:r>
        <w:rPr>
          <w:b/>
        </w:rPr>
        <w:t>(à l</w:t>
      </w:r>
      <w:r w:rsidR="00950170">
        <w:rPr>
          <w:b/>
        </w:rPr>
        <w:t>’</w:t>
      </w:r>
      <w:r>
        <w:rPr>
          <w:b/>
        </w:rPr>
        <w:t>exception des arriérés des pays les moins avancés [PMA] relatifs aux années antérieures à 1990, placés sur un compte spécial [gelé])</w:t>
      </w:r>
    </w:p>
    <w:p w14:paraId="29F7E092" w14:textId="307737D0" w:rsidR="00556735" w:rsidRPr="00D23812" w:rsidRDefault="00556735" w:rsidP="00346DBD">
      <w:pPr>
        <w:pStyle w:val="ONUMFS"/>
        <w:rPr>
          <w:noProof/>
          <w:szCs w:val="22"/>
        </w:rPr>
      </w:pPr>
      <w:r>
        <w:t>On trouvera dans le tableau ci</w:t>
      </w:r>
      <w:r w:rsidR="00DC087E">
        <w:noBreakHyphen/>
      </w:r>
      <w:r>
        <w:t>après les arriérés de contributions au 31 mai 2024, selon le système de contribution unique appliqué depuis le 1</w:t>
      </w:r>
      <w:r>
        <w:rPr>
          <w:vertAlign w:val="superscript"/>
        </w:rPr>
        <w:t>er</w:t>
      </w:r>
      <w:r>
        <w:t> janvier 1994 et selon les systèmes de contribution antérieurs des six unions financées par des contributions (Paris, Berne, IPC, Nice, Locarno et Vienne) et de l</w:t>
      </w:r>
      <w:r w:rsidR="00950170">
        <w:t>’</w:t>
      </w:r>
      <w:r>
        <w:t>Organisation Mondiale de la Propriété Intellectuelle (OMPI) (pour les États membres de l</w:t>
      </w:r>
      <w:r w:rsidR="00950170">
        <w:t>’</w:t>
      </w:r>
      <w:r>
        <w:t>OMPI qui ne sont membres d</w:t>
      </w:r>
      <w:r w:rsidR="00950170">
        <w:t>’</w:t>
      </w:r>
      <w:r>
        <w:t>aucune union), à l</w:t>
      </w:r>
      <w:r w:rsidR="00950170">
        <w:t>’</w:t>
      </w:r>
      <w:r>
        <w:t>exception des arriérés de contributions des PMA relatifs aux années antérieures à 1990, placés sur un compte spécial (gelé), qui ne figurent pas dans ce tableau mais dans le tableau du paragraphe 5 ci</w:t>
      </w:r>
      <w:r w:rsidR="00DC087E">
        <w:noBreakHyphen/>
      </w:r>
      <w:r>
        <w:t>dessous.</w:t>
      </w:r>
    </w:p>
    <w:p w14:paraId="256F0E84" w14:textId="77777777" w:rsidR="00556735" w:rsidRDefault="00556735" w:rsidP="00556735">
      <w:r>
        <w:br w:type="page"/>
      </w:r>
    </w:p>
    <w:p w14:paraId="20658494" w14:textId="0839399F" w:rsidR="00556735" w:rsidRDefault="00E55127" w:rsidP="00556735">
      <w:r w:rsidRPr="00E55127">
        <w:rPr>
          <w:noProof/>
        </w:rPr>
        <w:lastRenderedPageBreak/>
        <w:drawing>
          <wp:inline distT="0" distB="0" distL="0" distR="0" wp14:anchorId="0A1F57A8" wp14:editId="2594F979">
            <wp:extent cx="5940425" cy="8825230"/>
            <wp:effectExtent l="0" t="0" r="3175" b="0"/>
            <wp:docPr id="62" name="Picture 62" descr="Arriérés de contributions annuel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62" descr="Arriérés de contributions annuell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2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66AE6" w14:textId="4841E6B2" w:rsidR="00556735" w:rsidRDefault="00E55127" w:rsidP="00556735">
      <w:pPr>
        <w:rPr>
          <w:b/>
          <w:color w:val="000000"/>
        </w:rPr>
      </w:pPr>
      <w:r w:rsidRPr="00E55127">
        <w:rPr>
          <w:noProof/>
        </w:rPr>
        <w:lastRenderedPageBreak/>
        <w:drawing>
          <wp:inline distT="0" distB="0" distL="0" distR="0" wp14:anchorId="0DF7E2A9" wp14:editId="5147AD21">
            <wp:extent cx="5940425" cy="7780020"/>
            <wp:effectExtent l="0" t="0" r="3175" b="0"/>
            <wp:docPr id="63" name="Picture 63" descr="Arriérés de contributions annuel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 descr="Arriérés de contributions annuell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78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CB63B" w14:textId="495BE3FD" w:rsidR="00556735" w:rsidRDefault="00E55127" w:rsidP="00556735">
      <w:pPr>
        <w:rPr>
          <w:b/>
          <w:color w:val="000000"/>
        </w:rPr>
      </w:pPr>
      <w:r w:rsidRPr="00E55127">
        <w:rPr>
          <w:noProof/>
        </w:rPr>
        <w:lastRenderedPageBreak/>
        <w:drawing>
          <wp:inline distT="0" distB="0" distL="0" distR="0" wp14:anchorId="2AD5D837" wp14:editId="640467D7">
            <wp:extent cx="5940425" cy="8696960"/>
            <wp:effectExtent l="0" t="0" r="3175" b="8890"/>
            <wp:docPr id="64" name="Picture 64" descr="Arriérés de contributions annuel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64" descr="Arriérés de contributions annuell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9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D5EE9" w14:textId="02D70025" w:rsidR="00556735" w:rsidRDefault="00E55127" w:rsidP="00556735">
      <w:pPr>
        <w:rPr>
          <w:b/>
          <w:color w:val="000000"/>
        </w:rPr>
      </w:pPr>
      <w:r w:rsidRPr="00E55127">
        <w:rPr>
          <w:noProof/>
        </w:rPr>
        <w:lastRenderedPageBreak/>
        <w:drawing>
          <wp:inline distT="0" distB="0" distL="0" distR="0" wp14:anchorId="29AE8830" wp14:editId="4F2DF833">
            <wp:extent cx="5940425" cy="8487410"/>
            <wp:effectExtent l="0" t="0" r="3175" b="8890"/>
            <wp:docPr id="65" name="Picture 65" descr="Arriérés de contributions annuel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65" descr="Arriérés de contributions annuell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4F7FE" w14:textId="67499989" w:rsidR="000324F6" w:rsidRDefault="00E55127">
      <w:pPr>
        <w:rPr>
          <w:b/>
          <w:color w:val="000000"/>
        </w:rPr>
      </w:pPr>
      <w:r w:rsidRPr="00E55127">
        <w:rPr>
          <w:noProof/>
        </w:rPr>
        <w:lastRenderedPageBreak/>
        <w:drawing>
          <wp:inline distT="0" distB="0" distL="0" distR="0" wp14:anchorId="6C4848B8" wp14:editId="22F6FD37">
            <wp:extent cx="5940425" cy="8639810"/>
            <wp:effectExtent l="0" t="0" r="3175" b="8890"/>
            <wp:docPr id="66" name="Picture 66" descr="Arriérés de contributions annuel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66" descr="Arriérés de contributions annuelle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3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7441" w:rsidRPr="00BF7441">
        <w:rPr>
          <w:noProof/>
        </w:rPr>
        <w:lastRenderedPageBreak/>
        <w:drawing>
          <wp:inline distT="0" distB="0" distL="0" distR="0" wp14:anchorId="793BF4C2" wp14:editId="1EB0FB1B">
            <wp:extent cx="5940425" cy="8525510"/>
            <wp:effectExtent l="0" t="0" r="3175" b="8890"/>
            <wp:docPr id="67" name="Picture 67" descr="Arriérés de contributions annuel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 descr="Arriérés de contributions annuelle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2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82B6D" w14:textId="49EAB752" w:rsidR="00950170" w:rsidRDefault="00556735" w:rsidP="001A2377">
      <w:pPr>
        <w:spacing w:before="240" w:after="240"/>
        <w:rPr>
          <w:b/>
          <w:color w:val="000000"/>
        </w:rPr>
      </w:pPr>
      <w:r>
        <w:rPr>
          <w:b/>
          <w:color w:val="000000"/>
        </w:rPr>
        <w:lastRenderedPageBreak/>
        <w:t>Montant total des arriérés (à l</w:t>
      </w:r>
      <w:r w:rsidR="00950170">
        <w:rPr>
          <w:b/>
          <w:color w:val="000000"/>
        </w:rPr>
        <w:t>’</w:t>
      </w:r>
      <w:r>
        <w:rPr>
          <w:b/>
          <w:color w:val="000000"/>
        </w:rPr>
        <w:t>exception des arriérés</w:t>
      </w:r>
      <w:r w:rsidR="00950170">
        <w:rPr>
          <w:b/>
          <w:color w:val="000000"/>
        </w:rPr>
        <w:t xml:space="preserve"> des PMA</w:t>
      </w:r>
      <w:r>
        <w:rPr>
          <w:b/>
          <w:color w:val="000000"/>
        </w:rPr>
        <w:t xml:space="preserve"> </w:t>
      </w:r>
      <w:r w:rsidR="001A2377">
        <w:rPr>
          <w:b/>
          <w:color w:val="000000"/>
        </w:rPr>
        <w:t>relatifs aux années antérieures à 1990</w:t>
      </w:r>
      <w:r>
        <w:rPr>
          <w:b/>
          <w:color w:val="000000"/>
        </w:rPr>
        <w:t>placés sur un compte spécial [gelé])</w:t>
      </w:r>
    </w:p>
    <w:p w14:paraId="19E56B11" w14:textId="72581B31" w:rsidR="00556735" w:rsidRDefault="00BF7441" w:rsidP="00556735">
      <w:pPr>
        <w:spacing w:after="240"/>
      </w:pPr>
      <w:r w:rsidRPr="00BF7441">
        <w:rPr>
          <w:noProof/>
        </w:rPr>
        <w:drawing>
          <wp:inline distT="0" distB="0" distL="0" distR="0" wp14:anchorId="40DF721C" wp14:editId="07993F75">
            <wp:extent cx="5940425" cy="707390"/>
            <wp:effectExtent l="0" t="0" r="3175" b="0"/>
            <wp:docPr id="68" name="Picture 68" descr="Montant total des arriéré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8" descr="Montant total des arriérés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92254" w14:textId="77777777" w:rsidR="00556735" w:rsidRPr="003B7581" w:rsidRDefault="00556735" w:rsidP="00556735">
      <w:pPr>
        <w:spacing w:before="220" w:after="300"/>
        <w:outlineLvl w:val="2"/>
        <w:rPr>
          <w:b/>
        </w:rPr>
      </w:pPr>
      <w:r>
        <w:rPr>
          <w:b/>
        </w:rPr>
        <w:t>Observations</w:t>
      </w:r>
    </w:p>
    <w:p w14:paraId="3DB69801" w14:textId="1A52C085" w:rsidR="00556735" w:rsidRPr="009729A0" w:rsidRDefault="00556735" w:rsidP="00346DBD">
      <w:pPr>
        <w:pStyle w:val="ONUMFS"/>
        <w:rPr>
          <w:noProof/>
          <w:szCs w:val="22"/>
        </w:rPr>
      </w:pPr>
      <w:r>
        <w:t>Le montant total des arriérés de contributions s</w:t>
      </w:r>
      <w:r w:rsidR="00950170">
        <w:t>’</w:t>
      </w:r>
      <w:r>
        <w:t>élevait, le 31 mai 2024, à 6,33 millions de francs suisses, soit 5,1 millions de francs suisses pour le système de contribution unique et 1,23 million de francs suisses pour les contributions antérieures à 1994 en ce qui concerne les unions financées par des contributions et l</w:t>
      </w:r>
      <w:r w:rsidR="00950170">
        <w:t>’</w:t>
      </w:r>
      <w:r>
        <w:t>O</w:t>
      </w:r>
      <w:r w:rsidR="00DC087E">
        <w:t>MPI.  Le</w:t>
      </w:r>
      <w:r>
        <w:t xml:space="preserve"> montant total des arriérés de contributions, 6,33 millions de francs suisses (comme il ressort du tableau ci</w:t>
      </w:r>
      <w:r w:rsidR="00DC087E">
        <w:noBreakHyphen/>
      </w:r>
      <w:r>
        <w:t xml:space="preserve">dessus), correspond à 35,94% du montant total facturé pour les contributions dues pour 2024, </w:t>
      </w:r>
      <w:r w:rsidR="00950170">
        <w:t>à savoir</w:t>
      </w:r>
      <w:r>
        <w:t xml:space="preserve"> près de 17,6 millions de francs suisses.</w:t>
      </w:r>
    </w:p>
    <w:p w14:paraId="20F22DA4" w14:textId="566514C1" w:rsidR="00556735" w:rsidRPr="009729A0" w:rsidRDefault="00556735" w:rsidP="00346DBD">
      <w:pPr>
        <w:pStyle w:val="ONUMFS"/>
        <w:rPr>
          <w:noProof/>
          <w:szCs w:val="22"/>
        </w:rPr>
      </w:pPr>
      <w:r>
        <w:t>Les assemblées seront informées au moment de l</w:t>
      </w:r>
      <w:r w:rsidR="00950170">
        <w:t>’</w:t>
      </w:r>
      <w:r>
        <w:t>examen du présent document de tout paiement reçu par le Bureau international entre le 1</w:t>
      </w:r>
      <w:r>
        <w:rPr>
          <w:vertAlign w:val="superscript"/>
        </w:rPr>
        <w:t>er</w:t>
      </w:r>
      <w:r>
        <w:t> juin et le 10 juillet 2024.</w:t>
      </w:r>
    </w:p>
    <w:p w14:paraId="05CDA6CD" w14:textId="77777777" w:rsidR="00556735" w:rsidRPr="00F274A4" w:rsidRDefault="00556735" w:rsidP="00556735">
      <w:pPr>
        <w:spacing w:before="220" w:after="300"/>
        <w:outlineLvl w:val="2"/>
        <w:rPr>
          <w:b/>
        </w:rPr>
      </w:pPr>
      <w:r>
        <w:rPr>
          <w:b/>
        </w:rPr>
        <w:t>Arriérés de contributions annuelles des PMA relatifs aux années antérieures à 1990, placés sur un compte spécial (gelé)</w:t>
      </w:r>
    </w:p>
    <w:p w14:paraId="079610F4" w14:textId="43B81F6D" w:rsidR="00950170" w:rsidRDefault="00556735" w:rsidP="00063F5B">
      <w:pPr>
        <w:pStyle w:val="ONUMFS"/>
      </w:pPr>
      <w:r>
        <w:t>Il est rappelé que, conformément à la décision prise par la Conférence de l</w:t>
      </w:r>
      <w:r w:rsidR="00950170">
        <w:t>’</w:t>
      </w:r>
      <w:r>
        <w:t xml:space="preserve">OMPI et les assemblées des unions de Paris et de Berne à leurs sessions ordinaires de 1991, le montant des arriérés de contributions de tout pays de la catégorie des PMA relatifs aux années antérieures à 1990 a été placé sur un compte spécial dont le montant a été gelé à compter du 31 décembre 1989 (voir le </w:t>
      </w:r>
      <w:r w:rsidR="00950170">
        <w:t>document</w:t>
      </w:r>
      <w:r w:rsidR="003104B1">
        <w:t> </w:t>
      </w:r>
      <w:r w:rsidR="00950170">
        <w:t>AB</w:t>
      </w:r>
      <w:r>
        <w:t xml:space="preserve">/XXII/20 et le paragraphe 127 du </w:t>
      </w:r>
      <w:r w:rsidR="00950170">
        <w:t>document</w:t>
      </w:r>
      <w:r w:rsidR="003104B1">
        <w:t> </w:t>
      </w:r>
      <w:r w:rsidR="00950170">
        <w:t>AB</w:t>
      </w:r>
      <w:r>
        <w:t>/XXII/22).  Le montant de ces arriérés de contributions au 31 mai 2024, en ce qui concerne les unions de Paris et de Berne et l</w:t>
      </w:r>
      <w:r w:rsidR="00950170">
        <w:t>’</w:t>
      </w:r>
      <w:r>
        <w:t>OMPI, figure dans le tableau ci</w:t>
      </w:r>
      <w:r w:rsidR="00DC087E">
        <w:noBreakHyphen/>
      </w:r>
      <w:r>
        <w:t>desso</w:t>
      </w:r>
      <w:r w:rsidR="00DC087E">
        <w:t>us.  Le</w:t>
      </w:r>
      <w:r>
        <w:t>s assemblées seront informées au moment de l</w:t>
      </w:r>
      <w:r w:rsidR="00950170">
        <w:t>’</w:t>
      </w:r>
      <w:r>
        <w:t>examen du présent document de tout paiement reçu par le Bureau international entre le 1</w:t>
      </w:r>
      <w:r>
        <w:rPr>
          <w:vertAlign w:val="superscript"/>
        </w:rPr>
        <w:t>er</w:t>
      </w:r>
      <w:r>
        <w:t> juin et le 10 juillet 2024.</w:t>
      </w:r>
    </w:p>
    <w:p w14:paraId="7AEF0708" w14:textId="6F46BB8D" w:rsidR="00556735" w:rsidRDefault="00BF7441" w:rsidP="00556735">
      <w:pPr>
        <w:spacing w:after="120"/>
        <w:rPr>
          <w:b/>
          <w:noProof/>
          <w:snapToGrid w:val="0"/>
          <w:szCs w:val="22"/>
        </w:rPr>
      </w:pPr>
      <w:r w:rsidRPr="00BF7441">
        <w:rPr>
          <w:noProof/>
        </w:rPr>
        <w:lastRenderedPageBreak/>
        <w:drawing>
          <wp:inline distT="0" distB="0" distL="0" distR="0" wp14:anchorId="40662CAF" wp14:editId="770717C5">
            <wp:extent cx="5940425" cy="8303895"/>
            <wp:effectExtent l="0" t="0" r="3175" b="1905"/>
            <wp:docPr id="69" name="Picture 69" descr="Arriérés de contributions annuelles des PMA relatifs aux années antérieures à 1990, placés sur un compte spécial (gelé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 descr="Arriérés de contributions annuelles des PMA relatifs aux années antérieures à 1990, placés sur un compte spécial (gelé)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0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DAE60" w14:textId="77777777" w:rsidR="00556735" w:rsidRPr="003B7581" w:rsidRDefault="00556735" w:rsidP="00063F5B">
      <w:pPr>
        <w:keepNext/>
        <w:keepLines/>
        <w:spacing w:after="120"/>
      </w:pPr>
      <w:r>
        <w:rPr>
          <w:b/>
          <w:snapToGrid w:val="0"/>
        </w:rPr>
        <w:lastRenderedPageBreak/>
        <w:t>Montant total des arriérés</w:t>
      </w:r>
      <w:r>
        <w:t xml:space="preserve"> </w:t>
      </w:r>
      <w:r>
        <w:rPr>
          <w:b/>
          <w:snapToGrid w:val="0"/>
        </w:rPr>
        <w:t>des PMA relatifs aux années antérieures à 1990, placés sur un compte spécial (gelé)</w:t>
      </w:r>
    </w:p>
    <w:p w14:paraId="3F476514" w14:textId="06375C4B" w:rsidR="00556735" w:rsidRDefault="003A3B62" w:rsidP="00556735">
      <w:pPr>
        <w:spacing w:after="240"/>
      </w:pPr>
      <w:r w:rsidRPr="003A3B62">
        <w:rPr>
          <w:noProof/>
        </w:rPr>
        <w:drawing>
          <wp:inline distT="0" distB="0" distL="0" distR="0" wp14:anchorId="4224A06D" wp14:editId="134428B0">
            <wp:extent cx="5940425" cy="1047115"/>
            <wp:effectExtent l="0" t="0" r="3175" b="635"/>
            <wp:docPr id="55" name="Picture 55" descr="Montant total des arriérés des PMA relatifs aux années antérieures à 1990, placés sur un compte spécial (gelé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 descr="Montant total des arriérés des PMA relatifs aux années antérieures à 1990, placés sur un compte spécial (gelé)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D7FB1" w14:textId="77777777" w:rsidR="00556735" w:rsidRPr="008B5030" w:rsidRDefault="00556735" w:rsidP="00556735">
      <w:pPr>
        <w:spacing w:before="220" w:after="300"/>
        <w:outlineLvl w:val="2"/>
        <w:rPr>
          <w:b/>
          <w:noProof/>
          <w:szCs w:val="22"/>
        </w:rPr>
      </w:pPr>
      <w:r>
        <w:rPr>
          <w:b/>
        </w:rPr>
        <w:t>Montants dus aux fonds de roulement</w:t>
      </w:r>
    </w:p>
    <w:p w14:paraId="7B0D906E" w14:textId="1E5C55F8" w:rsidR="00950170" w:rsidRDefault="003A3B62" w:rsidP="003A3B62">
      <w:pPr>
        <w:pStyle w:val="ONUMFS"/>
        <w:spacing w:after="240"/>
      </w:pPr>
      <w:r w:rsidRPr="003A3B62">
        <w:rPr>
          <w:noProof/>
        </w:rPr>
        <w:drawing>
          <wp:anchor distT="0" distB="0" distL="114300" distR="114300" simplePos="0" relativeHeight="251658240" behindDoc="1" locked="0" layoutInCell="1" allowOverlap="1" wp14:anchorId="0790175D" wp14:editId="44D5A025">
            <wp:simplePos x="0" y="0"/>
            <wp:positionH relativeFrom="page">
              <wp:posOffset>982555</wp:posOffset>
            </wp:positionH>
            <wp:positionV relativeFrom="paragraph">
              <wp:posOffset>1188525</wp:posOffset>
            </wp:positionV>
            <wp:extent cx="5940425" cy="1628140"/>
            <wp:effectExtent l="0" t="0" r="3175" b="0"/>
            <wp:wrapTopAndBottom/>
            <wp:docPr id="57" name="Picture 5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6735">
        <w:t>Dans le tableau ci</w:t>
      </w:r>
      <w:r w:rsidR="00DC087E">
        <w:noBreakHyphen/>
      </w:r>
      <w:r w:rsidR="00556735">
        <w:t xml:space="preserve">dessous figurent les montants dus par les États, au 31 mai 2024, aux fonds de roulement qui ont été constitués, </w:t>
      </w:r>
      <w:r w:rsidR="00950170">
        <w:t>à savoir</w:t>
      </w:r>
      <w:r w:rsidR="00556735">
        <w:t xml:space="preserve"> les fonds de roulement de deux unions financées par des contributions (Paris et Ber</w:t>
      </w:r>
      <w:r w:rsidR="00DC087E">
        <w:t>ne).  Le</w:t>
      </w:r>
      <w:r w:rsidR="00556735">
        <w:t>s assemblées seront informées au moment de l</w:t>
      </w:r>
      <w:r w:rsidR="00950170">
        <w:t>’</w:t>
      </w:r>
      <w:r w:rsidR="00556735">
        <w:t>examen du présent document de tout paiement reçu par le Bureau international entre le 1</w:t>
      </w:r>
      <w:r w:rsidR="00556735">
        <w:rPr>
          <w:vertAlign w:val="superscript"/>
        </w:rPr>
        <w:t>er</w:t>
      </w:r>
      <w:r w:rsidR="00556735">
        <w:t> juin et le 10 juillet 2024.</w:t>
      </w:r>
    </w:p>
    <w:p w14:paraId="17EEFDF3" w14:textId="23151684" w:rsidR="003A3B62" w:rsidRPr="003A3B62" w:rsidRDefault="00556735" w:rsidP="003A3B62">
      <w:pPr>
        <w:spacing w:before="480" w:after="300"/>
        <w:outlineLvl w:val="2"/>
        <w:rPr>
          <w:b/>
          <w:snapToGrid w:val="0"/>
        </w:rPr>
      </w:pPr>
      <w:r>
        <w:rPr>
          <w:b/>
          <w:snapToGrid w:val="0"/>
        </w:rPr>
        <w:t>Montant total dû aux fonds de roulement</w:t>
      </w:r>
    </w:p>
    <w:p w14:paraId="616DFB73" w14:textId="41A87734" w:rsidR="00556735" w:rsidRPr="008B5030" w:rsidRDefault="003A3B62" w:rsidP="003A3B62">
      <w:pPr>
        <w:pStyle w:val="ONUMFS"/>
        <w:numPr>
          <w:ilvl w:val="0"/>
          <w:numId w:val="0"/>
        </w:numPr>
        <w:rPr>
          <w:noProof/>
          <w:snapToGrid w:val="0"/>
        </w:rPr>
      </w:pPr>
      <w:r w:rsidRPr="003A3B62">
        <w:rPr>
          <w:noProof/>
        </w:rPr>
        <w:drawing>
          <wp:anchor distT="0" distB="0" distL="114300" distR="114300" simplePos="0" relativeHeight="251659264" behindDoc="0" locked="0" layoutInCell="1" allowOverlap="1" wp14:anchorId="5923D1C0" wp14:editId="526D8654">
            <wp:simplePos x="0" y="0"/>
            <wp:positionH relativeFrom="column">
              <wp:posOffset>81857</wp:posOffset>
            </wp:positionH>
            <wp:positionV relativeFrom="paragraph">
              <wp:posOffset>15749</wp:posOffset>
            </wp:positionV>
            <wp:extent cx="4103370" cy="559435"/>
            <wp:effectExtent l="0" t="0" r="0" b="0"/>
            <wp:wrapSquare wrapText="bothSides"/>
            <wp:docPr id="59" name="Picture 59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37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545001" w14:textId="77777777" w:rsidR="00556735" w:rsidRDefault="00556735" w:rsidP="00645D94">
      <w:pPr>
        <w:pStyle w:val="ONUMFS"/>
      </w:pPr>
      <w:r>
        <w:br w:type="page"/>
      </w:r>
    </w:p>
    <w:p w14:paraId="648E1F69" w14:textId="77777777" w:rsidR="00556735" w:rsidRPr="00F274A4" w:rsidRDefault="00556735" w:rsidP="00556735">
      <w:pPr>
        <w:spacing w:before="220" w:after="300"/>
        <w:outlineLvl w:val="2"/>
        <w:rPr>
          <w:b/>
        </w:rPr>
      </w:pPr>
      <w:r>
        <w:rPr>
          <w:b/>
        </w:rPr>
        <w:lastRenderedPageBreak/>
        <w:t>Évolution des arriérés de contributions et de participation aux fonds de roulement au cours des 10 dernières années</w:t>
      </w:r>
    </w:p>
    <w:p w14:paraId="3B57F24F" w14:textId="789C6CF3" w:rsidR="00556735" w:rsidRDefault="003A3B62" w:rsidP="003A3B62">
      <w:pPr>
        <w:pStyle w:val="ONUMFS"/>
        <w:numPr>
          <w:ilvl w:val="0"/>
          <w:numId w:val="0"/>
        </w:numPr>
        <w:rPr>
          <w:noProof/>
          <w:szCs w:val="22"/>
        </w:rPr>
      </w:pPr>
      <w:r>
        <w:t>7.</w:t>
      </w:r>
      <w:r>
        <w:tab/>
      </w:r>
      <w:r w:rsidR="00556735">
        <w:t>Depuis l</w:t>
      </w:r>
      <w:r w:rsidR="00950170">
        <w:t>’</w:t>
      </w:r>
      <w:r w:rsidR="00556735">
        <w:t xml:space="preserve">adoption du système de contribution unique en 1994 et la création de nouvelles classes de contributions plus équitables </w:t>
      </w:r>
      <w:r w:rsidR="00950170">
        <w:t>à l’égard</w:t>
      </w:r>
      <w:r w:rsidR="00556735">
        <w:t xml:space="preserve"> des pays en développement, les arriérés de contributions et de participation aux fonds de roulement ont sensiblement dimin</w:t>
      </w:r>
      <w:r w:rsidR="00DC087E">
        <w:t>ué.  Au</w:t>
      </w:r>
      <w:r w:rsidR="00556735">
        <w:t> 31 décembre 1993, le montant total des arriérés de contributions et de participation aux fonds de roulement s</w:t>
      </w:r>
      <w:r w:rsidR="00950170">
        <w:t>’</w:t>
      </w:r>
      <w:r w:rsidR="00556735">
        <w:t>élevait à 15,12 millions de francs suisses et le nombre de pays tenus de verser une contribution annuelle à 140.  Au 31 décembre 2023, le montant total des arriérés de contributions et de participation aux fonds de roulement s</w:t>
      </w:r>
      <w:r w:rsidR="00950170">
        <w:t>’</w:t>
      </w:r>
      <w:r w:rsidR="00556735">
        <w:t>élevait à 7,94 millions de francs suisses et le nombre de pays tenus de verser une contribution annuelle à 194.</w:t>
      </w:r>
    </w:p>
    <w:p w14:paraId="37F7A182" w14:textId="50842ABE" w:rsidR="00556735" w:rsidRPr="008B5030" w:rsidRDefault="00556735" w:rsidP="00346DBD">
      <w:pPr>
        <w:pStyle w:val="ONUMFS"/>
        <w:rPr>
          <w:noProof/>
          <w:szCs w:val="22"/>
        </w:rPr>
      </w:pPr>
      <w:r>
        <w:t>Dans le tableau ci</w:t>
      </w:r>
      <w:r w:rsidR="00DC087E">
        <w:noBreakHyphen/>
      </w:r>
      <w:r>
        <w:t>après figure le montant des arriérés de contributions (</w:t>
      </w:r>
      <w:r w:rsidR="00950170">
        <w:t>y compris</w:t>
      </w:r>
      <w:r>
        <w:t xml:space="preserve"> les arriérés “gelés” des PMA) et de participation aux fonds de roulement depuis 2014.</w:t>
      </w:r>
    </w:p>
    <w:p w14:paraId="31FBC5C7" w14:textId="6D38F650" w:rsidR="00556735" w:rsidRDefault="005C7A7F" w:rsidP="00556735">
      <w:pPr>
        <w:spacing w:after="240"/>
      </w:pPr>
      <w:r w:rsidRPr="005C7A7F">
        <w:rPr>
          <w:noProof/>
        </w:rPr>
        <w:drawing>
          <wp:inline distT="0" distB="0" distL="0" distR="0" wp14:anchorId="0E910112" wp14:editId="4617F4D8">
            <wp:extent cx="5940425" cy="2546985"/>
            <wp:effectExtent l="0" t="0" r="3175" b="5715"/>
            <wp:docPr id="61" name="Picture 61" descr="Arriérés de contributions au 31 décembre 2023 (en millions de francs suiss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61" descr="Arriérés de contributions au 31 décembre 2023 (en millions de francs suisses)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4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F3D0F" w14:textId="77777777" w:rsidR="00556735" w:rsidRPr="00042480" w:rsidRDefault="00556735" w:rsidP="005C7A7F">
      <w:pPr>
        <w:pStyle w:val="Endofdocument-Annex"/>
        <w:spacing w:before="720"/>
        <w:rPr>
          <w:i/>
          <w:szCs w:val="22"/>
        </w:rPr>
      </w:pPr>
      <w:r>
        <w:t>[Fin du document]</w:t>
      </w:r>
    </w:p>
    <w:sectPr w:rsidR="00556735" w:rsidRPr="00042480" w:rsidSect="00556735">
      <w:headerReference w:type="default" r:id="rId20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A8D23" w14:textId="77777777" w:rsidR="00556735" w:rsidRDefault="00556735">
      <w:r>
        <w:separator/>
      </w:r>
    </w:p>
  </w:endnote>
  <w:endnote w:type="continuationSeparator" w:id="0">
    <w:p w14:paraId="502F1991" w14:textId="77777777" w:rsidR="00556735" w:rsidRPr="009D30E6" w:rsidRDefault="00556735" w:rsidP="00D45252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39F4B488" w14:textId="77777777" w:rsidR="00556735" w:rsidRPr="009D30E6" w:rsidRDefault="00556735" w:rsidP="00D45252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endnote>
  <w:endnote w:type="continuationNotice" w:id="1">
    <w:p w14:paraId="57FEE771" w14:textId="77777777" w:rsidR="00556735" w:rsidRPr="009D30E6" w:rsidRDefault="00556735" w:rsidP="009D30E6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3FD40" w14:textId="77777777" w:rsidR="00556735" w:rsidRDefault="00556735">
      <w:r>
        <w:separator/>
      </w:r>
    </w:p>
  </w:footnote>
  <w:footnote w:type="continuationSeparator" w:id="0">
    <w:p w14:paraId="1328EECA" w14:textId="77777777" w:rsidR="00556735" w:rsidRDefault="00556735" w:rsidP="007461F1">
      <w:r>
        <w:separator/>
      </w:r>
    </w:p>
    <w:p w14:paraId="245D6DD0" w14:textId="77777777" w:rsidR="00556735" w:rsidRPr="009D30E6" w:rsidRDefault="00556735" w:rsidP="007461F1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footnote>
  <w:footnote w:type="continuationNotice" w:id="1">
    <w:p w14:paraId="58533923" w14:textId="77777777" w:rsidR="00556735" w:rsidRPr="009D30E6" w:rsidRDefault="00556735" w:rsidP="007461F1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27AB6" w14:textId="77777777" w:rsidR="00F16975" w:rsidRDefault="00556735" w:rsidP="00477D6B">
    <w:pPr>
      <w:jc w:val="right"/>
    </w:pPr>
    <w:bookmarkStart w:id="4" w:name="Code2"/>
    <w:bookmarkEnd w:id="4"/>
    <w:r>
      <w:t>A/65/INF/4</w:t>
    </w:r>
  </w:p>
  <w:p w14:paraId="1B523403" w14:textId="75573C4E" w:rsidR="004F4E31" w:rsidRDefault="00F16975" w:rsidP="00346DBD">
    <w:pPr>
      <w:spacing w:after="480"/>
      <w:jc w:val="right"/>
    </w:pPr>
    <w:proofErr w:type="gramStart"/>
    <w:r>
      <w:t>page</w:t>
    </w:r>
    <w:proofErr w:type="gramEnd"/>
    <w:r w:rsidR="00346DBD">
      <w:t> </w:t>
    </w:r>
    <w:r>
      <w:fldChar w:fldCharType="begin"/>
    </w:r>
    <w:r>
      <w:instrText xml:space="preserve"> PAGE  \* MERGEFORMAT </w:instrText>
    </w:r>
    <w:r>
      <w:fldChar w:fldCharType="separate"/>
    </w:r>
    <w:r w:rsidR="004F4E3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86E3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8C2E42"/>
    <w:multiLevelType w:val="hybridMultilevel"/>
    <w:tmpl w:val="E4B48A06"/>
    <w:lvl w:ilvl="0" w:tplc="6E369B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238924">
    <w:abstractNumId w:val="2"/>
  </w:num>
  <w:num w:numId="2" w16cid:durableId="302345202">
    <w:abstractNumId w:val="4"/>
  </w:num>
  <w:num w:numId="3" w16cid:durableId="2100177298">
    <w:abstractNumId w:val="0"/>
  </w:num>
  <w:num w:numId="4" w16cid:durableId="800996051">
    <w:abstractNumId w:val="5"/>
  </w:num>
  <w:num w:numId="5" w16cid:durableId="1819884291">
    <w:abstractNumId w:val="1"/>
  </w:num>
  <w:num w:numId="6" w16cid:durableId="875629458">
    <w:abstractNumId w:val="3"/>
  </w:num>
  <w:num w:numId="7" w16cid:durableId="3374646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735"/>
    <w:rsid w:val="00011B7D"/>
    <w:rsid w:val="000324F6"/>
    <w:rsid w:val="00063F5B"/>
    <w:rsid w:val="00075432"/>
    <w:rsid w:val="000F5E56"/>
    <w:rsid w:val="001362EE"/>
    <w:rsid w:val="001832A6"/>
    <w:rsid w:val="00195C6E"/>
    <w:rsid w:val="001A2377"/>
    <w:rsid w:val="001B266A"/>
    <w:rsid w:val="001D3D56"/>
    <w:rsid w:val="00240654"/>
    <w:rsid w:val="002634C4"/>
    <w:rsid w:val="00265E59"/>
    <w:rsid w:val="002D4918"/>
    <w:rsid w:val="002E4D1A"/>
    <w:rsid w:val="002F16BC"/>
    <w:rsid w:val="002F44EE"/>
    <w:rsid w:val="002F4E68"/>
    <w:rsid w:val="003104B1"/>
    <w:rsid w:val="00315FCA"/>
    <w:rsid w:val="00346DBD"/>
    <w:rsid w:val="003845C1"/>
    <w:rsid w:val="003A1BCD"/>
    <w:rsid w:val="003A3B62"/>
    <w:rsid w:val="004008A2"/>
    <w:rsid w:val="004025DF"/>
    <w:rsid w:val="00423E3E"/>
    <w:rsid w:val="00427AF4"/>
    <w:rsid w:val="004465BA"/>
    <w:rsid w:val="004647DA"/>
    <w:rsid w:val="00477D6B"/>
    <w:rsid w:val="004D6471"/>
    <w:rsid w:val="004F4E31"/>
    <w:rsid w:val="00525B63"/>
    <w:rsid w:val="00547476"/>
    <w:rsid w:val="00552063"/>
    <w:rsid w:val="00556735"/>
    <w:rsid w:val="00561DB8"/>
    <w:rsid w:val="00567A4C"/>
    <w:rsid w:val="005C7A7F"/>
    <w:rsid w:val="005E6516"/>
    <w:rsid w:val="00605827"/>
    <w:rsid w:val="00645D94"/>
    <w:rsid w:val="00676936"/>
    <w:rsid w:val="006B0DB5"/>
    <w:rsid w:val="006E4243"/>
    <w:rsid w:val="007461F1"/>
    <w:rsid w:val="00767FD6"/>
    <w:rsid w:val="007B2215"/>
    <w:rsid w:val="007D6961"/>
    <w:rsid w:val="007F07CB"/>
    <w:rsid w:val="00810CEF"/>
    <w:rsid w:val="0081208D"/>
    <w:rsid w:val="00842A13"/>
    <w:rsid w:val="008A2F28"/>
    <w:rsid w:val="008B2CC1"/>
    <w:rsid w:val="008E7930"/>
    <w:rsid w:val="0090731E"/>
    <w:rsid w:val="00950170"/>
    <w:rsid w:val="00966A22"/>
    <w:rsid w:val="00974CD6"/>
    <w:rsid w:val="009875BC"/>
    <w:rsid w:val="009D30E6"/>
    <w:rsid w:val="009E3F6F"/>
    <w:rsid w:val="009F499F"/>
    <w:rsid w:val="00A02BD3"/>
    <w:rsid w:val="00A10318"/>
    <w:rsid w:val="00A75F02"/>
    <w:rsid w:val="00AA1F20"/>
    <w:rsid w:val="00AC0AE4"/>
    <w:rsid w:val="00AD61DB"/>
    <w:rsid w:val="00AE1936"/>
    <w:rsid w:val="00AE2EB4"/>
    <w:rsid w:val="00B87BCF"/>
    <w:rsid w:val="00BA62D4"/>
    <w:rsid w:val="00BF7441"/>
    <w:rsid w:val="00C06303"/>
    <w:rsid w:val="00C3552C"/>
    <w:rsid w:val="00C40E15"/>
    <w:rsid w:val="00C47A39"/>
    <w:rsid w:val="00C6540F"/>
    <w:rsid w:val="00C664C8"/>
    <w:rsid w:val="00C76A79"/>
    <w:rsid w:val="00CA15F5"/>
    <w:rsid w:val="00CB5CFB"/>
    <w:rsid w:val="00CE34E1"/>
    <w:rsid w:val="00CF0460"/>
    <w:rsid w:val="00D45252"/>
    <w:rsid w:val="00D71B4D"/>
    <w:rsid w:val="00D75C1E"/>
    <w:rsid w:val="00D93D55"/>
    <w:rsid w:val="00DB0349"/>
    <w:rsid w:val="00DC087E"/>
    <w:rsid w:val="00DD6A16"/>
    <w:rsid w:val="00E0091A"/>
    <w:rsid w:val="00E203AA"/>
    <w:rsid w:val="00E527A5"/>
    <w:rsid w:val="00E55127"/>
    <w:rsid w:val="00E76456"/>
    <w:rsid w:val="00EE71CB"/>
    <w:rsid w:val="00F16975"/>
    <w:rsid w:val="00F66152"/>
    <w:rsid w:val="00F66968"/>
    <w:rsid w:val="00FC1611"/>
    <w:rsid w:val="00FF4371"/>
    <w:rsid w:val="00FF4A0B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7BA57E"/>
  <w15:docId w15:val="{29AD1173-C703-44ED-9EB2-680F760DC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25DF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4025DF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025DF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4025DF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4025DF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025DF"/>
    <w:pPr>
      <w:spacing w:after="220"/>
    </w:pPr>
  </w:style>
  <w:style w:type="paragraph" w:styleId="Caption">
    <w:name w:val="caption"/>
    <w:basedOn w:val="Normal"/>
    <w:next w:val="Normal"/>
    <w:qFormat/>
    <w:rsid w:val="004025DF"/>
    <w:rPr>
      <w:b/>
      <w:bCs/>
      <w:sz w:val="18"/>
    </w:rPr>
  </w:style>
  <w:style w:type="paragraph" w:styleId="CommentText">
    <w:name w:val="annotation text"/>
    <w:basedOn w:val="Normal"/>
    <w:semiHidden/>
    <w:rsid w:val="004025DF"/>
    <w:rPr>
      <w:sz w:val="18"/>
    </w:rPr>
  </w:style>
  <w:style w:type="paragraph" w:styleId="EndnoteText">
    <w:name w:val="endnote text"/>
    <w:basedOn w:val="Normal"/>
    <w:semiHidden/>
    <w:rsid w:val="004025DF"/>
    <w:rPr>
      <w:sz w:val="18"/>
    </w:rPr>
  </w:style>
  <w:style w:type="paragraph" w:styleId="Footer">
    <w:name w:val="footer"/>
    <w:basedOn w:val="Normal"/>
    <w:semiHidden/>
    <w:rsid w:val="004025D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025DF"/>
    <w:rPr>
      <w:sz w:val="18"/>
    </w:rPr>
  </w:style>
  <w:style w:type="paragraph" w:customStyle="1" w:styleId="Endofdocument-Annex">
    <w:name w:val="[End of document - Annex]"/>
    <w:basedOn w:val="Normal"/>
    <w:rsid w:val="00FF4371"/>
    <w:pPr>
      <w:ind w:left="5534"/>
    </w:pPr>
    <w:rPr>
      <w:lang w:val="en-US"/>
    </w:rPr>
  </w:style>
  <w:style w:type="paragraph" w:styleId="Header">
    <w:name w:val="header"/>
    <w:basedOn w:val="Normal"/>
    <w:semiHidden/>
    <w:rsid w:val="004025DF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4025DF"/>
    <w:pPr>
      <w:numPr>
        <w:numId w:val="4"/>
      </w:numPr>
    </w:pPr>
  </w:style>
  <w:style w:type="paragraph" w:customStyle="1" w:styleId="ONUME">
    <w:name w:val="ONUM E"/>
    <w:basedOn w:val="BodyText"/>
    <w:rsid w:val="004025DF"/>
    <w:pPr>
      <w:numPr>
        <w:numId w:val="5"/>
      </w:numPr>
    </w:pPr>
  </w:style>
  <w:style w:type="paragraph" w:customStyle="1" w:styleId="ONUMFS">
    <w:name w:val="ONUM FS"/>
    <w:basedOn w:val="BodyText"/>
    <w:rsid w:val="004025DF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4025DF"/>
  </w:style>
  <w:style w:type="paragraph" w:styleId="Signature">
    <w:name w:val="Signature"/>
    <w:basedOn w:val="Normal"/>
    <w:semiHidden/>
    <w:rsid w:val="004025DF"/>
    <w:pPr>
      <w:ind w:left="5250"/>
    </w:pPr>
  </w:style>
  <w:style w:type="paragraph" w:customStyle="1" w:styleId="DecisionInvitingPara">
    <w:name w:val="Decision Inviting Para."/>
    <w:basedOn w:val="Normal"/>
    <w:rsid w:val="00556735"/>
    <w:pPr>
      <w:widowControl w:val="0"/>
      <w:adjustRightInd w:val="0"/>
      <w:spacing w:after="120" w:line="260" w:lineRule="exact"/>
      <w:ind w:left="5534"/>
      <w:jc w:val="both"/>
      <w:textAlignment w:val="baseline"/>
    </w:pPr>
    <w:rPr>
      <w:rFonts w:eastAsia="Times New Roman" w:cs="Times New Roman"/>
      <w:i/>
      <w:noProof/>
      <w:sz w:val="20"/>
      <w:lang w:val="fr-FR" w:eastAsia="en-US"/>
    </w:rPr>
  </w:style>
  <w:style w:type="paragraph" w:styleId="ListParagraph">
    <w:name w:val="List Paragraph"/>
    <w:basedOn w:val="Normal"/>
    <w:uiPriority w:val="34"/>
    <w:qFormat/>
    <w:rsid w:val="00645D9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A2377"/>
    <w:rPr>
      <w:rFonts w:ascii="Arial" w:eastAsia="SimSun" w:hAnsi="Arial" w:cs="Arial"/>
      <w:bCs/>
      <w:iCs/>
      <w:caps/>
      <w:sz w:val="22"/>
      <w:szCs w:val="28"/>
      <w:lang w:eastAsia="zh-CN"/>
    </w:rPr>
  </w:style>
  <w:style w:type="character" w:styleId="Hyperlink">
    <w:name w:val="Hyperlink"/>
    <w:basedOn w:val="DefaultParagraphFont"/>
    <w:semiHidden/>
    <w:unhideWhenUsed/>
    <w:rsid w:val="00DC08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2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A%2065%20(F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 65 (F).dotm</Template>
  <TotalTime>6</TotalTime>
  <Pages>11</Pages>
  <Words>767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A/65/4</vt:lpstr>
    </vt:vector>
  </TitlesOfParts>
  <Company>WIPO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A/65/INF/4</dc:title>
  <dc:creator>WIPO</dc:creator>
  <cp:keywords>FOR OFFICIAL USE ONLY</cp:keywords>
  <cp:lastModifiedBy>HÄFLIGER Patience</cp:lastModifiedBy>
  <cp:revision>4</cp:revision>
  <cp:lastPrinted>2011-05-19T12:37:00Z</cp:lastPrinted>
  <dcterms:created xsi:type="dcterms:W3CDTF">2024-06-24T15:21:00Z</dcterms:created>
  <dcterms:modified xsi:type="dcterms:W3CDTF">2024-06-24T15:22:00Z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4be00795-0332-471b-bc48-392ea471087a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2023-11-21T14:55:19Z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481b6de1-0855-4918-933c-b2a4adc1c6de</vt:lpwstr>
  </property>
  <property fmtid="{D5CDD505-2E9C-101B-9397-08002B2CF9AE}" pid="14" name="MSIP_Label_20773ee6-353b-4fb9-a59d-0b94c8c67bea_ContentBits">
    <vt:lpwstr>0</vt:lpwstr>
  </property>
</Properties>
</file>