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D176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0" w:name="Code"/>
      <w:bookmarkEnd w:id="0"/>
      <w:r w:rsidR="003C7D49">
        <w:rPr>
          <w:rFonts w:ascii="Arial Black" w:hAnsi="Arial Black"/>
          <w:b/>
          <w:caps/>
          <w:sz w:val="15"/>
          <w:lang w:val="fr-CH"/>
        </w:rPr>
        <w:t>13</w:t>
      </w:r>
      <w:r w:rsidR="003E227B">
        <w:rPr>
          <w:rFonts w:ascii="Arial Black" w:hAnsi="Arial Black"/>
          <w:b/>
          <w:caps/>
          <w:sz w:val="15"/>
          <w:lang w:val="fr-CH"/>
        </w:rPr>
        <w:t> </w:t>
      </w:r>
      <w:r w:rsidR="003C7D49">
        <w:rPr>
          <w:rFonts w:ascii="Arial Black" w:hAnsi="Arial Black"/>
          <w:b/>
          <w:caps/>
          <w:sz w:val="15"/>
          <w:lang w:val="fr-CH"/>
        </w:rPr>
        <w:t>Add.2</w:t>
      </w:r>
    </w:p>
    <w:p w:rsidR="006E4F5F" w:rsidRPr="007378AD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5D18F0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A501F7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7378AD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5D18F0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442B48">
        <w:rPr>
          <w:rFonts w:ascii="Arial Black" w:hAnsi="Arial Black"/>
          <w:b/>
          <w:caps/>
          <w:sz w:val="15"/>
          <w:lang w:val="fr-CH"/>
        </w:rPr>
        <w:t>9 octobre 20</w:t>
      </w:r>
      <w:r w:rsidR="00A501F7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217165" w:rsidRDefault="00217165" w:rsidP="00C467BE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5D18F0">
        <w:rPr>
          <w:lang w:val="fr-CH"/>
        </w:rPr>
        <w:t>’</w:t>
      </w:r>
      <w:r w:rsidRPr="00217165">
        <w:rPr>
          <w:lang w:val="fr-CH"/>
        </w:rPr>
        <w:t>OMPI</w:t>
      </w:r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5D18F0">
        <w:rPr>
          <w:b/>
          <w:sz w:val="24"/>
          <w:lang w:val="fr-CH"/>
        </w:rPr>
        <w:t>-</w:t>
      </w:r>
      <w:r w:rsidR="00D1766A">
        <w:rPr>
          <w:b/>
          <w:sz w:val="24"/>
          <w:lang w:val="fr-CH"/>
        </w:rPr>
        <w:t>neuvième</w:t>
      </w:r>
      <w:r w:rsidR="00217165" w:rsidRPr="00217165">
        <w:rPr>
          <w:b/>
          <w:sz w:val="24"/>
          <w:lang w:val="fr-CH"/>
        </w:rPr>
        <w:t xml:space="preserve">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D1766A">
        <w:rPr>
          <w:b/>
          <w:sz w:val="24"/>
          <w:lang w:val="fr-CH"/>
        </w:rPr>
        <w:t>3</w:t>
      </w:r>
      <w:r w:rsidR="00442B48">
        <w:rPr>
          <w:b/>
          <w:sz w:val="24"/>
          <w:lang w:val="fr-CH"/>
        </w:rPr>
        <w:t>0 </w:t>
      </w:r>
      <w:r w:rsidR="00442B48" w:rsidRPr="002A1C08">
        <w:rPr>
          <w:b/>
          <w:sz w:val="24"/>
          <w:lang w:val="fr-CH"/>
        </w:rPr>
        <w:t>septembre</w:t>
      </w:r>
      <w:r w:rsidR="00217165" w:rsidRPr="002A1C08">
        <w:rPr>
          <w:b/>
          <w:sz w:val="24"/>
          <w:lang w:val="fr-CH"/>
        </w:rPr>
        <w:t xml:space="preserve"> –</w:t>
      </w:r>
      <w:r w:rsidR="00D1766A">
        <w:rPr>
          <w:b/>
          <w:sz w:val="24"/>
          <w:lang w:val="fr-CH"/>
        </w:rPr>
        <w:t xml:space="preserve"> </w:t>
      </w:r>
      <w:r w:rsidR="00442B48">
        <w:rPr>
          <w:b/>
          <w:sz w:val="24"/>
          <w:lang w:val="fr-CH"/>
        </w:rPr>
        <w:t>9 </w:t>
      </w:r>
      <w:r w:rsidR="00442B48" w:rsidRPr="002A1C08">
        <w:rPr>
          <w:b/>
          <w:sz w:val="24"/>
          <w:lang w:val="fr-CH"/>
        </w:rPr>
        <w:t>octobre</w:t>
      </w:r>
      <w:r w:rsidR="00442B48">
        <w:rPr>
          <w:b/>
          <w:sz w:val="24"/>
          <w:lang w:val="fr-CH"/>
        </w:rPr>
        <w:t> 20</w:t>
      </w:r>
      <w:r w:rsidR="00D1766A">
        <w:rPr>
          <w:b/>
          <w:sz w:val="24"/>
          <w:lang w:val="fr-CH"/>
        </w:rPr>
        <w:t>19</w:t>
      </w:r>
    </w:p>
    <w:p w:rsidR="008B2CC1" w:rsidRPr="00217165" w:rsidRDefault="00A501F7" w:rsidP="007378AD">
      <w:pPr>
        <w:spacing w:after="360"/>
        <w:rPr>
          <w:caps/>
          <w:sz w:val="24"/>
          <w:lang w:val="fr-CH"/>
        </w:rPr>
      </w:pPr>
      <w:bookmarkStart w:id="3" w:name="TitleOfDoc"/>
      <w:bookmarkEnd w:id="3"/>
      <w:r>
        <w:rPr>
          <w:caps/>
          <w:sz w:val="24"/>
          <w:lang w:val="fr-CH"/>
        </w:rPr>
        <w:t>Rapport de Synthèse</w:t>
      </w:r>
    </w:p>
    <w:p w:rsidR="008B2CC1" w:rsidRPr="00217165" w:rsidRDefault="00A501F7" w:rsidP="009C127D">
      <w:pPr>
        <w:spacing w:after="960"/>
        <w:rPr>
          <w:i/>
          <w:lang w:val="fr-CH"/>
        </w:rPr>
      </w:pPr>
      <w:bookmarkStart w:id="4" w:name="Prepared"/>
      <w:bookmarkEnd w:id="4"/>
      <w:r>
        <w:rPr>
          <w:i/>
          <w:lang w:val="fr-CH"/>
        </w:rPr>
        <w:t>Additif</w:t>
      </w:r>
    </w:p>
    <w:p w:rsidR="003C7D49" w:rsidRPr="00A654DE" w:rsidRDefault="003C7D49" w:rsidP="003C7D49">
      <w:pPr>
        <w:pStyle w:val="Heading3"/>
      </w:pPr>
      <w:r w:rsidRPr="00A654DE">
        <w:t>Point 9 de l</w:t>
      </w:r>
      <w:r w:rsidR="005D18F0">
        <w:t>’</w:t>
      </w:r>
      <w:r w:rsidRPr="00A654DE">
        <w:t>ordre du jour unifié</w:t>
      </w:r>
    </w:p>
    <w:p w:rsidR="003C7D49" w:rsidRDefault="003C7D49" w:rsidP="003C7D49">
      <w:pPr>
        <w:pStyle w:val="Heading3"/>
      </w:pPr>
      <w:r w:rsidRPr="00A654DE">
        <w:t>Composition du Comité de coordination de l</w:t>
      </w:r>
      <w:r w:rsidR="005D18F0">
        <w:t>’</w:t>
      </w:r>
      <w:r w:rsidRPr="00A654DE">
        <w:t>OMPI et des comités exécutifs des unions de Paris et de Berne</w:t>
      </w:r>
    </w:p>
    <w:p w:rsidR="000402B1" w:rsidRDefault="000402B1" w:rsidP="000402B1">
      <w:pPr>
        <w:pStyle w:val="ONUMFS"/>
      </w:pPr>
      <w:r>
        <w:t xml:space="preserve">Les délibérations ont eu lieu sur la base des documents </w:t>
      </w:r>
      <w:r w:rsidRPr="007A2ABB">
        <w:t xml:space="preserve">A/59/5 </w:t>
      </w:r>
      <w:r>
        <w:t xml:space="preserve">et </w:t>
      </w:r>
      <w:r w:rsidRPr="007A2ABB">
        <w:t>A/59/12.</w:t>
      </w:r>
    </w:p>
    <w:p w:rsidR="00541BD4" w:rsidRPr="00722952" w:rsidRDefault="00541BD4" w:rsidP="000402B1">
      <w:pPr>
        <w:pStyle w:val="ONUMFS"/>
      </w:pPr>
      <w:r w:rsidRPr="00722952">
        <w:t>À l</w:t>
      </w:r>
      <w:r w:rsidR="005D18F0">
        <w:t>’</w:t>
      </w:r>
      <w:r w:rsidRPr="00722952">
        <w:t>issue de consultations informelles entre les États membres,</w:t>
      </w:r>
    </w:p>
    <w:p w:rsidR="00541BD4" w:rsidRDefault="00541BD4" w:rsidP="000402B1">
      <w:pPr>
        <w:pStyle w:val="ONUMFS"/>
        <w:numPr>
          <w:ilvl w:val="2"/>
          <w:numId w:val="9"/>
        </w:numPr>
        <w:tabs>
          <w:tab w:val="clear" w:pos="1701"/>
        </w:tabs>
        <w:ind w:left="567"/>
      </w:pPr>
      <w:r w:rsidRPr="00722952">
        <w:t>L</w:t>
      </w:r>
      <w:r w:rsidR="005D18F0">
        <w:t>’</w:t>
      </w:r>
      <w:r w:rsidRPr="00722952">
        <w:t>Assemblée de l</w:t>
      </w:r>
      <w:r w:rsidR="005D18F0">
        <w:t>’</w:t>
      </w:r>
      <w:r w:rsidRPr="00722952">
        <w:t>Union de Paris élit à l</w:t>
      </w:r>
      <w:r w:rsidR="005D18F0">
        <w:t>’</w:t>
      </w:r>
      <w:r w:rsidRPr="00722952">
        <w:t>unanimité les États ci</w:t>
      </w:r>
      <w:r w:rsidR="005D18F0">
        <w:t>-</w:t>
      </w:r>
      <w:r w:rsidRPr="00722952">
        <w:t xml:space="preserve">après </w:t>
      </w:r>
      <w:r>
        <w:t xml:space="preserve">en qualité de </w:t>
      </w:r>
      <w:r w:rsidRPr="00722952">
        <w:t xml:space="preserve">membres </w:t>
      </w:r>
      <w:r w:rsidRPr="002C1E2A">
        <w:rPr>
          <w:i/>
        </w:rPr>
        <w:t>ordinaires</w:t>
      </w:r>
      <w:r w:rsidRPr="00722952">
        <w:t xml:space="preserve"> du </w:t>
      </w:r>
      <w:r w:rsidRPr="002C1E2A">
        <w:rPr>
          <w:i/>
        </w:rPr>
        <w:t>Comité exécutif de l</w:t>
      </w:r>
      <w:r w:rsidR="005D18F0">
        <w:rPr>
          <w:i/>
        </w:rPr>
        <w:t>’</w:t>
      </w:r>
      <w:r w:rsidRPr="002C1E2A">
        <w:rPr>
          <w:i/>
        </w:rPr>
        <w:t>Union de Paris</w:t>
      </w:r>
      <w:r w:rsidR="005D18F0">
        <w:t> :</w:t>
      </w:r>
      <w:r>
        <w:t xml:space="preserve"> </w:t>
      </w:r>
      <w:r w:rsidR="005D18F0" w:rsidRPr="0017574D">
        <w:rPr>
          <w:szCs w:val="22"/>
        </w:rPr>
        <w:t>Angola, Argentine (2019</w:t>
      </w:r>
      <w:r w:rsidR="005D18F0">
        <w:rPr>
          <w:szCs w:val="22"/>
        </w:rPr>
        <w:t>-</w:t>
      </w:r>
      <w:r w:rsidR="005D18F0" w:rsidRPr="0017574D">
        <w:rPr>
          <w:szCs w:val="22"/>
        </w:rPr>
        <w:t xml:space="preserve">2020), Bangladesh, </w:t>
      </w:r>
      <w:proofErr w:type="spellStart"/>
      <w:r w:rsidR="005D18F0" w:rsidRPr="0017574D">
        <w:rPr>
          <w:szCs w:val="22"/>
        </w:rPr>
        <w:t>Bélarus</w:t>
      </w:r>
      <w:proofErr w:type="spellEnd"/>
      <w:r w:rsidR="005D18F0" w:rsidRPr="0017574D">
        <w:rPr>
          <w:szCs w:val="22"/>
        </w:rPr>
        <w:t xml:space="preserve"> (membre par roulement)</w:t>
      </w:r>
      <w:r w:rsidR="005D18F0" w:rsidRPr="0017574D">
        <w:rPr>
          <w:rStyle w:val="FootnoteReference"/>
          <w:szCs w:val="22"/>
        </w:rPr>
        <w:footnoteReference w:id="2"/>
      </w:r>
      <w:r w:rsidR="005D18F0" w:rsidRPr="0017574D">
        <w:rPr>
          <w:szCs w:val="22"/>
        </w:rPr>
        <w:t>, Bolivie (État plurinational de), Brésil Burkina Faso, Cameroun, Chili, Colombie, Costa</w:t>
      </w:r>
      <w:r w:rsidR="00EA1A60">
        <w:rPr>
          <w:szCs w:val="22"/>
        </w:rPr>
        <w:t> </w:t>
      </w:r>
      <w:r w:rsidR="005D18F0" w:rsidRPr="0017574D">
        <w:rPr>
          <w:szCs w:val="22"/>
        </w:rPr>
        <w:t>Rica, Côte d</w:t>
      </w:r>
      <w:r w:rsidR="005D18F0">
        <w:rPr>
          <w:szCs w:val="22"/>
        </w:rPr>
        <w:t>’</w:t>
      </w:r>
      <w:r w:rsidR="005D18F0" w:rsidRPr="0017574D">
        <w:rPr>
          <w:szCs w:val="22"/>
        </w:rPr>
        <w:t>Ivoire, Cuba, Émirats arabes unis, États</w:t>
      </w:r>
      <w:r w:rsidR="005D18F0">
        <w:rPr>
          <w:szCs w:val="22"/>
        </w:rPr>
        <w:t>-</w:t>
      </w:r>
      <w:r w:rsidR="005D18F0" w:rsidRPr="0017574D">
        <w:rPr>
          <w:szCs w:val="22"/>
        </w:rPr>
        <w:t>Unis d</w:t>
      </w:r>
      <w:r w:rsidR="005D18F0">
        <w:rPr>
          <w:szCs w:val="22"/>
        </w:rPr>
        <w:t>’</w:t>
      </w:r>
      <w:r w:rsidR="005D18F0" w:rsidRPr="0017574D">
        <w:rPr>
          <w:szCs w:val="22"/>
        </w:rPr>
        <w:t>Amérique, Fédération de Russie, Finlande, Gabon, Ghana, Hongrie, Inde, Indonésie, Iran (République islamique d</w:t>
      </w:r>
      <w:r w:rsidR="005D18F0">
        <w:rPr>
          <w:szCs w:val="22"/>
        </w:rPr>
        <w:t>’</w:t>
      </w:r>
      <w:r w:rsidR="005D18F0" w:rsidRPr="0017574D">
        <w:rPr>
          <w:szCs w:val="22"/>
        </w:rPr>
        <w:t>), Iraq, Irlande, Islande, Italie, Japon, Kenya, Kirghizistan (membre par roulement)</w:t>
      </w:r>
      <w:r w:rsidR="005D18F0" w:rsidRPr="0017574D">
        <w:rPr>
          <w:rStyle w:val="FootnoteReference"/>
          <w:szCs w:val="22"/>
        </w:rPr>
        <w:footnoteReference w:id="3"/>
      </w:r>
      <w:r w:rsidR="005D18F0" w:rsidRPr="0017574D">
        <w:rPr>
          <w:szCs w:val="22"/>
        </w:rPr>
        <w:t xml:space="preserve">, Lettonie, Maroc, Oman, Ouganda, République populaire démocratique de Corée, République de Moldova, Roumanie, </w:t>
      </w:r>
      <w:r w:rsidR="005D18F0" w:rsidRPr="0017574D">
        <w:rPr>
          <w:szCs w:val="22"/>
        </w:rPr>
        <w:lastRenderedPageBreak/>
        <w:t>Suède, Tadjikistan (membre par roulement)</w:t>
      </w:r>
      <w:r w:rsidR="005D18F0" w:rsidRPr="0017574D">
        <w:rPr>
          <w:rStyle w:val="FootnoteReference"/>
          <w:szCs w:val="22"/>
        </w:rPr>
        <w:footnoteReference w:id="4"/>
      </w:r>
      <w:r w:rsidR="005D18F0" w:rsidRPr="0017574D">
        <w:rPr>
          <w:szCs w:val="22"/>
        </w:rPr>
        <w:t>,</w:t>
      </w:r>
      <w:r w:rsidR="00337220">
        <w:rPr>
          <w:szCs w:val="22"/>
        </w:rPr>
        <w:t xml:space="preserve"> T</w:t>
      </w:r>
      <w:r w:rsidR="005D18F0" w:rsidRPr="0017574D">
        <w:rPr>
          <w:szCs w:val="22"/>
        </w:rPr>
        <w:t>unisie, Venezuela (République bolivarienne du) (2020</w:t>
      </w:r>
      <w:r w:rsidR="005D18F0">
        <w:rPr>
          <w:szCs w:val="22"/>
        </w:rPr>
        <w:t>-</w:t>
      </w:r>
      <w:r w:rsidR="005D18F0" w:rsidRPr="0017574D">
        <w:rPr>
          <w:szCs w:val="22"/>
        </w:rPr>
        <w:t>2021), Viet</w:t>
      </w:r>
      <w:r w:rsidR="00EA1A60">
        <w:rPr>
          <w:szCs w:val="22"/>
        </w:rPr>
        <w:t> </w:t>
      </w:r>
      <w:r w:rsidR="005D18F0" w:rsidRPr="0017574D">
        <w:rPr>
          <w:szCs w:val="22"/>
        </w:rPr>
        <w:t>Nam, Zimbabwe (41)</w:t>
      </w:r>
      <w:r w:rsidRPr="00722952">
        <w:t>;</w:t>
      </w:r>
    </w:p>
    <w:p w:rsidR="000402B1" w:rsidRDefault="00541BD4" w:rsidP="000402B1">
      <w:pPr>
        <w:pStyle w:val="ONUMFS"/>
        <w:numPr>
          <w:ilvl w:val="2"/>
          <w:numId w:val="9"/>
        </w:numPr>
        <w:tabs>
          <w:tab w:val="clear" w:pos="1701"/>
        </w:tabs>
        <w:ind w:left="567"/>
      </w:pPr>
      <w:r w:rsidRPr="00722952">
        <w:t>L</w:t>
      </w:r>
      <w:r w:rsidR="005D18F0">
        <w:t>’</w:t>
      </w:r>
      <w:r w:rsidRPr="00722952">
        <w:t>Assemblée de l</w:t>
      </w:r>
      <w:r w:rsidR="005D18F0">
        <w:t>’</w:t>
      </w:r>
      <w:r w:rsidRPr="00722952">
        <w:t>Union de Berne élit à l</w:t>
      </w:r>
      <w:r w:rsidR="005D18F0">
        <w:t>’</w:t>
      </w:r>
      <w:r w:rsidRPr="00722952">
        <w:t>unanimité les États ci</w:t>
      </w:r>
      <w:r w:rsidR="005D18F0">
        <w:t>-</w:t>
      </w:r>
      <w:r w:rsidRPr="00722952">
        <w:t xml:space="preserve">après en qualité de membres </w:t>
      </w:r>
      <w:r w:rsidRPr="002C1E2A">
        <w:rPr>
          <w:i/>
        </w:rPr>
        <w:t>ordinaires</w:t>
      </w:r>
      <w:r w:rsidRPr="00722952">
        <w:t xml:space="preserve"> du </w:t>
      </w:r>
      <w:r w:rsidRPr="002C1E2A">
        <w:rPr>
          <w:i/>
        </w:rPr>
        <w:t>Comité exécutif de l</w:t>
      </w:r>
      <w:r w:rsidR="005D18F0">
        <w:rPr>
          <w:i/>
        </w:rPr>
        <w:t>’</w:t>
      </w:r>
      <w:r w:rsidRPr="002C1E2A">
        <w:rPr>
          <w:i/>
        </w:rPr>
        <w:t>Union de Berne</w:t>
      </w:r>
      <w:r w:rsidR="005D18F0">
        <w:t> :</w:t>
      </w:r>
      <w:r w:rsidRPr="00722952">
        <w:t xml:space="preserve"> </w:t>
      </w:r>
      <w:r w:rsidR="005D18F0" w:rsidRPr="0017574D">
        <w:rPr>
          <w:szCs w:val="22"/>
        </w:rPr>
        <w:t>Afrique du Sud, Algérie, Allemagne, Arménie (membre par roulement)</w:t>
      </w:r>
      <w:r w:rsidR="005D18F0" w:rsidRPr="0017574D">
        <w:rPr>
          <w:rStyle w:val="FootnoteReference"/>
          <w:szCs w:val="22"/>
        </w:rPr>
        <w:footnoteReference w:id="5"/>
      </w:r>
      <w:r w:rsidR="005D18F0" w:rsidRPr="0017574D">
        <w:rPr>
          <w:szCs w:val="22"/>
        </w:rPr>
        <w:t>, Australie, Autriche, Azerbaïdjan (membre par roulement)</w:t>
      </w:r>
      <w:r w:rsidR="005D18F0" w:rsidRPr="0017574D">
        <w:rPr>
          <w:rStyle w:val="FootnoteReference"/>
          <w:szCs w:val="22"/>
        </w:rPr>
        <w:footnoteReference w:id="6"/>
      </w:r>
      <w:r w:rsidR="005D18F0" w:rsidRPr="0017574D">
        <w:rPr>
          <w:szCs w:val="22"/>
        </w:rPr>
        <w:t>, Belgique, Canada, Chine, Danemark, Djibouti, Égypte, El</w:t>
      </w:r>
      <w:r w:rsidR="00EA1A60">
        <w:rPr>
          <w:szCs w:val="22"/>
        </w:rPr>
        <w:t> </w:t>
      </w:r>
      <w:r w:rsidR="005D18F0" w:rsidRPr="0017574D">
        <w:rPr>
          <w:szCs w:val="22"/>
        </w:rPr>
        <w:t>Salvador, Équateur, Espagne, France, Géorgie, Guatemala, Jamaïque, Kazakhstan, Luxembourg, Malaisie, Mexique (2019</w:t>
      </w:r>
      <w:r w:rsidR="005D18F0">
        <w:rPr>
          <w:szCs w:val="22"/>
        </w:rPr>
        <w:t>-</w:t>
      </w:r>
      <w:r w:rsidR="005D18F0" w:rsidRPr="0017574D">
        <w:rPr>
          <w:szCs w:val="22"/>
        </w:rPr>
        <w:t>2020), Mongolie, Namibie, Nigéria, Norvège, Nouvelle</w:t>
      </w:r>
      <w:r w:rsidR="005D18F0">
        <w:rPr>
          <w:szCs w:val="22"/>
        </w:rPr>
        <w:t>-</w:t>
      </w:r>
      <w:r w:rsidR="005D18F0" w:rsidRPr="0017574D">
        <w:rPr>
          <w:szCs w:val="22"/>
        </w:rPr>
        <w:t>Zélande, Panama (2020</w:t>
      </w:r>
      <w:r w:rsidR="005D18F0">
        <w:rPr>
          <w:szCs w:val="22"/>
        </w:rPr>
        <w:t>-</w:t>
      </w:r>
      <w:r w:rsidR="005D18F0" w:rsidRPr="0017574D">
        <w:rPr>
          <w:szCs w:val="22"/>
        </w:rPr>
        <w:t>2021), Paraguay, Pays</w:t>
      </w:r>
      <w:r w:rsidR="005D18F0">
        <w:rPr>
          <w:szCs w:val="22"/>
        </w:rPr>
        <w:t>-</w:t>
      </w:r>
      <w:r w:rsidR="005D18F0" w:rsidRPr="0017574D">
        <w:rPr>
          <w:szCs w:val="22"/>
        </w:rPr>
        <w:t xml:space="preserve">Bas, Pérou, Philippines, </w:t>
      </w:r>
      <w:r w:rsidR="005D18F0" w:rsidRPr="00B92869">
        <w:rPr>
          <w:szCs w:val="22"/>
        </w:rPr>
        <w:t xml:space="preserve">Pologne, </w:t>
      </w:r>
      <w:r w:rsidR="005D18F0" w:rsidRPr="0017574D">
        <w:rPr>
          <w:szCs w:val="22"/>
        </w:rPr>
        <w:t>Portugal, République de Corée, Royaume</w:t>
      </w:r>
      <w:r w:rsidR="005D18F0">
        <w:rPr>
          <w:szCs w:val="22"/>
        </w:rPr>
        <w:t>-</w:t>
      </w:r>
      <w:r w:rsidR="005D18F0" w:rsidRPr="0017574D">
        <w:rPr>
          <w:szCs w:val="22"/>
        </w:rPr>
        <w:t>Uni, Sénégal, Singapour, Thaïlande, Trinité</w:t>
      </w:r>
      <w:r w:rsidR="005D18F0">
        <w:rPr>
          <w:szCs w:val="22"/>
        </w:rPr>
        <w:t>-</w:t>
      </w:r>
      <w:r w:rsidR="005D18F0" w:rsidRPr="0017574D">
        <w:rPr>
          <w:szCs w:val="22"/>
        </w:rPr>
        <w:t>et</w:t>
      </w:r>
      <w:r w:rsidR="005D18F0">
        <w:rPr>
          <w:szCs w:val="22"/>
        </w:rPr>
        <w:t>-</w:t>
      </w:r>
      <w:r w:rsidR="005D18F0" w:rsidRPr="0017574D">
        <w:rPr>
          <w:szCs w:val="22"/>
        </w:rPr>
        <w:t>Tobago, Turquie</w:t>
      </w:r>
      <w:r w:rsidRPr="00722952">
        <w:t xml:space="preserve"> (40);</w:t>
      </w:r>
    </w:p>
    <w:p w:rsidR="000402B1" w:rsidRDefault="00541BD4" w:rsidP="000402B1">
      <w:pPr>
        <w:pStyle w:val="ONUMFS"/>
        <w:numPr>
          <w:ilvl w:val="2"/>
          <w:numId w:val="9"/>
        </w:numPr>
        <w:tabs>
          <w:tab w:val="clear" w:pos="1701"/>
        </w:tabs>
        <w:ind w:left="567"/>
      </w:pPr>
      <w:r w:rsidRPr="00722952">
        <w:t>La Conférence de l</w:t>
      </w:r>
      <w:r w:rsidR="005D18F0">
        <w:t>’</w:t>
      </w:r>
      <w:r w:rsidRPr="00722952">
        <w:t>OMPI désigne à l</w:t>
      </w:r>
      <w:r w:rsidR="005D18F0">
        <w:t>’</w:t>
      </w:r>
      <w:r w:rsidRPr="00722952">
        <w:t>unanimité l</w:t>
      </w:r>
      <w:r w:rsidR="005D18F0">
        <w:t>’</w:t>
      </w:r>
      <w:r w:rsidRPr="00722952">
        <w:t>État ci</w:t>
      </w:r>
      <w:r w:rsidR="005D18F0">
        <w:t>-</w:t>
      </w:r>
      <w:r w:rsidRPr="00722952">
        <w:t>après en qualité de membre ad</w:t>
      </w:r>
      <w:r w:rsidR="007956D9">
        <w:t> </w:t>
      </w:r>
      <w:r w:rsidRPr="00722952">
        <w:t xml:space="preserve">hoc du </w:t>
      </w:r>
      <w:r w:rsidRPr="002C1E2A">
        <w:rPr>
          <w:i/>
        </w:rPr>
        <w:t>Comité de coordination de l</w:t>
      </w:r>
      <w:r w:rsidR="005D18F0">
        <w:rPr>
          <w:i/>
        </w:rPr>
        <w:t>’</w:t>
      </w:r>
      <w:r w:rsidRPr="002C1E2A">
        <w:rPr>
          <w:i/>
        </w:rPr>
        <w:t>OMPI</w:t>
      </w:r>
      <w:r w:rsidR="005D18F0">
        <w:t> :</w:t>
      </w:r>
      <w:r w:rsidRPr="00722952">
        <w:t xml:space="preserve"> Éthiopie (1);</w:t>
      </w:r>
    </w:p>
    <w:p w:rsidR="00541BD4" w:rsidRPr="00722952" w:rsidRDefault="00541BD4" w:rsidP="000402B1">
      <w:pPr>
        <w:pStyle w:val="ONUMFS"/>
        <w:numPr>
          <w:ilvl w:val="2"/>
          <w:numId w:val="9"/>
        </w:numPr>
        <w:tabs>
          <w:tab w:val="clear" w:pos="1701"/>
        </w:tabs>
        <w:ind w:left="567"/>
      </w:pPr>
      <w:r w:rsidRPr="00722952">
        <w:t>La Conférence de l</w:t>
      </w:r>
      <w:r w:rsidR="005D18F0">
        <w:t>’</w:t>
      </w:r>
      <w:r w:rsidRPr="00722952">
        <w:t>OMPI et les assemblées de l</w:t>
      </w:r>
      <w:r w:rsidR="005D18F0">
        <w:t>’</w:t>
      </w:r>
      <w:r w:rsidRPr="00722952">
        <w:t>Union de Paris et de l</w:t>
      </w:r>
      <w:r w:rsidR="005D18F0">
        <w:t>’</w:t>
      </w:r>
      <w:r w:rsidRPr="00722952">
        <w:t>Union de Berne notent que la Suisse continuer</w:t>
      </w:r>
      <w:bookmarkStart w:id="5" w:name="_GoBack"/>
      <w:bookmarkEnd w:id="5"/>
      <w:r w:rsidRPr="00722952">
        <w:t>a d</w:t>
      </w:r>
      <w:r w:rsidR="005D18F0">
        <w:t>’</w:t>
      </w:r>
      <w:r w:rsidRPr="00722952">
        <w:t xml:space="preserve">être </w:t>
      </w:r>
      <w:r>
        <w:t xml:space="preserve">un membre ordinaire </w:t>
      </w:r>
      <w:r w:rsidRPr="006F7C66">
        <w:rPr>
          <w:i/>
        </w:rPr>
        <w:t>ex </w:t>
      </w:r>
      <w:proofErr w:type="spellStart"/>
      <w:r w:rsidRPr="006F7C66">
        <w:rPr>
          <w:i/>
        </w:rPr>
        <w:t>officio</w:t>
      </w:r>
      <w:proofErr w:type="spellEnd"/>
      <w:r w:rsidRPr="00722952">
        <w:t xml:space="preserve"> du </w:t>
      </w:r>
      <w:r w:rsidRPr="002C1E2A">
        <w:rPr>
          <w:i/>
        </w:rPr>
        <w:t>Comité exécutif de l</w:t>
      </w:r>
      <w:r w:rsidR="005D18F0">
        <w:rPr>
          <w:i/>
        </w:rPr>
        <w:t>’</w:t>
      </w:r>
      <w:r w:rsidRPr="002C1E2A">
        <w:rPr>
          <w:i/>
        </w:rPr>
        <w:t>Union de Paris</w:t>
      </w:r>
      <w:r w:rsidRPr="00722952">
        <w:t xml:space="preserve"> et du </w:t>
      </w:r>
      <w:r w:rsidRPr="002C1E2A">
        <w:rPr>
          <w:i/>
        </w:rPr>
        <w:t>Comité exécutif de l</w:t>
      </w:r>
      <w:r w:rsidR="005D18F0">
        <w:rPr>
          <w:i/>
        </w:rPr>
        <w:t>’</w:t>
      </w:r>
      <w:r w:rsidRPr="002C1E2A">
        <w:rPr>
          <w:i/>
        </w:rPr>
        <w:t>Union de Berne</w:t>
      </w:r>
      <w:r w:rsidRPr="00722952">
        <w:t>.</w:t>
      </w:r>
    </w:p>
    <w:p w:rsidR="000402B1" w:rsidRDefault="00541BD4" w:rsidP="000402B1">
      <w:pPr>
        <w:pStyle w:val="ONUMFS"/>
        <w:numPr>
          <w:ilvl w:val="0"/>
          <w:numId w:val="0"/>
        </w:numPr>
        <w:rPr>
          <w:noProof/>
        </w:rPr>
      </w:pPr>
      <w:r w:rsidRPr="00722952">
        <w:rPr>
          <w:noProof/>
        </w:rPr>
        <w:t>En conséquence, le Comité de coordination de l</w:t>
      </w:r>
      <w:r w:rsidR="005D18F0">
        <w:rPr>
          <w:noProof/>
        </w:rPr>
        <w:t>’</w:t>
      </w:r>
      <w:r w:rsidRPr="00722952">
        <w:rPr>
          <w:noProof/>
        </w:rPr>
        <w:t>OMPI est composé des États ci</w:t>
      </w:r>
      <w:r w:rsidR="005D18F0">
        <w:rPr>
          <w:noProof/>
        </w:rPr>
        <w:t>-</w:t>
      </w:r>
      <w:r w:rsidRPr="00722952">
        <w:rPr>
          <w:noProof/>
        </w:rPr>
        <w:t>après pour la période allant d</w:t>
      </w:r>
      <w:r w:rsidR="005D18F0">
        <w:rPr>
          <w:noProof/>
        </w:rPr>
        <w:t>’</w:t>
      </w:r>
      <w:r w:rsidRPr="00722952">
        <w:rPr>
          <w:noProof/>
        </w:rPr>
        <w:t>octobre 2019 à octobre 2021</w:t>
      </w:r>
      <w:r w:rsidR="005D18F0">
        <w:rPr>
          <w:noProof/>
        </w:rPr>
        <w:t> :</w:t>
      </w:r>
    </w:p>
    <w:p w:rsidR="00541BD4" w:rsidRPr="00722952" w:rsidRDefault="005D18F0" w:rsidP="000402B1">
      <w:pPr>
        <w:pStyle w:val="ONUMFS"/>
        <w:numPr>
          <w:ilvl w:val="0"/>
          <w:numId w:val="0"/>
        </w:numPr>
      </w:pPr>
      <w:r w:rsidRPr="0017574D">
        <w:rPr>
          <w:szCs w:val="22"/>
        </w:rPr>
        <w:t>Afrique du Sud, Algérie, Allemagne, Angola, Argentine (2019</w:t>
      </w:r>
      <w:r>
        <w:rPr>
          <w:szCs w:val="22"/>
        </w:rPr>
        <w:t>-</w:t>
      </w:r>
      <w:r w:rsidRPr="0017574D">
        <w:rPr>
          <w:szCs w:val="22"/>
        </w:rPr>
        <w:t>2020), Arménie (membre par roulement)</w:t>
      </w:r>
      <w:r w:rsidRPr="0017574D">
        <w:rPr>
          <w:szCs w:val="22"/>
          <w:vertAlign w:val="superscript"/>
        </w:rPr>
        <w:t>4</w:t>
      </w:r>
      <w:r w:rsidRPr="0017574D">
        <w:rPr>
          <w:szCs w:val="22"/>
        </w:rPr>
        <w:t>, Australie, Autriche, Azerbaïdjan (membre par roulement)</w:t>
      </w:r>
      <w:r w:rsidRPr="0017574D">
        <w:rPr>
          <w:szCs w:val="22"/>
          <w:vertAlign w:val="superscript"/>
        </w:rPr>
        <w:t>5</w:t>
      </w:r>
      <w:r w:rsidRPr="0017574D">
        <w:rPr>
          <w:szCs w:val="22"/>
        </w:rPr>
        <w:t xml:space="preserve">, Bangladesh, </w:t>
      </w:r>
      <w:proofErr w:type="spellStart"/>
      <w:r w:rsidRPr="0017574D">
        <w:rPr>
          <w:szCs w:val="22"/>
        </w:rPr>
        <w:t>Bélarus</w:t>
      </w:r>
      <w:proofErr w:type="spellEnd"/>
      <w:r w:rsidRPr="0017574D">
        <w:rPr>
          <w:szCs w:val="22"/>
        </w:rPr>
        <w:t xml:space="preserve"> (membre par roulement)</w:t>
      </w:r>
      <w:r w:rsidRPr="0017574D">
        <w:rPr>
          <w:szCs w:val="22"/>
          <w:vertAlign w:val="superscript"/>
        </w:rPr>
        <w:t>1</w:t>
      </w:r>
      <w:r w:rsidRPr="0017574D">
        <w:rPr>
          <w:szCs w:val="22"/>
        </w:rPr>
        <w:t>, Belgique, Bolivie (État plurinational de), Brésil, Burkina Faso, Cameroun, Canada, Chili, Chine, Colombie, Costa</w:t>
      </w:r>
      <w:r w:rsidR="00EA1A60">
        <w:rPr>
          <w:szCs w:val="22"/>
        </w:rPr>
        <w:t> </w:t>
      </w:r>
      <w:r w:rsidRPr="0017574D">
        <w:rPr>
          <w:szCs w:val="22"/>
        </w:rPr>
        <w:t>Rica, Côte d</w:t>
      </w:r>
      <w:r>
        <w:rPr>
          <w:szCs w:val="22"/>
        </w:rPr>
        <w:t>’</w:t>
      </w:r>
      <w:r w:rsidRPr="0017574D">
        <w:rPr>
          <w:szCs w:val="22"/>
        </w:rPr>
        <w:t>Ivoire, Cuba, Danemark, Djibouti, Égypte, El</w:t>
      </w:r>
      <w:r w:rsidR="00EA1A60">
        <w:rPr>
          <w:szCs w:val="22"/>
        </w:rPr>
        <w:t> </w:t>
      </w:r>
      <w:r w:rsidRPr="0017574D">
        <w:rPr>
          <w:szCs w:val="22"/>
        </w:rPr>
        <w:t>Salvador, Émirats arabes unis, Équateur, Espagne, États</w:t>
      </w:r>
      <w:r>
        <w:rPr>
          <w:szCs w:val="22"/>
        </w:rPr>
        <w:t>-</w:t>
      </w:r>
      <w:r w:rsidRPr="0017574D">
        <w:rPr>
          <w:szCs w:val="22"/>
        </w:rPr>
        <w:t>Unis d</w:t>
      </w:r>
      <w:r>
        <w:rPr>
          <w:szCs w:val="22"/>
        </w:rPr>
        <w:t>’</w:t>
      </w:r>
      <w:r w:rsidRPr="0017574D">
        <w:rPr>
          <w:szCs w:val="22"/>
        </w:rPr>
        <w:t>Amérique, Éthiopie (</w:t>
      </w:r>
      <w:r w:rsidRPr="0017574D">
        <w:rPr>
          <w:i/>
          <w:szCs w:val="22"/>
        </w:rPr>
        <w:t>ad</w:t>
      </w:r>
      <w:r w:rsidR="00EA1A60">
        <w:rPr>
          <w:i/>
          <w:szCs w:val="22"/>
        </w:rPr>
        <w:t> </w:t>
      </w:r>
      <w:r w:rsidRPr="0017574D">
        <w:rPr>
          <w:i/>
          <w:szCs w:val="22"/>
        </w:rPr>
        <w:t>hoc</w:t>
      </w:r>
      <w:r w:rsidRPr="0017574D">
        <w:rPr>
          <w:szCs w:val="22"/>
        </w:rPr>
        <w:t>), Fédération de Russie, Finlande, France, Gabon, Géorgie, Ghana, Guatemala, Hongrie, Inde, Indonésie, Iran (République islamique d</w:t>
      </w:r>
      <w:r>
        <w:rPr>
          <w:szCs w:val="22"/>
        </w:rPr>
        <w:t>’</w:t>
      </w:r>
      <w:r w:rsidRPr="0017574D">
        <w:rPr>
          <w:szCs w:val="22"/>
        </w:rPr>
        <w:t>), Iraq, Irlande, Islande, Italie, Jamaïque, Japon, Kazakhstan, Kenya, Kirghizistan (membre par roulement)</w:t>
      </w:r>
      <w:r w:rsidRPr="0017574D">
        <w:rPr>
          <w:szCs w:val="22"/>
          <w:vertAlign w:val="superscript"/>
        </w:rPr>
        <w:t>2</w:t>
      </w:r>
      <w:r w:rsidRPr="0017574D">
        <w:rPr>
          <w:szCs w:val="22"/>
        </w:rPr>
        <w:t>, Lettonie, Luxemb</w:t>
      </w:r>
      <w:r w:rsidR="00337220">
        <w:rPr>
          <w:szCs w:val="22"/>
        </w:rPr>
        <w:t>ou</w:t>
      </w:r>
      <w:r w:rsidRPr="0017574D">
        <w:rPr>
          <w:szCs w:val="22"/>
        </w:rPr>
        <w:t>rg, Malaisie, Maroc, Mexique (2019</w:t>
      </w:r>
      <w:r>
        <w:rPr>
          <w:szCs w:val="22"/>
        </w:rPr>
        <w:t>-</w:t>
      </w:r>
      <w:r w:rsidRPr="0017574D">
        <w:rPr>
          <w:szCs w:val="22"/>
        </w:rPr>
        <w:t>2020), Mongolie, Namibie, Nigéria, Norvège, Nouvelle</w:t>
      </w:r>
      <w:r>
        <w:rPr>
          <w:szCs w:val="22"/>
        </w:rPr>
        <w:t>-</w:t>
      </w:r>
      <w:r w:rsidRPr="005D18F0">
        <w:rPr>
          <w:szCs w:val="22"/>
        </w:rPr>
        <w:t>Zélande, Oman, Ouganda, Panama (2020</w:t>
      </w:r>
      <w:r>
        <w:rPr>
          <w:szCs w:val="22"/>
        </w:rPr>
        <w:t>-</w:t>
      </w:r>
      <w:r w:rsidRPr="005D18F0">
        <w:rPr>
          <w:szCs w:val="22"/>
        </w:rPr>
        <w:t>2021), Paraguay, Pays</w:t>
      </w:r>
      <w:r>
        <w:rPr>
          <w:szCs w:val="22"/>
        </w:rPr>
        <w:t>-</w:t>
      </w:r>
      <w:r w:rsidRPr="005D18F0">
        <w:rPr>
          <w:szCs w:val="22"/>
        </w:rPr>
        <w:t>Bas, Pérou, Philippines, Pologne, Portugal</w:t>
      </w:r>
      <w:r w:rsidRPr="0017574D">
        <w:rPr>
          <w:szCs w:val="22"/>
        </w:rPr>
        <w:t>, République de Corée, République populaire démocratique de Corée, République de Moldova, Roumanie, Royaume</w:t>
      </w:r>
      <w:r>
        <w:rPr>
          <w:szCs w:val="22"/>
        </w:rPr>
        <w:t>-</w:t>
      </w:r>
      <w:r w:rsidRPr="0017574D">
        <w:rPr>
          <w:szCs w:val="22"/>
        </w:rPr>
        <w:t>Uni, Sénégal, Singapour, Suède, Suisse (</w:t>
      </w:r>
      <w:r w:rsidRPr="0017574D">
        <w:rPr>
          <w:i/>
          <w:szCs w:val="22"/>
        </w:rPr>
        <w:t>ex</w:t>
      </w:r>
      <w:r w:rsidR="00EA1A60">
        <w:rPr>
          <w:i/>
          <w:szCs w:val="22"/>
        </w:rPr>
        <w:t> </w:t>
      </w:r>
      <w:proofErr w:type="spellStart"/>
      <w:r w:rsidRPr="0017574D">
        <w:rPr>
          <w:i/>
          <w:szCs w:val="22"/>
        </w:rPr>
        <w:t>officio</w:t>
      </w:r>
      <w:proofErr w:type="spellEnd"/>
      <w:r w:rsidRPr="0017574D">
        <w:rPr>
          <w:szCs w:val="22"/>
        </w:rPr>
        <w:t>) Tadjikistan (membre par roulement)</w:t>
      </w:r>
      <w:r w:rsidRPr="0017574D">
        <w:rPr>
          <w:szCs w:val="22"/>
          <w:vertAlign w:val="superscript"/>
        </w:rPr>
        <w:t>3</w:t>
      </w:r>
      <w:r w:rsidRPr="0017574D">
        <w:rPr>
          <w:szCs w:val="22"/>
        </w:rPr>
        <w:t>, Thaïlande, Trinité</w:t>
      </w:r>
      <w:r>
        <w:rPr>
          <w:szCs w:val="22"/>
        </w:rPr>
        <w:t>-</w:t>
      </w:r>
      <w:r w:rsidRPr="0017574D">
        <w:rPr>
          <w:szCs w:val="22"/>
        </w:rPr>
        <w:t>et</w:t>
      </w:r>
      <w:r>
        <w:rPr>
          <w:szCs w:val="22"/>
        </w:rPr>
        <w:t>-</w:t>
      </w:r>
      <w:r w:rsidRPr="0017574D">
        <w:rPr>
          <w:szCs w:val="22"/>
        </w:rPr>
        <w:t>Tobago, Tunisie, Turquie, Venezuela (République bolivarienne du) (2020</w:t>
      </w:r>
      <w:r>
        <w:rPr>
          <w:szCs w:val="22"/>
        </w:rPr>
        <w:t>-</w:t>
      </w:r>
      <w:r w:rsidRPr="0017574D">
        <w:rPr>
          <w:szCs w:val="22"/>
        </w:rPr>
        <w:t>2021), Viet</w:t>
      </w:r>
      <w:r w:rsidR="00EA1A60">
        <w:rPr>
          <w:szCs w:val="22"/>
        </w:rPr>
        <w:t> </w:t>
      </w:r>
      <w:r w:rsidRPr="0017574D">
        <w:rPr>
          <w:szCs w:val="22"/>
        </w:rPr>
        <w:t>Nam, Zimbabwe</w:t>
      </w:r>
      <w:r w:rsidR="00541BD4">
        <w:t xml:space="preserve"> </w:t>
      </w:r>
      <w:r w:rsidR="00541BD4" w:rsidRPr="00722952">
        <w:t>(83).</w:t>
      </w:r>
    </w:p>
    <w:p w:rsidR="00541BD4" w:rsidRPr="000402B1" w:rsidRDefault="00541BD4" w:rsidP="000402B1">
      <w:pPr>
        <w:pStyle w:val="ONUMFS"/>
        <w:ind w:left="567"/>
        <w:rPr>
          <w:szCs w:val="22"/>
        </w:rPr>
      </w:pPr>
      <w:r w:rsidRPr="000402B1">
        <w:rPr>
          <w:szCs w:val="22"/>
        </w:rPr>
        <w:t>Les assemblées des unions de Paris et de Berne et la Conférence de l</w:t>
      </w:r>
      <w:r w:rsidR="005D18F0">
        <w:rPr>
          <w:szCs w:val="22"/>
        </w:rPr>
        <w:t>’</w:t>
      </w:r>
      <w:r w:rsidRPr="000402B1">
        <w:rPr>
          <w:szCs w:val="22"/>
        </w:rPr>
        <w:t>OMPI, chacune pour ce qui la concerne, décident, par accord unanime de tous les États membres de l</w:t>
      </w:r>
      <w:r w:rsidR="005D18F0">
        <w:rPr>
          <w:szCs w:val="22"/>
        </w:rPr>
        <w:t>’</w:t>
      </w:r>
      <w:r w:rsidRPr="000402B1">
        <w:rPr>
          <w:szCs w:val="22"/>
        </w:rPr>
        <w:t xml:space="preserve">OMPI, que le Comité de coordination, exceptionnellement composé de 83 membres, a été dûment constitué, </w:t>
      </w:r>
      <w:r w:rsidR="005D18F0">
        <w:rPr>
          <w:szCs w:val="22"/>
        </w:rPr>
        <w:t>y compris</w:t>
      </w:r>
      <w:r w:rsidRPr="000402B1">
        <w:rPr>
          <w:szCs w:val="22"/>
        </w:rPr>
        <w:t>, en particulier, du point de vue de ses fonctions relatives à la procédure de nomination du prochain Directeur général, et qu</w:t>
      </w:r>
      <w:r w:rsidR="005D18F0">
        <w:rPr>
          <w:szCs w:val="22"/>
        </w:rPr>
        <w:t>’</w:t>
      </w:r>
      <w:r w:rsidRPr="000402B1">
        <w:rPr>
          <w:szCs w:val="22"/>
        </w:rPr>
        <w:t>il ne saurait fonder aucune contestation, de la part de tout État membre de tout organe pertinent de l</w:t>
      </w:r>
      <w:r w:rsidR="005D18F0">
        <w:rPr>
          <w:szCs w:val="22"/>
        </w:rPr>
        <w:t>’</w:t>
      </w:r>
      <w:r w:rsidRPr="000402B1">
        <w:rPr>
          <w:szCs w:val="22"/>
        </w:rPr>
        <w:t>OMPI, quant à la validité de la nomination par le Comité de coordination de l</w:t>
      </w:r>
      <w:r w:rsidR="005D18F0">
        <w:rPr>
          <w:szCs w:val="22"/>
        </w:rPr>
        <w:t>’</w:t>
      </w:r>
      <w:r w:rsidRPr="000402B1">
        <w:rPr>
          <w:szCs w:val="22"/>
        </w:rPr>
        <w:t>OMPI d</w:t>
      </w:r>
      <w:r w:rsidR="005D18F0">
        <w:rPr>
          <w:szCs w:val="22"/>
        </w:rPr>
        <w:t>’</w:t>
      </w:r>
      <w:r w:rsidRPr="000402B1">
        <w:rPr>
          <w:szCs w:val="22"/>
        </w:rPr>
        <w:t xml:space="preserve">un candidat à la nomination au poste de Directeur général </w:t>
      </w:r>
      <w:r w:rsidR="00442B48" w:rsidRPr="000402B1">
        <w:rPr>
          <w:szCs w:val="22"/>
        </w:rPr>
        <w:t>en</w:t>
      </w:r>
      <w:r w:rsidR="00442B48">
        <w:rPr>
          <w:szCs w:val="22"/>
        </w:rPr>
        <w:t> </w:t>
      </w:r>
      <w:r w:rsidR="00442B48" w:rsidRPr="000402B1">
        <w:rPr>
          <w:szCs w:val="22"/>
        </w:rPr>
        <w:t>2020</w:t>
      </w:r>
      <w:r w:rsidRPr="000402B1">
        <w:rPr>
          <w:szCs w:val="22"/>
        </w:rPr>
        <w:t>.</w:t>
      </w:r>
    </w:p>
    <w:p w:rsidR="00541BD4" w:rsidRPr="00722952" w:rsidRDefault="00541BD4" w:rsidP="00A517B0">
      <w:pPr>
        <w:pStyle w:val="ONUMFS"/>
        <w:keepLines/>
        <w:ind w:left="567"/>
      </w:pPr>
      <w:r w:rsidRPr="00722952">
        <w:lastRenderedPageBreak/>
        <w:t>Les assemblées de l</w:t>
      </w:r>
      <w:r w:rsidR="005D18F0">
        <w:t>’</w:t>
      </w:r>
      <w:r w:rsidRPr="00722952">
        <w:t>OMPI, chacune pour ce qui la concerne, décident que le président de l</w:t>
      </w:r>
      <w:r w:rsidR="005D18F0">
        <w:t>’</w:t>
      </w:r>
      <w:r w:rsidRPr="00722952">
        <w:t>Assemblée générale de l</w:t>
      </w:r>
      <w:r w:rsidR="005D18F0">
        <w:t>’</w:t>
      </w:r>
      <w:r w:rsidRPr="00722952">
        <w:t>OMPI entreprendra des consultations avec les États membres sur la répartition des sièges vacants lors des assemblées 2021 de l</w:t>
      </w:r>
      <w:r w:rsidR="005D18F0">
        <w:t>’</w:t>
      </w:r>
      <w:r w:rsidRPr="00722952">
        <w:t>OMPI, en vue de l</w:t>
      </w:r>
      <w:r w:rsidR="005D18F0">
        <w:t>’</w:t>
      </w:r>
      <w:r w:rsidRPr="00722952">
        <w:t>élection des membres du Comité de coordination de l</w:t>
      </w:r>
      <w:r w:rsidR="005D18F0">
        <w:t>’</w:t>
      </w:r>
      <w:r w:rsidRPr="00722952">
        <w:t>OMPI et du Comité exécutif de l</w:t>
      </w:r>
      <w:r w:rsidR="005D18F0">
        <w:t>’</w:t>
      </w:r>
      <w:r w:rsidRPr="00722952">
        <w:t>Union de Paris et du Comité exécutif de l</w:t>
      </w:r>
      <w:r w:rsidR="005D18F0">
        <w:t>’</w:t>
      </w:r>
      <w:r w:rsidRPr="00722952">
        <w:t>Union de Berne lors desdites assemblées de l</w:t>
      </w:r>
      <w:r w:rsidR="005D18F0">
        <w:t>’</w:t>
      </w:r>
      <w:r w:rsidRPr="00722952">
        <w:t>OMPI.</w:t>
      </w:r>
    </w:p>
    <w:p w:rsidR="007378AD" w:rsidRPr="00204EBC" w:rsidRDefault="00204EBC" w:rsidP="00541BD4">
      <w:pPr>
        <w:pStyle w:val="Endofdocument-Annex"/>
      </w:pPr>
      <w:r w:rsidRPr="00204EBC">
        <w:t>[Fin du document]</w:t>
      </w:r>
    </w:p>
    <w:sectPr w:rsidR="007378AD" w:rsidRPr="00204EBC" w:rsidSect="00A501F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7" w:rsidRDefault="00A501F7">
      <w:r>
        <w:separator/>
      </w:r>
    </w:p>
  </w:endnote>
  <w:endnote w:type="continuationSeparator" w:id="0">
    <w:p w:rsidR="00A501F7" w:rsidRDefault="00A501F7" w:rsidP="003B38C1">
      <w:r>
        <w:separator/>
      </w:r>
    </w:p>
    <w:p w:rsidR="00A501F7" w:rsidRPr="003B38C1" w:rsidRDefault="00A501F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A501F7" w:rsidRPr="003B38C1" w:rsidRDefault="00A501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7" w:rsidRDefault="00A501F7">
      <w:r>
        <w:separator/>
      </w:r>
    </w:p>
  </w:footnote>
  <w:footnote w:type="continuationSeparator" w:id="0">
    <w:p w:rsidR="00A501F7" w:rsidRDefault="00A501F7" w:rsidP="008B60B2">
      <w:r>
        <w:separator/>
      </w:r>
    </w:p>
    <w:p w:rsidR="00A501F7" w:rsidRPr="00ED77FB" w:rsidRDefault="00A501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A501F7" w:rsidRPr="00ED77FB" w:rsidRDefault="00A501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5D18F0" w:rsidRPr="0017574D" w:rsidRDefault="005D18F0" w:rsidP="005D18F0">
      <w:pPr>
        <w:pStyle w:val="EndnoteText"/>
      </w:pPr>
      <w:r w:rsidRPr="0017574D">
        <w:rPr>
          <w:rStyle w:val="FootnoteReference"/>
        </w:rPr>
        <w:footnoteRef/>
      </w:r>
      <w:r w:rsidRPr="0017574D">
        <w:t xml:space="preserve"> </w:t>
      </w:r>
      <w:r w:rsidRPr="0017574D">
        <w:tab/>
        <w:t>Du 10 janvier au 9 avril 2020, du 10 juillet au 9 octobre 2020, et du 10 avril au 9 juillet 2021.</w:t>
      </w:r>
    </w:p>
  </w:footnote>
  <w:footnote w:id="3">
    <w:p w:rsidR="005D18F0" w:rsidRPr="0017574D" w:rsidRDefault="005D18F0" w:rsidP="005D18F0">
      <w:pPr>
        <w:pStyle w:val="FootnoteText"/>
      </w:pPr>
      <w:r w:rsidRPr="0017574D">
        <w:rPr>
          <w:rStyle w:val="FootnoteReference"/>
        </w:rPr>
        <w:footnoteRef/>
      </w:r>
      <w:r w:rsidRPr="0017574D">
        <w:t xml:space="preserve"> </w:t>
      </w:r>
      <w:r w:rsidRPr="0017574D">
        <w:tab/>
      </w:r>
      <w:r w:rsidR="00337220">
        <w:t>Du 10 janvier au 9 avril 2020,</w:t>
      </w:r>
      <w:r w:rsidRPr="0017574D">
        <w:t xml:space="preserve"> du 10 octobre 2020 au 9 janvier 2021, et du 10 avril au 9 juillet 2021.</w:t>
      </w:r>
    </w:p>
  </w:footnote>
  <w:footnote w:id="4">
    <w:p w:rsidR="005D18F0" w:rsidRPr="0017574D" w:rsidRDefault="005D18F0" w:rsidP="005D18F0">
      <w:pPr>
        <w:pStyle w:val="FootnoteText"/>
      </w:pPr>
      <w:r w:rsidRPr="0017574D">
        <w:rPr>
          <w:rStyle w:val="FootnoteReference"/>
        </w:rPr>
        <w:footnoteRef/>
      </w:r>
      <w:r w:rsidRPr="0017574D">
        <w:t xml:space="preserve"> </w:t>
      </w:r>
      <w:r w:rsidRPr="0017574D">
        <w:tab/>
        <w:t>Du 1</w:t>
      </w:r>
      <w:r w:rsidR="007B5922" w:rsidRPr="0017574D">
        <w:t>0</w:t>
      </w:r>
      <w:r w:rsidR="007B5922">
        <w:t> </w:t>
      </w:r>
      <w:r w:rsidR="007B5922" w:rsidRPr="0017574D">
        <w:t>avril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juillet</w:t>
      </w:r>
      <w:r w:rsidR="007B5922">
        <w:t> </w:t>
      </w:r>
      <w:r w:rsidR="007B5922" w:rsidRPr="0017574D">
        <w:t>20</w:t>
      </w:r>
      <w:r w:rsidRPr="0017574D">
        <w:t>20, du 1</w:t>
      </w:r>
      <w:r w:rsidR="007B5922" w:rsidRPr="0017574D">
        <w:t>0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 xml:space="preserve">20 au </w:t>
      </w:r>
      <w:r w:rsidR="007B5922" w:rsidRPr="0017574D">
        <w:t>9</w:t>
      </w:r>
      <w:r w:rsidR="007B5922">
        <w:t> </w:t>
      </w:r>
      <w:r w:rsidR="007B5922" w:rsidRPr="0017574D">
        <w:t>janvier</w:t>
      </w:r>
      <w:r w:rsidR="007B5922">
        <w:t> </w:t>
      </w:r>
      <w:r w:rsidR="007B5922" w:rsidRPr="0017574D">
        <w:t>20</w:t>
      </w:r>
      <w:r w:rsidRPr="0017574D">
        <w:t>21, et du 1</w:t>
      </w:r>
      <w:r w:rsidR="007B5922" w:rsidRPr="0017574D">
        <w:t>0</w:t>
      </w:r>
      <w:r w:rsidR="007B5922">
        <w:t> </w:t>
      </w:r>
      <w:r w:rsidR="007B5922" w:rsidRPr="0017574D">
        <w:t>juillet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>21.</w:t>
      </w:r>
    </w:p>
  </w:footnote>
  <w:footnote w:id="5">
    <w:p w:rsidR="005D18F0" w:rsidRPr="0017574D" w:rsidRDefault="005D18F0" w:rsidP="005D18F0">
      <w:pPr>
        <w:pStyle w:val="EndnoteText"/>
      </w:pPr>
      <w:r w:rsidRPr="0017574D">
        <w:rPr>
          <w:rStyle w:val="FootnoteReference"/>
        </w:rPr>
        <w:footnoteRef/>
      </w:r>
      <w:r w:rsidRPr="0017574D">
        <w:t xml:space="preserve"> </w:t>
      </w:r>
      <w:r w:rsidRPr="0017574D">
        <w:tab/>
        <w:t>Du 1</w:t>
      </w:r>
      <w:r w:rsidR="007B5922" w:rsidRPr="0017574D">
        <w:t>0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 xml:space="preserve">19 au </w:t>
      </w:r>
      <w:r w:rsidR="007B5922" w:rsidRPr="0017574D">
        <w:t>9</w:t>
      </w:r>
      <w:r w:rsidR="007B5922">
        <w:t> </w:t>
      </w:r>
      <w:r w:rsidR="007B5922" w:rsidRPr="0017574D">
        <w:t>janvier</w:t>
      </w:r>
      <w:r w:rsidR="007B5922">
        <w:t> </w:t>
      </w:r>
      <w:r w:rsidR="007B5922" w:rsidRPr="0017574D">
        <w:t>20</w:t>
      </w:r>
      <w:r w:rsidRPr="0017574D">
        <w:t>20, du 1</w:t>
      </w:r>
      <w:r w:rsidR="007B5922" w:rsidRPr="0017574D">
        <w:t>0</w:t>
      </w:r>
      <w:r w:rsidR="007B5922">
        <w:t> </w:t>
      </w:r>
      <w:r w:rsidR="007B5922" w:rsidRPr="0017574D">
        <w:t>juillet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>20, et du 1</w:t>
      </w:r>
      <w:r w:rsidR="007B5922" w:rsidRPr="0017574D">
        <w:t>0</w:t>
      </w:r>
      <w:r w:rsidR="007B5922">
        <w:t> </w:t>
      </w:r>
      <w:r w:rsidR="007B5922" w:rsidRPr="0017574D">
        <w:t>janvier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avril</w:t>
      </w:r>
      <w:r w:rsidR="007B5922">
        <w:t> </w:t>
      </w:r>
      <w:r w:rsidR="007B5922" w:rsidRPr="0017574D">
        <w:t>20</w:t>
      </w:r>
      <w:r w:rsidRPr="0017574D">
        <w:t>21.</w:t>
      </w:r>
    </w:p>
  </w:footnote>
  <w:footnote w:id="6">
    <w:p w:rsidR="005D18F0" w:rsidRPr="0017574D" w:rsidRDefault="005D18F0" w:rsidP="005D18F0">
      <w:pPr>
        <w:pStyle w:val="EndnoteText"/>
      </w:pPr>
      <w:r w:rsidRPr="0017574D">
        <w:rPr>
          <w:rStyle w:val="FootnoteReference"/>
        </w:rPr>
        <w:footnoteRef/>
      </w:r>
      <w:r w:rsidRPr="0017574D">
        <w:t xml:space="preserve"> </w:t>
      </w:r>
      <w:r w:rsidRPr="0017574D">
        <w:tab/>
        <w:t>Du 1</w:t>
      </w:r>
      <w:r w:rsidR="007B5922" w:rsidRPr="0017574D">
        <w:t>0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 xml:space="preserve">19 au </w:t>
      </w:r>
      <w:r w:rsidR="007B5922" w:rsidRPr="0017574D">
        <w:t>9</w:t>
      </w:r>
      <w:r w:rsidR="007B5922">
        <w:t> </w:t>
      </w:r>
      <w:r w:rsidR="007B5922" w:rsidRPr="0017574D">
        <w:t>janvier</w:t>
      </w:r>
      <w:r w:rsidR="007B5922">
        <w:t> </w:t>
      </w:r>
      <w:r w:rsidR="007B5922" w:rsidRPr="0017574D">
        <w:t>20</w:t>
      </w:r>
      <w:r w:rsidRPr="0017574D">
        <w:t>20, du 1</w:t>
      </w:r>
      <w:r w:rsidR="007B5922" w:rsidRPr="0017574D">
        <w:t>0</w:t>
      </w:r>
      <w:r w:rsidR="007B5922">
        <w:t> </w:t>
      </w:r>
      <w:r w:rsidR="007B5922" w:rsidRPr="0017574D">
        <w:t>avril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juillet</w:t>
      </w:r>
      <w:r w:rsidR="007B5922">
        <w:t> </w:t>
      </w:r>
      <w:r w:rsidR="007B5922" w:rsidRPr="0017574D">
        <w:t>20</w:t>
      </w:r>
      <w:r w:rsidRPr="0017574D">
        <w:t>20, du 1</w:t>
      </w:r>
      <w:r w:rsidR="007B5922" w:rsidRPr="0017574D">
        <w:t>0</w:t>
      </w:r>
      <w:r w:rsidR="007B5922">
        <w:t> </w:t>
      </w:r>
      <w:r w:rsidR="007B5922" w:rsidRPr="0017574D">
        <w:t>janvier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avril</w:t>
      </w:r>
      <w:r w:rsidR="007B5922">
        <w:t> </w:t>
      </w:r>
      <w:r w:rsidR="007B5922" w:rsidRPr="0017574D">
        <w:t>20</w:t>
      </w:r>
      <w:r w:rsidRPr="0017574D">
        <w:t>21, et du 1</w:t>
      </w:r>
      <w:r w:rsidR="007B5922" w:rsidRPr="0017574D">
        <w:t>0</w:t>
      </w:r>
      <w:r w:rsidR="007B5922">
        <w:t> </w:t>
      </w:r>
      <w:r w:rsidR="007B5922" w:rsidRPr="0017574D">
        <w:t>juillet</w:t>
      </w:r>
      <w:r w:rsidRPr="0017574D">
        <w:t xml:space="preserve"> au </w:t>
      </w:r>
      <w:r w:rsidR="007B5922" w:rsidRPr="0017574D">
        <w:t>9</w:t>
      </w:r>
      <w:r w:rsidR="007B5922">
        <w:t> </w:t>
      </w:r>
      <w:r w:rsidR="007B5922" w:rsidRPr="0017574D">
        <w:t>octobre</w:t>
      </w:r>
      <w:r w:rsidR="007B5922">
        <w:t> </w:t>
      </w:r>
      <w:r w:rsidR="007B5922" w:rsidRPr="0017574D">
        <w:t>20</w:t>
      </w:r>
      <w:r w:rsidRPr="0017574D"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A501F7" w:rsidP="00477D6B">
    <w:pPr>
      <w:jc w:val="right"/>
    </w:pPr>
    <w:bookmarkStart w:id="6" w:name="Code2"/>
    <w:bookmarkEnd w:id="6"/>
    <w:r>
      <w:t>A</w:t>
    </w:r>
    <w:r w:rsidR="000402B1">
      <w:t>/59/13 Add.2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92869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B3212"/>
    <w:multiLevelType w:val="hybridMultilevel"/>
    <w:tmpl w:val="DBAA9608"/>
    <w:lvl w:ilvl="0" w:tplc="D2C801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7"/>
    <w:rsid w:val="00020AE9"/>
    <w:rsid w:val="000402B1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04EBC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37220"/>
    <w:rsid w:val="00350AE2"/>
    <w:rsid w:val="00361450"/>
    <w:rsid w:val="003673CF"/>
    <w:rsid w:val="003845C1"/>
    <w:rsid w:val="003A6F89"/>
    <w:rsid w:val="003B38C1"/>
    <w:rsid w:val="003C7D49"/>
    <w:rsid w:val="003D57B0"/>
    <w:rsid w:val="003E227B"/>
    <w:rsid w:val="00423E3E"/>
    <w:rsid w:val="00427AF4"/>
    <w:rsid w:val="00442B48"/>
    <w:rsid w:val="004647DA"/>
    <w:rsid w:val="00474062"/>
    <w:rsid w:val="00477D6B"/>
    <w:rsid w:val="005019FF"/>
    <w:rsid w:val="0053057A"/>
    <w:rsid w:val="00541BD4"/>
    <w:rsid w:val="00560A29"/>
    <w:rsid w:val="0056124A"/>
    <w:rsid w:val="005C6649"/>
    <w:rsid w:val="005D18F0"/>
    <w:rsid w:val="00605827"/>
    <w:rsid w:val="00646050"/>
    <w:rsid w:val="006713CA"/>
    <w:rsid w:val="00676C5C"/>
    <w:rsid w:val="006E4F5F"/>
    <w:rsid w:val="006F7C66"/>
    <w:rsid w:val="007378AD"/>
    <w:rsid w:val="00747EE9"/>
    <w:rsid w:val="007956D9"/>
    <w:rsid w:val="007A76D8"/>
    <w:rsid w:val="007B5922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01F7"/>
    <w:rsid w:val="00A517B0"/>
    <w:rsid w:val="00A6095A"/>
    <w:rsid w:val="00A80A98"/>
    <w:rsid w:val="00A869B7"/>
    <w:rsid w:val="00AA2DD4"/>
    <w:rsid w:val="00AC205C"/>
    <w:rsid w:val="00AD1592"/>
    <w:rsid w:val="00AF0A6B"/>
    <w:rsid w:val="00AF3DDD"/>
    <w:rsid w:val="00B05A69"/>
    <w:rsid w:val="00B57A26"/>
    <w:rsid w:val="00B92869"/>
    <w:rsid w:val="00B9734B"/>
    <w:rsid w:val="00BA30E2"/>
    <w:rsid w:val="00C11BFE"/>
    <w:rsid w:val="00C467BE"/>
    <w:rsid w:val="00C5068F"/>
    <w:rsid w:val="00C86D74"/>
    <w:rsid w:val="00CD04F1"/>
    <w:rsid w:val="00CD7F59"/>
    <w:rsid w:val="00CE09DB"/>
    <w:rsid w:val="00D1766A"/>
    <w:rsid w:val="00D42681"/>
    <w:rsid w:val="00D44A0B"/>
    <w:rsid w:val="00D45252"/>
    <w:rsid w:val="00D66E37"/>
    <w:rsid w:val="00D71B4D"/>
    <w:rsid w:val="00D93D55"/>
    <w:rsid w:val="00DE6B2D"/>
    <w:rsid w:val="00DF023A"/>
    <w:rsid w:val="00DF383E"/>
    <w:rsid w:val="00E15015"/>
    <w:rsid w:val="00E335FE"/>
    <w:rsid w:val="00E85557"/>
    <w:rsid w:val="00EA1A60"/>
    <w:rsid w:val="00EA7D6E"/>
    <w:rsid w:val="00EC4E49"/>
    <w:rsid w:val="00ED77FB"/>
    <w:rsid w:val="00EE45FA"/>
    <w:rsid w:val="00F42082"/>
    <w:rsid w:val="00F66152"/>
    <w:rsid w:val="00F66ED5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7D3C016-D3E5-4C82-ADE7-CC774EE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B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04EB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04EB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4EBC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04EBC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DE6B2D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04EBC"/>
    <w:pPr>
      <w:spacing w:before="720"/>
      <w:ind w:left="5534"/>
    </w:pPr>
  </w:style>
  <w:style w:type="paragraph" w:styleId="BodyText">
    <w:name w:val="Body Text"/>
    <w:basedOn w:val="Normal"/>
    <w:link w:val="BodyTextChar"/>
    <w:rsid w:val="00204EBC"/>
    <w:pPr>
      <w:spacing w:after="220"/>
    </w:pPr>
  </w:style>
  <w:style w:type="paragraph" w:styleId="Caption">
    <w:name w:val="caption"/>
    <w:basedOn w:val="Normal"/>
    <w:next w:val="Normal"/>
    <w:qFormat/>
    <w:rsid w:val="00204EBC"/>
    <w:rPr>
      <w:b/>
      <w:bCs/>
      <w:sz w:val="18"/>
    </w:rPr>
  </w:style>
  <w:style w:type="paragraph" w:styleId="CommentText">
    <w:name w:val="annotation text"/>
    <w:basedOn w:val="Normal"/>
    <w:semiHidden/>
    <w:rsid w:val="00204EBC"/>
    <w:rPr>
      <w:sz w:val="18"/>
    </w:rPr>
  </w:style>
  <w:style w:type="paragraph" w:styleId="EndnoteText">
    <w:name w:val="endnote text"/>
    <w:basedOn w:val="Normal"/>
    <w:link w:val="EndnoteTextChar"/>
    <w:semiHidden/>
    <w:rsid w:val="00204EBC"/>
    <w:rPr>
      <w:sz w:val="18"/>
    </w:rPr>
  </w:style>
  <w:style w:type="paragraph" w:styleId="Footer">
    <w:name w:val="footer"/>
    <w:basedOn w:val="Normal"/>
    <w:semiHidden/>
    <w:rsid w:val="00204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04EBC"/>
    <w:rPr>
      <w:sz w:val="18"/>
    </w:rPr>
  </w:style>
  <w:style w:type="paragraph" w:styleId="Header">
    <w:name w:val="header"/>
    <w:basedOn w:val="Normal"/>
    <w:semiHidden/>
    <w:rsid w:val="00204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04EBC"/>
    <w:pPr>
      <w:numPr>
        <w:numId w:val="7"/>
      </w:numPr>
    </w:pPr>
  </w:style>
  <w:style w:type="paragraph" w:customStyle="1" w:styleId="ONUME">
    <w:name w:val="ONUM E"/>
    <w:basedOn w:val="BodyText"/>
    <w:rsid w:val="00204EBC"/>
    <w:pPr>
      <w:numPr>
        <w:numId w:val="8"/>
      </w:numPr>
    </w:pPr>
  </w:style>
  <w:style w:type="paragraph" w:customStyle="1" w:styleId="ONUMFS">
    <w:name w:val="ONUM FS"/>
    <w:basedOn w:val="BodyText"/>
    <w:rsid w:val="00204EBC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04EBC"/>
  </w:style>
  <w:style w:type="paragraph" w:styleId="Signature">
    <w:name w:val="Signature"/>
    <w:basedOn w:val="Normal"/>
    <w:semiHidden/>
    <w:rsid w:val="00204EB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6B2D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04EBC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04EBC"/>
    <w:pPr>
      <w:ind w:left="720"/>
      <w:contextualSpacing/>
    </w:pPr>
    <w:rPr>
      <w:lang w:val="fr-CH"/>
    </w:rPr>
  </w:style>
  <w:style w:type="character" w:customStyle="1" w:styleId="Heading3Char">
    <w:name w:val="Heading 3 Char"/>
    <w:basedOn w:val="DefaultParagraphFont"/>
    <w:link w:val="Heading3"/>
    <w:rsid w:val="003C7D49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41BD4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basedOn w:val="DefaultParagraphFont"/>
    <w:semiHidden/>
    <w:unhideWhenUsed/>
    <w:rsid w:val="00541BD4"/>
    <w:rPr>
      <w:vertAlign w:val="superscript"/>
    </w:rPr>
  </w:style>
  <w:style w:type="character" w:styleId="Hyperlink">
    <w:name w:val="Hyperlink"/>
    <w:basedOn w:val="DefaultParagraphFont"/>
    <w:semiHidden/>
    <w:unhideWhenUsed/>
    <w:rsid w:val="00A6095A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5D18F0"/>
    <w:rPr>
      <w:rFonts w:ascii="Arial" w:eastAsia="SimSun" w:hAnsi="Arial" w:cs="Arial"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71D8-F346-4E76-B953-B5E09B9E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691</Words>
  <Characters>4170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Cinquante huitième série de réunions</dc:subject>
  <dc:creator>COUTURE Sébastien</dc:creator>
  <cp:keywords>PUBLIC</cp:keywords>
  <cp:lastModifiedBy>HÄFLIGER Patience</cp:lastModifiedBy>
  <cp:revision>15</cp:revision>
  <cp:lastPrinted>2011-02-15T11:56:00Z</cp:lastPrinted>
  <dcterms:created xsi:type="dcterms:W3CDTF">2019-10-08T08:51:00Z</dcterms:created>
  <dcterms:modified xsi:type="dcterms:W3CDTF">2019-10-10T09:31:00Z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0f651600-f820-416e-85b9-c0c71b7353cc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