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546F5" w:rsidRPr="008B2CC1" w:rsidTr="00B51DB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546F5" w:rsidRPr="008B2CC1" w:rsidRDefault="00A546F5" w:rsidP="00B51DBE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6F5" w:rsidRPr="008B2CC1" w:rsidRDefault="00A546F5" w:rsidP="00B51DBE">
            <w:r>
              <w:rPr>
                <w:noProof/>
                <w:lang w:val="fr-FR" w:eastAsia="fr-FR"/>
              </w:rPr>
              <w:drawing>
                <wp:inline distT="0" distB="0" distL="0" distR="0" wp14:anchorId="36B3F4C2" wp14:editId="30C17D6F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6F5" w:rsidRPr="008B2CC1" w:rsidRDefault="00A546F5" w:rsidP="00B51DBE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A546F5" w:rsidRPr="001832A6" w:rsidTr="00B51DB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546F5" w:rsidRPr="0090731E" w:rsidRDefault="00A546F5" w:rsidP="00B51DB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10 </w:t>
            </w:r>
          </w:p>
        </w:tc>
      </w:tr>
      <w:tr w:rsidR="00A546F5" w:rsidRPr="001832A6" w:rsidTr="00B51DB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546F5" w:rsidRPr="0090731E" w:rsidRDefault="00A546F5" w:rsidP="00B51DB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> :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A546F5" w:rsidRPr="001832A6" w:rsidTr="00B51DB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46F5" w:rsidRPr="0090731E" w:rsidRDefault="00A546F5" w:rsidP="00B51DB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> :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29 septembre 2017</w:t>
            </w:r>
          </w:p>
        </w:tc>
      </w:tr>
    </w:tbl>
    <w:p w:rsidR="00A546F5" w:rsidRPr="008B2CC1" w:rsidRDefault="00A546F5" w:rsidP="00A546F5"/>
    <w:p w:rsidR="00A546F5" w:rsidRPr="008B2CC1" w:rsidRDefault="00A546F5" w:rsidP="00A546F5"/>
    <w:p w:rsidR="00A546F5" w:rsidRPr="008B2CC1" w:rsidRDefault="00A546F5" w:rsidP="00A546F5"/>
    <w:p w:rsidR="00A546F5" w:rsidRPr="008B2CC1" w:rsidRDefault="00A546F5" w:rsidP="00A546F5"/>
    <w:p w:rsidR="00A546F5" w:rsidRPr="008B2CC1" w:rsidRDefault="00A546F5" w:rsidP="00A546F5"/>
    <w:p w:rsidR="00A546F5" w:rsidRPr="003845C1" w:rsidRDefault="00A546F5" w:rsidP="00A546F5">
      <w:pPr>
        <w:rPr>
          <w:b/>
          <w:sz w:val="28"/>
          <w:szCs w:val="28"/>
        </w:rPr>
      </w:pPr>
      <w:r w:rsidRPr="008D76D0">
        <w:rPr>
          <w:b/>
          <w:sz w:val="28"/>
          <w:szCs w:val="28"/>
        </w:rPr>
        <w:t>Assemblées des États membres de l</w:t>
      </w:r>
      <w:r>
        <w:rPr>
          <w:b/>
          <w:sz w:val="28"/>
          <w:szCs w:val="28"/>
        </w:rPr>
        <w:t>’</w:t>
      </w:r>
      <w:proofErr w:type="spellStart"/>
      <w:r w:rsidRPr="008D76D0">
        <w:rPr>
          <w:b/>
          <w:sz w:val="28"/>
          <w:szCs w:val="28"/>
        </w:rPr>
        <w:t>OMPI</w:t>
      </w:r>
      <w:proofErr w:type="spellEnd"/>
    </w:p>
    <w:p w:rsidR="00A546F5" w:rsidRDefault="00A546F5" w:rsidP="00A546F5"/>
    <w:p w:rsidR="00A546F5" w:rsidRDefault="00A546F5" w:rsidP="00A546F5"/>
    <w:p w:rsidR="00A546F5" w:rsidRPr="003845C1" w:rsidRDefault="00A546F5" w:rsidP="00A546F5">
      <w:pPr>
        <w:rPr>
          <w:b/>
          <w:sz w:val="24"/>
          <w:szCs w:val="24"/>
        </w:rPr>
      </w:pPr>
      <w:r w:rsidRPr="008D76D0">
        <w:rPr>
          <w:b/>
          <w:sz w:val="24"/>
          <w:szCs w:val="24"/>
        </w:rPr>
        <w:t>Cinquante</w:t>
      </w:r>
      <w:r w:rsidR="00613000">
        <w:rPr>
          <w:b/>
          <w:sz w:val="24"/>
          <w:szCs w:val="24"/>
        </w:rPr>
        <w:noBreakHyphen/>
      </w:r>
      <w:r w:rsidRPr="008D76D0">
        <w:rPr>
          <w:b/>
          <w:sz w:val="24"/>
          <w:szCs w:val="24"/>
        </w:rPr>
        <w:t>septième série de réunions</w:t>
      </w:r>
    </w:p>
    <w:p w:rsidR="00A546F5" w:rsidRPr="003845C1" w:rsidRDefault="00A546F5" w:rsidP="00A546F5">
      <w:pPr>
        <w:rPr>
          <w:b/>
          <w:sz w:val="24"/>
          <w:szCs w:val="24"/>
        </w:rPr>
      </w:pPr>
      <w:r w:rsidRPr="008D76D0">
        <w:rPr>
          <w:b/>
          <w:sz w:val="24"/>
          <w:szCs w:val="24"/>
        </w:rPr>
        <w:t>Genève, 2 – 11</w:t>
      </w:r>
      <w:r>
        <w:rPr>
          <w:b/>
          <w:sz w:val="24"/>
          <w:szCs w:val="24"/>
        </w:rPr>
        <w:t> </w:t>
      </w:r>
      <w:r w:rsidRPr="008D76D0">
        <w:rPr>
          <w:b/>
          <w:sz w:val="24"/>
          <w:szCs w:val="24"/>
        </w:rPr>
        <w:t>octobre</w:t>
      </w:r>
      <w:r>
        <w:rPr>
          <w:b/>
          <w:sz w:val="24"/>
          <w:szCs w:val="24"/>
        </w:rPr>
        <w:t> </w:t>
      </w:r>
      <w:r w:rsidRPr="008D76D0">
        <w:rPr>
          <w:b/>
          <w:sz w:val="24"/>
          <w:szCs w:val="24"/>
        </w:rPr>
        <w:t>2017</w:t>
      </w:r>
    </w:p>
    <w:p w:rsidR="00A546F5" w:rsidRPr="008B2CC1" w:rsidRDefault="00A546F5" w:rsidP="00A546F5"/>
    <w:p w:rsidR="00A546F5" w:rsidRPr="008B2CC1" w:rsidRDefault="00A546F5" w:rsidP="00A546F5"/>
    <w:p w:rsidR="00A546F5" w:rsidRPr="008B2CC1" w:rsidRDefault="00A546F5" w:rsidP="00A546F5"/>
    <w:p w:rsidR="00DB4DD4" w:rsidRPr="00885EDF" w:rsidRDefault="00E877EA" w:rsidP="00D41460">
      <w:pPr>
        <w:rPr>
          <w:caps/>
          <w:sz w:val="24"/>
          <w:lang w:val="fr-FR" w:bidi="fa-IR"/>
        </w:rPr>
      </w:pPr>
      <w:r w:rsidRPr="00885EDF">
        <w:rPr>
          <w:caps/>
          <w:sz w:val="24"/>
          <w:lang w:val="fr-FR"/>
        </w:rPr>
        <w:t>Paragraphes de décision que les États</w:t>
      </w:r>
      <w:r w:rsidR="00613000">
        <w:rPr>
          <w:caps/>
          <w:sz w:val="24"/>
          <w:lang w:val="fr-FR"/>
        </w:rPr>
        <w:noBreakHyphen/>
      </w:r>
      <w:r w:rsidRPr="00885EDF">
        <w:rPr>
          <w:caps/>
          <w:sz w:val="24"/>
          <w:lang w:val="fr-FR"/>
        </w:rPr>
        <w:t>Unis d</w:t>
      </w:r>
      <w:r w:rsidR="00A546F5">
        <w:rPr>
          <w:caps/>
          <w:sz w:val="24"/>
          <w:lang w:val="fr-FR"/>
        </w:rPr>
        <w:t>’</w:t>
      </w:r>
      <w:r w:rsidRPr="00885EDF">
        <w:rPr>
          <w:caps/>
          <w:sz w:val="24"/>
          <w:lang w:val="fr-FR"/>
        </w:rPr>
        <w:t>Amérique proposent d</w:t>
      </w:r>
      <w:r w:rsidR="00A546F5">
        <w:rPr>
          <w:caps/>
          <w:sz w:val="24"/>
          <w:lang w:val="fr-FR"/>
        </w:rPr>
        <w:t>’</w:t>
      </w:r>
      <w:r w:rsidRPr="00885EDF">
        <w:rPr>
          <w:caps/>
          <w:sz w:val="24"/>
          <w:lang w:val="fr-FR"/>
        </w:rPr>
        <w:t>inclure dans les décisions au titre du rapport sur le Comité du</w:t>
      </w:r>
      <w:r w:rsidR="00CD6D6C">
        <w:rPr>
          <w:caps/>
          <w:sz w:val="24"/>
          <w:lang w:val="fr-FR"/>
        </w:rPr>
        <w:t> </w:t>
      </w:r>
      <w:r w:rsidRPr="00885EDF">
        <w:rPr>
          <w:caps/>
          <w:sz w:val="24"/>
          <w:lang w:val="fr-FR"/>
        </w:rPr>
        <w:t>programme et budget</w:t>
      </w:r>
    </w:p>
    <w:p w:rsidR="008B2CC1" w:rsidRPr="00885EDF" w:rsidRDefault="008B2CC1" w:rsidP="008B2CC1">
      <w:pPr>
        <w:rPr>
          <w:lang w:val="fr-FR"/>
        </w:rPr>
      </w:pPr>
    </w:p>
    <w:p w:rsidR="00A546F5" w:rsidRDefault="00DB4DD4" w:rsidP="00DB4DD4">
      <w:pPr>
        <w:rPr>
          <w:i/>
          <w:lang w:val="fr-FR"/>
        </w:rPr>
      </w:pPr>
      <w:bookmarkStart w:id="4" w:name="Prepared"/>
      <w:bookmarkEnd w:id="4"/>
      <w:r w:rsidRPr="00885EDF">
        <w:rPr>
          <w:i/>
          <w:lang w:val="fr-FR"/>
        </w:rPr>
        <w:t>Propos</w:t>
      </w:r>
      <w:r w:rsidR="00E877EA" w:rsidRPr="00885EDF">
        <w:rPr>
          <w:i/>
          <w:lang w:val="fr-FR"/>
        </w:rPr>
        <w:t xml:space="preserve">ition </w:t>
      </w:r>
      <w:r w:rsidR="00DE04AF" w:rsidRPr="00885EDF">
        <w:rPr>
          <w:i/>
          <w:lang w:val="fr-FR"/>
        </w:rPr>
        <w:t>présentée par la d</w:t>
      </w:r>
      <w:r w:rsidR="002B66C7">
        <w:rPr>
          <w:i/>
          <w:lang w:val="fr-FR"/>
        </w:rPr>
        <w:t>é</w:t>
      </w:r>
      <w:r w:rsidR="00DE04AF" w:rsidRPr="00885EDF">
        <w:rPr>
          <w:i/>
          <w:lang w:val="fr-FR"/>
        </w:rPr>
        <w:t>l</w:t>
      </w:r>
      <w:r w:rsidR="002B66C7">
        <w:rPr>
          <w:i/>
          <w:lang w:val="fr-FR"/>
        </w:rPr>
        <w:t>é</w:t>
      </w:r>
      <w:r w:rsidR="00DE04AF" w:rsidRPr="00885EDF">
        <w:rPr>
          <w:i/>
          <w:lang w:val="fr-FR"/>
        </w:rPr>
        <w:t>gation des États</w:t>
      </w:r>
      <w:r w:rsidR="00613000">
        <w:rPr>
          <w:i/>
          <w:lang w:val="fr-FR"/>
        </w:rPr>
        <w:noBreakHyphen/>
      </w:r>
      <w:r w:rsidR="00DE04AF" w:rsidRPr="00885EDF">
        <w:rPr>
          <w:i/>
          <w:lang w:val="fr-FR"/>
        </w:rPr>
        <w:t>Unis</w:t>
      </w:r>
      <w:r w:rsidR="004843D1">
        <w:rPr>
          <w:i/>
          <w:lang w:val="fr-FR"/>
        </w:rPr>
        <w:t xml:space="preserve"> </w:t>
      </w:r>
      <w:r w:rsidR="00DE04AF" w:rsidRPr="00885EDF">
        <w:rPr>
          <w:i/>
          <w:lang w:val="fr-FR"/>
        </w:rPr>
        <w:t>d</w:t>
      </w:r>
      <w:r w:rsidR="00A546F5">
        <w:rPr>
          <w:i/>
          <w:lang w:val="fr-FR"/>
        </w:rPr>
        <w:t>’</w:t>
      </w:r>
      <w:r w:rsidR="00DE04AF" w:rsidRPr="00885EDF">
        <w:rPr>
          <w:i/>
          <w:lang w:val="fr-FR"/>
        </w:rPr>
        <w:t>Amérique</w:t>
      </w:r>
    </w:p>
    <w:p w:rsidR="00AC205C" w:rsidRPr="00885EDF" w:rsidRDefault="00AC205C">
      <w:pPr>
        <w:rPr>
          <w:lang w:val="fr-FR"/>
        </w:rPr>
      </w:pPr>
    </w:p>
    <w:p w:rsidR="000F5E56" w:rsidRPr="00885EDF" w:rsidRDefault="000F5E56">
      <w:pPr>
        <w:rPr>
          <w:lang w:val="fr-FR"/>
        </w:rPr>
      </w:pPr>
    </w:p>
    <w:p w:rsidR="002928D3" w:rsidRPr="00885EDF" w:rsidRDefault="002928D3">
      <w:pPr>
        <w:rPr>
          <w:lang w:val="fr-FR"/>
        </w:rPr>
      </w:pPr>
    </w:p>
    <w:p w:rsidR="002928D3" w:rsidRPr="00885EDF" w:rsidRDefault="002928D3" w:rsidP="0053057A">
      <w:pPr>
        <w:rPr>
          <w:lang w:val="fr-FR"/>
        </w:rPr>
      </w:pPr>
    </w:p>
    <w:p w:rsidR="002928D3" w:rsidRPr="00885EDF" w:rsidRDefault="00885EDF" w:rsidP="00CD6D6C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Dans une </w:t>
      </w:r>
      <w:r w:rsidR="00DB4DD4" w:rsidRPr="00885EDF">
        <w:rPr>
          <w:lang w:val="fr-FR"/>
        </w:rPr>
        <w:t xml:space="preserve">communication </w:t>
      </w:r>
      <w:r>
        <w:rPr>
          <w:lang w:val="fr-FR"/>
        </w:rPr>
        <w:t xml:space="preserve">au </w:t>
      </w:r>
      <w:r w:rsidR="00DB4DD4" w:rsidRPr="00885EDF">
        <w:rPr>
          <w:lang w:val="fr-FR"/>
        </w:rPr>
        <w:t>Secr</w:t>
      </w:r>
      <w:r w:rsidR="002B66C7">
        <w:rPr>
          <w:lang w:val="fr-FR"/>
        </w:rPr>
        <w:t>é</w:t>
      </w:r>
      <w:r w:rsidR="00DB4DD4" w:rsidRPr="00885EDF">
        <w:rPr>
          <w:lang w:val="fr-FR"/>
        </w:rPr>
        <w:t xml:space="preserve">tariat </w:t>
      </w:r>
      <w:r w:rsidR="002B66C7">
        <w:rPr>
          <w:lang w:val="fr-FR"/>
        </w:rPr>
        <w:t xml:space="preserve">datée du </w:t>
      </w:r>
      <w:r w:rsidR="00DB4DD4" w:rsidRPr="00885EDF">
        <w:rPr>
          <w:lang w:val="fr-FR"/>
        </w:rPr>
        <w:t>28</w:t>
      </w:r>
      <w:r w:rsidR="002B66C7">
        <w:rPr>
          <w:lang w:val="fr-FR"/>
        </w:rPr>
        <w:t> septembre 2017, la délégation des États</w:t>
      </w:r>
      <w:r w:rsidR="00613000">
        <w:rPr>
          <w:lang w:val="fr-FR"/>
        </w:rPr>
        <w:noBreakHyphen/>
      </w:r>
      <w:r w:rsidR="002B66C7">
        <w:rPr>
          <w:lang w:val="fr-FR"/>
        </w:rPr>
        <w:t>Unis</w:t>
      </w:r>
      <w:r w:rsidR="004843D1">
        <w:rPr>
          <w:lang w:val="fr-FR"/>
        </w:rPr>
        <w:t xml:space="preserve"> </w:t>
      </w:r>
      <w:r w:rsidR="002B66C7">
        <w:rPr>
          <w:lang w:val="fr-FR"/>
        </w:rPr>
        <w:t>d</w:t>
      </w:r>
      <w:r w:rsidR="00A546F5">
        <w:rPr>
          <w:lang w:val="fr-FR"/>
        </w:rPr>
        <w:t>’</w:t>
      </w:r>
      <w:r w:rsidR="002B66C7">
        <w:rPr>
          <w:lang w:val="fr-FR"/>
        </w:rPr>
        <w:t>Amérique a présenté la proposition ci</w:t>
      </w:r>
      <w:r w:rsidR="00613000">
        <w:rPr>
          <w:lang w:val="fr-FR"/>
        </w:rPr>
        <w:noBreakHyphen/>
      </w:r>
      <w:r w:rsidR="002B66C7">
        <w:rPr>
          <w:lang w:val="fr-FR"/>
        </w:rPr>
        <w:t>jointe au titre du point 12 de l</w:t>
      </w:r>
      <w:r w:rsidR="00A546F5">
        <w:rPr>
          <w:lang w:val="fr-FR"/>
        </w:rPr>
        <w:t>’</w:t>
      </w:r>
      <w:r w:rsidR="002B66C7">
        <w:rPr>
          <w:lang w:val="fr-FR"/>
        </w:rPr>
        <w:t xml:space="preserve">ordre du jour intitulé </w:t>
      </w:r>
      <w:r w:rsidR="00DB4DD4" w:rsidRPr="00885EDF">
        <w:rPr>
          <w:lang w:val="fr-FR"/>
        </w:rPr>
        <w:t>“R</w:t>
      </w:r>
      <w:r w:rsidR="002B66C7">
        <w:rPr>
          <w:lang w:val="fr-FR"/>
        </w:rPr>
        <w:t>ap</w:t>
      </w:r>
      <w:r w:rsidR="00DB4DD4" w:rsidRPr="00885EDF">
        <w:rPr>
          <w:lang w:val="fr-FR"/>
        </w:rPr>
        <w:t xml:space="preserve">port </w:t>
      </w:r>
      <w:r w:rsidR="002B66C7">
        <w:rPr>
          <w:lang w:val="fr-FR"/>
        </w:rPr>
        <w:t>sur le Comité du programme et budget</w:t>
      </w:r>
      <w:r w:rsidR="00DB4DD4" w:rsidRPr="00885EDF">
        <w:rPr>
          <w:lang w:val="fr-FR"/>
        </w:rPr>
        <w:t>”.</w:t>
      </w:r>
    </w:p>
    <w:p w:rsidR="00DB4DD4" w:rsidRPr="00885EDF" w:rsidRDefault="00DB4DD4" w:rsidP="00DB4DD4">
      <w:pPr>
        <w:rPr>
          <w:lang w:val="fr-FR"/>
        </w:rPr>
      </w:pPr>
    </w:p>
    <w:p w:rsidR="00DB4DD4" w:rsidRPr="00885EDF" w:rsidRDefault="00DB4DD4" w:rsidP="00DB4DD4">
      <w:pPr>
        <w:rPr>
          <w:lang w:val="fr-FR"/>
        </w:rPr>
      </w:pPr>
    </w:p>
    <w:p w:rsidR="00CD6D6C" w:rsidRDefault="00CD6D6C">
      <w:pPr>
        <w:pStyle w:val="Endofdocument-Annex"/>
      </w:pPr>
      <w:r>
        <w:t>[</w:t>
      </w:r>
      <w:r>
        <w:rPr>
          <w:lang w:val="fr-FR"/>
        </w:rPr>
        <w:t>L’a</w:t>
      </w:r>
      <w:r w:rsidRPr="00885EDF">
        <w:rPr>
          <w:lang w:val="fr-FR"/>
        </w:rPr>
        <w:t>nnex</w:t>
      </w:r>
      <w:r>
        <w:rPr>
          <w:lang w:val="fr-FR"/>
        </w:rPr>
        <w:t>e suit</w:t>
      </w:r>
      <w:r>
        <w:t>]</w:t>
      </w:r>
    </w:p>
    <w:p w:rsidR="00CD6D6C" w:rsidRDefault="00CD6D6C" w:rsidP="00CD6D6C"/>
    <w:p w:rsidR="00A546F5" w:rsidRDefault="00A546F5" w:rsidP="00A546F5">
      <w:pPr>
        <w:tabs>
          <w:tab w:val="left" w:pos="5670"/>
        </w:tabs>
        <w:rPr>
          <w:lang w:val="fr-FR"/>
        </w:rPr>
        <w:sectPr w:rsidR="00A546F5" w:rsidSect="00A546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567" w:right="1134" w:bottom="1417" w:left="1417" w:header="510" w:footer="1020" w:gutter="0"/>
          <w:pgNumType w:start="1"/>
          <w:cols w:space="720"/>
          <w:titlePg/>
          <w:docGrid w:linePitch="360"/>
        </w:sectPr>
      </w:pPr>
    </w:p>
    <w:p w:rsidR="00DB4DD4" w:rsidRPr="00885EDF" w:rsidRDefault="00CD6D6C" w:rsidP="00CD6D6C">
      <w:pPr>
        <w:pStyle w:val="Heading2"/>
        <w:rPr>
          <w:lang w:val="fr-FR"/>
        </w:rPr>
      </w:pPr>
      <w:r w:rsidRPr="00885EDF">
        <w:rPr>
          <w:lang w:val="fr-FR"/>
        </w:rPr>
        <w:lastRenderedPageBreak/>
        <w:t>Paragraphes de décision qu</w:t>
      </w:r>
      <w:r>
        <w:rPr>
          <w:lang w:val="fr-FR"/>
        </w:rPr>
        <w:t xml:space="preserve">’il est proposé </w:t>
      </w:r>
      <w:r w:rsidRPr="00885EDF">
        <w:rPr>
          <w:lang w:val="fr-FR"/>
        </w:rPr>
        <w:t>d</w:t>
      </w:r>
      <w:r>
        <w:rPr>
          <w:lang w:val="fr-FR"/>
        </w:rPr>
        <w:t>’</w:t>
      </w:r>
      <w:r w:rsidRPr="00885EDF">
        <w:rPr>
          <w:lang w:val="fr-FR"/>
        </w:rPr>
        <w:t>inclure dans les décisions au titre du rapport sur le Comité du programme et budget</w:t>
      </w:r>
    </w:p>
    <w:p w:rsidR="00DB4DD4" w:rsidRPr="00885EDF" w:rsidRDefault="00DB4DD4" w:rsidP="00CD6D6C">
      <w:pPr>
        <w:pStyle w:val="Heading4"/>
        <w:rPr>
          <w:lang w:val="fr-FR"/>
        </w:rPr>
      </w:pPr>
      <w:r w:rsidRPr="00885EDF">
        <w:rPr>
          <w:lang w:val="fr-FR"/>
        </w:rPr>
        <w:t>Propos</w:t>
      </w:r>
      <w:r w:rsidR="002B66C7">
        <w:rPr>
          <w:lang w:val="fr-FR"/>
        </w:rPr>
        <w:t>ition présentée par la délégation des États</w:t>
      </w:r>
      <w:r w:rsidR="00613000">
        <w:rPr>
          <w:lang w:val="fr-FR"/>
        </w:rPr>
        <w:noBreakHyphen/>
      </w:r>
      <w:r w:rsidR="002B66C7">
        <w:rPr>
          <w:lang w:val="fr-FR"/>
        </w:rPr>
        <w:t>Unis</w:t>
      </w:r>
      <w:r w:rsidR="004843D1">
        <w:rPr>
          <w:lang w:val="fr-FR"/>
        </w:rPr>
        <w:t xml:space="preserve"> </w:t>
      </w:r>
      <w:r w:rsidR="002B66C7">
        <w:rPr>
          <w:lang w:val="fr-FR"/>
        </w:rPr>
        <w:t>d</w:t>
      </w:r>
      <w:r w:rsidR="00A546F5">
        <w:rPr>
          <w:lang w:val="fr-FR"/>
        </w:rPr>
        <w:t>’</w:t>
      </w:r>
      <w:r w:rsidR="002B66C7">
        <w:rPr>
          <w:lang w:val="fr-FR"/>
        </w:rPr>
        <w:t>Amérique</w:t>
      </w:r>
    </w:p>
    <w:p w:rsidR="00DB4DD4" w:rsidRPr="00885EDF" w:rsidRDefault="00DB4DD4" w:rsidP="00DB4DD4">
      <w:pPr>
        <w:rPr>
          <w:i/>
          <w:lang w:val="fr-FR"/>
        </w:rPr>
      </w:pPr>
    </w:p>
    <w:p w:rsidR="00DB4DD4" w:rsidRPr="00885EDF" w:rsidRDefault="00DB4DD4" w:rsidP="00DB4DD4">
      <w:pPr>
        <w:rPr>
          <w:i/>
          <w:lang w:val="fr-FR"/>
        </w:rPr>
      </w:pPr>
    </w:p>
    <w:p w:rsidR="00DB4DD4" w:rsidRPr="002B66C7" w:rsidRDefault="00CD6D6C" w:rsidP="00CD6D6C">
      <w:pPr>
        <w:pStyle w:val="Heading2"/>
        <w:rPr>
          <w:lang w:val="fr-FR"/>
        </w:rPr>
      </w:pPr>
      <w:r w:rsidRPr="002B66C7">
        <w:rPr>
          <w:lang w:val="fr-FR"/>
        </w:rPr>
        <w:t>Point 12 de l</w:t>
      </w:r>
      <w:r>
        <w:rPr>
          <w:lang w:val="fr-FR"/>
        </w:rPr>
        <w:t>’</w:t>
      </w:r>
      <w:r w:rsidRPr="002B66C7">
        <w:rPr>
          <w:lang w:val="fr-FR"/>
        </w:rPr>
        <w:t>ordre du jour unifié</w:t>
      </w:r>
    </w:p>
    <w:p w:rsidR="00DB4DD4" w:rsidRPr="00885EDF" w:rsidRDefault="00CD6D6C" w:rsidP="00CD6D6C">
      <w:pPr>
        <w:pStyle w:val="Heading2"/>
        <w:rPr>
          <w:szCs w:val="22"/>
          <w:lang w:val="fr-FR"/>
        </w:rPr>
      </w:pPr>
      <w:r w:rsidRPr="00885EDF">
        <w:rPr>
          <w:szCs w:val="22"/>
          <w:lang w:val="fr-FR"/>
        </w:rPr>
        <w:t>R</w:t>
      </w:r>
      <w:r w:rsidRPr="002B66C7">
        <w:rPr>
          <w:szCs w:val="22"/>
          <w:lang w:val="fr-FR"/>
        </w:rPr>
        <w:t>apport sur le Comité du programme et budget</w:t>
      </w:r>
    </w:p>
    <w:p w:rsidR="00DB4DD4" w:rsidRPr="00885EDF" w:rsidRDefault="00DB4DD4" w:rsidP="00DB4DD4">
      <w:pPr>
        <w:rPr>
          <w:lang w:val="fr-FR"/>
        </w:rPr>
      </w:pPr>
    </w:p>
    <w:p w:rsidR="00A546F5" w:rsidRDefault="002B66C7" w:rsidP="00CD6D6C">
      <w:pPr>
        <w:pStyle w:val="ONUMFS"/>
        <w:rPr>
          <w:lang w:val="fr-FR"/>
        </w:rPr>
      </w:pPr>
      <w:r>
        <w:rPr>
          <w:lang w:val="fr-FR"/>
        </w:rPr>
        <w:t>Les assemblées des États membres de l</w:t>
      </w:r>
      <w:r w:rsidR="00A546F5">
        <w:rPr>
          <w:lang w:val="fr-FR"/>
        </w:rPr>
        <w:t>’</w:t>
      </w:r>
      <w:r>
        <w:rPr>
          <w:lang w:val="fr-FR"/>
        </w:rPr>
        <w:t>OMPI et des unions administrées par l</w:t>
      </w:r>
      <w:r w:rsidR="00A546F5">
        <w:rPr>
          <w:lang w:val="fr-FR"/>
        </w:rPr>
        <w:t>’</w:t>
      </w:r>
      <w:r>
        <w:rPr>
          <w:lang w:val="fr-FR"/>
        </w:rPr>
        <w:t>OMPI, chacune pour ce qui la concerne,</w:t>
      </w:r>
    </w:p>
    <w:p w:rsidR="00CD6D6C" w:rsidRPr="00CD6D6C" w:rsidRDefault="002B66C7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>sont convenues d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approuver le programme et budget proposé</w:t>
      </w:r>
      <w:r w:rsidR="009A21E8" w:rsidRPr="00CD6D6C">
        <w:rPr>
          <w:lang w:val="fr-FR"/>
        </w:rPr>
        <w:t>, tel qu</w:t>
      </w:r>
      <w:r w:rsidR="00A546F5" w:rsidRPr="00CD6D6C">
        <w:rPr>
          <w:lang w:val="fr-FR"/>
        </w:rPr>
        <w:t>’</w:t>
      </w:r>
      <w:r w:rsidR="009A21E8" w:rsidRPr="00CD6D6C">
        <w:rPr>
          <w:lang w:val="fr-FR"/>
        </w:rPr>
        <w:t xml:space="preserve">il </w:t>
      </w:r>
      <w:r w:rsidR="0053565E" w:rsidRPr="00CD6D6C">
        <w:rPr>
          <w:lang w:val="fr-FR"/>
        </w:rPr>
        <w:t>a été soumis aux assemblées des États membres de l</w:t>
      </w:r>
      <w:r w:rsidR="00A546F5" w:rsidRPr="00CD6D6C">
        <w:rPr>
          <w:lang w:val="fr-FR"/>
        </w:rPr>
        <w:t>’</w:t>
      </w:r>
      <w:r w:rsidR="0053565E" w:rsidRPr="00CD6D6C">
        <w:rPr>
          <w:lang w:val="fr-FR"/>
        </w:rPr>
        <w:t xml:space="preserve">OMPI dans le </w:t>
      </w:r>
      <w:r w:rsidR="00F74621" w:rsidRPr="00CD6D6C">
        <w:rPr>
          <w:lang w:val="fr-FR"/>
        </w:rPr>
        <w:t>document</w:t>
      </w:r>
      <w:r w:rsidR="0053565E" w:rsidRPr="00CD6D6C">
        <w:rPr>
          <w:lang w:val="fr-FR"/>
        </w:rPr>
        <w:t> </w:t>
      </w:r>
      <w:r w:rsidR="00F74621" w:rsidRPr="00CD6D6C">
        <w:rPr>
          <w:lang w:val="fr-FR"/>
        </w:rPr>
        <w:t>A/57/6</w:t>
      </w:r>
      <w:r w:rsidR="00D47B43" w:rsidRPr="00CD6D6C">
        <w:rPr>
          <w:lang w:val="fr-FR"/>
        </w:rPr>
        <w:t>,</w:t>
      </w:r>
    </w:p>
    <w:p w:rsidR="00CD6D6C" w:rsidRPr="00CD6D6C" w:rsidRDefault="0053565E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 xml:space="preserve">ont </w:t>
      </w:r>
      <w:r w:rsidR="00D47B43" w:rsidRPr="00CD6D6C">
        <w:rPr>
          <w:lang w:val="fr-FR"/>
        </w:rPr>
        <w:t xml:space="preserve">pris </w:t>
      </w:r>
      <w:r w:rsidRPr="00CD6D6C">
        <w:rPr>
          <w:lang w:val="fr-FR"/>
        </w:rPr>
        <w:t>not</w:t>
      </w:r>
      <w:r w:rsidR="00D47B43" w:rsidRPr="00CD6D6C">
        <w:rPr>
          <w:lang w:val="fr-FR"/>
        </w:rPr>
        <w:t xml:space="preserve">e du fait </w:t>
      </w:r>
      <w:r w:rsidRPr="00CD6D6C">
        <w:rPr>
          <w:lang w:val="fr-FR"/>
        </w:rPr>
        <w:t>que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Assemblée de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Union de Lisbonne doit adopter des mesures en vue de combler le déficit prévu de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Union de Lisbonne pour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exercice biennal</w:t>
      </w:r>
      <w:r w:rsidR="00DB4DD4" w:rsidRPr="00CD6D6C">
        <w:rPr>
          <w:lang w:val="fr-FR"/>
        </w:rPr>
        <w:t xml:space="preserve">, </w:t>
      </w:r>
      <w:r w:rsidRPr="00CD6D6C">
        <w:rPr>
          <w:lang w:val="fr-FR"/>
        </w:rPr>
        <w:t>indiqué dans le programme et budget de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OMPI pour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 xml:space="preserve">exercice </w:t>
      </w:r>
      <w:r w:rsidR="00DB4DD4" w:rsidRPr="00CD6D6C">
        <w:rPr>
          <w:lang w:val="fr-FR"/>
        </w:rPr>
        <w:t>2018</w:t>
      </w:r>
      <w:r w:rsidR="00613000">
        <w:rPr>
          <w:lang w:val="fr-FR"/>
        </w:rPr>
        <w:noBreakHyphen/>
      </w:r>
      <w:r w:rsidRPr="00CD6D6C">
        <w:rPr>
          <w:lang w:val="fr-FR"/>
        </w:rPr>
        <w:t>20</w:t>
      </w:r>
      <w:r w:rsidR="00DB4DD4" w:rsidRPr="00CD6D6C">
        <w:rPr>
          <w:lang w:val="fr-FR"/>
        </w:rPr>
        <w:t>19 (</w:t>
      </w:r>
      <w:r w:rsidR="00A546F5" w:rsidRPr="00CD6D6C">
        <w:rPr>
          <w:lang w:val="fr-FR"/>
        </w:rPr>
        <w:t>à savoir</w:t>
      </w:r>
      <w:r w:rsidRPr="00CD6D6C">
        <w:rPr>
          <w:lang w:val="fr-FR"/>
        </w:rPr>
        <w:t xml:space="preserve"> </w:t>
      </w:r>
      <w:r w:rsidR="00DB4DD4" w:rsidRPr="00CD6D6C">
        <w:rPr>
          <w:lang w:val="fr-FR"/>
        </w:rPr>
        <w:t>1</w:t>
      </w:r>
      <w:r w:rsidRPr="00CD6D6C">
        <w:rPr>
          <w:lang w:val="fr-FR"/>
        </w:rPr>
        <w:t>,</w:t>
      </w:r>
      <w:r w:rsidR="00DB4DD4" w:rsidRPr="00CD6D6C">
        <w:rPr>
          <w:lang w:val="fr-FR"/>
        </w:rPr>
        <w:t>364</w:t>
      </w:r>
      <w:r w:rsidRPr="00CD6D6C">
        <w:rPr>
          <w:lang w:val="fr-FR"/>
        </w:rPr>
        <w:t> </w:t>
      </w:r>
      <w:r w:rsidR="004843D1" w:rsidRPr="00CD6D6C">
        <w:rPr>
          <w:lang w:val="fr-FR"/>
        </w:rPr>
        <w:t>million</w:t>
      </w:r>
      <w:r w:rsidRPr="00CD6D6C">
        <w:rPr>
          <w:lang w:val="fr-FR"/>
        </w:rPr>
        <w:t xml:space="preserve"> de francs suisses</w:t>
      </w:r>
      <w:r w:rsidR="00DB4DD4" w:rsidRPr="00CD6D6C">
        <w:rPr>
          <w:lang w:val="fr-FR"/>
        </w:rPr>
        <w:t xml:space="preserve">), </w:t>
      </w:r>
      <w:r w:rsidRPr="00CD6D6C">
        <w:rPr>
          <w:lang w:val="fr-FR"/>
        </w:rPr>
        <w:t>conformément à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a</w:t>
      </w:r>
      <w:r w:rsidR="00DB4DD4" w:rsidRPr="00CD6D6C">
        <w:rPr>
          <w:lang w:val="fr-FR"/>
        </w:rPr>
        <w:t>rticle</w:t>
      </w:r>
      <w:r w:rsidRPr="00CD6D6C">
        <w:rPr>
          <w:lang w:val="fr-FR"/>
        </w:rPr>
        <w:t> </w:t>
      </w:r>
      <w:r w:rsidR="00DB4DD4" w:rsidRPr="00CD6D6C">
        <w:rPr>
          <w:lang w:val="fr-FR"/>
        </w:rPr>
        <w:t xml:space="preserve">11 </w:t>
      </w:r>
      <w:r w:rsidRPr="00CD6D6C">
        <w:rPr>
          <w:lang w:val="fr-FR"/>
        </w:rPr>
        <w:t>de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 xml:space="preserve">Arrangement de </w:t>
      </w:r>
      <w:r w:rsidR="00DB4DD4" w:rsidRPr="00CD6D6C">
        <w:rPr>
          <w:lang w:val="fr-FR"/>
        </w:rPr>
        <w:t>Lisbon</w:t>
      </w:r>
      <w:r w:rsidRPr="00CD6D6C">
        <w:rPr>
          <w:lang w:val="fr-FR"/>
        </w:rPr>
        <w:t>ne concernant la protection des appellations d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origine et leur enregistrement international</w:t>
      </w:r>
      <w:r w:rsidR="00D47B43" w:rsidRPr="00CD6D6C">
        <w:rPr>
          <w:lang w:val="fr-FR"/>
        </w:rPr>
        <w:t>,</w:t>
      </w:r>
    </w:p>
    <w:p w:rsidR="00CD6D6C" w:rsidRPr="00CD6D6C" w:rsidRDefault="00300CD4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 xml:space="preserve">ont décidé </w:t>
      </w:r>
      <w:r w:rsidR="0053565E" w:rsidRPr="00CD6D6C">
        <w:rPr>
          <w:lang w:val="fr-FR"/>
        </w:rPr>
        <w:t>d</w:t>
      </w:r>
      <w:r w:rsidR="00A546F5" w:rsidRPr="00CD6D6C">
        <w:rPr>
          <w:lang w:val="fr-FR"/>
        </w:rPr>
        <w:t>’</w:t>
      </w:r>
      <w:r w:rsidR="0053565E" w:rsidRPr="00CD6D6C">
        <w:rPr>
          <w:lang w:val="fr-FR"/>
        </w:rPr>
        <w:t>approuver un prêt à l</w:t>
      </w:r>
      <w:r w:rsidR="00A546F5" w:rsidRPr="00CD6D6C">
        <w:rPr>
          <w:lang w:val="fr-FR"/>
        </w:rPr>
        <w:t>’</w:t>
      </w:r>
      <w:r w:rsidR="0053565E" w:rsidRPr="00CD6D6C">
        <w:rPr>
          <w:lang w:val="fr-FR"/>
        </w:rPr>
        <w:t>Union de Lisbonne imputé aux réserves des unions financées par des contributions afin de financer le fonctionnement du système de Lisbonne pour l</w:t>
      </w:r>
      <w:r w:rsidR="00A546F5" w:rsidRPr="00CD6D6C">
        <w:rPr>
          <w:lang w:val="fr-FR"/>
        </w:rPr>
        <w:t>’</w:t>
      </w:r>
      <w:r w:rsidR="0053565E" w:rsidRPr="00CD6D6C">
        <w:rPr>
          <w:lang w:val="fr-FR"/>
        </w:rPr>
        <w:t xml:space="preserve">exercice </w:t>
      </w:r>
      <w:r w:rsidR="00A546F5" w:rsidRPr="00CD6D6C">
        <w:rPr>
          <w:lang w:val="fr-FR"/>
        </w:rPr>
        <w:t>biennal 2018</w:t>
      </w:r>
      <w:r w:rsidR="00613000">
        <w:rPr>
          <w:lang w:val="fr-FR"/>
        </w:rPr>
        <w:noBreakHyphen/>
      </w:r>
      <w:r w:rsidR="0053565E" w:rsidRPr="00CD6D6C">
        <w:rPr>
          <w:lang w:val="fr-FR"/>
        </w:rPr>
        <w:t>201</w:t>
      </w:r>
      <w:r w:rsidRPr="00CD6D6C">
        <w:rPr>
          <w:lang w:val="fr-FR"/>
        </w:rPr>
        <w:t>9</w:t>
      </w:r>
      <w:r w:rsidR="0053565E" w:rsidRPr="00CD6D6C">
        <w:rPr>
          <w:lang w:val="fr-FR"/>
        </w:rPr>
        <w:t xml:space="preserve"> au cas où ces mesures ne seraient pas suffisantes pour couvrir son déficit biennal pré</w:t>
      </w:r>
      <w:r w:rsidR="00CD6D6C" w:rsidRPr="00CD6D6C">
        <w:rPr>
          <w:lang w:val="fr-FR"/>
        </w:rPr>
        <w:t>vu.  Ce</w:t>
      </w:r>
      <w:r w:rsidRPr="00CD6D6C">
        <w:rPr>
          <w:lang w:val="fr-FR"/>
        </w:rPr>
        <w:t xml:space="preserve"> prêt sera consenti sans intérêt et étant entendu qu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il sera remboursé lorsque les réserves de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Union de Lisbonne le permettront</w:t>
      </w:r>
      <w:r w:rsidR="00D47B43" w:rsidRPr="00CD6D6C">
        <w:rPr>
          <w:lang w:val="fr-FR"/>
        </w:rPr>
        <w:t>,</w:t>
      </w:r>
    </w:p>
    <w:p w:rsidR="00CD6D6C" w:rsidRPr="00CD6D6C" w:rsidRDefault="00BF5CCE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>ont décidé que toute conférence diplomatique susceptible d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être tenue sous les auspices de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OMPI durant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 xml:space="preserve">exercice </w:t>
      </w:r>
      <w:r w:rsidR="00A546F5" w:rsidRPr="00CD6D6C">
        <w:rPr>
          <w:lang w:val="fr-FR"/>
        </w:rPr>
        <w:t>biennal 2018</w:t>
      </w:r>
      <w:r w:rsidR="00613000">
        <w:rPr>
          <w:lang w:val="fr-FR"/>
        </w:rPr>
        <w:noBreakHyphen/>
      </w:r>
      <w:r w:rsidRPr="00CD6D6C">
        <w:rPr>
          <w:lang w:val="fr-FR"/>
        </w:rPr>
        <w:t>2019 sera financée au moyen des ressources de l</w:t>
      </w:r>
      <w:r w:rsidR="00A546F5" w:rsidRPr="00CD6D6C">
        <w:rPr>
          <w:lang w:val="fr-FR"/>
        </w:rPr>
        <w:t>’</w:t>
      </w:r>
      <w:r w:rsidR="00DB4DD4" w:rsidRPr="00CD6D6C">
        <w:rPr>
          <w:lang w:val="fr-FR"/>
        </w:rPr>
        <w:t>Organi</w:t>
      </w:r>
      <w:r w:rsidRPr="00CD6D6C">
        <w:rPr>
          <w:lang w:val="fr-FR"/>
        </w:rPr>
        <w:t>s</w:t>
      </w:r>
      <w:r w:rsidR="00DB4DD4" w:rsidRPr="00CD6D6C">
        <w:rPr>
          <w:lang w:val="fr-FR"/>
        </w:rPr>
        <w:t xml:space="preserve">ation </w:t>
      </w:r>
      <w:r w:rsidR="009A21E8" w:rsidRPr="00CD6D6C">
        <w:rPr>
          <w:lang w:val="fr-FR"/>
        </w:rPr>
        <w:t>uniquement</w:t>
      </w:r>
      <w:r w:rsidRPr="00CD6D6C">
        <w:rPr>
          <w:lang w:val="fr-FR"/>
        </w:rPr>
        <w:t xml:space="preserve"> si elle est convoquée sur décision des organes et </w:t>
      </w:r>
      <w:r w:rsidR="009A21E8" w:rsidRPr="00CD6D6C">
        <w:rPr>
          <w:lang w:val="fr-FR"/>
        </w:rPr>
        <w:t>unions concernés de l</w:t>
      </w:r>
      <w:r w:rsidR="00A546F5" w:rsidRPr="00CD6D6C">
        <w:rPr>
          <w:lang w:val="fr-FR"/>
        </w:rPr>
        <w:t>’</w:t>
      </w:r>
      <w:r w:rsidR="00DB4DD4" w:rsidRPr="00CD6D6C">
        <w:rPr>
          <w:lang w:val="fr-FR"/>
        </w:rPr>
        <w:t>Organi</w:t>
      </w:r>
      <w:r w:rsidR="009A21E8" w:rsidRPr="00CD6D6C">
        <w:rPr>
          <w:lang w:val="fr-FR"/>
        </w:rPr>
        <w:t>s</w:t>
      </w:r>
      <w:r w:rsidR="00DB4DD4" w:rsidRPr="00CD6D6C">
        <w:rPr>
          <w:lang w:val="fr-FR"/>
        </w:rPr>
        <w:t xml:space="preserve">ation </w:t>
      </w:r>
      <w:r w:rsidR="009A21E8" w:rsidRPr="00CD6D6C">
        <w:rPr>
          <w:lang w:val="fr-FR"/>
        </w:rPr>
        <w:t>conformément à la pratique de consensus établie de longue date</w:t>
      </w:r>
      <w:r w:rsidR="00DB4DD4" w:rsidRPr="00CD6D6C">
        <w:rPr>
          <w:lang w:val="fr-FR"/>
        </w:rPr>
        <w:t>.</w:t>
      </w:r>
    </w:p>
    <w:p w:rsidR="00CD6D6C" w:rsidRDefault="00CD6D6C" w:rsidP="00CD6D6C">
      <w:pPr>
        <w:rPr>
          <w:lang w:val="fr-FR"/>
        </w:rPr>
      </w:pPr>
    </w:p>
    <w:p w:rsidR="00613000" w:rsidRDefault="00613000" w:rsidP="00CD6D6C">
      <w:pPr>
        <w:rPr>
          <w:lang w:val="fr-FR"/>
        </w:rPr>
      </w:pPr>
    </w:p>
    <w:p w:rsidR="00DB4DD4" w:rsidRPr="00885EDF" w:rsidRDefault="009A21E8" w:rsidP="00CD6D6C">
      <w:pPr>
        <w:pStyle w:val="ONUMFS"/>
        <w:rPr>
          <w:lang w:val="fr-FR"/>
        </w:rPr>
      </w:pPr>
      <w:r>
        <w:rPr>
          <w:lang w:val="fr-FR"/>
        </w:rPr>
        <w:t>Les assemblées des États membres de l</w:t>
      </w:r>
      <w:r w:rsidR="00A546F5">
        <w:rPr>
          <w:lang w:val="fr-FR"/>
        </w:rPr>
        <w:t>’</w:t>
      </w:r>
      <w:r>
        <w:rPr>
          <w:lang w:val="fr-FR"/>
        </w:rPr>
        <w:t>OMPI et des unions administrées par l</w:t>
      </w:r>
      <w:r w:rsidR="00A546F5">
        <w:rPr>
          <w:lang w:val="fr-FR"/>
        </w:rPr>
        <w:t>’</w:t>
      </w:r>
      <w:r>
        <w:rPr>
          <w:lang w:val="fr-FR"/>
        </w:rPr>
        <w:t>OMPI, chacune pour ce qui la concerne,</w:t>
      </w:r>
    </w:p>
    <w:p w:rsidR="00CD6D6C" w:rsidRPr="00CD6D6C" w:rsidRDefault="00D47B43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>ont reconnu que la méthode de répartition des recettes et du budget par union était une question transversale</w:t>
      </w:r>
      <w:r w:rsidR="00DB4DD4" w:rsidRPr="00CD6D6C">
        <w:rPr>
          <w:lang w:val="fr-FR"/>
        </w:rPr>
        <w:t>;</w:t>
      </w:r>
    </w:p>
    <w:p w:rsidR="00CD6D6C" w:rsidRPr="00CD6D6C" w:rsidRDefault="00D47B43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>ont pris note du fait que certaines délégations estimaient qu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il serait nécessaire de poursuivre les discussions entre les États membres,</w:t>
      </w:r>
    </w:p>
    <w:p w:rsidR="00CD6D6C" w:rsidRPr="00CD6D6C" w:rsidRDefault="00D47B43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 xml:space="preserve">ont pris note du fait que, en </w:t>
      </w:r>
      <w:r w:rsidR="00891290" w:rsidRPr="00CD6D6C">
        <w:rPr>
          <w:lang w:val="fr-FR"/>
        </w:rPr>
        <w:t>vertu</w:t>
      </w:r>
      <w:r w:rsidRPr="00CD6D6C">
        <w:rPr>
          <w:lang w:val="fr-FR"/>
        </w:rPr>
        <w:t xml:space="preserve"> des dispositions de plusieurs traités administrés par l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OMPI, les unions concernées sont tenues d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 xml:space="preserve">adopter un </w:t>
      </w:r>
      <w:r w:rsidR="00DB4DD4" w:rsidRPr="00CD6D6C">
        <w:rPr>
          <w:lang w:val="fr-FR"/>
        </w:rPr>
        <w:t xml:space="preserve">budget </w:t>
      </w:r>
      <w:r w:rsidR="00891290" w:rsidRPr="00CD6D6C">
        <w:rPr>
          <w:lang w:val="fr-FR"/>
        </w:rPr>
        <w:t xml:space="preserve">comprenant leur </w:t>
      </w:r>
      <w:r w:rsidR="00DB4DD4" w:rsidRPr="00CD6D6C">
        <w:rPr>
          <w:lang w:val="fr-FR"/>
        </w:rPr>
        <w:t xml:space="preserve">contribution </w:t>
      </w:r>
      <w:r w:rsidR="00891290" w:rsidRPr="00CD6D6C">
        <w:rPr>
          <w:lang w:val="fr-FR"/>
        </w:rPr>
        <w:t>aux dépenses communes de l</w:t>
      </w:r>
      <w:r w:rsidR="00A546F5" w:rsidRPr="00CD6D6C">
        <w:rPr>
          <w:lang w:val="fr-FR"/>
        </w:rPr>
        <w:t>’</w:t>
      </w:r>
      <w:r w:rsidR="00DB4DD4" w:rsidRPr="00CD6D6C">
        <w:rPr>
          <w:lang w:val="fr-FR"/>
        </w:rPr>
        <w:t>Organi</w:t>
      </w:r>
      <w:r w:rsidR="00891290" w:rsidRPr="00CD6D6C">
        <w:rPr>
          <w:lang w:val="fr-FR"/>
        </w:rPr>
        <w:t>s</w:t>
      </w:r>
      <w:r w:rsidR="00DB4DD4" w:rsidRPr="00CD6D6C">
        <w:rPr>
          <w:lang w:val="fr-FR"/>
        </w:rPr>
        <w:t>ation</w:t>
      </w:r>
      <w:r w:rsidR="00891290" w:rsidRPr="00CD6D6C">
        <w:rPr>
          <w:lang w:val="fr-FR"/>
        </w:rPr>
        <w:t>, et</w:t>
      </w:r>
    </w:p>
    <w:p w:rsidR="00DB4DD4" w:rsidRPr="00CD6D6C" w:rsidRDefault="00D47B43" w:rsidP="00CD6D6C">
      <w:pPr>
        <w:pStyle w:val="ONUMFS"/>
        <w:numPr>
          <w:ilvl w:val="2"/>
          <w:numId w:val="11"/>
        </w:numPr>
        <w:tabs>
          <w:tab w:val="clear" w:pos="1701"/>
        </w:tabs>
        <w:ind w:left="0"/>
        <w:rPr>
          <w:lang w:val="fr-FR"/>
        </w:rPr>
      </w:pPr>
      <w:r w:rsidRPr="00CD6D6C">
        <w:rPr>
          <w:lang w:val="fr-FR"/>
        </w:rPr>
        <w:t>ont prié le Secrétariat de continuer à examiner d</w:t>
      </w:r>
      <w:r w:rsidR="00A546F5" w:rsidRPr="00CD6D6C">
        <w:rPr>
          <w:lang w:val="fr-FR"/>
        </w:rPr>
        <w:t>’</w:t>
      </w:r>
      <w:r w:rsidRPr="00CD6D6C">
        <w:rPr>
          <w:lang w:val="fr-FR"/>
        </w:rPr>
        <w:t>autres solutions possibles en matière de méthode de répartition des recettes et du budget par union en vue de son examen par</w:t>
      </w:r>
      <w:r w:rsidR="00A546F5" w:rsidRPr="00CD6D6C">
        <w:rPr>
          <w:lang w:val="fr-FR"/>
        </w:rPr>
        <w:t xml:space="preserve"> le PBC</w:t>
      </w:r>
      <w:r w:rsidRPr="00CD6D6C">
        <w:rPr>
          <w:lang w:val="fr-FR"/>
        </w:rPr>
        <w:t xml:space="preserve"> à sa vingt</w:t>
      </w:r>
      <w:r w:rsidR="00613000">
        <w:rPr>
          <w:lang w:val="fr-FR"/>
        </w:rPr>
        <w:noBreakHyphen/>
      </w:r>
      <w:r w:rsidRPr="00CD6D6C">
        <w:rPr>
          <w:lang w:val="fr-FR"/>
        </w:rPr>
        <w:t>huit</w:t>
      </w:r>
      <w:r w:rsidR="00A546F5" w:rsidRPr="00CD6D6C">
        <w:rPr>
          <w:lang w:val="fr-FR"/>
        </w:rPr>
        <w:t>ième session</w:t>
      </w:r>
      <w:r w:rsidR="00DB4DD4" w:rsidRPr="00CD6D6C">
        <w:rPr>
          <w:lang w:val="fr-FR"/>
        </w:rPr>
        <w:t>;</w:t>
      </w:r>
    </w:p>
    <w:p w:rsidR="00DB4DD4" w:rsidRDefault="00DB4DD4" w:rsidP="00DB4DD4">
      <w:pPr>
        <w:rPr>
          <w:lang w:val="fr-FR"/>
        </w:rPr>
      </w:pPr>
    </w:p>
    <w:p w:rsidR="00613000" w:rsidRPr="00885EDF" w:rsidRDefault="00613000" w:rsidP="00DB4DD4">
      <w:pPr>
        <w:rPr>
          <w:lang w:val="fr-FR"/>
        </w:rPr>
      </w:pPr>
    </w:p>
    <w:p w:rsidR="00A546F5" w:rsidRDefault="00891290" w:rsidP="00CD6D6C">
      <w:pPr>
        <w:pStyle w:val="ONUMFS"/>
        <w:rPr>
          <w:lang w:val="fr-FR"/>
        </w:rPr>
      </w:pPr>
      <w:r>
        <w:rPr>
          <w:lang w:val="fr-FR"/>
        </w:rPr>
        <w:t>Les assemblées des États membres de l</w:t>
      </w:r>
      <w:r w:rsidR="00A546F5">
        <w:rPr>
          <w:lang w:val="fr-FR"/>
        </w:rPr>
        <w:t>’</w:t>
      </w:r>
      <w:r>
        <w:rPr>
          <w:lang w:val="fr-FR"/>
        </w:rPr>
        <w:t>OMPI et des unions administrées par l</w:t>
      </w:r>
      <w:r w:rsidR="00A546F5">
        <w:rPr>
          <w:lang w:val="fr-FR"/>
        </w:rPr>
        <w:t>’</w:t>
      </w:r>
      <w:r>
        <w:rPr>
          <w:lang w:val="fr-FR"/>
        </w:rPr>
        <w:t>OMPI, chacune pour ce qui la concerne, sont convenues d</w:t>
      </w:r>
      <w:r w:rsidR="00A546F5">
        <w:rPr>
          <w:lang w:val="fr-FR"/>
        </w:rPr>
        <w:t>’</w:t>
      </w:r>
      <w:r>
        <w:rPr>
          <w:lang w:val="fr-FR"/>
        </w:rPr>
        <w:t>approuver le financement</w:t>
      </w:r>
      <w:r w:rsidR="00113EC1">
        <w:rPr>
          <w:lang w:val="fr-FR"/>
        </w:rPr>
        <w:t xml:space="preserve">, </w:t>
      </w:r>
      <w:r w:rsidR="00442139">
        <w:rPr>
          <w:lang w:val="fr-FR"/>
        </w:rPr>
        <w:t>au moyen des</w:t>
      </w:r>
      <w:r w:rsidR="00113EC1">
        <w:rPr>
          <w:lang w:val="fr-FR"/>
        </w:rPr>
        <w:t xml:space="preserve"> réserves des unions financées par des contributions, de l</w:t>
      </w:r>
      <w:r w:rsidR="00A546F5">
        <w:rPr>
          <w:lang w:val="fr-FR"/>
        </w:rPr>
        <w:t>’</w:t>
      </w:r>
      <w:r w:rsidR="00113EC1">
        <w:rPr>
          <w:lang w:val="fr-FR"/>
        </w:rPr>
        <w:t>Union du Traité de coopération en matière de brevets et de l</w:t>
      </w:r>
      <w:r w:rsidR="00A546F5">
        <w:rPr>
          <w:lang w:val="fr-FR"/>
        </w:rPr>
        <w:t>’</w:t>
      </w:r>
      <w:r w:rsidR="00113EC1">
        <w:rPr>
          <w:lang w:val="fr-FR"/>
        </w:rPr>
        <w:t>Union de Madrid, des projets au titre de l</w:t>
      </w:r>
      <w:r w:rsidR="00A546F5">
        <w:rPr>
          <w:lang w:val="fr-FR"/>
        </w:rPr>
        <w:t>’</w:t>
      </w:r>
      <w:r w:rsidR="00113EC1">
        <w:rPr>
          <w:lang w:val="fr-FR"/>
        </w:rPr>
        <w:t xml:space="preserve">exercice </w:t>
      </w:r>
      <w:r w:rsidR="00A546F5">
        <w:rPr>
          <w:lang w:val="fr-FR"/>
        </w:rPr>
        <w:t>biennal </w:t>
      </w:r>
      <w:r w:rsidR="00A546F5" w:rsidRPr="00885EDF">
        <w:rPr>
          <w:lang w:val="fr-FR"/>
        </w:rPr>
        <w:t>2018</w:t>
      </w:r>
      <w:r w:rsidR="00613000">
        <w:rPr>
          <w:lang w:val="fr-FR"/>
        </w:rPr>
        <w:noBreakHyphen/>
      </w:r>
      <w:r w:rsidR="00113EC1">
        <w:rPr>
          <w:lang w:val="fr-FR"/>
        </w:rPr>
        <w:t>20</w:t>
      </w:r>
      <w:r w:rsidR="00DB4DD4" w:rsidRPr="00885EDF">
        <w:rPr>
          <w:lang w:val="fr-FR"/>
        </w:rPr>
        <w:t>19</w:t>
      </w:r>
      <w:r w:rsidR="00113EC1">
        <w:rPr>
          <w:lang w:val="fr-FR"/>
        </w:rPr>
        <w:t xml:space="preserve"> présentés dans le plan</w:t>
      </w:r>
      <w:r w:rsidR="00613000">
        <w:rPr>
          <w:lang w:val="fr-FR"/>
        </w:rPr>
        <w:noBreakHyphen/>
      </w:r>
      <w:r w:rsidR="00113EC1">
        <w:rPr>
          <w:lang w:val="fr-FR"/>
        </w:rPr>
        <w:t>cadre d</w:t>
      </w:r>
      <w:r w:rsidR="00A546F5">
        <w:rPr>
          <w:lang w:val="fr-FR"/>
        </w:rPr>
        <w:t>’</w:t>
      </w:r>
      <w:r w:rsidR="00113EC1">
        <w:rPr>
          <w:lang w:val="fr-FR"/>
        </w:rPr>
        <w:t xml:space="preserve">équipement </w:t>
      </w:r>
      <w:r w:rsidR="00A546F5">
        <w:rPr>
          <w:lang w:val="fr-FR"/>
        </w:rPr>
        <w:t>pour 2018</w:t>
      </w:r>
      <w:r w:rsidR="00613000">
        <w:rPr>
          <w:lang w:val="fr-FR"/>
        </w:rPr>
        <w:noBreakHyphen/>
      </w:r>
      <w:r w:rsidR="00113EC1">
        <w:rPr>
          <w:lang w:val="fr-FR"/>
        </w:rPr>
        <w:t>2027, les dépenses étant réparties comme suit</w:t>
      </w:r>
      <w:r w:rsidR="00A546F5">
        <w:rPr>
          <w:lang w:val="fr-FR"/>
        </w:rPr>
        <w:t> 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1155"/>
        <w:gridCol w:w="1156"/>
        <w:gridCol w:w="1155"/>
        <w:gridCol w:w="1156"/>
        <w:gridCol w:w="1156"/>
      </w:tblGrid>
      <w:tr w:rsidR="00CD6D6C" w:rsidRPr="00CD6D6C" w:rsidTr="00CD6D6C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Unions</w:t>
            </w:r>
            <w:r w:rsidR="00442139" w:rsidRPr="00CD6D6C">
              <w:rPr>
                <w:sz w:val="20"/>
                <w:lang w:val="fr-FR"/>
              </w:rPr>
              <w:t xml:space="preserve"> financées par des contributions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Union</w:t>
            </w:r>
            <w:r w:rsidR="00A546F5" w:rsidRPr="00CD6D6C">
              <w:rPr>
                <w:sz w:val="20"/>
                <w:lang w:val="fr-FR"/>
              </w:rPr>
              <w:t xml:space="preserve"> du PCT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Union</w:t>
            </w:r>
            <w:r w:rsidR="00442139" w:rsidRPr="00CD6D6C">
              <w:rPr>
                <w:sz w:val="20"/>
                <w:lang w:val="fr-FR"/>
              </w:rPr>
              <w:t xml:space="preserve"> de Madrid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Union</w:t>
            </w:r>
            <w:r w:rsidR="00442139" w:rsidRPr="00CD6D6C">
              <w:rPr>
                <w:sz w:val="20"/>
                <w:lang w:val="fr-FR"/>
              </w:rPr>
              <w:t xml:space="preserve"> de </w:t>
            </w:r>
            <w:r w:rsidR="00A546F5" w:rsidRPr="00CD6D6C">
              <w:rPr>
                <w:sz w:val="20"/>
                <w:lang w:val="fr-FR"/>
              </w:rPr>
              <w:t>La Haye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Union</w:t>
            </w:r>
            <w:r w:rsidR="00442139" w:rsidRPr="00CD6D6C">
              <w:rPr>
                <w:sz w:val="20"/>
                <w:lang w:val="fr-FR"/>
              </w:rPr>
              <w:t xml:space="preserve"> de Lisbonne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Total</w:t>
            </w:r>
          </w:p>
        </w:tc>
      </w:tr>
      <w:tr w:rsidR="00CD6D6C" w:rsidRPr="00CD6D6C" w:rsidTr="00CD6D6C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F</w:t>
            </w:r>
            <w:r w:rsidR="00442139" w:rsidRPr="00CD6D6C">
              <w:rPr>
                <w:sz w:val="20"/>
                <w:lang w:val="fr-FR"/>
              </w:rPr>
              <w:t>inancement des projets du plan</w:t>
            </w:r>
            <w:r w:rsidR="00613000">
              <w:rPr>
                <w:sz w:val="20"/>
                <w:lang w:val="fr-FR"/>
              </w:rPr>
              <w:noBreakHyphen/>
            </w:r>
            <w:r w:rsidR="00442139" w:rsidRPr="00CD6D6C">
              <w:rPr>
                <w:sz w:val="20"/>
                <w:lang w:val="fr-FR"/>
              </w:rPr>
              <w:t>cadre d</w:t>
            </w:r>
            <w:r w:rsidR="00A546F5" w:rsidRPr="00CD6D6C">
              <w:rPr>
                <w:sz w:val="20"/>
                <w:lang w:val="fr-FR"/>
              </w:rPr>
              <w:t>’</w:t>
            </w:r>
            <w:r w:rsidR="00442139" w:rsidRPr="00CD6D6C">
              <w:rPr>
                <w:sz w:val="20"/>
                <w:lang w:val="fr-FR"/>
              </w:rPr>
              <w:t xml:space="preserve">équipement au moyen des réserves des unions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744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16</w:t>
            </w:r>
            <w:r w:rsidR="00442139" w:rsidRPr="00CD6D6C">
              <w:rPr>
                <w:sz w:val="20"/>
                <w:lang w:val="fr-FR"/>
              </w:rPr>
              <w:t> </w:t>
            </w:r>
            <w:r w:rsidRPr="00CD6D6C">
              <w:rPr>
                <w:sz w:val="20"/>
                <w:lang w:val="fr-FR"/>
              </w:rPr>
              <w:t>39</w:t>
            </w:r>
            <w:r w:rsidR="00D41460" w:rsidRPr="00CD6D6C">
              <w:rPr>
                <w:sz w:val="20"/>
                <w:lang w:val="fr-FR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8</w:t>
            </w:r>
            <w:r w:rsidR="00442139" w:rsidRPr="00CD6D6C">
              <w:rPr>
                <w:sz w:val="20"/>
                <w:lang w:val="fr-FR"/>
              </w:rPr>
              <w:t> </w:t>
            </w:r>
            <w:r w:rsidRPr="00CD6D6C">
              <w:rPr>
                <w:sz w:val="20"/>
                <w:lang w:val="fr-FR"/>
              </w:rPr>
              <w:t>342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4" w:rsidRPr="00CD6D6C" w:rsidRDefault="00DB4DD4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41460" w:rsidP="00CD6D6C">
            <w:pPr>
              <w:jc w:val="center"/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25</w:t>
            </w:r>
            <w:r w:rsidR="00442139" w:rsidRPr="00CD6D6C">
              <w:rPr>
                <w:sz w:val="20"/>
                <w:lang w:val="fr-FR"/>
              </w:rPr>
              <w:t> </w:t>
            </w:r>
            <w:r w:rsidRPr="00CD6D6C">
              <w:rPr>
                <w:sz w:val="20"/>
                <w:lang w:val="fr-FR"/>
              </w:rPr>
              <w:t>477</w:t>
            </w:r>
          </w:p>
        </w:tc>
      </w:tr>
      <w:tr w:rsidR="00CD6D6C" w:rsidRPr="00CD6D6C" w:rsidTr="00CD6D6C">
        <w:trPr>
          <w:cantSplit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Total</w:t>
            </w:r>
            <w:r w:rsidR="00A546F5" w:rsidRPr="00CD6D6C">
              <w:rPr>
                <w:sz w:val="20"/>
                <w:lang w:val="fr-FR"/>
              </w:rPr>
              <w:t> :</w:t>
            </w:r>
            <w:r w:rsidRPr="00CD6D6C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CD6D6C" w:rsidRDefault="00DB4DD4" w:rsidP="00CD6D6C">
            <w:pPr>
              <w:rPr>
                <w:sz w:val="20"/>
                <w:lang w:val="fr-FR"/>
              </w:rPr>
            </w:pPr>
            <w:r w:rsidRPr="00CD6D6C">
              <w:rPr>
                <w:sz w:val="20"/>
                <w:lang w:val="fr-FR"/>
              </w:rPr>
              <w:t>25</w:t>
            </w:r>
            <w:r w:rsidR="00442139" w:rsidRPr="00CD6D6C">
              <w:rPr>
                <w:sz w:val="20"/>
                <w:lang w:val="fr-FR"/>
              </w:rPr>
              <w:t> </w:t>
            </w:r>
            <w:r w:rsidRPr="00CD6D6C">
              <w:rPr>
                <w:sz w:val="20"/>
                <w:lang w:val="fr-FR"/>
              </w:rPr>
              <w:t>477</w:t>
            </w:r>
          </w:p>
        </w:tc>
      </w:tr>
    </w:tbl>
    <w:p w:rsidR="00DB4DD4" w:rsidRPr="00885EDF" w:rsidRDefault="00DB4DD4" w:rsidP="00DB4DD4">
      <w:pPr>
        <w:rPr>
          <w:lang w:val="fr-FR"/>
        </w:rPr>
      </w:pPr>
      <w:r w:rsidRPr="00885EDF">
        <w:rPr>
          <w:lang w:val="fr-FR"/>
        </w:rPr>
        <w:t>(</w:t>
      </w:r>
      <w:proofErr w:type="gramStart"/>
      <w:r w:rsidR="00442139">
        <w:rPr>
          <w:lang w:val="fr-FR"/>
        </w:rPr>
        <w:t>montants</w:t>
      </w:r>
      <w:proofErr w:type="gramEnd"/>
      <w:r w:rsidR="00442139">
        <w:rPr>
          <w:lang w:val="fr-FR"/>
        </w:rPr>
        <w:t xml:space="preserve"> exprimés en milliers de francs suisses</w:t>
      </w:r>
      <w:r w:rsidRPr="00885EDF">
        <w:rPr>
          <w:lang w:val="fr-FR"/>
        </w:rPr>
        <w:t>)</w:t>
      </w:r>
    </w:p>
    <w:p w:rsidR="00DB4DD4" w:rsidRPr="00885EDF" w:rsidRDefault="00DB4DD4" w:rsidP="00CD6D6C">
      <w:pPr>
        <w:rPr>
          <w:lang w:val="fr-FR"/>
        </w:rPr>
      </w:pPr>
    </w:p>
    <w:p w:rsidR="00DB4DD4" w:rsidRPr="00885EDF" w:rsidRDefault="00DB4DD4" w:rsidP="00CD6D6C">
      <w:pPr>
        <w:rPr>
          <w:lang w:val="fr-FR"/>
        </w:rPr>
      </w:pPr>
    </w:p>
    <w:p w:rsidR="00DB4DD4" w:rsidRDefault="00DB4DD4" w:rsidP="00CD6D6C">
      <w:pPr>
        <w:rPr>
          <w:b/>
          <w:lang w:val="fr-FR"/>
        </w:rPr>
      </w:pPr>
    </w:p>
    <w:p w:rsidR="00CD6D6C" w:rsidRDefault="00CD6D6C">
      <w:pPr>
        <w:pStyle w:val="Endofdocument-Annex"/>
      </w:pPr>
      <w:r>
        <w:t xml:space="preserve">[Fin </w:t>
      </w:r>
      <w:r>
        <w:rPr>
          <w:lang w:val="fr-FR"/>
        </w:rPr>
        <w:t>de l’a</w:t>
      </w:r>
      <w:r w:rsidRPr="00885EDF">
        <w:rPr>
          <w:lang w:val="fr-FR"/>
        </w:rPr>
        <w:t>nnex</w:t>
      </w:r>
      <w:r>
        <w:rPr>
          <w:lang w:val="fr-FR"/>
        </w:rPr>
        <w:t xml:space="preserve">e </w:t>
      </w: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</w:t>
      </w:r>
      <w:r>
        <w:t>du document]</w:t>
      </w:r>
    </w:p>
    <w:sectPr w:rsidR="00CD6D6C" w:rsidSect="00A546F5">
      <w:headerReference w:type="default" r:id="rId15"/>
      <w:headerReference w:type="first" r:id="rId16"/>
      <w:footerReference w:type="first" r:id="rId17"/>
      <w:pgSz w:w="11907" w:h="16839" w:code="9"/>
      <w:pgMar w:top="567" w:right="1134" w:bottom="1417" w:left="1417" w:header="510" w:footer="10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D4" w:rsidRDefault="00DB4DD4">
      <w:r>
        <w:separator/>
      </w:r>
    </w:p>
  </w:endnote>
  <w:endnote w:type="continuationSeparator" w:id="0">
    <w:p w:rsidR="00DB4DD4" w:rsidRDefault="00DB4DD4" w:rsidP="003B38C1">
      <w:r>
        <w:separator/>
      </w:r>
    </w:p>
    <w:p w:rsidR="00DB4DD4" w:rsidRPr="003B38C1" w:rsidRDefault="00DB4DD4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DB4DD4" w:rsidRPr="003B38C1" w:rsidRDefault="00DB4D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E1" w:rsidRDefault="002B6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8B" w:rsidRDefault="002B60E1" w:rsidP="00DB4DD4">
    <w:pPr>
      <w:pStyle w:val="Footer"/>
      <w:jc w:val="center"/>
    </w:pPr>
  </w:p>
  <w:p w:rsidR="00D0188B" w:rsidRDefault="002B6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5" w:rsidRPr="002B60E1" w:rsidRDefault="00A546F5" w:rsidP="002B60E1">
    <w:pPr>
      <w:pStyle w:val="Footer"/>
    </w:pPr>
    <w:bookmarkStart w:id="5" w:name="_GoBack"/>
    <w:bookmarkEnd w:id="5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6C" w:rsidRPr="00CD6D6C" w:rsidRDefault="00CD6D6C" w:rsidP="00CD6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D4" w:rsidRDefault="00DB4DD4">
      <w:r>
        <w:separator/>
      </w:r>
    </w:p>
  </w:footnote>
  <w:footnote w:type="continuationSeparator" w:id="0">
    <w:p w:rsidR="00DB4DD4" w:rsidRDefault="00DB4DD4" w:rsidP="008B60B2">
      <w:r>
        <w:separator/>
      </w:r>
    </w:p>
    <w:p w:rsidR="00DB4DD4" w:rsidRPr="00ED77FB" w:rsidRDefault="00DB4D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DB4DD4" w:rsidRPr="00ED77FB" w:rsidRDefault="00DB4D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E1" w:rsidRDefault="002B6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D4" w:rsidRDefault="00DB4DD4" w:rsidP="00A546F5">
    <w:pPr>
      <w:pStyle w:val="Header"/>
      <w:jc w:val="right"/>
    </w:pPr>
    <w:r>
      <w:t>A/57/10</w:t>
    </w:r>
  </w:p>
  <w:p w:rsidR="00DB4DD4" w:rsidRDefault="00DB4DD4" w:rsidP="00A546F5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546F5">
      <w:rPr>
        <w:noProof/>
      </w:rPr>
      <w:t>2</w:t>
    </w:r>
    <w:r>
      <w:rPr>
        <w:noProof/>
      </w:rPr>
      <w:fldChar w:fldCharType="end"/>
    </w:r>
  </w:p>
  <w:p w:rsidR="00DB4DD4" w:rsidRDefault="00DB4DD4" w:rsidP="00A546F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E1" w:rsidRDefault="002B60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5" w:rsidRDefault="00A546F5" w:rsidP="00A546F5">
    <w:pPr>
      <w:pStyle w:val="Header"/>
      <w:jc w:val="right"/>
    </w:pPr>
    <w:r>
      <w:t>A/57/10</w:t>
    </w:r>
  </w:p>
  <w:p w:rsidR="00A546F5" w:rsidRDefault="00A546F5" w:rsidP="00A546F5">
    <w:pPr>
      <w:pStyle w:val="Header"/>
      <w:jc w:val="right"/>
    </w:pPr>
    <w:r>
      <w:t xml:space="preserve">Annexe, page </w:t>
    </w:r>
    <w:r>
      <w:fldChar w:fldCharType="begin"/>
    </w:r>
    <w:r>
      <w:instrText xml:space="preserve"> PAGE   \* MERGEFORMAT </w:instrText>
    </w:r>
    <w:r>
      <w:fldChar w:fldCharType="separate"/>
    </w:r>
    <w:r w:rsidR="002B60E1">
      <w:rPr>
        <w:noProof/>
      </w:rPr>
      <w:t>2</w:t>
    </w:r>
    <w:r>
      <w:rPr>
        <w:noProof/>
      </w:rPr>
      <w:fldChar w:fldCharType="end"/>
    </w:r>
  </w:p>
  <w:p w:rsidR="00A546F5" w:rsidRDefault="00A546F5" w:rsidP="00A546F5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5" w:rsidRDefault="00A546F5" w:rsidP="00A546F5">
    <w:pPr>
      <w:pStyle w:val="Header"/>
      <w:jc w:val="right"/>
    </w:pPr>
    <w:r>
      <w:t>A/57/10</w:t>
    </w:r>
  </w:p>
  <w:p w:rsidR="00A546F5" w:rsidRDefault="00A546F5" w:rsidP="00A546F5">
    <w:pPr>
      <w:pStyle w:val="Header"/>
      <w:jc w:val="right"/>
    </w:pPr>
    <w:r>
      <w:t>ANNEXE</w:t>
    </w:r>
  </w:p>
  <w:p w:rsidR="00A546F5" w:rsidRDefault="00A546F5" w:rsidP="00A546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D4"/>
    <w:rsid w:val="00043CAA"/>
    <w:rsid w:val="00075432"/>
    <w:rsid w:val="000968ED"/>
    <w:rsid w:val="000F5E56"/>
    <w:rsid w:val="00113EC1"/>
    <w:rsid w:val="001362EE"/>
    <w:rsid w:val="001832A6"/>
    <w:rsid w:val="001E2214"/>
    <w:rsid w:val="0021217E"/>
    <w:rsid w:val="002634C4"/>
    <w:rsid w:val="002928D3"/>
    <w:rsid w:val="002B60E1"/>
    <w:rsid w:val="002B66C7"/>
    <w:rsid w:val="002F1FE6"/>
    <w:rsid w:val="002F4E68"/>
    <w:rsid w:val="00300CD4"/>
    <w:rsid w:val="00312F7F"/>
    <w:rsid w:val="00361450"/>
    <w:rsid w:val="003673CF"/>
    <w:rsid w:val="003845C1"/>
    <w:rsid w:val="003A6F89"/>
    <w:rsid w:val="003B38C1"/>
    <w:rsid w:val="003F76A9"/>
    <w:rsid w:val="00423E3E"/>
    <w:rsid w:val="00427AF4"/>
    <w:rsid w:val="00442139"/>
    <w:rsid w:val="004647DA"/>
    <w:rsid w:val="00474062"/>
    <w:rsid w:val="00477D6B"/>
    <w:rsid w:val="004843D1"/>
    <w:rsid w:val="005019FF"/>
    <w:rsid w:val="0053057A"/>
    <w:rsid w:val="0053565E"/>
    <w:rsid w:val="00560A29"/>
    <w:rsid w:val="00586313"/>
    <w:rsid w:val="005C6649"/>
    <w:rsid w:val="00605827"/>
    <w:rsid w:val="00606C35"/>
    <w:rsid w:val="00613000"/>
    <w:rsid w:val="00646050"/>
    <w:rsid w:val="006713CA"/>
    <w:rsid w:val="00676C5C"/>
    <w:rsid w:val="007D1613"/>
    <w:rsid w:val="007E4C0E"/>
    <w:rsid w:val="00885EDF"/>
    <w:rsid w:val="00891290"/>
    <w:rsid w:val="008B2CC1"/>
    <w:rsid w:val="008B60B2"/>
    <w:rsid w:val="008C55F6"/>
    <w:rsid w:val="0090731E"/>
    <w:rsid w:val="00916EE2"/>
    <w:rsid w:val="00960444"/>
    <w:rsid w:val="00966A22"/>
    <w:rsid w:val="0096722F"/>
    <w:rsid w:val="00980843"/>
    <w:rsid w:val="00992BCE"/>
    <w:rsid w:val="009A21E8"/>
    <w:rsid w:val="009E2791"/>
    <w:rsid w:val="009E3F6F"/>
    <w:rsid w:val="009F499F"/>
    <w:rsid w:val="00A24859"/>
    <w:rsid w:val="00A42DAF"/>
    <w:rsid w:val="00A45BD8"/>
    <w:rsid w:val="00A546F5"/>
    <w:rsid w:val="00A869B7"/>
    <w:rsid w:val="00AC205C"/>
    <w:rsid w:val="00AD6BC4"/>
    <w:rsid w:val="00AF0A6B"/>
    <w:rsid w:val="00B05A69"/>
    <w:rsid w:val="00B452B4"/>
    <w:rsid w:val="00B9734B"/>
    <w:rsid w:val="00BA30E2"/>
    <w:rsid w:val="00BD148E"/>
    <w:rsid w:val="00BF5CCE"/>
    <w:rsid w:val="00C11BFE"/>
    <w:rsid w:val="00C5068F"/>
    <w:rsid w:val="00CD04F1"/>
    <w:rsid w:val="00CD6D6C"/>
    <w:rsid w:val="00D41460"/>
    <w:rsid w:val="00D45252"/>
    <w:rsid w:val="00D47B43"/>
    <w:rsid w:val="00D71B4D"/>
    <w:rsid w:val="00D93D55"/>
    <w:rsid w:val="00DB4DD4"/>
    <w:rsid w:val="00DE04AF"/>
    <w:rsid w:val="00E15015"/>
    <w:rsid w:val="00E335FE"/>
    <w:rsid w:val="00E85715"/>
    <w:rsid w:val="00E877EA"/>
    <w:rsid w:val="00EC4E49"/>
    <w:rsid w:val="00ED77FB"/>
    <w:rsid w:val="00EE45FA"/>
    <w:rsid w:val="00F02CA5"/>
    <w:rsid w:val="00F60A2C"/>
    <w:rsid w:val="00F66152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6F5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A546F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6F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6F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6F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546F5"/>
    <w:pPr>
      <w:ind w:left="5534"/>
    </w:pPr>
    <w:rPr>
      <w:lang w:val="en-US"/>
    </w:rPr>
  </w:style>
  <w:style w:type="paragraph" w:styleId="BodyText">
    <w:name w:val="Body Text"/>
    <w:basedOn w:val="Normal"/>
    <w:rsid w:val="00A546F5"/>
    <w:pPr>
      <w:spacing w:after="220"/>
    </w:pPr>
  </w:style>
  <w:style w:type="paragraph" w:styleId="Caption">
    <w:name w:val="caption"/>
    <w:basedOn w:val="Normal"/>
    <w:next w:val="Normal"/>
    <w:qFormat/>
    <w:rsid w:val="00A546F5"/>
    <w:rPr>
      <w:b/>
      <w:bCs/>
      <w:sz w:val="18"/>
    </w:rPr>
  </w:style>
  <w:style w:type="paragraph" w:styleId="CommentText">
    <w:name w:val="annotation text"/>
    <w:basedOn w:val="Normal"/>
    <w:semiHidden/>
    <w:rsid w:val="00A546F5"/>
    <w:rPr>
      <w:sz w:val="18"/>
    </w:rPr>
  </w:style>
  <w:style w:type="paragraph" w:styleId="EndnoteText">
    <w:name w:val="endnote text"/>
    <w:basedOn w:val="Normal"/>
    <w:semiHidden/>
    <w:rsid w:val="00A546F5"/>
    <w:rPr>
      <w:sz w:val="18"/>
    </w:rPr>
  </w:style>
  <w:style w:type="paragraph" w:styleId="Footer">
    <w:name w:val="footer"/>
    <w:basedOn w:val="Normal"/>
    <w:link w:val="FooterChar"/>
    <w:rsid w:val="00A546F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6F5"/>
    <w:rPr>
      <w:sz w:val="18"/>
    </w:rPr>
  </w:style>
  <w:style w:type="paragraph" w:styleId="Header">
    <w:name w:val="header"/>
    <w:basedOn w:val="Normal"/>
    <w:link w:val="HeaderChar"/>
    <w:rsid w:val="00A546F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6F5"/>
    <w:pPr>
      <w:numPr>
        <w:numId w:val="9"/>
      </w:numPr>
    </w:pPr>
  </w:style>
  <w:style w:type="paragraph" w:customStyle="1" w:styleId="ONUME">
    <w:name w:val="ONUM E"/>
    <w:basedOn w:val="BodyText"/>
    <w:rsid w:val="00A546F5"/>
    <w:pPr>
      <w:numPr>
        <w:numId w:val="10"/>
      </w:numPr>
    </w:pPr>
  </w:style>
  <w:style w:type="paragraph" w:customStyle="1" w:styleId="ONUMFS">
    <w:name w:val="ONUM FS"/>
    <w:basedOn w:val="BodyText"/>
    <w:rsid w:val="00A546F5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A546F5"/>
  </w:style>
  <w:style w:type="paragraph" w:styleId="Signature">
    <w:name w:val="Signature"/>
    <w:basedOn w:val="Normal"/>
    <w:semiHidden/>
    <w:rsid w:val="00A546F5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rsid w:val="00DB4DD4"/>
    <w:rPr>
      <w:rFonts w:ascii="Arial" w:eastAsia="SimSun" w:hAnsi="Arial" w:cs="Arial"/>
      <w:sz w:val="22"/>
      <w:lang w:val="fr-CH" w:eastAsia="zh-CN"/>
    </w:rPr>
  </w:style>
  <w:style w:type="paragraph" w:styleId="ListParagraph">
    <w:name w:val="List Paragraph"/>
    <w:basedOn w:val="Normal"/>
    <w:uiPriority w:val="34"/>
    <w:qFormat/>
    <w:rsid w:val="00A546F5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4DD4"/>
    <w:rPr>
      <w:rFonts w:ascii="Arial" w:eastAsia="SimSun" w:hAnsi="Arial" w:cs="Arial"/>
      <w:sz w:val="22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A546F5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A546F5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CD6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6F5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A546F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6F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6F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6F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546F5"/>
    <w:pPr>
      <w:ind w:left="5534"/>
    </w:pPr>
    <w:rPr>
      <w:lang w:val="en-US"/>
    </w:rPr>
  </w:style>
  <w:style w:type="paragraph" w:styleId="BodyText">
    <w:name w:val="Body Text"/>
    <w:basedOn w:val="Normal"/>
    <w:rsid w:val="00A546F5"/>
    <w:pPr>
      <w:spacing w:after="220"/>
    </w:pPr>
  </w:style>
  <w:style w:type="paragraph" w:styleId="Caption">
    <w:name w:val="caption"/>
    <w:basedOn w:val="Normal"/>
    <w:next w:val="Normal"/>
    <w:qFormat/>
    <w:rsid w:val="00A546F5"/>
    <w:rPr>
      <w:b/>
      <w:bCs/>
      <w:sz w:val="18"/>
    </w:rPr>
  </w:style>
  <w:style w:type="paragraph" w:styleId="CommentText">
    <w:name w:val="annotation text"/>
    <w:basedOn w:val="Normal"/>
    <w:semiHidden/>
    <w:rsid w:val="00A546F5"/>
    <w:rPr>
      <w:sz w:val="18"/>
    </w:rPr>
  </w:style>
  <w:style w:type="paragraph" w:styleId="EndnoteText">
    <w:name w:val="endnote text"/>
    <w:basedOn w:val="Normal"/>
    <w:semiHidden/>
    <w:rsid w:val="00A546F5"/>
    <w:rPr>
      <w:sz w:val="18"/>
    </w:rPr>
  </w:style>
  <w:style w:type="paragraph" w:styleId="Footer">
    <w:name w:val="footer"/>
    <w:basedOn w:val="Normal"/>
    <w:link w:val="FooterChar"/>
    <w:rsid w:val="00A546F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6F5"/>
    <w:rPr>
      <w:sz w:val="18"/>
    </w:rPr>
  </w:style>
  <w:style w:type="paragraph" w:styleId="Header">
    <w:name w:val="header"/>
    <w:basedOn w:val="Normal"/>
    <w:link w:val="HeaderChar"/>
    <w:rsid w:val="00A546F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6F5"/>
    <w:pPr>
      <w:numPr>
        <w:numId w:val="9"/>
      </w:numPr>
    </w:pPr>
  </w:style>
  <w:style w:type="paragraph" w:customStyle="1" w:styleId="ONUME">
    <w:name w:val="ONUM E"/>
    <w:basedOn w:val="BodyText"/>
    <w:rsid w:val="00A546F5"/>
    <w:pPr>
      <w:numPr>
        <w:numId w:val="10"/>
      </w:numPr>
    </w:pPr>
  </w:style>
  <w:style w:type="paragraph" w:customStyle="1" w:styleId="ONUMFS">
    <w:name w:val="ONUM FS"/>
    <w:basedOn w:val="BodyText"/>
    <w:rsid w:val="00A546F5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A546F5"/>
  </w:style>
  <w:style w:type="paragraph" w:styleId="Signature">
    <w:name w:val="Signature"/>
    <w:basedOn w:val="Normal"/>
    <w:semiHidden/>
    <w:rsid w:val="00A546F5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rsid w:val="00DB4DD4"/>
    <w:rPr>
      <w:rFonts w:ascii="Arial" w:eastAsia="SimSun" w:hAnsi="Arial" w:cs="Arial"/>
      <w:sz w:val="22"/>
      <w:lang w:val="fr-CH" w:eastAsia="zh-CN"/>
    </w:rPr>
  </w:style>
  <w:style w:type="paragraph" w:styleId="ListParagraph">
    <w:name w:val="List Paragraph"/>
    <w:basedOn w:val="Normal"/>
    <w:uiPriority w:val="34"/>
    <w:qFormat/>
    <w:rsid w:val="00A546F5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4DD4"/>
    <w:rPr>
      <w:rFonts w:ascii="Arial" w:eastAsia="SimSun" w:hAnsi="Arial" w:cs="Arial"/>
      <w:sz w:val="22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A546F5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A546F5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CD6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3379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ZEBARJADI Nahal</dc:creator>
  <cp:keywords>ST/sc</cp:keywords>
  <cp:lastModifiedBy>COUTURE Sébastien</cp:lastModifiedBy>
  <cp:revision>4</cp:revision>
  <cp:lastPrinted>2017-09-29T15:03:00Z</cp:lastPrinted>
  <dcterms:created xsi:type="dcterms:W3CDTF">2017-09-29T15:01:00Z</dcterms:created>
  <dcterms:modified xsi:type="dcterms:W3CDTF">2017-10-01T12:00:00Z</dcterms:modified>
</cp:coreProperties>
</file>